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b/>
          <w:sz w:val="40"/>
        </w:rPr>
        <w:t>Schwarz về Hiệp định ThuếPhiên bản thứ sáu</w:t>
      </w:r>
    </w:p>
    <w:p>
      <w:pPr>
        <w:jc w:val="center"/>
      </w:pPr>
      <w:r>
        <w:drawing>
          <wp:inline xmlns:a="http://schemas.openxmlformats.org/drawingml/2006/main" xmlns:pic="http://schemas.openxmlformats.org/drawingml/2006/picture">
            <wp:extent cx="5335206" cy="3266328"/>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335206" cy="3266328"/>
                    </a:xfrm>
                    <a:prstGeom prst="rect"/>
                  </pic:spPr>
                </pic:pic>
              </a:graphicData>
            </a:graphic>
          </wp:inline>
        </w:drawing>
      </w:r>
    </w:p>
    <w:p>
      <w:pPr>
        <w:spacing w:before="240" w:after="80"/>
      </w:pPr>
      <w:r>
        <w:rPr>
          <w:b/>
          <w:sz w:val="32"/>
        </w:rPr>
        <w:t>Jonathan Schwarz</w:t>
      </w:r>
    </w:p>
    <w:p>
      <w:pPr>
        <w:spacing w:before="240" w:after="80"/>
      </w:pPr>
      <w:r>
        <w:rPr>
          <w:b/>
          <w:sz w:val="32"/>
        </w:rPr>
        <w:t>Schwarz về Hiệp định Thuế</w:t>
      </w:r>
    </w:p>
    <w:p>
      <w:pPr>
        <w:jc w:val="center"/>
      </w:pPr>
      <w:r>
        <w:drawing>
          <wp:inline xmlns:a="http://schemas.openxmlformats.org/drawingml/2006/main" xmlns:pic="http://schemas.openxmlformats.org/drawingml/2006/picture">
            <wp:extent cx="5486400" cy="8437277"/>
            <wp:docPr id="2" name="Picture 2"/>
            <wp:cNvGraphicFramePr>
              <a:graphicFrameLocks noChangeAspect="1"/>
            </wp:cNvGraphicFramePr>
            <a:graphic>
              <a:graphicData uri="http://schemas.openxmlformats.org/drawingml/2006/picture">
                <pic:pic>
                  <pic:nvPicPr>
                    <pic:cNvPr id="0" name="page_3.png"/>
                    <pic:cNvPicPr/>
                  </pic:nvPicPr>
                  <pic:blipFill>
                    <a:blip r:embed="rId10"/>
                    <a:stretch>
                      <a:fillRect/>
                    </a:stretch>
                  </pic:blipFill>
                  <pic:spPr>
                    <a:xfrm>
                      <a:off x="0" y="0"/>
                      <a:ext cx="5486400" cy="8437277"/>
                    </a:xfrm>
                    <a:prstGeom prst="rect"/>
                  </pic:spPr>
                </pic:pic>
              </a:graphicData>
            </a:graphic>
          </wp:inline>
        </w:drawing>
      </w:r>
    </w:p>
    <w:p>
      <w:pPr>
        <w:spacing w:after="80"/>
      </w:pPr>
      <w:r>
        <w:rPr>
          <w:b w:val="0"/>
          <w:i/>
        </w:rPr>
        <w:t>Xuất bản bởi:</w:t>
      </w:r>
      <w:r>
        <w:rPr>
          <w:b w:val="0"/>
          <w:i w:val="0"/>
        </w:rPr>
        <w:t>KluwerLawInternationalB.V.POBox3162400 AH AlphenaandenRijnHà LanE-mail:international-sales@wolterskluwer.comWebsite:lrus.wolterskluwer.com</w:t>
      </w:r>
    </w:p>
    <w:p>
      <w:pPr>
        <w:spacing w:after="80"/>
      </w:pPr>
      <w:r>
        <w:rPr>
          <w:b w:val="0"/>
          <w:i/>
        </w:rPr>
        <w:t>Bán và phân phối bởi:</w:t>
      </w:r>
      <w:r>
        <w:rPr>
          <w:b w:val="0"/>
          <w:i w:val="0"/>
        </w:rPr>
        <w:t>WoltersKluwerLegal&amp;RegulatoryU.S.7201McKinneyCircleFrederick,MD21704Hoa KỳE-mail:customer.service@wolterskluwer.com</w:t>
      </w:r>
    </w:p>
    <w:p>
      <w:pPr>
        <w:spacing w:after="80"/>
      </w:pPr>
      <w:r>
        <w:rPr>
          <w:b w:val="0"/>
          <w:i w:val="0"/>
        </w:rPr>
        <w:t>Ấn phẩm này được bán với sự hiểu biết rằng cả nhà xuất bản lẫn tác giả, liên quan đến ấn phẩm này, đều không tham gia vào việc cung cấp các dịch vụ pháp lý hoặc chuyên môn. Tài liệu chứa trong ấn phẩm này không nhằm mục đích, cũng không được dự định là, lời khuyên về bất kỳ vấn đề cụ thể nào.</w:t>
      </w:r>
    </w:p>
    <w:p>
      <w:pPr>
        <w:spacing w:after="80"/>
      </w:pPr>
      <w:r>
        <w:rPr>
          <w:b w:val="0"/>
          <w:i w:val="0"/>
        </w:rPr>
        <w:t>Mặc dù ấn phẩm này kết hợp một mức độ tiêu chuẩn hóa đáng kể, nhưng sự đánh giá chủ quan của người sử dụng, dựa trên hoàn cảnh cá nhân, là không thể thiếu. Ấn phẩm này là một công cụ hỗ trợ và không thể được kỳ vọng thay thế sự đánh giá đó.</w:t>
      </w:r>
    </w:p>
    <w:p>
      <w:pPr>
        <w:spacing w:after="80"/>
      </w:pPr>
      <w:r>
        <w:rPr>
          <w:b w:val="0"/>
          <w:i w:val="0"/>
        </w:rPr>
        <w:t>Cả nhà xuất bản lẫn tác giả đều không thể chấp nhận bất kỳ trách nhiệm hay nghĩa vụ pháp lý nào đối với bất kỳ người nào, dù là người mua ấn phẩm này hay không, liên quan đến bất kỳ điều gì đã làm hoặc bỏ sót không làm bởi bất kỳ người nào như vậy dựa vào, dù toàn bộ hay một phần, toàn bộ hoặc bất kỳ phần nào nội dung của ấn phẩm này.</w:t>
      </w:r>
    </w:p>
    <w:p>
      <w:pPr>
        <w:spacing w:after="80"/>
      </w:pPr>
      <w:r>
        <w:rPr>
          <w:b/>
          <w:i w:val="0"/>
        </w:rPr>
        <w:t>Tài liệu lập pháp và tài liệu khác</w:t>
      </w:r>
    </w:p>
    <w:p>
      <w:pPr>
        <w:spacing w:after="80"/>
      </w:pPr>
      <w:r>
        <w:rPr>
          <w:b w:val="0"/>
          <w:i w:val="0"/>
        </w:rPr>
        <w:t>Trong khi bản quyền đối với tất cả các tài liệu luật định và tài liệu khác thuộc về Crown hoặc cơ quan liên quan khác, bản quyền đối với tài liệu còn lại trong ấn phẩm này thuộc về nhà xuất bản.</w:t>
      </w:r>
    </w:p>
    <w:p>
      <w:pPr>
        <w:spacing w:after="80"/>
      </w:pPr>
      <w:r>
        <w:rPr>
          <w:b w:val="0"/>
          <w:i w:val="0"/>
        </w:rPr>
        <w:t>Nhà xuất bản lưu ý rằng bất kỳ tài liệu luật định hoặc tài liệu khác nào do Crown hoặc các cơ quan liên quan khác ban hành và được sao chép và trích dẫn trong ấn phẩm này không phải là phiên bản chính thức được ủy quyền của những tài liệu luật định hoặc tài liệu khác đó. Tuy nhiên, trong quá trình chuẩn bị, sự cẩn thận tối đa đã được thực hiện để đảm bảo sự phù hợp chính xác với luật như đã được ban hành hoặc tài liệu khác như đã được phát hành.</w:t>
      </w:r>
    </w:p>
    <w:p>
      <w:pPr>
        <w:spacing w:after="80"/>
      </w:pPr>
      <w:r>
        <w:rPr>
          <w:b w:val="0"/>
          <w:i w:val="0"/>
        </w:rPr>
        <w:t>Luật bản quyền Crown được tái bản theo các điều khoản của Hướng dẫn Chính sách Bản quyền Crown do HMSO ban hành. Tài liệu bản quyền Crown khác được tái bản với sự cho phép của người kiểm soát HMSO. Tài liệu Bản quyền Cộng đồng Châu Âu được tái bản với sự cho phép.</w:t>
      </w:r>
    </w:p>
    <w:p>
      <w:pPr>
        <w:spacing w:after="80"/>
      </w:pPr>
      <w:r>
        <w:rPr>
          <w:b w:val="0"/>
          <w:i/>
        </w:rPr>
        <w:t>In trên giấy không axit.</w:t>
      </w:r>
    </w:p>
    <w:p>
      <w:pPr>
        <w:spacing w:after="80"/>
      </w:pPr>
      <w:r>
        <w:rPr>
          <w:b w:val="0"/>
          <w:i w:val="0"/>
        </w:rPr>
        <w:t>ISBN978-94-035-2630-0</w:t>
      </w:r>
    </w:p>
    <w:p>
      <w:pPr>
        <w:spacing w:after="80"/>
      </w:pPr>
      <w:r>
        <w:rPr>
          <w:b w:val="0"/>
          <w:i w:val="0"/>
        </w:rPr>
        <w:t>e-Book:ISBN978-94-035-2631-7web-PDF:ISBN978-94-035-2632-4</w:t>
      </w:r>
    </w:p>
    <w:p>
      <w:pPr>
        <w:spacing w:after="80"/>
      </w:pPr>
      <w:r>
        <w:rPr>
          <w:b w:val="0"/>
          <w:i w:val="0"/>
        </w:rPr>
        <w:t>©2021JonathanSchwarzTranh bìa© AnnetteSchwarz2021</w:t>
      </w:r>
    </w:p>
    <w:p>
      <w:pPr>
        <w:spacing w:after="80"/>
      </w:pPr>
      <w:r>
        <w:rPr>
          <w:b w:val="0"/>
          <w:i w:val="0"/>
        </w:rPr>
        <w:t>Mọiquyềnđượcbảovệ.Khôngphầnnàocủaxuấtbảnnàycóthểđượcsảnxuất,lưutrữtronghệthốngtruyxuất,hoặctruyềntải dướibấtkỳhìnhthứchoặcbấtkỳphươngtiệnnào,điệntử,cơhọc,photocopy,ghiam,hoặcbằngcáchkhác,màkhôngcósựchophépbằngvănbảntừnhàxuấtbản.</w:t>
      </w:r>
    </w:p>
    <w:p>
      <w:pPr>
        <w:spacing w:after="80"/>
      </w:pPr>
      <w:r>
        <w:rPr>
          <w:b w:val="0"/>
          <w:i w:val="0"/>
        </w:rPr>
        <w:t>Quyền sử dụng nội dung này phải được lấy từ chủ sở hữu bản quyền. Thông tin thêm có thể tìm thấy tại: lrus.wolterskluwer.com/policies/permissions-reprints-and-licensing</w:t>
      </w:r>
    </w:p>
    <w:p>
      <w:pPr>
        <w:spacing w:after="80"/>
      </w:pPr>
      <w:r>
        <w:rPr>
          <w:b w:val="0"/>
          <w:i w:val="0"/>
        </w:rPr>
        <w:t>Được in tại Vương quốc Anh.</w:t>
      </w:r>
    </w:p>
    <w:p>
      <w:pPr>
        <w:spacing w:after="80"/>
      </w:pPr>
      <w:r>
        <w:rPr>
          <w:b w:val="0"/>
          <w:i/>
        </w:rPr>
        <w:t>Tưởng niệm Annette Louise Schwarz</w:t>
      </w:r>
    </w:p>
    <w:p>
      <w:pPr>
        <w:spacing w:after="80"/>
      </w:pPr>
      <w:r>
        <w:rPr>
          <w:b w:val="0"/>
          <w:i/>
        </w:rPr>
        <w:t>1926-2021</w:t>
      </w:r>
    </w:p>
    <w:p>
      <w:pPr>
        <w:spacing w:before="240" w:after="80"/>
      </w:pPr>
      <w:r>
        <w:rPr>
          <w:b/>
          <w:sz w:val="32"/>
        </w:rPr>
        <w:t>Về tác giả</w:t>
      </w:r>
    </w:p>
    <w:p>
      <w:pPr>
        <w:spacing w:after="80"/>
      </w:pPr>
      <w:r>
        <w:rPr>
          <w:b/>
          <w:i w:val="0"/>
        </w:rPr>
        <w:t>Jonathan Schwarz</w:t>
      </w:r>
      <w:r>
        <w:rPr>
          <w:b w:val="0"/>
          <w:i w:val="0"/>
        </w:rPr>
        <w:t xml:space="preserve"> BA, LLB (Witwatersrand), LLM (UC Berkeley), FTII là một Luật sư Anh tại Temple Tax Chambers ở London và cũng là một Luật sư Nam Phi, và là một Luật sư Canada và Ireland. Hành nghề của ông tập trung vào các tranh chấp thuế quốc tế với tư cách là cố vấn và tư vấn về giải quyết các vấn đề thuế xuyên biên giới. Ông là thành viên của Ủy ban Khoa học Thường trực của Hiệp hội Tài chính Quốc tế. Ông được bổ nhiệm vào Nhóm chuyên gia của Ủy ban EU về việc loại bỏ các vấn đề thuế mà các cá nhân hoạt động xuyên biên giới trong EU phải đối mặt. Ông là Giáo sư thỉnh giảng tại Dickson Poon School of Law, King's College London. Ông đã được liệt kê là một Luật sư thuế hàng đầu trong cả Legal 500 theo tham chiếu đề xuất cho thuế doanh nghiệp quốc tế, và Chambers' Guide to the Legal Profession theo tham chiếu các giao dịch quốc tế và chuyên môn đặc biệt về chuyển giá. Legal 500 đã đánh giá ông là 'cố vấn hàng đầu về các vấn đề hiệp ước thuế quốc tế'. Trong Who's Who Legal UK Bar, ông được ca ngợi vì 'xử lý xuất sắc các vấn đề thuế xuyên biên giới'. Trong Chambers Guide, ông được khen ngợi vì 'kiến thức bách khoa về các hiệp ước đánh thuế hai lần'.</w:t>
      </w:r>
    </w:p>
    <w:p>
      <w:pPr>
        <w:spacing w:after="80"/>
      </w:pPr>
      <w:r>
        <w:rPr>
          <w:b w:val="0"/>
          <w:i w:val="0"/>
        </w:rPr>
        <w:t>vii</w:t>
      </w:r>
    </w:p>
    <w:p>
      <w:pPr>
        <w:spacing w:before="240" w:after="80"/>
      </w:pPr>
      <w:r>
        <w:rPr>
          <w:b/>
          <w:sz w:val="32"/>
        </w:rPr>
        <w:t>Mục lục</w:t>
      </w:r>
    </w:p>
    <w:p>
      <w:pPr>
        <w:spacing w:after="80"/>
      </w:pPr>
      <w:r>
        <w:rPr>
          <w:b w:val="0"/>
          <w:i w:val="0"/>
        </w:rPr>
        <w:t>Về tác giả vii</w:t>
      </w:r>
    </w:p>
    <w:p>
      <w:pPr>
        <w:spacing w:after="80"/>
      </w:pPr>
      <w:r>
        <w:rPr>
          <w:b w:val="0"/>
          <w:i w:val="0"/>
        </w:rPr>
        <w:t>Danh sách các từ viết tắt chính xxv</w:t>
      </w:r>
    </w:p>
    <w:p>
      <w:pPr>
        <w:spacing w:after="80"/>
      </w:pPr>
      <w:r>
        <w:rPr>
          <w:b w:val="0"/>
          <w:i w:val="0"/>
        </w:rPr>
        <w:t>Lời nói đầu xxix</w:t>
      </w:r>
    </w:p>
    <w:p>
      <w:pPr>
        <w:spacing w:after="80"/>
      </w:pPr>
      <w:r>
        <w:rPr>
          <w:b w:val="0"/>
          <w:i w:val="0"/>
        </w:rPr>
        <w:t>CHƯƠNG 1 Khung pháp lý: Luật quốc tế 1 §1.01 Giới thiệu 1 §1.02 Các nguồn của luật quốc tế 2 [A] Các công ước quốc tế 2 [B] Tập quán quốc tế 3 [C] Các nguyên tắc chung của pháp luật 4 [D] Ius Cogens 4 [E] Các quyết định tư pháp và các tác phẩm của các luật gia 5 §1.03 Luật quốc tế và luật trong nước 5 §1.04 Luật quốc tế công và luật quốc tế tư 6 §1.05 Các quốc gia 7 §1.06 Quyền miễn trừ thuế của quốc gia 8 §1.07 Các tổ chức quốc tế 10 [A] Liên hợp quốc 10 [B] OECD 11 §1.08 Luật về các hiệp ước 13 [A] Tuân thủ các hiệp ước 14</w:t>
      </w:r>
    </w:p>
    <w:p>
      <w:pPr>
        <w:spacing w:after="80"/>
      </w:pPr>
      <w:r>
        <w:rPr>
          <w:b w:val="0"/>
          <w:i w:val="0"/>
        </w:rPr>
        <w:t>CHƯƠNG 2 Khung pháp lý: Luật quốc gia – Vương quốc Anh; Éire (Ireland) 17 Vương quốc Anh 17 §2.01 Vương quốc Anh: Giới thiệu 17</w:t>
      </w:r>
    </w:p>
    <w:p>
      <w:pPr>
        <w:spacing w:after="80"/>
      </w:pPr>
      <w:r>
        <w:rPr>
          <w:b w:val="0"/>
          <w:i w:val="0"/>
        </w:rPr>
        <w:t>ix</w:t>
      </w:r>
    </w:p>
    <w:p>
      <w:pPr>
        <w:spacing w:after="80"/>
      </w:pPr>
      <w:r>
        <w:rPr>
          <w:b w:val="0"/>
          <w:i w:val="0"/>
        </w:rPr>
        <w:t>[A] Quần đảo Channel và Đảo Man 18 [B] Các lãnh thổ hải ngoại của Anh 18 §2.02 Vương quốc Anh: Các hiệp ước thuế là gì? 19 [A] Các thỏa thuận phi hiệp ước 20 §2.03 Vương quốc Anh: Việc ký kết hiệp ước 21 §2.04 Vương quốc Anh: Phạm vi của các hiệp ước thuế 23 §2.05 Vương quốc Anh: Các quy tắc thuế trong các hiệp ước phi thuế 24 [A] Các tổ chức quốc tế 25 [B] Các thỏa thuận trụ sở chính 26 [C] Các lực lượng thăm viếng 27 §2.06 Vương quốc Anh: Thực thi hiệp ước 28 §2.07 Vương quốc Anh: Phạm vi thực thi hiệp ước 29 [A] Thuế doanh nghiệp đối với thu nhập hoặc lợi nhuận chịu thuế 31 [B] Giảm thuế 33 [C] Đánh thuế thu nhập hoặc lợi nhuận 34 [D] Tín dụng thuế 35 [E] Mục 6 và luật quốc tế 37 §2.08 Vương quốc Anh: Hiệu lực hồi tố và các biện pháp chuyển tiếp 39 §2.09 Vương quốc Anh: Các hiệp ước được ký kết theo luật cũ 40 §2.10 Vương quốc Anh: Hiệu lực của các hiệp ước 40 §2.11 Vương quốc Anh: Các hiệp ước giả định 42 §2.12 Vương quốc Anh: Kế thừa quốc gia 43 §2.13 Vương quốc Anh: Mối quan hệ giữa các hiệp ước và các quy định luật pháp cụ thể 44 §2.14 Vương quốc Anh: Ghi đè hiệp ước 45 [A] Ghi đè bằng 'giải thích' 48 §2.15 Vương quốc Anh: Ghi đè thấp hơn hiệp ước 50 §2.16 Vương quốc Anh: Hạn chế tiếp cận các hiệp ước 50 §2.17 Vương quốc Anh: Mở rộng các lợi ích hiệp ước 51 Ireland 52 §2.18 Ireland: Giới thiệu 52 §2.19 Ireland: Việc ký kết hiệp ước 52 §2.20 Ireland: Thực thi hiệp ước 53 [A] Các thỏa thuận phi hiệp ước 54 §2.21 Ireland: Phạm vi của các hiệp ước thuế 54 §2.22 Ireland: Hiệu lực của các hiệp ước 55 [A] Hiệu lực hồi tố 55</w:t>
      </w:r>
    </w:p>
    <w:p>
      <w:pPr>
        <w:spacing w:after="80"/>
      </w:pPr>
      <w:r>
        <w:rPr>
          <w:b w:val="0"/>
          <w:i w:val="0"/>
        </w:rPr>
        <w:t>CHƯƠNG 3Khung pháp lý: Luật châu Âu57§3.01Giới thiệu57[A]Các quyền tự do cơ bản59[B]Biện pháp bào chữa đối với các hạn chế60[C]Hỗ trợ nhà nước60§3.02Các hiệp ước và luật nội địa của Quốc gia Thành viên61[A]Giải thích các hiệp ước thuế62</w:t>
      </w:r>
    </w:p>
    <w:p>
      <w:pPr>
        <w:spacing w:after="80"/>
      </w:pPr>
      <w:r>
        <w:rPr>
          <w:b w:val="0"/>
          <w:i w:val="0"/>
        </w:rPr>
        <w:t>x</w:t>
      </w:r>
    </w:p>
    <w:p>
      <w:pPr>
        <w:spacing w:after="80"/>
      </w:pPr>
      <w:r>
        <w:rPr>
          <w:b w:val="0"/>
          <w:i w:val="0"/>
        </w:rPr>
        <w:t>§3.03Phạm vi cá nhân62[A]Quyền lợi từ hiệp ước thuế đối với người không cư trú64[B]Đối xử tối huệ quốc65§3.04Các hiệp ước giữa các Quốc gia Thành viên67[A]Giới hạn về hiệu lực của các hiệp ước69§3.05Hiệu lực của hiệp ước đối với các hạn chế70§3.06Các hiệp ước mang tính phân biệt đối xử72§3.07Các hiệp ước vô hiệu hóa phân biệt đối xử74[A]Giới hạn về quyền lợi75§3.08Hiệu lực của hiệp ước đối với các biện pháp bào chữa cho hạn chế78[A]Loại bỏ đánh thuế hai lần: Tín dụng thuế nước ngoài83[B]Từ bỏ tính gắn kết85[C]Tính mạch lạc xuyên biên giới của các hệ thống thuế86§3.09Tránh và lạm dụng pháp luật87[A]Xói mòn cơ sở thuế88[B]Ý nghĩa của tránh thuế88[C]Tính tương xứng90[D]Các yêu cầu về thủ tục92§3.10Các hiệp ước với các nước thứ ba92[A]Giám sát tài chính và các nước thứ ba95§3.11Các hiệp ước và bồi thường cho vi phạm luật EU97§3.12Các hiệp ước EU với các nước thứ ba98§3.13Brexit: Mối quan hệ của Vương quốc Anh với EU100[A]Giai đoạn chuyển tiếp101[B]Mối quan hệ tương lai101§3.14Quyền miễn trừ thuế của EU103[A]Các quan chức và công chức EU103</w:t>
      </w:r>
    </w:p>
    <w:p>
      <w:pPr>
        <w:spacing w:after="80"/>
      </w:pPr>
      <w:r>
        <w:rPr>
          <w:b w:val="0"/>
          <w:i w:val="0"/>
        </w:rPr>
        <w:t>CHƯƠNG 4Giải thích các hiệp ước thuế107§4.01Giới thiệu107§4.02Công ước Vienna về Luật Hiệp ước109§4.03Các nguyên tắc Commerzbank110§4.04Quy tắc giải thích chung114[A]Ý nghĩa thông thường của các thuật ngữ115[B]Ngữ cảnh119[C]Các thỏa thuận và văn kiện liên quan đến việc ký kết hiệp ước123[D]Các thỏa thuận và thực tiễn tiếp theo123[E]Đối tượng và mục đích125[F]Các quy tắc liên quan của luật quốc tế130§4.05Ý nghĩa đặc biệt của các thuật ngữ130§4.06Các phương tiện giải thích bổ sung131[A]Bình luận Mô hình OECD132[B]Các hiệp ước khác138</w:t>
      </w:r>
    </w:p>
    <w:p>
      <w:pPr>
        <w:spacing w:after="80"/>
      </w:pPr>
      <w:r>
        <w:rPr>
          <w:b w:val="0"/>
          <w:i w:val="0"/>
        </w:rPr>
        <w:t>xi</w:t>
      </w:r>
    </w:p>
    <w:p>
      <w:pPr>
        <w:spacing w:after="80"/>
      </w:pPr>
      <w:r>
        <w:rPr>
          <w:b w:val="0"/>
          <w:i w:val="0"/>
        </w:rPr>
        <w:t>[C]Các tác phẩm của các luật gia139[D]Các phán quyết nước ngoài141§4.07Các quy tắc giải thích theo luật định143[A]Mối quan hệ đặc biệt143§4.08Ý nghĩa tự trị và các tham chiếu đến luật nội địa144§4.09Các hiệp ước bằng nhiều ngôn ngữ149§4.10Quyền con người và Công ước châu Âu về Quyền con người150</w:t>
      </w:r>
    </w:p>
    <w:p>
      <w:pPr>
        <w:spacing w:after="80"/>
      </w:pPr>
      <w:r>
        <w:rPr>
          <w:b w:val="0"/>
          <w:i w:val="0"/>
        </w:rPr>
        <w:t>CHƯƠNG 5Phạm vi của các hiệp ước thuế: Các loại thuế được điều chỉnh, phạm vi lãnh thổ và thời gian153§5.01Giới thiệu153§5.02Các loại thuế được điều chỉnh153[A]Thuế lợi nhuận chuyển hướng và Thuế dịch vụ kỹ thuật số157[B]Các hiệp ước về thuế bất động sản, thừa kế và quà tặng158[C]Các hiệp ước về thuế ngân hàng158[D]Các hiệp ước hợp tác hành chính158§5.03Phạm vi lãnh thổ159§5.04Phạm vi thời gian161</w:t>
      </w:r>
    </w:p>
    <w:p>
      <w:pPr>
        <w:spacing w:after="80"/>
      </w:pPr>
      <w:r>
        <w:rPr>
          <w:b w:val="0"/>
          <w:i w:val="0"/>
        </w:rPr>
        <w:t>CHƯƠNG 6Quyền tiếp cận các quyền lợi từ hiệp ước: Cư trú tài chính, Tư cách cá nhân và Quốc tịch165§6.01Ai được hưởng các quyền lợi từ một hiệp ước thuế?165§6.02Tư cách cá nhân165[A]Phân loại theo hiệp ước168[B]Đặc điểm của thực thể nước ngoài168[C]Tính minh bạch tài chính170[D]Thực tiễn hành chính171[E]Quyền lợi từ hiệp ước và các thực thể minh bạch171§6.03Cư trú175[A]Quyền lợi từ hiệp ước chỉ dành cho cư dân của các Quốc gia ký kết?175[B]Không phân biệt đối xử177§6.04Ai là cư dân vì mục đích hiệp ước?177[A]Định nghĩa của Mô hình OECD177[B]Cư trú nước ngoài182[C]Các câu hỏi về thời gian183[D]Định nghĩa thời thuộc địa184[E]Cư dân được coi là186§6.05Cư trú kép: Quy tắc phá vỡ thế cân bằng187[A]Giải quyết cư trú kép: Cá nhân189[1]Nhà thường trú191[2]Trung tâm lợi ích thiết yếu192[3]Nơi ở thường xuyên194[B]Cư trú kép: Các công ty194[C]Quản lý và kiểm soát trung tâm195[D]Quản lý và kiểm soát195</w:t>
      </w:r>
    </w:p>
    <w:p>
      <w:pPr>
        <w:spacing w:after="80"/>
      </w:pPr>
      <w:r>
        <w:rPr>
          <w:b w:val="0"/>
          <w:i w:val="0"/>
        </w:rPr>
        <w:t>xii</w:t>
      </w:r>
    </w:p>
    <w:p>
      <w:pPr>
        <w:spacing w:after="80"/>
      </w:pPr>
      <w:r>
        <w:rPr>
          <w:b w:val="0"/>
          <w:i w:val="0"/>
        </w:rPr>
        <w:t>[E]Nơi quản lý hiệu quả196[F]Tài liệu thảo luận của OECD202[G]Các trường hợp tam giác204[H]Cư trú kép: Các quỹ tín thác204[I]Cư trú kép: Hợp danh206[J]Giải quyết hành chính về cư trú kép207[K]Tác động của cư trú theo hiệp ước đối với luật nội địa208§6.06Điều khoản bảo lưu209§6.07Quốc tịch210§6.08Các quốc gia với tư cách là cư dân của một Quốc gia ký kết212§6.09Các thực thể được ưu đãi thuế với tư cách là cư dân của một Quốc gia ký kết213</w:t>
      </w:r>
    </w:p>
    <w:p>
      <w:pPr>
        <w:spacing w:after="80"/>
      </w:pPr>
      <w:r>
        <w:rPr>
          <w:b w:val="0"/>
          <w:i w:val="0"/>
        </w:rPr>
        <w:t>CHƯƠNG 7Cơ sở thường trú217§7.01Nền tảng của thuế kinh doanh xuyên biên giới217§7.02Ý nghĩa của PE218§7.03Giải thích PE220§7.04Các PE vật chất220§7.05Các PE và nền kinh tế kỹ thuật số225§7.06Danh sách minh họa227§7.07Chi nhánh229§7.08Công trường xây dựng và các dự án xây dựng hoặc lắp đặt230§7.09Các PE đại lý231§7.10Các đại lý độc lập238[A]Các loại đại lý độc lập cụ thể240§7.11Dịch vụ và các PE241§7.12Hoạt động được coi là và các PE không thông thường243§7.13Các hoạt động chuẩn bị hoặc hỗ trợ243[A]Chống phân mảnh247§7.14Các công ty mẹ và công ty con với tư cách là các PE248§7.15Thuế lợi nhuận chuyển hướng248</w:t>
      </w:r>
    </w:p>
    <w:p>
      <w:pPr>
        <w:spacing w:after="80"/>
      </w:pPr>
      <w:r>
        <w:rPr>
          <w:b w:val="0"/>
          <w:i w:val="0"/>
        </w:rPr>
        <w:t>CHƯƠNG 8Các điều khoản phân phối của các hiệp ước thuế thu nhập251§8.01Phân bổ quyền tài phán thuế251§8.02Phân loại các nguồn253</w:t>
      </w:r>
    </w:p>
    <w:p>
      <w:pPr>
        <w:spacing w:after="80"/>
      </w:pPr>
      <w:r>
        <w:rPr>
          <w:b w:val="0"/>
          <w:i w:val="0"/>
        </w:rPr>
        <w:t>CHƯƠNG 9Lợi nhuận kinh doanh257§9.01Lợi nhuận kinh doanh257§9.02Doanh nghiệp258§9.03Lợi nhuận nào là lợi nhuận 'kinh doanh'?260§9.04Phân bổ lợi nhuận cho các cơ sở thường trú261§9.05Cách tiếp cận được OECD ủy quyền267§9.06Lực hấp dẫn268</w:t>
      </w:r>
    </w:p>
    <w:p>
      <w:pPr>
        <w:spacing w:after="80"/>
      </w:pPr>
      <w:r>
        <w:rPr>
          <w:b w:val="0"/>
          <w:i w:val="0"/>
        </w:rPr>
        <w:t>xiii</w:t>
      </w:r>
    </w:p>
    <w:p>
      <w:pPr>
        <w:spacing w:after="80"/>
      </w:pPr>
      <w:r>
        <w:rPr>
          <w:b w:val="0"/>
          <w:i w:val="0"/>
        </w:rPr>
        <w:t>§9.07Phân bổ lợi nhuận cho các cơ sở thường trú (Phiên bản 2010)269§9.08Phân bổ nội địa: Thuế thu nhập270§9.09Phân bổ nội địa: Thuế doanh nghiệp274[A]Các cơ sở thường trú tại Vương quốc Anh275[B]Các cơ sở thường trú nước ngoài279§9.10Khấu trừ chi phí280§9.11Các tổ chức tài chính282§9.12Các phương pháp phân bổ thông thường283§9.13Dịch vụ cá nhân độc lập284§9.14Phí dịch vụ kỹ thuật287§9.15Vận tải biển và hàng không290§9.16Nghệ sĩ và vận động viên292§9.17Các doanh nghiệp liên kết295[A]Thuế lợi nhuận chuyển hướng298§9.18Thuế dịch vụ kỹ thuật số299</w:t>
      </w:r>
    </w:p>
    <w:p>
      <w:pPr>
        <w:spacing w:after="80"/>
      </w:pPr>
      <w:r>
        <w:rPr>
          <w:b w:val="0"/>
          <w:i w:val="0"/>
        </w:rPr>
        <w:t>CHƯƠNG 10Thu nhập từ tài sản301§10.01Giới thiệu301§10.02Thu nhập từ bất động sản301[A]Sở hữu kỳ nghỉ theo thời gian và các thỏa thuận tương tự305[B]Các quỹ tín thác đầu tư bất động sản305§10.03Cổ tức306[A]Các điều khoản về cổ tức307[B]Thuế khấu trừ tại nguồn307[C]Ý nghĩa của cổ tức310[D]Cổ tức được kết nối hiệu quả với một cơ sở thường trú311[E]Các cơ sở thường trú tại các quốc gia thứ ba312[F]Cổ tức nước ngoài và thuế ở cấp độ công ty313[G]Các giới hạn về quyền lợi314§10.04Lãi suất314[A]Ý nghĩa của lãi suất316[B]Nguồn của lãi suất319[C]Mối quan hệ đặc biệt322[1]Ý nghĩa của mối quan hệ đặc biệt323[2]Tác động của mối quan hệ đặc biệt323[D]Điều chỉnh giá chuyển nhượng325[E]Lãi suất được quy cho một cơ sở thường trú325[F]Các cơ sở thường trú tại các quốc gia thứ ba326[G]Các giới hạn về quyền lợi327§10.05Tiền bản quyền327[A]Phạm vi của điều khoản về tiền bản quyền331[B]Nguồn của tiền bản quyền334[C]Chuyển nhượng quyền sở hữu trí tuệ335</w:t>
      </w:r>
    </w:p>
    <w:p>
      <w:pPr>
        <w:spacing w:after="80"/>
      </w:pPr>
      <w:r>
        <w:rPr>
          <w:b w:val="0"/>
          <w:i w:val="0"/>
        </w:rPr>
        <w:t>xiv</w:t>
      </w:r>
    </w:p>
    <w:p>
      <w:pPr>
        <w:spacing w:after="80"/>
      </w:pPr>
      <w:r>
        <w:rPr>
          <w:b w:val="0"/>
          <w:i w:val="0"/>
        </w:rPr>
        <w:t>[D]Tiền bản quyền được coi là có liên quan hiệu quả với cơ sở thường trú336[E]Cơ sở thường trú tại các quốc gia thứ ba336[F]Quan hệ đặc biệt337[G]Chống tránh thuế: Quan hệ đặc biệt338[H]Nghĩa vụ chứng minh339[I]Điều chỉnh giá chuyển nhượng339[J]Hạn chế quyền lợi339</w:t>
      </w:r>
    </w:p>
    <w:p>
      <w:pPr>
        <w:spacing w:after="80"/>
      </w:pPr>
      <w:r>
        <w:rPr>
          <w:b w:val="0"/>
          <w:i w:val="0"/>
        </w:rPr>
        <w:t>CHƯƠNG 11Việc làm và Lương hưu341§11.01Giới thiệu341§11.02Thu nhập từ việc làm341§11.03Việc làm346§11.04Việc làm so với Tự kinh doanh346§11.05Thu nhập từ việc làm và các bên trung gian347§11.06Nơi thực hiện công việc348§11.07Thời điểm ghi nhận thu nhập và thực hiện nhiệm vụ349§11.08Nhân viên lưu trú ngắn hạn349§11.09Chứng khoán liên quan đến việc làm352§11.10Thuyền viên và phi hành đoàn354§11.11Giám đốc công ty355§11.12Giảng viên356[A]Cơ sở giáo dục357[B]Giới hạn hai năm357§11.13Nhà ngoại giao và viên chức lãnh sự358[A]Nhà ngoại giao359[B]Viên chức lãnh sự360§11.14Dịch vụ chính phủ361§11.15Lương hưu363[A]Thanh toán một lần365[B]Lương hưu an sinh xã hội366[C]Khoản đền bù cho việc làm trong quá khứ367[D]Nguồn gốc lương hưu369§11.16Đóng góp vào các chương trình lương hưu369§11.17Lương hưu chính phủ373</w:t>
      </w:r>
    </w:p>
    <w:p>
      <w:pPr>
        <w:spacing w:after="80"/>
      </w:pPr>
      <w:r>
        <w:rPr>
          <w:b w:val="0"/>
          <w:i w:val="0"/>
        </w:rPr>
        <w:t>CHƯƠNG 12Lợi nhuận vốn375§12.01Giới thiệu375§12.02Đối tượng chịu thuế377§12.03Lợi nhuận của các công ty không cư trú377§12.04Lợi nhuận từ các quỹ tín thác không cư trú378§12.05Động sản379[A]Tài sản vốn của cơ sở thường trú379</w:t>
      </w:r>
    </w:p>
    <w:p>
      <w:pPr>
        <w:spacing w:after="80"/>
      </w:pPr>
      <w:r>
        <w:rPr>
          <w:b w:val="0"/>
          <w:i w:val="0"/>
        </w:rPr>
        <w:t>xv</w:t>
      </w:r>
    </w:p>
    <w:p>
      <w:pPr>
        <w:spacing w:after="80"/>
      </w:pPr>
      <w:r>
        <w:rPr>
          <w:b w:val="0"/>
          <w:i w:val="0"/>
        </w:rPr>
        <w:t>[B]Quyền sáng chế của Vương quốc Anh381§12.06Bất động sản381[A]Lợi nhuận phát triển liên quan đến đất đai382§12.07Cổ phần và các quyền tương tự383[A]Cổ phần thăm dò hoặc khai thác384§12.08Chuyển nhượng tàu biển và máy bay385§12.09Thuế khi rời khỏi quốc gia385§12.10Thuế rời khỏi quốc gia ở nước ngoài386§12.11Lợi nhuận của những người từng cư trú387</w:t>
      </w:r>
    </w:p>
    <w:p>
      <w:pPr>
        <w:spacing w:after="80"/>
      </w:pPr>
      <w:r>
        <w:rPr>
          <w:b w:val="0"/>
          <w:i w:val="0"/>
        </w:rPr>
        <w:t>CHƯƠNG 13Thu nhập khác và các trường hợp hỗn hợp389§13.01Thu nhập khác389§13.02Thu nhập từ quỹ tín thác và di sản391§13.03Tiền cấp dưỡng và thanh toán bảo trì392§13.04Hoạt động thăm dò và khai thác ngoài khơi392§13.05Đường hầm Channel394§13.06Người nộp thuế theo phương pháp chuyển tiền394§13.07Sinh viên397</w:t>
      </w:r>
    </w:p>
    <w:p>
      <w:pPr>
        <w:spacing w:after="80"/>
      </w:pPr>
      <w:r>
        <w:rPr>
          <w:b w:val="0"/>
          <w:i w:val="0"/>
        </w:rPr>
        <w:t>CHƯƠNG 14Hiệp định thuế và các Chỉ thị thuế của châu Âu399§14.01Giới thiệu399§14.02Các văn bản lập pháp400§14.03Hiệu lực trực tiếp401§14.04Thuế theo quy định: Nhóm lợi ích kinh tế châu Âu402§14.05Các chỉ thị và hiệp định thuế402§14.06Chỉ thị về công ty mẹ - công ty con403[A]Điều kiện áp dụng404[B]Cơ sở thường trú406[C]Các thực thể minh bạch407[D]Thực thi407[1]Phân phối vào trong408[2]Phân phối ra ngoài408[E]Tương tác với các hiệp định409[F]Loại bỏ đánh thuế hai lần410§14.07Chỉ thị về lãi và tiền bản quyền411[A]Quyền sở hữu thực sự411[B]Điều kiện áp dụng413[C]Cơ sở thường trú413[D]Lãi413[E]Tiền bản quyền414[F]Các vấn đề thủ tục415§14.08Chỉ thị về sáp nhập415[A]Các thực thể đủ điều kiện416</w:t>
      </w:r>
    </w:p>
    <w:p>
      <w:pPr>
        <w:spacing w:after="80"/>
      </w:pPr>
      <w:r>
        <w:rPr>
          <w:b w:val="0"/>
          <w:i w:val="0"/>
        </w:rPr>
        <w:t>xvi</w:t>
      </w:r>
    </w:p>
    <w:p>
      <w:pPr>
        <w:spacing w:after="80"/>
      </w:pPr>
      <w:r>
        <w:rPr>
          <w:b w:val="0"/>
          <w:i w:val="0"/>
        </w:rPr>
        <w:t>[B]Các giao dịch đủ điều kiện416§14.09Chỉ thị về sáp nhập: Hệ quả thuế417[A]Lợi nhuận chưa thực hiện417[B]Lỗ418[C]Cách xử lý đối với cổ đông418[D]Thanh toán bằng tiền mặt418[E]Cơ sở thường trú419§14.10Lạm dụng chỉ thị và tránh thuế419[A]Các cách tiếp cận tư pháp424§14.11Các doanh nghiệp liên kết427§14.12Trao đổi thông tin và thu hồi thuế427§14.13Chỉ thị chống tránh thuế428[A]Quy tắc chống lạm dụng chung428[B]Quy tắc giới hạn lãi430[C]Thuế khi rời khỏi quốc gia430[D]Các công ty nước ngoài được kiểm soát432[E]Sự không khớp của các thực thể lai433</w:t>
      </w:r>
    </w:p>
    <w:p>
      <w:pPr>
        <w:spacing w:after="80"/>
      </w:pPr>
      <w:r>
        <w:rPr>
          <w:b w:val="0"/>
          <w:i w:val="0"/>
        </w:rPr>
        <w:t>CHƯƠNG 15Loại bỏ đánh thuế hai lần435§15.01Giới thiệu435§15.02Khấu trừ thuế nước ngoài436§15.03Giảm trừ theo hiệp định so với giảm trừ đơn phương439§15.04Cùng thu nhập, khác người nộp thuế440§15.05Khớp thu nhập và thuế nước ngoài với nghĩa vụ thuế tại Vương quốc Anh442§15.06Quy tắc xác định nguồn443§15.07Cư trú444§15.08Thuế nước ngoài phải nộp445§15.09Hạn chế của hiệp định đối với khấu trừ446§15.10Các trường hợp vòng tròn447§15.11Khấu trừ thuế cơ sở449§15.12Miễn thuế có điều kiện450§15.13Miễn thuế đối với thu nhập nước ngoài451</w:t>
      </w:r>
    </w:p>
    <w:p>
      <w:pPr>
        <w:spacing w:after="80"/>
      </w:pPr>
      <w:r>
        <w:rPr>
          <w:b w:val="0"/>
          <w:i w:val="0"/>
        </w:rPr>
        <w:t>CHƯƠNG 16Không phân biệt đối xử453§16.01Giới thiệu453§16.02Không phân biệt đối xử theo hiệp định thuế454§16.03Không phân biệt đối xử theo hiệp định thuế và luật EU455§16.04Phân biệt đối xử với người nước ngoài và người không quốc tịch456§16.05Phân biệt đối xử với cơ sở thường trú460§16.06Phân biệt đối xử dựa trên nơi cư trú của người nhận thanh toán463§16.07Phân biệt đối xử dựa trên quyền sở hữu doanh nghiệp464§16.08Các loại thuế được áp dụng469§16.09Cho phép phân biệt đối xử469</w:t>
      </w:r>
    </w:p>
    <w:p>
      <w:pPr>
        <w:spacing w:after="80"/>
      </w:pPr>
      <w:r>
        <w:rPr>
          <w:b w:val="0"/>
          <w:i w:val="0"/>
        </w:rPr>
        <w:t>xvii</w:t>
      </w:r>
    </w:p>
    <w:p>
      <w:pPr>
        <w:spacing w:after="80"/>
      </w:pPr>
      <w:r>
        <w:rPr>
          <w:b w:val="0"/>
          <w:i w:val="0"/>
        </w:rPr>
        <w:t>§16.10Dẫn chiếu đến không phân biệt đối xử theo hiệp định trong luật trong nước470§16.11Đối xử tối huệ quốc471</w:t>
      </w:r>
    </w:p>
    <w:p>
      <w:pPr>
        <w:spacing w:after="80"/>
      </w:pPr>
      <w:r>
        <w:rPr>
          <w:b w:val="0"/>
          <w:i w:val="0"/>
        </w:rPr>
        <w:t>CHƯƠNG 17Mua bán hiệp định và các hành vi tránh thuế khác475§17.01Giới thiệu475§17.02Tránh thuế là gì?476§17.03Tương tác giữa hiệp định và các quy tắc chống tránh thuế trong nước479§17.04Mua bán hiệp định482§17.05Các sửa đổi đối với Bình luận của OECD năm 2003 và 2017484§17.06Các biện pháp chống lạm dụng dựa trên hiệp định486§17.07Quyền sở hữu thực sự486[A]Vụ án Indofood488[B]Các vụ án hiệp định khác491[C]Luật trong nước của Vương quốc Anh495§17.08Các biện pháp đối phó cụ thể khác499§17.09Cách tiếp cận chịu thuế500§17.10Loại trừ các thực thể được ưu đãi thuế501[A]Công thức Caribbean502[B]Công thức Síp502[C]Công thức Quần đảo Channel502[D]Công thức CIS503§17.11Cách tiếp cận kênh504§17.12Các điều khoản thiện chí505§17.13Các điều khoản về mục đích510§17.14Quy tắc xuyên qua516§17.15Hạn chế quyền lợi theo hiệp định của Hoa Kỳ518§17.16Các cách tiếp cận khác519§17.17Các phương pháp thủ tục520§17.18Các cách tiếp cận tư pháp521[A]Commerzbank521[B]Padmore521[C]European Vinyl523[D]Indofood525</w:t>
      </w:r>
    </w:p>
    <w:p>
      <w:pPr>
        <w:spacing w:after="80"/>
      </w:pPr>
      <w:r>
        <w:rPr>
          <w:b w:val="0"/>
          <w:i w:val="0"/>
        </w:rPr>
        <w:t>CHƯƠNG 18Công ước đa phương để thực hiện các biện pháp liên quan đến hiệp định thuế nhằm ngăn chặn xói mòn cơ sở thuế và chuyển dịch lợi nhuận529§18.01Giới thiệu529§18.02Ngăn chặn lạm dụng hiệp định: Tiêu chuẩn tối thiểu531[A]Lời nói đầu531[B]Quy tắc chống lạm dụng chung532[C]LOB đơn giản hóa534§18.03Các điều khoản ảnh hưởng đến tình trạng pháp lý535[A]Các thực thể minh bạch535</w:t>
      </w:r>
    </w:p>
    <w:p>
      <w:pPr>
        <w:spacing w:after="80"/>
      </w:pPr>
      <w:r>
        <w:rPr>
          <w:b w:val="0"/>
          <w:i w:val="0"/>
        </w:rPr>
        <w:t>xviii</w:t>
      </w:r>
    </w:p>
    <w:p>
      <w:pPr>
        <w:spacing w:after="80"/>
      </w:pPr>
      <w:r>
        <w:rPr>
          <w:b w:val="0"/>
          <w:i w:val="0"/>
        </w:rPr>
        <w:t>[B]Điều khoản bảo lưu535§18.04Các quy định ảnh hưởng đến cư trú theo hiệp định537§18.05Các quy định ảnh hưởng đến ý nghĩa của cơ sở thường trú537[A]Cơ sở thường trú do đại lý538[B]Người có quan hệ mật thiết với doanh nghiệp539[C]Công trường xây dựng, dự án xây dựng hoặc lắp đặt540[D]Loại trừ các hoạt động chuẩn bị hoặc hỗ trợ541§18.06Các quy định ảnh hưởng đến quy tắc phân chia543[A]Các doanh nghiệp liên kết: Điều chỉnh tương ứng543[B]Giao dịch chuyển nhượng cổ tức544[C]Lợi nhuận vốn từ việc chuyển nhượng cổ phần hoặc lợi ích của các thực thể có giá trị chủ yếu phát sinh từ bất động sản544[D]Các trường hợp tam giác: Cơ sở thường trú nằm ở quốc gia thứ ba545§18.07Các quy định ảnh hưởng đến việc loại trừ đánh thuế hai lần546[A]Loại trừ đánh thuế hai lần và sự không khớp hybrid546[B]Loại trừ đánh thuế hai lần và các thực thể minh bạch547§18.08Giải quyết tranh chấp hiệu quả: Tiêu chuẩn tối thiểu548§18.09Trọng tài549[A]Trọng tài ràng buộc bắt buộc549[B]Thủ tục trọng tài551[C]Trọng tài viên551[D]Bảo mật552[E]Quá trình trọng tài553[F]Trọng tài đề nghị cuối cùng tốt nhất553[G]Trọng tài ý kiến có lý lẽ554[H]Giải quyết trong quá trình trọng tài555[I]Quyết định trọng tài555[J]Chi phí556[K]Lập trường của Vương quốc Anh và Ireland về trọng tài556§18.10Giải thích557[A]Tài liệu giải thích559§18.11Hiệu lực và hiệu quả560[A]Hiệu lực: MAP561[B]Hiệu lực: Trọng tài561</w:t>
      </w:r>
    </w:p>
    <w:p>
      <w:pPr>
        <w:spacing w:after="80"/>
      </w:pPr>
      <w:r>
        <w:rPr>
          <w:b w:val="0"/>
          <w:i w:val="0"/>
        </w:rPr>
        <w:t>CHƯƠNG 19Quản lý hiệp định563§19.01Giới thiệu563§19.02Thủ tục dựa trên hiệp định563§19.03Tự khai báo và khấu trừ tại nguồn565[A]Khấu trừ tại nguồn565§19.04Yêu cầu hoặc tự khai báo quyền lợi theo hiệp định565§19.05Yêu cầu567[A]Giới hạn thời gian568</w:t>
      </w:r>
    </w:p>
    <w:p>
      <w:pPr>
        <w:spacing w:after="80"/>
      </w:pPr>
      <w:r>
        <w:rPr>
          <w:b w:val="0"/>
          <w:i w:val="0"/>
        </w:rPr>
        <w:t>xix</w:t>
      </w:r>
    </w:p>
    <w:p>
      <w:pPr>
        <w:spacing w:after="80"/>
      </w:pPr>
      <w:r>
        <w:rPr>
          <w:b w:val="0"/>
          <w:i w:val="0"/>
        </w:rPr>
        <w:t>[B]Tài liệu568§19.06Khấu trừ tại nguồn570§19.07Thông báo thanh toán theo thuế suất hiệp định571§19.08Biểu mẫu572§19.09Quyền sở hữu thực sự572§19.10Thủ tục573§19.11Cổ tức574§19.12Lãi và tiền bản quyền574[A]Tiền bản quyền574[B]Lãi575[C]Chỉ thị EU về lãi và tiền bản quyền576§19.13Lợi nhuận kinh doanh577§19.14Lợi nhuận vốn578§19.15Thu nhập từ việc làm và lương hưu578§19.16Nghệ sĩ biểu diễn và vận động viên579§19.17Cư trú: Cá nhân579[A]Các điều kiện khác đối với cá nhân580§19.18Cư trú: Công ty580§19.19Giảm thiểu thuế nước ngoài581§19.20Quản lý hiệp định583</w:t>
      </w:r>
    </w:p>
    <w:p>
      <w:pPr>
        <w:spacing w:after="80"/>
      </w:pPr>
      <w:r>
        <w:rPr>
          <w:b w:val="0"/>
          <w:i w:val="0"/>
        </w:rPr>
        <w:t>CHƯƠNG 20Tranh chấp và thủ tục thỏa thuận song phương585§20.01Tranh chấp thực chất585§20.02Xem xét tư pháp587§20.03Khiếu nại591§20.04Thủ tục thỏa thuận song phương592§20.05MAP: Đánh thuế không phù hợp với hiệp định593§20.06MAP: Giới hạn thời gian594§20.07MAP: Thủ tục596§20.08MAP: Kháng cáo so với MAP598§20.09MAP: Các phương pháp giảm thuế600§20.10MAP: Giải thích hoặc áp dụng hiệp định601§20.11MAP: Loại trừ đánh thuế hai lần không được quy định602§20.12MAP: Trao đổi giữa các cơ quan có thẩm quyền603§20.13MAP: Trọng tài603§20.14MAP và giải quyết tranh chấp GATS606</w:t>
      </w:r>
    </w:p>
    <w:p>
      <w:pPr>
        <w:spacing w:after="80"/>
      </w:pPr>
      <w:r>
        <w:rPr>
          <w:b w:val="0"/>
          <w:i w:val="0"/>
        </w:rPr>
        <w:t>CHƯƠNG 21Chỉ thị EU về giải quyết tranh chấp và Công ước trọng tài609§21.01Giới thiệu609§21.02Chỉ thị về giải quyết tranh chấp đánh thuế hai lần611[A]Đối tượng và phạm vi611[B]Thủ tục thỏa thuận song phương612[C]Gửi khiếu nại612</w:t>
      </w:r>
    </w:p>
    <w:p>
      <w:pPr>
        <w:spacing w:after="80"/>
      </w:pPr>
      <w:r>
        <w:rPr>
          <w:b w:val="0"/>
          <w:i w:val="0"/>
        </w:rPr>
        <w:t>xx</w:t>
      </w:r>
    </w:p>
    <w:p>
      <w:pPr>
        <w:spacing w:after="80"/>
      </w:pPr>
      <w:r>
        <w:rPr>
          <w:b w:val="0"/>
          <w:i w:val="0"/>
        </w:rPr>
        <w:t>[D]Giải quyết bằng thỏa thuận song phương614[E]Trọng tài bắt buộc hoặc phương thức giải quyết tranh chấp thay thế khác615[F]Từ chối tiếp cận trọng tài615[G]Ủy ban tư vấn615[H]Thủ tục trọng tài616[1]Quy tắc thủ tục616[2]Bảo mật617[3]Chi phí617[I]Ủy ban giải quyết tranh chấp thay thế617[J]Quyết định trọng tài và giải quyết tranh chấp thay thế618[1]Tính minh bạch618[2]Tương tác với các thủ tục khác619[3]Giải thích chỉ thị619[K]Quản lý và hỗ trợ620§21.03Công ước trọng tài620§21.04Công ước trọng tài: Các loại thuế được áp dụng621§21.05Công ước trọng tài: Tiêu chuẩn giao dịch độc lập622§21.06Công ước trọng tài: Tham gia vào quản lý, kiểm soát hoặc vốn623§21.07Công ước trọng tài: Loại trừ đánh thuế hai lần623§21.08Công ước trọng tài: Giới hạn thời gian623§21.09Công ước trọng tài: Thủ tục điều chỉnh624[A]Giải quyết ban đầu624[B]MAP625[C]Trọng tài626[D]Ủy ban tư vấn627[1]Thông tin627[2]Chi phí628[3]Ý kiến của Ủy ban tư vấn628§21.10Công ước trọng tài: Lựa chọn diễn đàn629§21.11Công ước trọng tài: Thủ tục xử phạt630§21.12Kết luận631</w:t>
      </w:r>
    </w:p>
    <w:p>
      <w:pPr>
        <w:spacing w:after="80"/>
      </w:pPr>
      <w:r>
        <w:rPr>
          <w:b w:val="0"/>
          <w:i w:val="0"/>
        </w:rPr>
        <w:t>CHƯƠNG 22Hợp tác hành chính quốc tế633§22.01Giới thiệu633§22.02Quy tắc doanh thu635§22.03Các vấn đề doanh thu là gì?637§22.04Quy tắc chống thi hành phán quyết doanh thu nước ngoài có trái với Hiệp ước EU không?638§22.05Thẩm quyền hợp tác hành chính640§22.06Trao đổi thông tin: Nghĩa vụ bảo mật641§22.07Trao đổi thông tin: Thẩm quyền trao đổi thông tin642§22.08Trao đổi thông tin: Ireland – Thẩm quyền trao đổi thông tin643</w:t>
      </w:r>
    </w:p>
    <w:p>
      <w:pPr>
        <w:spacing w:after="80"/>
      </w:pPr>
      <w:r>
        <w:rPr>
          <w:b w:val="0"/>
          <w:i w:val="0"/>
        </w:rPr>
        <w:t>xxi</w:t>
      </w:r>
    </w:p>
    <w:p>
      <w:pPr>
        <w:spacing w:after="80"/>
      </w:pPr>
      <w:r>
        <w:rPr>
          <w:b w:val="0"/>
          <w:i w:val="0"/>
        </w:rPr>
        <w:t>§22.09Trao đổi thông tin: Nguồn thông tin643§22.10Trao đổi thông tin: Thủ tục trong nước645§22.11Trao đổi thông tin: Triển khai CRS646§22.12Trao đổi thông tin: Triển khai báo cáo theo quốc gia647§22.13Trao đổi thông tin: Các quy định của hiệp định đánh thuế hai lần648[A]Sử dụng thông tin được trao đổi652[B]Các quy định khác của hiệp định đánh thuế hai lần liên quan đến trao đổi thông tin653§22.14Thỏa thuận trao đổi thông tin thuế654§22.15Thỏa thuận với các Lãnh thổ phụ thuộc Vương miện và Lãnh thổ hải ngoại để cải thiện tuân thủ thuế quốc tế655§22.16Công ước về hỗ trợ hành chính tương hỗ trong các vấn đề thuế656[A]Trao đổi thông tin658[B]Kiểm tra thuế ở nước ngoài658[C]Thu hồi các khoản nợ thuế658[D]Giới hạn nghĩa vụ hỗ trợ659[E]Không hồi tố660§22.17Thỏa thuận cơ quan có thẩm quyền đa phương về trao đổi tự động thông tin tài khoản tài chính660§22.18CRS của OECD660§22.19Thỏa thuận cơ quan có thẩm quyền đa phương về trao đổi báo cáo theo quốc gia661§22.20Trao đổi thông tin tự nguyện bắt buộc về các quy định thuế662§22.21Chỉ thị hỗ trợ tương hỗ EU663[A]Trao đổi theo yêu cầu664[B]Trao đổi tự động665[C]Trao đổi tự nguyện666[D]Trao đổi thông tin với các quốc gia thứ ba667[E]Các hình thức hợp tác hành chính khác668[F]Gửi thông báo668[G]Giới hạn hợp tác669[H]Bảo mật và bảo vệ dữ liệu669[I]Sử dụng thông tin670[J]Quyền của người nộp thuế671[K]Quyền được biện pháp khắc phục hiệu quả672[L]Tương tác với các hiệp định thuế673[M]Triển khai tại Ireland674§22.22Trao đổi tự động thông tin tài chính EU674§22.23Trao đổi tự động các quy định thuế xuyên biên giới EU675§22.24Trao đổi tự động báo cáo theo quốc gia EU676§22.25Quyền truy cập của cơ quan thuế EU vào thông tin về quyền sở hữu thực sự trong phòng chống rửa tiền676§22.26Quy tắc công bố bắt buộc của EU đối với trung gian và trao đổi tự động về kế hoạch thuế xuyên biên giới677</w:t>
      </w:r>
    </w:p>
    <w:p>
      <w:pPr>
        <w:spacing w:after="80"/>
      </w:pPr>
      <w:r>
        <w:rPr>
          <w:b w:val="0"/>
          <w:i w:val="0"/>
        </w:rPr>
        <w:t>xxii</w:t>
      </w:r>
    </w:p>
    <w:p>
      <w:pPr>
        <w:spacing w:after="80"/>
      </w:pPr>
      <w:r>
        <w:rPr>
          <w:b w:val="0"/>
          <w:i w:val="0"/>
        </w:rPr>
        <w:t>§22.27Các hiệp định trao đổi thông tin tự động của EU678§22.28Thỏa thuận Hoa Kỳ-Vương quốc Anh để cải thiện tuân thủ thuế quốc tế và thực hiện FATCA678[A]Trao đổi thông tin679[B]Hậu quả đối với các tổ chức tài chính Vương quốc Anh679[C]Kế hoạch hưu trí và sản phẩm rủi ro thấp680§22.29Hỗ trợ thu hồi thuế: Thẩm quyền cung cấp hỗ trợ681§22.30Hỗ trợ thu hồi thuế theo hiệp định thuế song phương681§22.31Hỗ trợ tương hỗ EU trong thu hồi thuế684[A]Phạm vi685[B]Trao đổi thông tin và thông báo tài liệu685[C]Thu hồi hoặc biện pháp phòng ngừa685[D]Chi phí687[E]Giới hạn thời gian687§22.32Hiệp định thương mại và hợp tác EU-Vương quốc Anh688</w:t>
      </w:r>
    </w:p>
    <w:p>
      <w:pPr>
        <w:spacing w:after="80"/>
      </w:pPr>
      <w:r>
        <w:rPr>
          <w:b w:val="0"/>
          <w:i w:val="0"/>
        </w:rPr>
        <w:t>Bảng án lệ689</w:t>
      </w:r>
    </w:p>
    <w:p>
      <w:pPr>
        <w:spacing w:after="80"/>
      </w:pPr>
      <w:r>
        <w:rPr>
          <w:b w:val="0"/>
          <w:i w:val="0"/>
        </w:rPr>
        <w:t>Bảng pháp luật715</w:t>
      </w:r>
    </w:p>
    <w:p>
      <w:pPr>
        <w:spacing w:after="80"/>
      </w:pPr>
      <w:r>
        <w:rPr>
          <w:b w:val="0"/>
          <w:i w:val="0"/>
        </w:rPr>
        <w:t>Bảng các Hiệp định song phương và Hiệp định mẫu729</w:t>
      </w:r>
    </w:p>
    <w:p>
      <w:pPr>
        <w:spacing w:after="80"/>
      </w:pPr>
      <w:r>
        <w:rPr>
          <w:b w:val="0"/>
          <w:i w:val="0"/>
        </w:rPr>
        <w:t>Các Hiệp định và Công ước khác741</w:t>
      </w:r>
    </w:p>
    <w:p>
      <w:pPr>
        <w:spacing w:after="80"/>
      </w:pPr>
      <w:r>
        <w:rPr>
          <w:b w:val="0"/>
          <w:i w:val="0"/>
        </w:rPr>
        <w:t>Chỉ mục747</w:t>
      </w:r>
    </w:p>
    <w:p>
      <w:pPr>
        <w:spacing w:after="80"/>
      </w:pPr>
      <w:r>
        <w:rPr>
          <w:b w:val="0"/>
          <w:i w:val="0"/>
        </w:rPr>
        <w:t>xxiii</w:t>
      </w:r>
    </w:p>
    <w:p>
      <w:pPr>
        <w:spacing w:before="240" w:after="80"/>
      </w:pPr>
      <w:r>
        <w:rPr>
          <w:b/>
          <w:sz w:val="32"/>
        </w:rPr>
        <w:t>Danh sách các từ viết tắt chính</w:t>
      </w:r>
    </w:p>
    <w:p>
      <w:pPr>
        <w:spacing w:after="80"/>
      </w:pPr>
      <w:r>
        <w:rPr>
          <w:b w:val="0"/>
          <w:i w:val="0"/>
        </w:rPr>
        <w:t>ACTThuế Tập đoàn Tạm ứng (Advance Corporation Tax)</w:t>
      </w:r>
    </w:p>
    <w:p>
      <w:pPr>
        <w:spacing w:after="80"/>
      </w:pPr>
      <w:r>
        <w:rPr>
          <w:b w:val="0"/>
          <w:i w:val="0"/>
        </w:rPr>
        <w:t>ADRGửi tiền lưu ký của Mỹ (American Depositary Receipts)</w:t>
      </w:r>
    </w:p>
    <w:p>
      <w:pPr>
        <w:spacing w:after="80"/>
      </w:pPr>
      <w:r>
        <w:rPr>
          <w:b w:val="0"/>
          <w:i w:val="0"/>
        </w:rPr>
        <w:t>AFMPHiệp định về Tự do Di chuyển của Người (Agreement on the Free Movement of Persons)</w:t>
      </w:r>
    </w:p>
    <w:p>
      <w:pPr>
        <w:spacing w:after="80"/>
      </w:pPr>
      <w:r>
        <w:rPr>
          <w:b w:val="0"/>
          <w:i w:val="0"/>
        </w:rPr>
        <w:t>APADàn xếp Định giá Trước (Advance Pricing Arrangement)</w:t>
      </w:r>
    </w:p>
    <w:p>
      <w:pPr>
        <w:spacing w:after="80"/>
      </w:pPr>
      <w:r>
        <w:rPr>
          <w:b w:val="0"/>
          <w:i w:val="0"/>
        </w:rPr>
        <w:t>ATADChỉ thị Chống Tránh thuế (Anti-Tax Avoidance Directive)</w:t>
      </w:r>
    </w:p>
    <w:p>
      <w:pPr>
        <w:spacing w:after="80"/>
      </w:pPr>
      <w:r>
        <w:rPr>
          <w:b w:val="0"/>
          <w:i w:val="0"/>
        </w:rPr>
        <w:t>BEPSXói mòn Cơ sở và Chuyển dịch Lợi nhuận (Base Erosion and Profit Shifting)</w:t>
      </w:r>
    </w:p>
    <w:p>
      <w:pPr>
        <w:spacing w:after="80"/>
      </w:pPr>
      <w:r>
        <w:rPr>
          <w:b w:val="0"/>
          <w:i w:val="0"/>
        </w:rPr>
        <w:t>BVICác Đảo Virgin thuộc Anh (British Virgin Islands)</w:t>
      </w:r>
    </w:p>
    <w:p>
      <w:pPr>
        <w:spacing w:after="80"/>
      </w:pPr>
      <w:r>
        <w:rPr>
          <w:b w:val="0"/>
          <w:i w:val="0"/>
        </w:rPr>
        <w:t>CAA 2001Đạo luật Trợ cấp Vốn 2001 (Capital Allowances Act 2001)</w:t>
      </w:r>
    </w:p>
    <w:p>
      <w:pPr>
        <w:spacing w:after="80"/>
      </w:pPr>
      <w:r>
        <w:rPr>
          <w:b w:val="0"/>
          <w:i w:val="0"/>
        </w:rPr>
        <w:t>CbCRBáo cáo theo Quốc gia (Country-by-Country Reporting)</w:t>
      </w:r>
    </w:p>
    <w:p>
      <w:pPr>
        <w:spacing w:after="80"/>
      </w:pPr>
      <w:r>
        <w:rPr>
          <w:b w:val="0"/>
          <w:i w:val="0"/>
        </w:rPr>
        <w:t>CFAỦy ban Các vấn đề Tài khóa (Committee on Fiscal Affairs)</w:t>
      </w:r>
    </w:p>
    <w:p>
      <w:pPr>
        <w:spacing w:after="80"/>
      </w:pPr>
      <w:r>
        <w:rPr>
          <w:b w:val="0"/>
          <w:i w:val="0"/>
        </w:rPr>
        <w:t>CFCCông ty Nước ngoài bị Kiểm soát (Controlled Foreign Company)</w:t>
      </w:r>
    </w:p>
    <w:p>
      <w:pPr>
        <w:spacing w:after="80"/>
      </w:pPr>
      <w:r>
        <w:rPr>
          <w:b w:val="0"/>
          <w:i w:val="0"/>
        </w:rPr>
        <w:t>CJEUTòa án Công lý Liên minh châu Âu</w:t>
      </w:r>
    </w:p>
    <w:p>
      <w:pPr>
        <w:spacing w:after="80"/>
      </w:pPr>
      <w:r>
        <w:rPr>
          <w:b w:val="0"/>
          <w:i w:val="0"/>
        </w:rPr>
        <w:t>CMCQuản lý và Kiểm soát Trung tâm</w:t>
      </w:r>
    </w:p>
    <w:p>
      <w:pPr>
        <w:spacing w:after="80"/>
      </w:pPr>
      <w:r>
        <w:rPr>
          <w:b w:val="0"/>
          <w:i w:val="0"/>
        </w:rPr>
        <w:t>CRSTiêu chuẩn Báo cáo Chung</w:t>
      </w:r>
    </w:p>
    <w:p>
      <w:pPr>
        <w:spacing w:after="80"/>
      </w:pPr>
      <w:r>
        <w:rPr>
          <w:b w:val="0"/>
          <w:i w:val="0"/>
        </w:rPr>
        <w:t>CTA 2009Đạo luật Thuế Doanh nghiệp 2009</w:t>
      </w:r>
    </w:p>
    <w:p>
      <w:pPr>
        <w:spacing w:after="80"/>
      </w:pPr>
      <w:r>
        <w:rPr>
          <w:b w:val="0"/>
          <w:i w:val="0"/>
        </w:rPr>
        <w:t>CTA 2010Đạo luật Thuế Doanh nghiệp 2010</w:t>
      </w:r>
    </w:p>
    <w:p>
      <w:pPr>
        <w:spacing w:after="80"/>
      </w:pPr>
      <w:r>
        <w:rPr>
          <w:b w:val="0"/>
          <w:i w:val="0"/>
        </w:rPr>
        <w:t>ECCộng đồng châu Âu</w:t>
      </w:r>
    </w:p>
    <w:p>
      <w:pPr>
        <w:spacing w:after="80"/>
      </w:pPr>
      <w:r>
        <w:rPr>
          <w:b w:val="0"/>
          <w:i w:val="0"/>
        </w:rPr>
        <w:t>ECHRCông ước châu Âu về Nhân quyền</w:t>
      </w:r>
    </w:p>
    <w:p>
      <w:pPr>
        <w:spacing w:after="80"/>
      </w:pPr>
      <w:r>
        <w:rPr>
          <w:b w:val="0"/>
          <w:i w:val="0"/>
        </w:rPr>
        <w:t>ECJTòa án Công lý châu Âu</w:t>
      </w:r>
    </w:p>
    <w:p>
      <w:pPr>
        <w:spacing w:after="80"/>
      </w:pPr>
      <w:r>
        <w:rPr>
          <w:b w:val="0"/>
          <w:i w:val="0"/>
        </w:rPr>
        <w:t>EEAKhu vực Kinh tế châu Âu</w:t>
      </w:r>
    </w:p>
    <w:p>
      <w:pPr>
        <w:spacing w:after="80"/>
      </w:pPr>
      <w:r>
        <w:rPr>
          <w:b w:val="0"/>
          <w:i w:val="0"/>
        </w:rPr>
        <w:t>EECCộng đồng Kinh tế châu Âu</w:t>
      </w:r>
    </w:p>
    <w:p>
      <w:pPr>
        <w:spacing w:after="80"/>
      </w:pPr>
      <w:r>
        <w:rPr>
          <w:b w:val="0"/>
          <w:i w:val="0"/>
        </w:rPr>
        <w:t>EULiên minh châu Âu</w:t>
      </w:r>
    </w:p>
    <w:p>
      <w:pPr>
        <w:spacing w:after="80"/>
      </w:pPr>
      <w:r>
        <w:rPr>
          <w:b w:val="0"/>
          <w:i w:val="0"/>
        </w:rPr>
        <w:t>F(No. 2)A, theo sau là mộtnăm</w:t>
      </w:r>
    </w:p>
    <w:p>
      <w:pPr>
        <w:spacing w:after="80"/>
      </w:pPr>
      <w:r>
        <w:rPr>
          <w:b w:val="0"/>
          <w:i w:val="0"/>
        </w:rPr>
        <w:t>Đạo luật Tài chính (số 2) của năm đó</w:t>
      </w:r>
    </w:p>
    <w:p>
      <w:pPr>
        <w:spacing w:after="80"/>
      </w:pPr>
      <w:r>
        <w:rPr>
          <w:b w:val="0"/>
          <w:i w:val="0"/>
        </w:rPr>
        <w:t>FA, theo sau là một nămĐạo luật Tài chính của năm đó</w:t>
      </w:r>
    </w:p>
    <w:p>
      <w:pPr>
        <w:spacing w:after="80"/>
      </w:pPr>
      <w:r>
        <w:rPr>
          <w:b w:val="0"/>
          <w:i w:val="0"/>
        </w:rPr>
        <w:t>FATCAĐạo luật Tuân thủ Thuế đối với Tài khoản Nước ngoài</w:t>
      </w:r>
    </w:p>
    <w:p>
      <w:pPr>
        <w:spacing w:after="80"/>
      </w:pPr>
      <w:r>
        <w:rPr>
          <w:b w:val="0"/>
          <w:i w:val="0"/>
        </w:rPr>
        <w:t>xxv</w:t>
      </w:r>
    </w:p>
    <w:p>
      <w:pPr>
        <w:spacing w:after="80"/>
      </w:pPr>
      <w:r>
        <w:rPr>
          <w:b w:val="0"/>
          <w:i w:val="0"/>
        </w:rPr>
        <w:t>FCOVăn phòng Đối ngoại và Khối thịnh vượng chung</w:t>
      </w:r>
    </w:p>
    <w:p>
      <w:pPr>
        <w:spacing w:after="80"/>
      </w:pPr>
      <w:r>
        <w:rPr>
          <w:b w:val="0"/>
          <w:i w:val="0"/>
        </w:rPr>
        <w:t>FFITổ chức tài chính nước ngoài</w:t>
      </w:r>
    </w:p>
    <w:p>
      <w:pPr>
        <w:spacing w:after="80"/>
      </w:pPr>
      <w:r>
        <w:rPr>
          <w:b w:val="0"/>
          <w:i w:val="0"/>
        </w:rPr>
        <w:t>FHTPDiễn đàn về các thông lệ thuế có hại</w:t>
      </w:r>
    </w:p>
    <w:p>
      <w:pPr>
        <w:spacing w:after="80"/>
      </w:pPr>
      <w:r>
        <w:rPr>
          <w:b w:val="0"/>
          <w:i w:val="0"/>
        </w:rPr>
        <w:t>FTADiễn đàn về quản lý thuế</w:t>
      </w:r>
    </w:p>
    <w:p>
      <w:pPr>
        <w:spacing w:after="80"/>
      </w:pPr>
      <w:r>
        <w:rPr>
          <w:b w:val="0"/>
          <w:i w:val="0"/>
        </w:rPr>
        <w:t>FTTTòa án sơ thẩm</w:t>
      </w:r>
    </w:p>
    <w:p>
      <w:pPr>
        <w:spacing w:after="80"/>
      </w:pPr>
      <w:r>
        <w:rPr>
          <w:b w:val="0"/>
          <w:i w:val="0"/>
        </w:rPr>
        <w:t>GAARQuy tắc chống lạm dụng chung</w:t>
      </w:r>
    </w:p>
    <w:p>
      <w:pPr>
        <w:spacing w:after="80"/>
      </w:pPr>
      <w:r>
        <w:rPr>
          <w:b w:val="0"/>
          <w:i w:val="0"/>
        </w:rPr>
        <w:t>GAARQuy tắc chống lạm dụng chung</w:t>
      </w:r>
    </w:p>
    <w:p>
      <w:pPr>
        <w:spacing w:after="80"/>
      </w:pPr>
      <w:r>
        <w:rPr>
          <w:b w:val="0"/>
          <w:i w:val="0"/>
        </w:rPr>
        <w:t>GmbHCông ty trách nhiệm hữu hạn</w:t>
      </w:r>
    </w:p>
    <w:p>
      <w:pPr>
        <w:spacing w:after="80"/>
      </w:pPr>
      <w:r>
        <w:rPr>
          <w:b w:val="0"/>
          <w:i w:val="0"/>
        </w:rPr>
        <w:t>HMRCCơ quan Thuế và Hải quan của Nữ hoàng</w:t>
      </w:r>
    </w:p>
    <w:p>
      <w:pPr>
        <w:spacing w:after="80"/>
      </w:pPr>
      <w:r>
        <w:rPr>
          <w:b w:val="0"/>
          <w:i w:val="0"/>
        </w:rPr>
        <w:t>ICJTòa án Công lý Quốc tế</w:t>
      </w:r>
    </w:p>
    <w:p>
      <w:pPr>
        <w:spacing w:after="80"/>
      </w:pPr>
      <w:r>
        <w:rPr>
          <w:b w:val="0"/>
          <w:i w:val="0"/>
        </w:rPr>
        <w:t>ICTA 1988Đạo luật Thuế thu nhập và Thuế doanh nghiệp 1988</w:t>
      </w:r>
    </w:p>
    <w:p>
      <w:pPr>
        <w:spacing w:after="80"/>
      </w:pPr>
      <w:r>
        <w:rPr>
          <w:b w:val="0"/>
          <w:i w:val="0"/>
        </w:rPr>
        <w:t>IHTA 1984Đạo luật Thuế thừa kế 1984</w:t>
      </w:r>
    </w:p>
    <w:p>
      <w:pPr>
        <w:spacing w:after="80"/>
      </w:pPr>
      <w:r>
        <w:rPr>
          <w:b w:val="0"/>
          <w:i w:val="0"/>
        </w:rPr>
        <w:t>IRSCơ quan Thuế nội địa</w:t>
      </w:r>
    </w:p>
    <w:p>
      <w:pPr>
        <w:spacing w:after="80"/>
      </w:pPr>
      <w:r>
        <w:rPr>
          <w:b w:val="0"/>
          <w:i w:val="0"/>
        </w:rPr>
        <w:t>ITA 2007Đạo luật Thuế thu nhập 2007</w:t>
      </w:r>
    </w:p>
    <w:p>
      <w:pPr>
        <w:spacing w:after="80"/>
      </w:pPr>
      <w:r>
        <w:rPr>
          <w:b w:val="0"/>
          <w:i w:val="0"/>
        </w:rPr>
        <w:t>ITEPA 2003Đạo luật Thuế thu nhập (Thu nhập và Lương hưu) 2003</w:t>
      </w:r>
    </w:p>
    <w:p>
      <w:pPr>
        <w:spacing w:after="80"/>
      </w:pPr>
      <w:r>
        <w:rPr>
          <w:b w:val="0"/>
          <w:i w:val="0"/>
        </w:rPr>
        <w:t>ITTOIA 2005Đạo luật Thuế thu nhập (Kinh doanh và Thu nhập khác) 2005</w:t>
      </w:r>
    </w:p>
    <w:p>
      <w:pPr>
        <w:spacing w:after="80"/>
      </w:pPr>
      <w:r>
        <w:rPr>
          <w:b w:val="0"/>
          <w:i w:val="0"/>
        </w:rPr>
        <w:t>LLCCông ty trách nhiệm hữu hạn (Limited Liability Company)</w:t>
      </w:r>
    </w:p>
    <w:p>
      <w:pPr>
        <w:spacing w:after="80"/>
      </w:pPr>
      <w:r>
        <w:rPr>
          <w:b w:val="0"/>
          <w:i w:val="0"/>
        </w:rPr>
        <w:t>LLPCông ty hợp danh trách nhiệm hữu hạn (Limited Liability Partnership)</w:t>
      </w:r>
    </w:p>
    <w:p>
      <w:pPr>
        <w:spacing w:after="80"/>
      </w:pPr>
      <w:r>
        <w:rPr>
          <w:b w:val="0"/>
          <w:i w:val="0"/>
        </w:rPr>
        <w:t>LOBHạn chế quyền lợi (Limitation on Benefits)</w:t>
      </w:r>
    </w:p>
    <w:p>
      <w:pPr>
        <w:spacing w:after="80"/>
      </w:pPr>
      <w:r>
        <w:rPr>
          <w:b w:val="0"/>
          <w:i w:val="0"/>
        </w:rPr>
        <w:t>MAPThủ tục thỏa thuận song phương (Mutual Agreement Procedure)</w:t>
      </w:r>
    </w:p>
    <w:p>
      <w:pPr>
        <w:spacing w:after="80"/>
      </w:pPr>
      <w:r>
        <w:rPr>
          <w:b w:val="0"/>
          <w:i w:val="0"/>
        </w:rPr>
        <w:t>MCA AThỏa thuận song phương đa bên giữa các cơ quan có thẩm quyền về trao đổi tự động thông tin tài khoản tài chính (Multilateral Competent Authority Agreement on the Automatic Exchange of Financial Account Information)</w:t>
      </w:r>
    </w:p>
    <w:p>
      <w:pPr>
        <w:spacing w:after="80"/>
      </w:pPr>
      <w:r>
        <w:rPr>
          <w:b w:val="0"/>
          <w:i w:val="0"/>
        </w:rPr>
        <w:t>MLICông ước đa phương nhằm thực hiện các biện pháp liên quan đến hiệp định thuế để ngăn chặn xói mòn cơ sở tính thuế và chuyển lợi nhuận (Multilateral Convention to Implement Tax Treaty Related Measures to Prevent Base Erosion and Profit Shifting)</w:t>
      </w:r>
    </w:p>
    <w:p>
      <w:pPr>
        <w:spacing w:after="80"/>
      </w:pPr>
      <w:r>
        <w:rPr>
          <w:b w:val="0"/>
          <w:i w:val="0"/>
        </w:rPr>
        <w:t>MOUBiên bản ghi nhớ (Memorandum of Understanding)</w:t>
      </w:r>
    </w:p>
    <w:p>
      <w:pPr>
        <w:spacing w:after="80"/>
      </w:pPr>
      <w:r>
        <w:rPr>
          <w:b w:val="0"/>
          <w:i w:val="0"/>
        </w:rPr>
        <w:t>OECDTổ chức Hợp tác và Phát triển Kinh tế (Organisation for Economic Co-operation and Development)</w:t>
      </w:r>
    </w:p>
    <w:p>
      <w:pPr>
        <w:spacing w:after="80"/>
      </w:pPr>
      <w:r>
        <w:rPr>
          <w:b w:val="0"/>
          <w:i w:val="0"/>
        </w:rPr>
        <w:t>PECơ sở thường trú (Permanent Establishment)</w:t>
      </w:r>
    </w:p>
    <w:p>
      <w:pPr>
        <w:spacing w:after="80"/>
      </w:pPr>
      <w:r>
        <w:rPr>
          <w:b w:val="0"/>
          <w:i w:val="0"/>
        </w:rPr>
        <w:t>POEMNơi quản lý điều hành thực tế (Place of Effective Management)</w:t>
      </w:r>
    </w:p>
    <w:p>
      <w:pPr>
        <w:spacing w:after="80"/>
      </w:pPr>
      <w:r>
        <w:rPr>
          <w:b w:val="0"/>
          <w:i w:val="0"/>
        </w:rPr>
        <w:t>PPTKiểm tra mục đích chính (Principal Purpose Test)</w:t>
      </w:r>
    </w:p>
    <w:p>
      <w:pPr>
        <w:spacing w:after="80"/>
      </w:pPr>
      <w:r>
        <w:rPr>
          <w:b w:val="0"/>
          <w:i w:val="0"/>
        </w:rPr>
        <w:t>REITQuỹ tín thác đầu tư bất động sản (Real Estate Investment Trust)</w:t>
      </w:r>
    </w:p>
    <w:p>
      <w:pPr>
        <w:spacing w:after="80"/>
      </w:pPr>
      <w:r>
        <w:rPr>
          <w:b w:val="0"/>
          <w:i w:val="0"/>
        </w:rPr>
        <w:t>SARSCơ quan Thuế Nam Phi (South African Revenue Service)</w:t>
      </w:r>
    </w:p>
    <w:p>
      <w:pPr>
        <w:spacing w:after="80"/>
      </w:pPr>
      <w:r>
        <w:rPr>
          <w:b w:val="0"/>
          <w:i w:val="0"/>
        </w:rPr>
        <w:t>TCALuật Hợp nhất Thuế (Taxes Consolidation Act)</w:t>
      </w:r>
    </w:p>
    <w:p>
      <w:pPr>
        <w:spacing w:after="80"/>
      </w:pPr>
      <w:r>
        <w:rPr>
          <w:b w:val="0"/>
          <w:i w:val="0"/>
        </w:rPr>
        <w:t>TCEA 2007Luật Tòa án, Tòa xét xử và Thi hành án 2007 (Tribunals, Courts and Enforcement Act 2007)</w:t>
      </w:r>
    </w:p>
    <w:p>
      <w:pPr>
        <w:spacing w:after="80"/>
      </w:pPr>
      <w:r>
        <w:rPr>
          <w:b w:val="0"/>
          <w:i w:val="0"/>
        </w:rPr>
        <w:t>TCGA 1992Luật Thuế đối với Lợi nhuận chịu thuế 1992 (Taxation of Chargeable Gains Act 1992)</w:t>
      </w:r>
    </w:p>
    <w:p>
      <w:pPr>
        <w:spacing w:after="80"/>
      </w:pPr>
      <w:r>
        <w:rPr>
          <w:b w:val="0"/>
          <w:i w:val="0"/>
        </w:rPr>
        <w:t>Hiệp ước về Liên minh châu Âu</w:t>
      </w:r>
    </w:p>
    <w:p>
      <w:pPr>
        <w:spacing w:after="80"/>
      </w:pPr>
      <w:r>
        <w:rPr>
          <w:b w:val="0"/>
          <w:i w:val="0"/>
        </w:rPr>
        <w:t>Hiệp ước về Chức năng của Liên minh châu Âu</w:t>
      </w:r>
    </w:p>
    <w:p>
      <w:pPr>
        <w:spacing w:after="80"/>
      </w:pPr>
      <w:r>
        <w:rPr>
          <w:b w:val="0"/>
          <w:i w:val="0"/>
        </w:rPr>
        <w:t>Hiệp định Trao đổi Thông tin Thuế</w:t>
      </w:r>
    </w:p>
    <w:p>
      <w:pPr>
        <w:spacing w:after="80"/>
      </w:pPr>
      <w:r>
        <w:rPr>
          <w:b w:val="0"/>
          <w:i w:val="0"/>
        </w:rPr>
        <w:t>Luật Thuế (Các quy định Quốc tế và Khác) 2010</w:t>
      </w:r>
    </w:p>
    <w:p>
      <w:pPr>
        <w:spacing w:after="80"/>
      </w:pPr>
      <w:r>
        <w:rPr>
          <w:b w:val="0"/>
          <w:i w:val="0"/>
        </w:rPr>
        <w:t>Luật Quản lý Thuế 1970</w:t>
      </w:r>
    </w:p>
    <w:p>
      <w:pPr>
        <w:spacing w:after="80"/>
      </w:pPr>
      <w:r>
        <w:rPr>
          <w:b w:val="0"/>
          <w:i w:val="0"/>
        </w:rPr>
        <w:t>Vương quốc Anh</w:t>
      </w:r>
    </w:p>
    <w:p>
      <w:pPr>
        <w:spacing w:after="80"/>
      </w:pPr>
      <w:r>
        <w:rPr>
          <w:b w:val="0"/>
          <w:i w:val="0"/>
        </w:rPr>
        <w:t>Liên hợp quốc</w:t>
      </w:r>
    </w:p>
    <w:p>
      <w:pPr>
        <w:spacing w:after="80"/>
      </w:pPr>
      <w:r>
        <w:rPr>
          <w:b w:val="0"/>
          <w:i w:val="0"/>
        </w:rPr>
        <w:t>xxvi</w:t>
      </w:r>
    </w:p>
    <w:p>
      <w:pPr>
        <w:spacing w:after="80"/>
      </w:pPr>
      <w:r>
        <w:rPr>
          <w:b w:val="0"/>
          <w:i w:val="0"/>
        </w:rPr>
        <w:t>Hoa Kỳ</w:t>
      </w:r>
    </w:p>
    <w:p>
      <w:pPr>
        <w:spacing w:after="80"/>
      </w:pPr>
      <w:r>
        <w:rPr>
          <w:b w:val="0"/>
          <w:i w:val="0"/>
        </w:rPr>
        <w:t>Thuế Giá trị Gia tăng</w:t>
      </w:r>
    </w:p>
    <w:p>
      <w:pPr>
        <w:spacing w:after="80"/>
      </w:pPr>
      <w:r>
        <w:rPr>
          <w:b w:val="0"/>
          <w:i w:val="0"/>
        </w:rPr>
        <w:t>Công ước Vienna về Luật Điều ước Quốc tế</w:t>
      </w:r>
    </w:p>
    <w:p>
      <w:pPr>
        <w:spacing w:after="80"/>
      </w:pPr>
      <w:r>
        <w:rPr>
          <w:b w:val="0"/>
          <w:i w:val="0"/>
        </w:rPr>
        <w:t>xxvii</w:t>
      </w:r>
    </w:p>
    <w:p>
      <w:pPr>
        <w:spacing w:before="240" w:after="80"/>
      </w:pPr>
      <w:r>
        <w:rPr>
          <w:b/>
          <w:sz w:val="32"/>
        </w:rPr>
        <w:t>Lời nói đầu</w:t>
      </w:r>
    </w:p>
    <w:p>
      <w:pPr>
        <w:spacing w:after="80"/>
      </w:pPr>
      <w:r>
        <w:rPr>
          <w:b w:val="0"/>
          <w:i w:val="0"/>
        </w:rPr>
        <w:t xml:space="preserve">‘Ngươi phải có một luật pháp như nhau, cho cả người ngoại quốc lẫn người sinh ra tại bản xứ.’ – </w:t>
      </w:r>
      <w:r>
        <w:rPr>
          <w:b w:val="0"/>
          <w:i/>
        </w:rPr>
        <w:t>Lê-vi Ký</w:t>
      </w:r>
      <w:r>
        <w:rPr>
          <w:b w:val="0"/>
          <w:i w:val="0"/>
        </w:rPr>
        <w:t xml:space="preserve"> xxiv, 22. Mạng lưới các hiệp ước thuế kết nối hệ thống thuế nội địa của các quốc gia với nhau phản ánh sự đồng thuận rằng trật tự pháp lý quốc tế là cách tốt nhất để đảm bảo việc phân bổ quyền đánh thuế một cách công bằng giữa các quốc gia.</w:t>
      </w:r>
    </w:p>
    <w:p>
      <w:pPr>
        <w:spacing w:after="80"/>
      </w:pPr>
      <w:r>
        <w:rPr>
          <w:b w:val="0"/>
          <w:i w:val="0"/>
        </w:rPr>
        <w:t>Mỗi khu vực tài phán xem xét các hiệp ước thuế không chỉ dựa trên luật quốc tế mà còn dựa trên các quy tắc thuế, luật hành chính và quy tắc hiến pháp của chính mình, những quy tắc này có sự khác biệt phản ánh các giá trị nội địa của mỗi xã hội. Do đó, các hiệp ước cần được nhìn nhận cả trong bối cảnh quốc tế lẫn trong hệ thống pháp lý rộng lớn hơn của các quốc gia ký kết. Các phán quyết tư pháp ở các quốc gia ký kết khác về cùng những hiệp ước đó mang lại một góc nhìn quốc tế toàn diện để hỗ trợ độc giả quan tâm đến các khía cạnh quốc tế của thuế ở mọi quốc gia.</w:t>
      </w:r>
    </w:p>
    <w:p>
      <w:pPr>
        <w:spacing w:after="80"/>
      </w:pPr>
      <w:r>
        <w:rPr>
          <w:b w:val="0"/>
          <w:i w:val="0"/>
        </w:rPr>
        <w:t>Ấn bản này ra đời trong một giai đoạn có những thay đổi chưa từng có trong hệ thống thuế quốc tế. Dự án OECD/G20 BEPS có mục tiêu đầy tham vọng là viết lại các tiêu chuẩn thuế quốc tế cho phù hợp với những thay đổi trong công nghệ và thực tiễn kinh doanh toàn cầu. Chương dành cho Công cụ Đa phương của OECD – thứ đại diện, về mặt pháp lý, cho sản phẩm công việc liên quan đến hiệp ước của dự án BEPS và cũng có thể trở thành hình mẫu cho các hành động tiếp theo liên quan đến quá trình số hóa nền kinh tế toàn cầu. Các khía cạnh khác của dự án liên quan đến tính minh bạch và trao đổi thông tin được đề cập trong chương về chủ đề đó. Trong khi phần lớn khuôn khổ hiện có cho thuế quốc tế bắt nguồn từ công việc của Hội Quốc Liên về việc ngăn ngừa đánh thuế hai lần, thì trọng tâm hiện nay là bịt các lỗ hổng tạo cơ hội để loại bỏ hoặc giảm đáng kể thuế đối với hoạt động kinh doanh quốc tế, đồng thời thắt chặt việc tuân thủ và thu thuế xuyên biên giới. Sự gia tăng mạnh mẽ các tranh chấp thuế quốc tế được thể hiện rõ qua số lượng lớn các phán quyết tư pháp mới được xem xét trong ấn bản này.</w:t>
      </w:r>
    </w:p>
    <w:p>
      <w:pPr>
        <w:spacing w:after="80"/>
      </w:pPr>
      <w:r>
        <w:rPr>
          <w:b w:val="0"/>
          <w:i w:val="0"/>
        </w:rPr>
        <w:t>Hành động đơn phương trong một thế giới ngày càng phụ thuộc lẫn nhau và gắn kết chặt chẽ có khả năng phá vỡ sự ổn định, tính dự đoán được và tính liên tục trong đối xử với đầu tư xuyên biên giới và sự di chuyển của con người. Thật đáng tiếc khi trong khi OECD hướng tới một cách tiếp cận toàn diện được phối hợp quốc tế, các quốc gia vẫn kiên trì với các biện pháp thuế đơn phương không hoàn toàn phù hợp với bất kỳ đồng thuận đa quốc gia nào đang hình thành.</w:t>
      </w:r>
    </w:p>
    <w:p>
      <w:pPr>
        <w:spacing w:after="80"/>
      </w:pPr>
      <w:r>
        <w:rPr>
          <w:b w:val="0"/>
          <w:i w:val="0"/>
        </w:rPr>
        <w:t>xxix</w:t>
      </w:r>
    </w:p>
    <w:p>
      <w:pPr>
        <w:spacing w:after="80"/>
      </w:pPr>
      <w:r>
        <w:rPr>
          <w:b w:val="0"/>
          <w:i w:val="0"/>
        </w:rPr>
        <w:t>Việc Vương quốc Anh rời khỏi EU, xóa bỏ các quyền trước đây được hưởng, sẽ có tác động lâu dài đến việc đánh thuế xuyên biên giới mà các hiệp định đề cập. Tôi vẫn là một người châu Âu tận tụy và một người theo chủ nghĩa quốc tế. Phản hồi chuyên môn của tôi là được gọi vào Đoàn Luật sư Ireland và ấn bản này bao gồm phân tích về mạng lưới hiệp định của Ireland và vị thế của nó liên quan đến các hiệp định thuế.</w:t>
      </w:r>
    </w:p>
    <w:p>
      <w:pPr>
        <w:spacing w:after="80"/>
      </w:pPr>
      <w:r>
        <w:rPr>
          <w:b w:val="0"/>
          <w:i w:val="0"/>
        </w:rPr>
        <w:t>Mỗi khu vực tài phán đóng góp phần của mình vào cách tiếp cận quốc tế chung đang phát triển về giải thích và áp dụng các hiệp định. Vương quốc Anh từ lâu đã có đóng góp đáng kể vào sự phát triển của các hiệp định thuế ở cấp hành chính thông qua việc tham gia vào công việc của Ủy ban Các vấn đề Tài khóa OECD, và các tiền thân của nó, trong Tổ chức Hợp tác Kinh tế Châu Âu và Hội Quốc Liên. Tác động đáng kể của Ủy ban Chuyên gia Liên Hợp Quốc về Hợp tác Quốc tế trong Các vấn đề Thuế cũng rất rõ ràng. Các hệ thống pháp luật ở Vương quốc Anh giao thoa với các quốc gia thông luật để chia sẻ truyền thống pháp lý, các chuẩn mực hiến pháp và cách tiếp cận các vấn đề luật quốc tế. Đồng thời, Vương quốc Anh đã giao thoa với truyền thống luật dân sự của các Quốc gia Thành viên EU trong việc giải quyết các yêu cầu của luật Liên minh.</w:t>
      </w:r>
    </w:p>
    <w:p>
      <w:pPr>
        <w:spacing w:after="80"/>
      </w:pPr>
      <w:r>
        <w:rPr>
          <w:b w:val="0"/>
          <w:i w:val="0"/>
        </w:rPr>
        <w:t>Cuốn sách này được nhóm một cách lỏng lẻo thành nhiều phần. Phần đầu tiên đề cập đến khuôn khổ pháp lý mà trong đó các hiệp định thuế hoạt động: luật quốc tế, luật quốc gia của cả Vương quốc Anh và Ireland và luật EU. Phần thứ hai đề cập đến việc giải thích các hiệp định thuế. Phần thứ ba xem xét phạm vi và việc áp dụng các hiệp định thuế, tiếp theo là kiểm tra các yếu tố đủ điều kiện cho các cá nhân được hưởng lợi ích từ hiệp định. Phần thứ tư xem xét các điều khoản phân phối của các hiệp định thuế thu nhập điển hình, các chỉ thị EU liên quan về đánh thuế hai lần và các quy tắc liên quan đến việc loại bỏ đánh thuế hai lần bằng cách miễn trừ hoặc khấu trừ thuế nước ngoài. Một chương khác xem xét việc mua bán hiệp định và các hành vi tránh thuế khác và được bổ sung bởi một chương riêng về Công cụ Đa phương BEPS. Hai chương sau đó đề cập đến việc quản lý thực tế các hiệp định, bao gồm yêu cầu hưởng lợi ích từ hiệp định; giải quyết tranh chấp, bao gồm Chỉ thị Giải quyết Tranh chấp EU và Công ước Trọng tài về Chuyển giá. Cuối cùng, lĩnh vực hợp tác hành chính đang phát triển nhanh chóng giữa các cơ quan thuế bao gồm trao đổi thông tin và thu thuế xuyên biên giới được xem xét.</w:t>
      </w:r>
    </w:p>
    <w:p>
      <w:pPr>
        <w:spacing w:after="80"/>
      </w:pPr>
      <w:r>
        <w:rPr>
          <w:b w:val="0"/>
          <w:i w:val="0"/>
        </w:rPr>
        <w:t>Mẹ tôi, Annette, người có tác phẩm nghệ thuật đã tô điểm cho bìa của mọi ấn bản của cuốn sách này, đã qua đời trong năm nay và ấn bản này được dành để tưởng nhớ bà.</w:t>
      </w:r>
    </w:p>
    <w:p>
      <w:pPr>
        <w:spacing w:after="80"/>
      </w:pPr>
      <w:r>
        <w:rPr>
          <w:b w:val="0"/>
          <w:i w:val="0"/>
        </w:rPr>
        <w:t>Tôi xin cảm ơn Gwend e Vries đặc biệt, vì sự khuyến khích và hỗ trợ bền bỉ của cô ấy và toàn bộ đội ngũ sản xuất vì tất cả công việc chăm chỉ của họ. Cuốn sách này nói chung được cập nhật đến đầu tháng 5 năm 2021 và các hiệp định được bình luận nói chung có hiệu lực tại thời điểm viết. Mọi ý kiến và đề xuất từ độc giả đều được hoan nghênh nhất.</w:t>
      </w:r>
    </w:p>
    <w:p>
      <w:pPr>
        <w:spacing w:after="80"/>
      </w:pPr>
      <w:r>
        <w:rPr>
          <w:b w:val="0"/>
          <w:i/>
        </w:rPr>
        <w:t>Jonathan Schwarz</w:t>
      </w:r>
    </w:p>
    <w:p>
      <w:pPr>
        <w:spacing w:after="80"/>
      </w:pPr>
      <w:r>
        <w:rPr>
          <w:b w:val="0"/>
          <w:i/>
        </w:rPr>
        <w:t>Middle Temple</w:t>
      </w:r>
    </w:p>
    <w:p>
      <w:pPr>
        <w:spacing w:after="80"/>
      </w:pPr>
      <w:r>
        <w:rPr>
          <w:b w:val="0"/>
          <w:i/>
        </w:rPr>
        <w:t>London tháng 5 năm 2021</w:t>
      </w:r>
    </w:p>
    <w:p>
      <w:pPr>
        <w:spacing w:after="80"/>
      </w:pPr>
      <w:r>
        <w:rPr>
          <w:b w:val="0"/>
          <w:i w:val="0"/>
        </w:rPr>
        <w:t>xxx</w:t>
      </w:r>
    </w:p>
    <w:p>
      <w:pPr>
        <w:spacing w:before="240" w:after="80"/>
      </w:pPr>
      <w:r>
        <w:rPr>
          <w:b/>
          <w:sz w:val="32"/>
        </w:rPr>
        <w:t>CHƯƠNG 1 Khuôn khổ Pháp lý: Luật Quốc tế</w:t>
      </w:r>
    </w:p>
    <w:p>
      <w:pPr>
        <w:spacing w:after="80"/>
      </w:pPr>
      <w:r>
        <w:rPr>
          <w:b/>
          <w:i w:val="0"/>
        </w:rPr>
        <w:t>§1.01 GIỚI THIỆU</w:t>
      </w:r>
    </w:p>
    <w:p>
      <w:pPr>
        <w:spacing w:after="80"/>
      </w:pPr>
      <w:r>
        <w:rPr>
          <w:b w:val="0"/>
          <w:i w:val="0"/>
        </w:rPr>
        <w:t>Nhưng vì Luật pháp của mỗi Quốc gia tôn trọng Lợi ích của Quốc gia đó; nên giữa tất cả hoặc hầu hết các Quốc gia có thể có, và trên thực tế là có, một số Luật được đồng ý bởi sự đồng thuận chung, tôn trọng Lợi ích không phải của một Thực thể cụ thể nào, mà của tất cả nói chung. Và đây là cái được gọi là Luật của các Quốc gia.1</w:t>
      </w:r>
    </w:p>
    <w:p>
      <w:pPr>
        <w:spacing w:after="80"/>
      </w:pPr>
      <w:r>
        <w:rPr>
          <w:b w:val="0"/>
          <w:i w:val="0"/>
        </w:rPr>
        <w:t>Định nghĩa luật quốc tế từ thế kỷ XVII này của người cha sáng lập, Hugo Grotius, tiếp tục là công thức thiết yếu của cơ quan luật điều chỉnh hành vi của các quốc gia. Việc thực thi quyền đánh thuế của các quốc gia có chủ quyền, và sự tương tác giữa việc thực thi đó và trật tự pháp lý quốc tế là chủ đề của cuốn sách này. Phạm vi của luật quốc tế hiện đại mở rộng ra ngoài các vấn đề giữa các quốc gia như vị thế của các quốc gia, hoặc hòa bình và an ninh mà còn vào các quyền cá nhân, đặc biệt là quyền con người và, đến nhiều lĩnh vực trước đây được coi là vấn đề trong nước như môi trường và một loạt các chủ đề luật tư bao gồm việc công nhận các quỹ tín thác. Ít lĩnh vực luật nào phản ánh sự căng thẳng giữa quyền tự chủ của các quốc gia, được thể hiện trong các lý thuyết về chủ quyền và các chuẩn mực pháp lý quốc tế ràng buộc hơn lĩnh vực thuế.</w:t>
      </w:r>
    </w:p>
    <w:p>
      <w:pPr>
        <w:spacing w:after="80"/>
      </w:pPr>
      <w:r>
        <w:rPr>
          <w:b w:val="0"/>
          <w:i w:val="0"/>
        </w:rPr>
        <w:t>Sự vắng mặt của một cơ quan lập pháp duy nhất, một cơ chế hoặc diễn đàn phổ quát để giải quyết tranh chấp và một hệ thống thực thi toàn diện phân biệt luật quốc tế với luật trong nước.2 Trật tự pháp lý cấu thành Liên minh Châu Âu (EU), mặc dù được thiết lập bởi hiệp ước giữa các quốc gia có chủ quyền khác, không phải là quốc tế</w:t>
      </w:r>
    </w:p>
    <w:p>
      <w:pPr>
        <w:spacing w:after="80"/>
      </w:pPr>
      <w:r>
        <w:rPr>
          <w:b w:val="0"/>
          <w:i w:val="0"/>
        </w:rPr>
        <w:t xml:space="preserve">1. Grotius, Hugo. </w:t>
      </w:r>
      <w:r>
        <w:rPr>
          <w:b w:val="0"/>
          <w:i/>
        </w:rPr>
        <w:t>The Rights of War and Peace</w:t>
      </w:r>
      <w:r>
        <w:rPr>
          <w:b w:val="0"/>
          <w:i w:val="0"/>
        </w:rPr>
        <w:t xml:space="preserve"> (1625) Quyển 1 đoạn XVIII. (</w:t>
      </w:r>
      <w:r>
        <w:rPr>
          <w:b w:val="0"/>
          <w:i/>
        </w:rPr>
        <w:t>The Rights of War and Peace</w:t>
      </w:r>
      <w:r>
        <w:rPr>
          <w:b w:val="0"/>
          <w:i w:val="0"/>
        </w:rPr>
        <w:t>, 3 tập, do Richard Tuck biên tập và viết Lời giới thiệu, từ bản của Jean Barbeyrac (Indianapolis: Liberty Fund, 2005)). 2. Các luật gia quốc tế gọi luật nội bộ của các quốc gia là 'luật thành phố' (municipal law). Cụm từ luật nội địa (domestic law) thường được các chuyên gia thuế sử dụng để chỉ cùng một hệ thống luật nội bộ đó. Trong cuốn sách này, thuật ngữ luật 'nội địa' (domestic) được dùng theo cách dùng trong lĩnh vực thuế.</w:t>
      </w:r>
    </w:p>
    <w:p>
      <w:pPr>
        <w:spacing w:after="80"/>
      </w:pPr>
      <w:r>
        <w:rPr>
          <w:b w:val="0"/>
          <w:i w:val="0"/>
        </w:rPr>
        <w:t>1</w:t>
      </w:r>
    </w:p>
    <w:p>
      <w:pPr>
        <w:spacing w:after="80"/>
      </w:pPr>
      <w:r>
        <w:rPr>
          <w:b w:val="0"/>
          <w:i w:val="0"/>
        </w:rPr>
        <w:t>bản thân luật theo nghĩa này kể từ khi EU có một cơ quan lập pháp và hiệp ước cùng các luật khác được giải thích bởi một tòa án.3</w:t>
      </w:r>
    </w:p>
    <w:p>
      <w:pPr>
        <w:spacing w:after="80"/>
      </w:pPr>
      <w:r>
        <w:rPr>
          <w:b w:val="0"/>
          <w:i w:val="0"/>
        </w:rPr>
        <w:t>Luật quốc tế công (public international law) tác động đến mọi khía cạnh của thuế xuyên biên giới. Quyền đánh thuế như một biểu hiện của chủ quyền, việc phân định lãnh thổ của các quốc gia bao gồm luật biển, luật hàng không và luật vũ trụ, hiệu lực quốc tế của quốc tịch và việc sử dụng các hiệp ước để giải quyết đánh thuế hai lần và hợp tác quốc tế giữa các cơ quan thuế, tất cả đều phụ thuộc vào sự tồn tại của một trật tự pháp lý quốc tế. Chương này giới thiệu các khái niệm chính của trật tự pháp lý quốc tế đó, những khái niệm được huy động khi các hệ thống thuế quốc gia tương tác với nhau. Các khía cạnh của luật quốc tế cũng được đề cập xuyên suốt tác phẩm này.</w:t>
      </w:r>
    </w:p>
    <w:p>
      <w:pPr>
        <w:spacing w:after="80"/>
      </w:pPr>
      <w:r>
        <w:rPr>
          <w:b/>
          <w:i w:val="0"/>
        </w:rPr>
        <w:t>§1.02 NGUỒN CỦA LUẬT QUỐC TẾ</w:t>
      </w:r>
    </w:p>
    <w:p>
      <w:pPr>
        <w:spacing w:after="80"/>
      </w:pPr>
      <w:r>
        <w:rPr>
          <w:b w:val="0"/>
          <w:i w:val="0"/>
        </w:rPr>
        <w:t>Việc thiếu một bộ máy lập pháp bao trùm có nghĩa là các nguồn luật không giống với luật nội địa, và sự tồn tại của một quy tắc hay nguyên tắc cụ thể như một quy phạm pháp luật phải được xác lập từ những nguồn đặc thù của trật tự pháp lý quốc tế. Điều 38 của Quy chế Tòa án Công lý Quốc tế (ICJ)4 xác định một cách có thẩm quyền các nguồn của luật quốc tế như sau:</w:t>
      </w:r>
    </w:p>
    <w:p>
      <w:pPr>
        <w:spacing w:after="80"/>
      </w:pPr>
      <w:r>
        <w:rPr>
          <w:b w:val="0"/>
          <w:i w:val="0"/>
        </w:rPr>
        <w:t>Điều 38(1) Tòa án, với chức năng giải quyết theo luật quốc tế những tranh chấp được đệ trình lên mình, sẽ áp dụng:</w:t>
      </w:r>
    </w:p>
    <w:p>
      <w:pPr>
        <w:spacing w:after="80"/>
      </w:pPr>
      <w:r>
        <w:rPr>
          <w:b w:val="0"/>
          <w:i w:val="0"/>
        </w:rPr>
        <w:t>(a) các công ước quốc tế, dù chung hay riêng, thiết lập các quy tắc</w:t>
      </w:r>
    </w:p>
    <w:p>
      <w:pPr>
        <w:spacing w:after="80"/>
      </w:pPr>
      <w:r>
        <w:rPr>
          <w:b w:val="0"/>
          <w:i w:val="0"/>
        </w:rPr>
        <w:t>được các Quốc gia tranh chấp công nhận một cách rõ ràng; (b) tập quán quốc tế, như bằng chứng của một thực tiễn chung được chấp nhận như luật;</w:t>
      </w:r>
    </w:p>
    <w:p>
      <w:pPr>
        <w:spacing w:after="80"/>
      </w:pPr>
      <w:r>
        <w:rPr>
          <w:b w:val="0"/>
          <w:i w:val="0"/>
        </w:rPr>
        <w:t>(c) các nguyên tắc chung của luật được các quốc gia văn minh công nhận; (d) tùy thuộc vào các quy định của Điều 595, các quyết định tư pháp và các học thuyết của</w:t>
      </w:r>
    </w:p>
    <w:p>
      <w:pPr>
        <w:spacing w:after="80"/>
      </w:pPr>
      <w:r>
        <w:rPr>
          <w:b w:val="0"/>
          <w:i w:val="0"/>
        </w:rPr>
        <w:t>những học giả công luật có trình độ cao nhất của các quốc gia khác nhau, như những phương tiện bổ trợ để xác định các quy tắc pháp luật.</w:t>
      </w:r>
    </w:p>
    <w:p>
      <w:pPr>
        <w:spacing w:after="80"/>
      </w:pPr>
      <w:r>
        <w:rPr>
          <w:b/>
          <w:i w:val="0"/>
        </w:rPr>
        <w:t>[A] Các công ước quốc tế</w:t>
      </w:r>
    </w:p>
    <w:p>
      <w:pPr>
        <w:spacing w:after="80"/>
      </w:pPr>
      <w:r>
        <w:rPr>
          <w:b w:val="0"/>
          <w:i w:val="0"/>
        </w:rPr>
        <w:t>Các công ước quốc tế, hay hiệp ước, cho đến nay là nguồn quan trọng nhất của luật quốc tế khi nó tác động đến thuế. Để đủ tư cách là một nguồn luật, hiệp ước đang xét phải thiết lập các quy tắc. Nói cách khác, nó phải mang tính lập quy. Ví dụ, một thỏa thuận giữa các quốc gia để một bên bán hàng hóa cho bên kia sẽ không phải là một nguồn luật. Những ví dụ về các công ước lập quy quan trọng trong lĩnh vực thuế là Công ước Vienna về Luật Hiệp ước (VCLT) 1969 và Công ước châu Âu</w:t>
      </w:r>
    </w:p>
    <w:p>
      <w:pPr>
        <w:spacing w:after="80"/>
      </w:pPr>
      <w:r>
        <w:rPr>
          <w:b w:val="0"/>
          <w:i w:val="0"/>
        </w:rPr>
        <w:t>3. Xem Chương 3. 4. Quy chế Tòa án Công lý Quốc tế, Hiến chương, 59 Stat. 1055, TS No. 993 tại 25, điều 38, khoản 1. Quy chế Tòa án Công lý Quốc tế được phụ lục vào Hiến chương Liên Hợp Quốc, mà nó tạo thành một phần không thể tách rời. Mục tiêu chính của Quy chế là tổ chức thành phần và hoạt động của Tòa án. 5. Điều 59. Quyết định của Tòa án không có hiệu lực ràng buộc ngoại trừ giữa các bên và đối với vụ việc cụ thể đó.</w:t>
      </w:r>
    </w:p>
    <w:p>
      <w:pPr>
        <w:spacing w:after="80"/>
      </w:pPr>
      <w:r>
        <w:rPr>
          <w:b w:val="0"/>
          <w:i w:val="0"/>
        </w:rPr>
        <w:t>2</w:t>
      </w:r>
    </w:p>
    <w:p>
      <w:pPr>
        <w:spacing w:after="80"/>
      </w:pPr>
      <w:r>
        <w:rPr>
          <w:b w:val="0"/>
          <w:i w:val="0"/>
        </w:rPr>
        <w:t>về Nhân quyền. Các hiệp ước thuế song phương mang tính lập quy giữa các bên nhưng các điều khoản của chúng không chứng minh cho bất kỳ quy tắc nào của luật quốc tế có tính áp dụng chung ngoài hiệp ước cụ thể đó, ngay cả khi các hiệp ước này tuân theo một khuôn mẫu khá nhất quán. Điều này là vì hai lý do có liên quan với nhau: thứ nhất, quy tắc phải được các quốc gia tranh chấp công nhận một cách rõ ràng, và thứ hai, việc các quốc gia thực thi quyền đánh thuế theo luật nội địa thường được thực hiện mà không xét đến bất kỳ chuẩn mực hiệp ước nào, như một yếu tố chủ quyền quốc gia được bảo vệ nghiêm ngặt.</w:t>
      </w:r>
    </w:p>
    <w:p>
      <w:pPr>
        <w:spacing w:after="80"/>
      </w:pPr>
      <w:r>
        <w:rPr>
          <w:b/>
          <w:i w:val="0"/>
        </w:rPr>
        <w:t>[B]Tập quán Quốc tế</w:t>
      </w:r>
    </w:p>
    <w:p>
      <w:pPr>
        <w:spacing w:after="80"/>
      </w:pPr>
      <w:r>
        <w:rPr>
          <w:b w:val="0"/>
          <w:i w:val="0"/>
        </w:rPr>
        <w:t xml:space="preserve">Việc thực hành của các quốc gia có thể trở thành một quy phạm pháp luật nếu việc thực hành đó được 'chấp nhận' như là luật. Cả hai yếu tố phải được thỏa mãn trước khi một quy phạm tập quán quốc tế tồn tại. Phải có sự thực hành và nó phải được chấp nhận như là một quy phạm ràng buộc. Trong </w:t>
      </w:r>
      <w:r>
        <w:rPr>
          <w:b w:val="0"/>
          <w:i/>
        </w:rPr>
        <w:t>Vụ án Quyền tài phán về Ngư nghiệp,</w:t>
      </w:r>
      <w:r>
        <w:rPr>
          <w:b w:val="0"/>
          <w:i w:val="0"/>
        </w:rPr>
        <w:t>6 ICJ nhận định rằng các quy phạm tập quán quốc tế giữa các bên đã hình thành thông qua việc thực hành của các quốc gia sau Hội nghị năm 1960 về Luật Biển trên cơ sở các cuộc tranh luận và các thỏa thuận gần đạt được tại Hội nghị. Tòa án phán quyết rằng hai khái niệm đã kết tinh thành luật tập quán trong những năm gần đây, phát sinh từ sự đồng thuận chung được thể hiện tại Hội nghị đó. Thứ nhất là khái niệm vùng ngư nghiệp, khu vực mà một quốc gia có thể yêu sách quyền tài phán ngư nghiệp độc quyền tách biệt với lãnh hải của mình; việc mở rộng vùng ngư nghiệp đó lên đến giới hạn 12 hải lý tính từ đường cơ sở dường như hiện nay đã được chấp nhận rộng rãi. Thứ hai là khái niệm quyền ưu tiên đánh bắt cá trong vùng biển lân cận dành cho quốc gia ven biển trong tình huống phụ thuộc đặc biệt vào ngư nghiệp ven bờ của mình.7 Tòa nhận thấy rằng việc thực hành của các quốc gia cho thấy sự chấp nhận ngày càng tăng và lan rộng đối với khái niệm quyền ưu tiên cho các quốc gia ven biển, đặc biệt là dành cho các quốc gia hoặc vùng lãnh thổ trong tình huống phụ thuộc đặc biệt vào ngư nghiệp ven bờ.8 Như vậy, việc thực hành không cần phải mang tính phổ quát. Tuy nhiên, việc một số quốc gia chấp nhận quy phạm trong khi các quốc gia khác đã chấp nhận một quy phạm khác là không đủ để quy phạm được đề cập đầu tiên có được thẩm quyền của một quy phạm chung của luật quốc tế.9 Việc áp dụng một hệ thống được xác định rõ ràng và thống nhất, vốn sẽ gặt hái được lợi ích từ sự khoan dung chung, tạo thành cơ sở cho một sự củng cố mang tính lịch sử khiến nó có thể được thực thi chống lại các quốc gia khác. Trong trường hợp đó, việc thực hành của Na Uy đã không bị thách thức trong khoảng thời gian hơn sáu mươi năm.10</w:t>
      </w:r>
    </w:p>
    <w:p>
      <w:pPr>
        <w:spacing w:after="80"/>
      </w:pPr>
      <w:r>
        <w:rPr>
          <w:b w:val="0"/>
          <w:i w:val="0"/>
        </w:rPr>
        <w:t xml:space="preserve">Tập quán phải được nâng lên thành một quy phạm pháp luật. Trong </w:t>
      </w:r>
      <w:r>
        <w:rPr>
          <w:b w:val="0"/>
          <w:i/>
        </w:rPr>
        <w:t>Vụ án Quyền đi qua Lãnh thổ Ấn Độ,</w:t>
      </w:r>
      <w:r>
        <w:rPr>
          <w:b w:val="0"/>
          <w:i w:val="0"/>
        </w:rPr>
        <w:t>11 ICJ nói rằng: 'Đó là một quy phạm pháp luật được chấp nhận rộng rãi, cũng như một quy phạm đã được</w:t>
      </w:r>
    </w:p>
    <w:p>
      <w:pPr>
        <w:spacing w:after="80"/>
      </w:pPr>
      <w:r>
        <w:rPr>
          <w:b w:val="0"/>
          <w:i w:val="0"/>
        </w:rPr>
        <w:t>6.</w:t>
      </w:r>
      <w:r>
        <w:rPr>
          <w:b w:val="0"/>
          <w:i/>
        </w:rPr>
        <w:t>Quyền tài phán về Ngư nghiệp (Vương quốc Liên hiệp Anh và Bắc Ireland v Iceland)</w:t>
      </w:r>
      <w:r>
        <w:rPr>
          <w:b w:val="0"/>
          <w:i w:val="0"/>
        </w:rPr>
        <w:t>, Nội dung, Phán quyết, ICJ Reports 1974, tr. 3, Tòa án Công lý Quốc tế.7.</w:t>
      </w:r>
      <w:r>
        <w:rPr>
          <w:b w:val="0"/>
          <w:i/>
        </w:rPr>
        <w:t>Quyền tài phán về Ngư nghiệp</w:t>
      </w:r>
      <w:r>
        <w:rPr>
          <w:b w:val="0"/>
          <w:i w:val="0"/>
        </w:rPr>
        <w:t xml:space="preserve"> tại đoạn 52.8.Tại đoạn 58.9.</w:t>
      </w:r>
      <w:r>
        <w:rPr>
          <w:b w:val="0"/>
          <w:i/>
        </w:rPr>
        <w:t>Vụ án Ngư nghiệp (Vương quốc Anh v Na Uy)</w:t>
      </w:r>
      <w:r>
        <w:rPr>
          <w:b w:val="0"/>
          <w:i w:val="0"/>
        </w:rPr>
        <w:t>, Phán quyết ngày 18 tháng 12 năm 1951: ICJ Reports 1951, 116 tại tr. 131.10.Tại tr. 138.11.</w:t>
      </w:r>
      <w:r>
        <w:rPr>
          <w:b w:val="0"/>
          <w:i/>
        </w:rPr>
        <w:t>Quyền đi qua Lãnh thổ Ấn Độ</w:t>
      </w:r>
      <w:r>
        <w:rPr>
          <w:b w:val="0"/>
          <w:i w:val="0"/>
        </w:rPr>
        <w:t>, Phản đối Sơ bộ, Phán quyết, ICJ Reports 1957, tr. 142.</w:t>
      </w:r>
    </w:p>
    <w:p>
      <w:pPr>
        <w:spacing w:after="80"/>
      </w:pPr>
      <w:r>
        <w:rPr>
          <w:b w:val="0"/>
          <w:i w:val="0"/>
        </w:rPr>
        <w:t>3</w:t>
      </w:r>
    </w:p>
    <w:p>
      <w:pPr>
        <w:spacing w:after="80"/>
      </w:pPr>
      <w:r>
        <w:rPr>
          <w:b w:val="0"/>
          <w:i w:val="0"/>
        </w:rPr>
        <w:t xml:space="preserve">Tòa án áp dụng trong quá khứ.' Sự cần thiết phải được chấp nhận như một quy phạm ràng buộc về mặt pháp lý đã được Tòa án nhấn mạnh trong </w:t>
      </w:r>
      <w:r>
        <w:rPr>
          <w:b w:val="0"/>
          <w:i/>
        </w:rPr>
        <w:t>Các Vụ án Thềm lục địa Biển Bắc</w:t>
      </w:r>
      <w:r>
        <w:rPr>
          <w:b w:val="0"/>
          <w:i w:val="0"/>
        </w:rPr>
        <w:t>.12</w:t>
      </w:r>
    </w:p>
    <w:p>
      <w:pPr>
        <w:spacing w:after="80"/>
      </w:pPr>
      <w:r>
        <w:rPr>
          <w:b w:val="0"/>
          <w:i w:val="0"/>
        </w:rPr>
        <w:t xml:space="preserve">Điểm thiết yếu trong mối liên hệ này – và dường như cần phải nhấn mạnh điều đó – là rằng… hai điều kiện phải được thỏa mãn. Không chỉ các hành vi liên quan phải tạo thành một tập quán đã được thiết lập, mà chúng còn phải như vậy, hoặc được thực hiện theo cách như vậy, để trở thành bằng chứng của một niềm tin rằng tập quán này trở nên bắt buộc do sự tồn tại của một quy phạm pháp luật đòi hỏi điều đó. Nhu cầu về một niềm tin như vậy, tức là sự tồn tại của một yếu tố chủ quan, được hàm ý trong chính khái niệm </w:t>
      </w:r>
      <w:r>
        <w:rPr>
          <w:b w:val="0"/>
          <w:i/>
        </w:rPr>
        <w:t>opinio juris sive necessitatis</w:t>
      </w:r>
      <w:r>
        <w:rPr>
          <w:b w:val="0"/>
          <w:i w:val="0"/>
        </w:rPr>
        <w:t>. Do đó, các Quốc gia liên quan phải cảm thấy rằng họ đang tuân theo những gì tạo thành một nghĩa vụ pháp lý. Tính thường xuyên hoặc thậm chí tính thói quen của các hành vi tự nó không đủ. Có nhiều hành vi quốc tế, ví dụ, trong lĩnh vực nghi lễ và giao thức, được thực hiện gần như bất biến, nhưng chỉ được thúc đẩy bởi các cân nhắc về lịch sự, sự tiện lợi hoặc truyền thống, chứ không phải bởi bất kỳ ý thức về nghĩa vụ pháp lý nào.13</w:t>
      </w:r>
    </w:p>
    <w:p>
      <w:pPr>
        <w:spacing w:after="80"/>
      </w:pPr>
      <w:r>
        <w:rPr>
          <w:b/>
          <w:i w:val="0"/>
        </w:rPr>
        <w:t>[C]Các Nguyên tắc Chung của Pháp luật</w:t>
      </w:r>
    </w:p>
    <w:p>
      <w:pPr>
        <w:spacing w:after="80"/>
      </w:pPr>
      <w:r>
        <w:rPr>
          <w:b w:val="0"/>
          <w:i w:val="0"/>
        </w:rPr>
        <w:t>Quy chế của ICJ công nhận rằng nguyên tắc pháp lý được áp dụng bởi các tòa án trong nước của các quốc gia là một nguồn của luật quốc tế. Một ví dụ rõ ràng bao gồm luật điều ước, vốn dựa nhiều vào luật hợp đồng14 hoặc luật bồi thường thiệt hại ngoài hợp đồng.15 Nguyên tắc này được củng cố bởi yêu cầu đối với việc bầu chọn các thẩm phán của Tòa án rằng:</w:t>
      </w:r>
    </w:p>
    <w:p>
      <w:pPr>
        <w:spacing w:after="80"/>
      </w:pPr>
      <w:r>
        <w:rPr>
          <w:b w:val="0"/>
          <w:i w:val="0"/>
        </w:rPr>
        <w:t>Tại mỗi cuộc bầu cử, các cử tri phải ghi nhớ không chỉ rằng những người được bầu phải sở hữu một cách cá nhân các phẩm chất cần thiết, mà còn rằng trong toàn bộ cơ quan, sự đại diện của các hình thức văn minh chính và các hệ thống pháp luật chính của thế giới phải được đảm bảo.16</w:t>
      </w:r>
    </w:p>
    <w:p>
      <w:pPr>
        <w:spacing w:after="80"/>
      </w:pPr>
      <w:r>
        <w:rPr>
          <w:b w:val="0"/>
          <w:i w:val="0"/>
        </w:rPr>
        <w:t xml:space="preserve">Các nguyên tắc chung của pháp luật cũng bao gồm các nguyên tắc quốc tế. Trong vụ án </w:t>
      </w:r>
      <w:r>
        <w:rPr>
          <w:b w:val="0"/>
          <w:i/>
        </w:rPr>
        <w:t>Corfu Channel</w:t>
      </w:r>
      <w:r>
        <w:rPr>
          <w:b w:val="0"/>
          <w:i w:val="0"/>
        </w:rPr>
        <w:t>, ví dụ, Tòa án đã đề cập đến 'một số nguyên tắc chung và được công nhận rộng rãi' trong bối cảnh quyền đi qua vô hại của tàu nước ngoài qua lãnh hải.17</w:t>
      </w:r>
    </w:p>
    <w:p>
      <w:pPr>
        <w:spacing w:after="80"/>
      </w:pPr>
      <w:r>
        <w:rPr>
          <w:b/>
          <w:i w:val="0"/>
        </w:rPr>
        <w:t>[D]Ius Cogens</w:t>
      </w:r>
    </w:p>
    <w:p>
      <w:pPr>
        <w:spacing w:after="80"/>
      </w:pPr>
      <w:r>
        <w:rPr>
          <w:b w:val="0"/>
          <w:i w:val="0"/>
        </w:rPr>
        <w:t xml:space="preserve">Một số nguyên tắc pháp lý quốc tế nhất định được coi là có tính chất mệnh lệnh (peremptory) và được nợ đối với cộng đồng quốc tế nói chung.18 Những nguyên tắc như vậy được coi là đại diện cho các giá trị cao nhất trong luật quốc tế và không thể bị ghi đè. Các quy phạm phải được cộng đồng quốc tế của các quốc gia nói chung chấp nhận và công nhận như là một quy phạm mà không được phép có bất kỳ sự vi phạm nào để đủ điều kiện là </w:t>
      </w:r>
      <w:r>
        <w:rPr>
          <w:b w:val="0"/>
          <w:i/>
        </w:rPr>
        <w:t>ius cogens</w:t>
      </w:r>
      <w:r>
        <w:rPr>
          <w:b w:val="0"/>
          <w:i w:val="0"/>
        </w:rPr>
        <w:t>. Nếu chúng được</w:t>
      </w:r>
    </w:p>
    <w:p>
      <w:pPr>
        <w:spacing w:after="80"/>
      </w:pPr>
      <w:r>
        <w:rPr>
          <w:b w:val="0"/>
          <w:i w:val="0"/>
        </w:rPr>
        <w:t>12.</w:t>
      </w:r>
      <w:r>
        <w:rPr>
          <w:b w:val="0"/>
          <w:i/>
        </w:rPr>
        <w:t>Các Vụ án Thềm lục địa Biển Bắc</w:t>
      </w:r>
      <w:r>
        <w:rPr>
          <w:b w:val="0"/>
          <w:i w:val="0"/>
        </w:rPr>
        <w:t xml:space="preserve"> (Cộng hòa Liên bang Đức/Đan Mạch; Cộng hòa Liên bang Đức/Hà Lan) ICJ Reports 1969, tr. 3.13.Tại đoạn 77.14.Xem §1.08 dưới đây.15.</w:t>
      </w:r>
      <w:r>
        <w:rPr>
          <w:b w:val="0"/>
          <w:i/>
        </w:rPr>
        <w:t>Vụ án Corfu Channel (Vương quốc Anh v Albania)</w:t>
      </w:r>
      <w:r>
        <w:rPr>
          <w:b w:val="0"/>
          <w:i w:val="0"/>
        </w:rPr>
        <w:t xml:space="preserve"> ICJ Reports 1949, tr. 4 (ICJ).16.Quy chế của Tòa án Công lý Quốc tế Charter, 59 Stat. 1055, TS No. 993 tại 25, điều 9.17.Tại tr. 22.18.</w:t>
      </w:r>
      <w:r>
        <w:rPr>
          <w:b w:val="0"/>
          <w:i/>
        </w:rPr>
        <w:t>Barcelona Traction, Light and Power Co Ltd (Bỉ v Tây Ban Nha)</w:t>
      </w:r>
      <w:r>
        <w:rPr>
          <w:b w:val="0"/>
          <w:i w:val="0"/>
        </w:rPr>
        <w:t xml:space="preserve"> ICJ Reports 1970, 3, các đoạn 33-34.</w:t>
      </w:r>
    </w:p>
    <w:p>
      <w:pPr>
        <w:spacing w:after="80"/>
      </w:pPr>
      <w:r>
        <w:rPr>
          <w:b w:val="0"/>
          <w:i w:val="0"/>
        </w:rPr>
        <w:t>4</w:t>
      </w:r>
    </w:p>
    <w:p>
      <w:pPr>
        <w:spacing w:after="80"/>
      </w:pPr>
      <w:r>
        <w:rPr>
          <w:b w:val="0"/>
          <w:i w:val="0"/>
        </w:rPr>
        <w:t>công nhận, chúng chỉ có thể được sửa đổi bởi một quy phạm tiếp theo của luật quốc tế chung có cùng tính chất.19 Các lệnh cấm đối với chế độ nô lệ, tra tấn và diệt chủng được bao gồm.20 Ngược lại, nguyên tắc cơ bản về tính không hồi tố của các điều ước được phản ánh trong Điều 28 của VCLT không phải là một quy phạm mệnh lệnh của luật quốc tế và các bên có thể tự do đồng ý điều ngược lại.21</w:t>
      </w:r>
    </w:p>
    <w:p>
      <w:pPr>
        <w:spacing w:after="80"/>
      </w:pPr>
      <w:r>
        <w:rPr>
          <w:b/>
          <w:i w:val="0"/>
        </w:rPr>
        <w:t>[E]Các Phán quyết Tư pháp và Các Tác phẩm của Các Nhà Luật học</w:t>
      </w:r>
    </w:p>
    <w:p>
      <w:pPr>
        <w:spacing w:after="80"/>
      </w:pPr>
      <w:r>
        <w:rPr>
          <w:b w:val="0"/>
          <w:i w:val="0"/>
        </w:rPr>
        <w:t>Các phán quyết của chính ICJ chỉ ràng buộc các bên mà thủ tục tố tụng cụ thể đó áp dụng.22 Mặc dù không có học thuyết chính thức về tiền lệ tư pháp tại tòa án này, các phán quyết của nó tạo thành một nguồn thiết yếu của luật quốc tế. Các phán quyết của các tòa án khác, bao gồm tòa án quốc gia và Tòa án Công lý của Liên minh Châu Âu, cũng được công nhận tương tự.</w:t>
      </w:r>
    </w:p>
    <w:p>
      <w:pPr>
        <w:spacing w:after="80"/>
      </w:pPr>
      <w:r>
        <w:rPr>
          <w:b w:val="0"/>
          <w:i w:val="0"/>
        </w:rPr>
        <w:t>Mặc dù quy chế của ICJ phân biệt riêng rẽ luật quốc tế tập quán, các nguyên tắc chung của pháp luật và các phán quyết tư pháp, trên thực tế, sự phân biệt giữa chúng thường không rõ ràng hoặc hư ảo.</w:t>
      </w:r>
    </w:p>
    <w:p>
      <w:pPr>
        <w:spacing w:after="80"/>
      </w:pPr>
      <w:r>
        <w:rPr>
          <w:b/>
          <w:i w:val="0"/>
        </w:rPr>
        <w:t>§1.03 LUẬT QUỐC TẾ VÀ LUẬT TRONG NƯỚC</w:t>
      </w:r>
    </w:p>
    <w:p>
      <w:pPr>
        <w:spacing w:after="80"/>
      </w:pPr>
      <w:r>
        <w:rPr>
          <w:b w:val="0"/>
          <w:i w:val="0"/>
        </w:rPr>
        <w:t xml:space="preserve">Luật quốc tế công cộng là một hệ thống pháp luật riêng biệt và độc lập. Tuy nhiên, nó có mối quan hệ mật thiết với luật trong nước hay luật nội địa. Luật quốc tế tập quán theo nghĩa rộng là một phần của luật trong nước của Anh và Wales mà không cần bất kỳ đạo luật hay phán quyết tư pháp trong nước nào.23 Trong </w:t>
      </w:r>
      <w:r>
        <w:rPr>
          <w:b w:val="0"/>
          <w:i/>
        </w:rPr>
        <w:t>R v Jones (Margaret)</w:t>
      </w:r>
      <w:r>
        <w:rPr>
          <w:b w:val="0"/>
          <w:i w:val="0"/>
        </w:rPr>
        <w:t xml:space="preserve">,24 Lord Bingham đã nhận xét, </w:t>
      </w:r>
      <w:r>
        <w:rPr>
          <w:b w:val="0"/>
          <w:i/>
        </w:rPr>
        <w:t>obiter</w:t>
      </w:r>
      <w:r>
        <w:rPr>
          <w:b w:val="0"/>
          <w:i w:val="0"/>
        </w:rPr>
        <w:t>, rằng có thể diễn đạt tốt hơn rằng luật quốc tế là một trong các nguồn của luật Anh. Trong bối cảnh thuế, các nguyên tắc giải thích điều ước xuất phát từ luật quốc tế tập quán đã được các tòa án Anh áp dụng một cách nhất quán.25 Một khi tòa án trong nước đã bày tỏ quan điểm về một vấn đề luật quốc tế, phán quyết đó thuộc cả luật trong nước lẫn luật quốc tế. Mặt khác, các điều ước đòi hỏi phải được thực thi bằng pháp luật để có hiệu lực trong luật trong nước của Vương quốc Anh.26 Tuy nhiên, khi một điều ước hệ thống hóa luật quốc tế tập quán, các tòa án tham chiếu đến các điều khoản của điều ước bất chấp việc thiếu sự</w:t>
      </w:r>
    </w:p>
    <w:p>
      <w:pPr>
        <w:spacing w:after="80"/>
      </w:pPr>
      <w:r>
        <w:rPr>
          <w:b w:val="0"/>
          <w:i w:val="0"/>
        </w:rPr>
        <w:t>19. Công ước Vienna về Luật Điều ước (Vienna, 23 tháng 5 năm 1969; TS 58 (1980); Cmnd 7964), điều 53. 20. Xem, ví dụ, Application of the Convention on the Prevention and Punishment of the Crime of Genocide (</w:t>
      </w:r>
      <w:r>
        <w:rPr>
          <w:b w:val="0"/>
          <w:i/>
        </w:rPr>
        <w:t>Bosnia and Herzegovina v Serbia and Montenegro</w:t>
      </w:r>
      <w:r>
        <w:rPr>
          <w:b w:val="0"/>
          <w:i w:val="0"/>
        </w:rPr>
        <w:t xml:space="preserve">), ICJ Reports, 26 tháng 2 năm 2007. 21. </w:t>
      </w:r>
      <w:r>
        <w:rPr>
          <w:b w:val="0"/>
          <w:i/>
        </w:rPr>
        <w:t>Ben Nevis (Holdings) Ltd &amp; Anor v Revenue and Customs Commissioners</w:t>
      </w:r>
      <w:r>
        <w:rPr>
          <w:b w:val="0"/>
          <w:i w:val="0"/>
        </w:rPr>
        <w:t xml:space="preserve"> [2013] EWCA Civ 578, [2013] STC 1579 CA, [2013] BTC 485, tại đoạn 43, trích dẫn </w:t>
      </w:r>
      <w:r>
        <w:rPr>
          <w:b w:val="0"/>
          <w:i/>
        </w:rPr>
        <w:t>Mavrommatis Palestine Concessions</w:t>
      </w:r>
      <w:r>
        <w:rPr>
          <w:b w:val="0"/>
          <w:i w:val="0"/>
        </w:rPr>
        <w:t xml:space="preserve"> (1924) PCIJ Ser. A, No. 2, 34. 22. Statute of the International Court of Justice Charter, 59 Stat. 1055, TS No. 993 at 25, điều 59. 23. Xem các án lệ được trích dẫn trong </w:t>
      </w:r>
      <w:r>
        <w:rPr>
          <w:b w:val="0"/>
          <w:i/>
        </w:rPr>
        <w:t>R v Jones (Margaret)</w:t>
      </w:r>
      <w:r>
        <w:rPr>
          <w:b w:val="0"/>
          <w:i w:val="0"/>
        </w:rPr>
        <w:t xml:space="preserve"> [2006] UKHL 16; [2007] 1 AC 136 tại đoạn 11. 24. </w:t>
      </w:r>
      <w:r>
        <w:rPr>
          <w:b w:val="0"/>
          <w:i/>
        </w:rPr>
        <w:t>R v Jones (Margaret)</w:t>
      </w:r>
      <w:r>
        <w:rPr>
          <w:b w:val="0"/>
          <w:i w:val="0"/>
        </w:rPr>
        <w:t xml:space="preserve"> [2006] UKHL 16; [2007] 1 AC 136. 25. Xem tổng quát Chương 4. 26. Xem Chương 4.</w:t>
      </w:r>
    </w:p>
    <w:p>
      <w:pPr>
        <w:spacing w:after="80"/>
      </w:pPr>
      <w:r>
        <w:rPr>
          <w:b w:val="0"/>
          <w:i w:val="0"/>
        </w:rPr>
        <w:t>5</w:t>
      </w:r>
    </w:p>
    <w:p>
      <w:pPr>
        <w:spacing w:after="80"/>
      </w:pPr>
      <w:r>
        <w:rPr>
          <w:b w:val="0"/>
          <w:i w:val="0"/>
        </w:rPr>
        <w:t>việc đưa vào luật trong nước.27 Điều này có thể bao gồm một điều ước mà Vương quốc Anh không phải là thành viên.28</w:t>
      </w:r>
    </w:p>
    <w:p>
      <w:pPr>
        <w:spacing w:after="80"/>
      </w:pPr>
      <w:r>
        <w:rPr>
          <w:b w:val="0"/>
          <w:i w:val="0"/>
        </w:rPr>
        <w:t xml:space="preserve">Luật quốc tế tập quán cũng là một phần của hệ thống pháp luật của EU. Điều 3(5) TEU yêu cầu EU đóng góp vào việc tuân thủ nghiêm ngặt và phát triển luật quốc tế. Do đó, EU có nghĩa vụ tuân thủ toàn bộ luật quốc tế, bao gồm luật quốc tế tập quán, vốn ràng buộc các thể chế của EU.29 Trong </w:t>
      </w:r>
      <w:r>
        <w:rPr>
          <w:b w:val="0"/>
          <w:i/>
        </w:rPr>
        <w:t>Air Transport Association of America and Others v Secretary of State for Energy and Climate Change Case</w:t>
      </w:r>
      <w:r>
        <w:rPr>
          <w:b w:val="0"/>
          <w:i w:val="0"/>
        </w:rPr>
        <w:t>,30 một đơn yêu cầu đã được đệ trình để hủy bỏ các biện pháp của Vương quốc Anh thực thi Chỉ thị 2008/101 về khí nhà kính với lý do chúng trái pháp luật theo các điều ước quốc tế và luật quốc tế tập quán. Tòa án Công lý Châu Âu đã phán quyết rằng các nguyên tắc được công nhận của luật quốc tế tập quán có thể được viện dẫn không chỉ giữa các quốc gia mà còn bởi các cá nhân trong việc kiểm tra tính hợp pháp của một hành vi của EU.</w:t>
      </w:r>
    </w:p>
    <w:p>
      <w:pPr>
        <w:spacing w:after="80"/>
      </w:pPr>
      <w:r>
        <w:rPr>
          <w:b w:val="0"/>
          <w:i w:val="0"/>
        </w:rPr>
        <w:t>Một hệ quả quan trọng của việc đưa luật quốc tế vào luật Anh là luật quốc tế phải được xác lập bằng lập luận, như một vấn đề pháp lý trước tòa án. Do đó, nó được phân biệt với luật nước ngoài, vốn phải được chứng minh như một vấn đề thực tế, thường bằng chứng cứ chuyên gia.31 Chính vì lý do này mà chứng cứ chuyên gia về việc giải thích và áp dụng một điều ước là không thể chấp nhận.32 Không quan trọng liệu ý kiến chuyên gia có nhằm xem xét cách một tòa án nước ngoài hay địa phương sẽ giải thích điều ước hay không, vì về nguyên tắc, một điều ước chỉ có một ý nghĩa duy nhất.33</w:t>
      </w:r>
    </w:p>
    <w:p>
      <w:pPr>
        <w:spacing w:after="80"/>
      </w:pPr>
      <w:r>
        <w:rPr>
          <w:b/>
          <w:i w:val="0"/>
        </w:rPr>
        <w:t>§1.04 LUẬT QUỐC TẾ CÔNG CỘNG VÀ LUẬT QUỐC TẾ TƯ NHÂN</w:t>
      </w:r>
    </w:p>
    <w:p>
      <w:pPr>
        <w:spacing w:after="80"/>
      </w:pPr>
      <w:r>
        <w:rPr>
          <w:b w:val="0"/>
          <w:i w:val="0"/>
        </w:rPr>
        <w:t>Luật quốc tế công cộng cần được phân biệt với luật quốc tế tư nhân (hay xung đột pháp luật). Luật quốc tế công cộng đề cập đến hệ thống pháp luật bao gồm các quy phạm pháp lý được coi là ràng buộc đối với tất cả các thành viên của cộng đồng quốc tế. Luật quốc tế tư nhân là hệ thống pháp luật, phần lớn là trong nước, giải quyết các tình huống mà luật địa phương phải xử lý một hệ thống luật nước ngoài nào đó. Luật nước ngoài là luật của một quốc gia nước ngoài khác và luôn giữ nguyên như vậy. Luật quốc tế công cộng, như đã được giải thích,34 về nhiều phương diện là một phần của luật trong nước của một quốc gia.</w:t>
      </w:r>
    </w:p>
    <w:p>
      <w:pPr>
        <w:spacing w:after="80"/>
      </w:pPr>
      <w:r>
        <w:rPr>
          <w:b w:val="0"/>
          <w:i w:val="0"/>
        </w:rPr>
        <w:t xml:space="preserve">27. </w:t>
      </w:r>
      <w:r>
        <w:rPr>
          <w:b w:val="0"/>
          <w:i/>
        </w:rPr>
        <w:t>Fothergill v Monarch Airlines Ltd</w:t>
      </w:r>
      <w:r>
        <w:rPr>
          <w:b w:val="0"/>
          <w:i w:val="0"/>
        </w:rPr>
        <w:t xml:space="preserve"> [1981] AC 251 tại 282; [1980] 2 All ER 696 tại 706 (HL). 28. </w:t>
      </w:r>
      <w:r>
        <w:rPr>
          <w:b w:val="0"/>
          <w:i/>
        </w:rPr>
        <w:t>Republic of Ecuador v Occidental Exploration and Production Co</w:t>
      </w:r>
      <w:r>
        <w:rPr>
          <w:b w:val="0"/>
          <w:i w:val="0"/>
        </w:rPr>
        <w:t xml:space="preserve"> [2005] EWCA Civ 1116; [2006] QB 432; [2006] 2 All ER 225. 29. </w:t>
      </w:r>
      <w:r>
        <w:rPr>
          <w:b w:val="0"/>
          <w:i/>
        </w:rPr>
        <w:t>Poulsen and Diva Navigation</w:t>
      </w:r>
      <w:r>
        <w:rPr>
          <w:b w:val="0"/>
          <w:i w:val="0"/>
        </w:rPr>
        <w:t xml:space="preserve"> (Case C-286/90) [1992] ECR I-6019, đoạn 9 và 10; </w:t>
      </w:r>
      <w:r>
        <w:rPr>
          <w:b w:val="0"/>
          <w:i/>
        </w:rPr>
        <w:t>Racke</w:t>
      </w:r>
      <w:r>
        <w:rPr>
          <w:b w:val="0"/>
          <w:i w:val="0"/>
        </w:rPr>
        <w:t xml:space="preserve"> (Case C-162/96) [1998] ECR I-3655, đoạn 45 và 46. 30. </w:t>
      </w:r>
      <w:r>
        <w:rPr>
          <w:b w:val="0"/>
          <w:i/>
        </w:rPr>
        <w:t>Air Transport Association of America and Others v Secretary of State for Energy and Climate Change Case</w:t>
      </w:r>
      <w:r>
        <w:rPr>
          <w:b w:val="0"/>
          <w:i w:val="0"/>
        </w:rPr>
        <w:t xml:space="preserve"> (Case C-366/10) 2011 ECR 00000, ECLI:EU:C:2011:864, [2011] WLR (D) 386. 31. Ví dụ, xem </w:t>
      </w:r>
      <w:r>
        <w:rPr>
          <w:b w:val="0"/>
          <w:i/>
        </w:rPr>
        <w:t>First Nationwide v Revenue and Customs Commissioners</w:t>
      </w:r>
      <w:r>
        <w:rPr>
          <w:b w:val="0"/>
          <w:i w:val="0"/>
        </w:rPr>
        <w:t xml:space="preserve"> [2012] EWCA Civ 278; [2012] STC 1261, [2012] BTC 99; </w:t>
      </w:r>
      <w:r>
        <w:rPr>
          <w:b w:val="0"/>
          <w:i/>
        </w:rPr>
        <w:t>Revenue and Customs Commissioners v Anson</w:t>
      </w:r>
      <w:r>
        <w:rPr>
          <w:b w:val="0"/>
          <w:i w:val="0"/>
        </w:rPr>
        <w:t xml:space="preserve"> [2013] EWCA Civ 63, [2013] STC 557 CA, [2013] BTC 81. </w:t>
      </w:r>
      <w:r>
        <w:rPr>
          <w:b w:val="0"/>
          <w:i/>
        </w:rPr>
        <w:t>Anson v Commissioners for Her Majesty's Revenue and Customs</w:t>
      </w:r>
      <w:r>
        <w:rPr>
          <w:b w:val="0"/>
          <w:i w:val="0"/>
        </w:rPr>
        <w:t xml:space="preserve"> [2015] UKSC 44, [2015] STC 1777, [2015] BTC 21. 32. </w:t>
      </w:r>
      <w:r>
        <w:rPr>
          <w:b w:val="0"/>
          <w:i/>
        </w:rPr>
        <w:t>Revenue and Customs v Ben Nevis (Holdings) Ltd</w:t>
      </w:r>
      <w:r>
        <w:rPr>
          <w:b w:val="0"/>
          <w:i w:val="0"/>
        </w:rPr>
        <w:t xml:space="preserve"> [2012] STC 2157, [2012] BTC 240 [2012] EWHC 1807 (Ch) tại đoạn 41; được Tòa phúc thẩm duy trì: </w:t>
      </w:r>
      <w:r>
        <w:rPr>
          <w:b w:val="0"/>
          <w:i/>
        </w:rPr>
        <w:t>Ben Nevis (Holdings) Ltd v Revenue &amp; Customs</w:t>
      </w:r>
      <w:r>
        <w:rPr>
          <w:b w:val="0"/>
          <w:i w:val="0"/>
        </w:rPr>
        <w:t xml:space="preserve"> [2013] STC 1579, [2013] BTC 485, [2013] EWCA Civ 578 tại đoạn 39. 33. </w:t>
      </w:r>
      <w:r>
        <w:rPr>
          <w:b w:val="0"/>
          <w:i/>
        </w:rPr>
        <w:t>Macklin v Revenue and Customs</w:t>
      </w:r>
      <w:r>
        <w:rPr>
          <w:b w:val="0"/>
          <w:i w:val="0"/>
        </w:rPr>
        <w:t xml:space="preserve"> [2015] STC 1102</w:t>
      </w:r>
      <w:r>
        <w:rPr>
          <w:b w:val="0"/>
          <w:i/>
        </w:rPr>
        <w:t>,</w:t>
      </w:r>
      <w:r>
        <w:rPr>
          <w:b w:val="0"/>
          <w:i w:val="0"/>
        </w:rPr>
        <w:t xml:space="preserve"> [2015] BTC 503 [2015] UKUT 39 (TCC) tại đoạn 37. 34. Xem §1.03 ở trên.</w:t>
      </w:r>
    </w:p>
    <w:p>
      <w:pPr>
        <w:spacing w:after="80"/>
      </w:pPr>
      <w:r>
        <w:rPr>
          <w:b w:val="0"/>
          <w:i w:val="0"/>
        </w:rPr>
        <w:t>6</w:t>
      </w:r>
    </w:p>
    <w:p>
      <w:pPr>
        <w:spacing w:after="80"/>
      </w:pPr>
      <w:r>
        <w:rPr>
          <w:b w:val="0"/>
          <w:i w:val="0"/>
        </w:rPr>
        <w:t>Ngoại trừ các điều ước về thuế, luật thuế, với tư cách là một sản phẩm của pháp luật, hoàn toàn là một vấn đề của luật trong nước. Tuy nhiên, luật quốc tế tư nhân đóng một vai trò quan trọng trong việc đánh thuế xuyên biên giới. Hai khía cạnh có tầm quan trọng hàng đầu: lựa chọn luật áp dụng và thẩm quyền tài phán.</w:t>
      </w:r>
    </w:p>
    <w:p>
      <w:pPr>
        <w:spacing w:after="80"/>
      </w:pPr>
      <w:r>
        <w:rPr>
          <w:b w:val="0"/>
          <w:i w:val="0"/>
        </w:rPr>
        <w:t>Cụ thể, khi xem xét việc áp dụng luật thuế đối với người nước ngoài hoặc các giao dịch nước ngoài, việc lựa chọn luật áp dụng thường chỉ ra, liên quan đến các quyền năng mà một pháp nhân được trao, luật riêng của nó, cụ thể là luật của quốc gia mà theo đó nó được thành lập.35 Điều này cũng đúng khi xem xét bản chất của các quyền tài sản36 hoặc đặc điểm của các thực thể nước ngoài.37</w:t>
      </w:r>
    </w:p>
    <w:p>
      <w:pPr>
        <w:spacing w:after="80"/>
      </w:pPr>
      <w:r>
        <w:rPr>
          <w:b w:val="0"/>
          <w:i w:val="0"/>
        </w:rPr>
        <w:t>Mặc dù chủ yếu là vấn đề của luật trong nước, các câu hỏi về lựa chọn luật thường được giải quyết bằng điều ước quốc tế nhằm tạo ra sự đối xử thống nhất giữa các quốc gia ký kết.38 Tương tự, các hiệp định thuế thường chứa các điều khoản hướng dẫn việc áp dụng luật trong nước của một trong các quốc gia ký kết.39 Do đó, các hiệp định theo mô hình OECD định nghĩa 'cổ tức' bằng cách tham chiếu đến luật thuế của quốc gia nơi công ty trả cổ tức cư trú. Ví dụ, Hiệp định Thuế Thu nhập Đức-Anh bao gồm bất kỳ 'khoản mục nào được đối xử thuế giống như thu nhập từ cổ phần theo luật của quốc gia mà công ty thực hiện phân phối cư trú, và thu nhập từ phân phối trên chứng chỉ của "Investmentvermögen" của Đức'.40</w:t>
      </w:r>
    </w:p>
    <w:p>
      <w:pPr>
        <w:spacing w:after="80"/>
      </w:pPr>
      <w:r>
        <w:rPr>
          <w:b w:val="0"/>
          <w:i w:val="0"/>
        </w:rPr>
        <w:t>Thẩm quyền của các tòa án Anh (và các quốc gia khác thuộc Vương quốc Anh), mặc dù là vấn đề của luật trong nước, bắt nguồn từ các khía cạnh quan trọng từ luật quốc tế tập quán, các nguyên tắc pháp lý chung được các quốc gia văn minh công nhận và các điều ước quốc tế. Những điều này bao gồm 'Quy tắc Doanh thu'41 và các giới hạn về khả năng chịu sự tài phán của tòa án địa phương của các quốc gia nước ngoài và do đó đối với việc đánh thuế.42</w:t>
      </w:r>
    </w:p>
    <w:p>
      <w:pPr>
        <w:spacing w:after="80"/>
      </w:pPr>
      <w:r>
        <w:rPr>
          <w:b/>
          <w:i w:val="0"/>
        </w:rPr>
        <w:t>§1.05 CÁC QUỐC GIA</w:t>
      </w:r>
    </w:p>
    <w:p>
      <w:pPr>
        <w:spacing w:after="80"/>
      </w:pPr>
      <w:r>
        <w:rPr>
          <w:b w:val="0"/>
          <w:i w:val="0"/>
        </w:rPr>
        <w:t>Các quốc gia là chủ thể chính của luật quốc tế. Công ước Montevideo năm 1933 về Quyền và Nghĩa vụ của các Quốc gia,43 mặc dù chỉ được một số quốc gia Mỹ Latinh và Hoa Kỳ phê chuẩn, chứa đựng một bản tóm tắt hữu ích về các tiêu chí để trở thành quốc gia:</w:t>
      </w:r>
    </w:p>
    <w:p>
      <w:pPr>
        <w:spacing w:after="80"/>
      </w:pPr>
      <w:r>
        <w:rPr>
          <w:b w:val="0"/>
          <w:i w:val="0"/>
        </w:rPr>
        <w:t>35.</w:t>
      </w:r>
      <w:r>
        <w:rPr>
          <w:b w:val="0"/>
          <w:i/>
        </w:rPr>
        <w:t>Rae (Inspector of Taxes) v Lazard Investment Co Ltd</w:t>
      </w:r>
      <w:r>
        <w:rPr>
          <w:b w:val="0"/>
          <w:i w:val="0"/>
        </w:rPr>
        <w:t xml:space="preserve"> (1963) 41 TC 1; [1963] 1 WLR 555, HL.36.</w:t>
      </w:r>
      <w:r>
        <w:rPr>
          <w:b w:val="0"/>
          <w:i/>
        </w:rPr>
        <w:t>Archer-Shee v Baker (H M Inspector of Taxes)</w:t>
      </w:r>
      <w:r>
        <w:rPr>
          <w:b w:val="0"/>
          <w:i w:val="0"/>
        </w:rPr>
        <w:t xml:space="preserve"> (1927) 11 TC 749; [1927] AC 844;</w:t>
      </w:r>
      <w:r>
        <w:rPr>
          <w:b w:val="0"/>
          <w:i/>
        </w:rPr>
        <w:t xml:space="preserve"> Garland (H MInspector of Taxes) v Archer-Shee</w:t>
      </w:r>
      <w:r>
        <w:rPr>
          <w:b w:val="0"/>
          <w:i w:val="0"/>
        </w:rPr>
        <w:t xml:space="preserve"> [1931] AC 212, (HL).37.</w:t>
      </w:r>
      <w:r>
        <w:rPr>
          <w:b w:val="0"/>
          <w:i/>
        </w:rPr>
        <w:t>Anson v Commissioners for Her Majesty's Revenue and Customs</w:t>
      </w:r>
      <w:r>
        <w:rPr>
          <w:b w:val="0"/>
          <w:i w:val="0"/>
        </w:rPr>
        <w:t xml:space="preserve"> [2015] STC 1777, [2015] BTC 21[2015] UKSC 44.38.Xem, ví dụ, Công ước về Luật Áp dụng cho Tín thác và về Việc Công nhận chúng ('Công ước Hague'), 20 tháng 10 năm 1984 (Cmnd 9494), được Vương quốc Anh thực thi bởi </w:t>
      </w:r>
      <w:r>
        <w:rPr>
          <w:b w:val="0"/>
          <w:i/>
        </w:rPr>
        <w:t>Recognition of Trusts Act</w:t>
      </w:r>
      <w:r>
        <w:rPr>
          <w:b w:val="0"/>
          <w:i w:val="0"/>
        </w:rPr>
        <w:t xml:space="preserve"> 1987.39.Xem Chương 4, §4.08.40.Công ước giữa Vương quốc Liên hiệp Anh và Bắc Ireland và Cộng hòa Liên bang Đức về Việc Tránh Đánh Thuế Hai lần và Ngăn ngừa Trốn thuế Liên quan đến Thuế Thu nhập và Vốn ngày 30 tháng 3 năm 2010 (SI 2010/2975), điều 10(3).41.Xem Chương 21.42.Xem §1.06 và Chương 11, §11.13 về các nhà ngoại giao và viên chức lãnh sự.43.Công ước về Quyền và Nghĩa vụ của các Quốc gia (Montevideo, 26 tháng 12 năm 1933) 49 Stat. 3097 TS 881.</w:t>
      </w:r>
    </w:p>
    <w:p>
      <w:pPr>
        <w:spacing w:after="80"/>
      </w:pPr>
      <w:r>
        <w:rPr>
          <w:b w:val="0"/>
          <w:i w:val="0"/>
        </w:rPr>
        <w:t>7</w:t>
      </w:r>
    </w:p>
    <w:p>
      <w:pPr>
        <w:spacing w:after="80"/>
      </w:pPr>
      <w:r>
        <w:rPr>
          <w:b w:val="0"/>
          <w:i w:val="0"/>
        </w:rPr>
        <w:t>Điều 1</w:t>
      </w:r>
    </w:p>
    <w:p>
      <w:pPr>
        <w:spacing w:after="80"/>
      </w:pPr>
      <w:r>
        <w:rPr>
          <w:b w:val="0"/>
          <w:i w:val="0"/>
        </w:rPr>
        <w:t>Quốc gia với tư cách là một chủ thể của luật quốc tế phải có các phẩm chất sau: a) dân cư thường trú; b) lãnh thổ xác định; c) chính phủ; và d) khả năng thiết lập quan hệ với các quốc gia khác.</w:t>
      </w:r>
    </w:p>
    <w:p>
      <w:pPr>
        <w:spacing w:after="80"/>
      </w:pPr>
      <w:r>
        <w:rPr>
          <w:b w:val="0"/>
          <w:i w:val="0"/>
        </w:rPr>
        <w:t>Điều 2</w:t>
      </w:r>
    </w:p>
    <w:p>
      <w:pPr>
        <w:spacing w:after="80"/>
      </w:pPr>
      <w:r>
        <w:rPr>
          <w:b w:val="0"/>
          <w:i w:val="0"/>
        </w:rPr>
        <w:t>Quốc gia liên bang phải tạo thành một chủ thể duy nhất trong con mắt của luật quốc tế.</w:t>
      </w:r>
    </w:p>
    <w:p>
      <w:pPr>
        <w:spacing w:after="80"/>
      </w:pPr>
      <w:r>
        <w:rPr>
          <w:b w:val="0"/>
          <w:i w:val="0"/>
        </w:rPr>
        <w:t>Mỗi tiêu chí có thể gây ra khó khăn. Tuy nhiên, các tranh chấp về biên giới hoặc sự vắng mặt của chính phủ hiệu quả không nhất thiết có nghĩa là một quốc gia không còn tồn tại. Trong bối cảnh thuế, ba tiêu chí đầu tiên được nêu trong Điều 1 là thiết yếu cho việc áp đặt thuế. Tiêu chí thứ tư, cụ thể là khả năng thiết lập quan hệ với các quốc gia khác, là thiết yếu cho việc ký kết một hiệp định hợp lệ. Trong các hệ thống liên bang, hiến pháp quốc gia sẽ xác định liệu các thành viên của liên bang, hay toàn bộ liên bang, có khả năng này hay không.44</w:t>
      </w:r>
    </w:p>
    <w:p>
      <w:pPr>
        <w:spacing w:after="80"/>
      </w:pPr>
      <w:r>
        <w:rPr>
          <w:b/>
          <w:i w:val="0"/>
        </w:rPr>
        <w:t>§1.06 MIỄN TRỪ THUẾ CHO QUỐC GIA</w:t>
      </w:r>
    </w:p>
    <w:p>
      <w:pPr>
        <w:spacing w:after="80"/>
      </w:pPr>
      <w:r>
        <w:rPr>
          <w:b w:val="0"/>
          <w:i w:val="0"/>
        </w:rPr>
        <w:t>Trong một số trường hợp nhất định, một quốc gia nước ngoài được quyền miễn trừ, nghĩa là, tự do khỏi thẩm quyền tài phán của một quốc gia khác. Điều này có thể mở rộng đến các quyền lập pháp, tư pháp và hành chính của quốc gia khác. Công ước của Liên hợp quốc về Quyền miễn trừ Tài phán của các Quốc gia và Tài sản của họ, được Đại hội đồng Liên hợp quốc thông qua45</w:t>
      </w:r>
    </w:p>
    <w:p>
      <w:pPr>
        <w:spacing w:after="80"/>
      </w:pPr>
      <w:r>
        <w:rPr>
          <w:b w:val="0"/>
          <w:i w:val="0"/>
        </w:rPr>
        <w:t>đại diện cho một bản hệ thống hóa luật quốc tế tập quán về chủ đề này.46 Nguyên tắc chung được nêu trong công ước là 'Một quốc gia được hưởng quyền miễn trừ đối với bản thân và tài sản của mình khỏi thẩm quyền tài phán của tòa án của một quốc gia khác, tùy thuộc vào các quy định của công ước hiện tại.'47 OECD, khi bình luận về việc áp dụng các hiệp định thuế đối với các thực thể thuộc sở hữu nhà nước, bao gồm các quỹ đầu tư quốc gia, ghi nhận sự thiếu nhất quán trong thực tiễn của các quốc gia:</w:t>
      </w:r>
    </w:p>
    <w:p>
      <w:pPr>
        <w:spacing w:after="80"/>
      </w:pPr>
      <w:r>
        <w:rPr>
          <w:b w:val="0"/>
          <w:i w:val="0"/>
        </w:rPr>
        <w:t>Tuy nhiên, không có sự đồng thuận quốc tế về các giới hạn chính xác của nguyên tắc miễn trừ chủ quyền. Hầu hết các Quốc gia, ví dụ, sẽ không công nhận rằng nguyên tắc này áp dụng cho các hoạt động kinh doanh và nhiều Quốc gia không công nhận bất kỳ ứng dụng nào của nguyên tắc này trong các vấn đề thuế. Do đó, có sự khác biệt đáng kể giữa các Quốc gia về mức độ, nếu có, mà nguyên tắc đó áp dụng cho việc đánh thuế. Ngay cả trong số các Quốc gia công nhận khả năng ứng dụng của nó trong các vấn đề thuế, một số chỉ áp dụng nó trong phạm vi nó đã được đưa vào luật trong nước và những quốc gia khác áp dụng nó như luật quốc tế tập quán nhưng với những hạn chế quan trọng.48</w:t>
      </w:r>
    </w:p>
    <w:p>
      <w:pPr>
        <w:spacing w:after="80"/>
      </w:pPr>
      <w:r>
        <w:rPr>
          <w:b w:val="0"/>
          <w:i w:val="0"/>
        </w:rPr>
        <w:t>44.Xem Chương 2, §2.12 về kế thừa quốc gia và Chương 11, §11.13 (Nhà ngoại giao và Viên chức Lãnh sự) và §11.14 (Dịch vụ Chính phủ).45.Công ước của Liên hợp quốc về Quyền miễn trừ Tài phán của các Quốc gia và Tài sản của họ (New York, 2 tháng 12 năm 2004), được thông qua bởi Nghị quyết 59/38 của Đại hội đồng Liên hợp quốc ngày 16 tháng 12 năm 2004.46.</w:t>
      </w:r>
      <w:r>
        <w:rPr>
          <w:b w:val="0"/>
          <w:i/>
        </w:rPr>
        <w:t>Jones v Ministry of the Interior of the Kingdom of Saudi Arabia</w:t>
      </w:r>
      <w:r>
        <w:rPr>
          <w:b w:val="0"/>
          <w:i w:val="0"/>
        </w:rPr>
        <w:t xml:space="preserve"> [2006] UKHL 26; [2007] 1 AC 270;[2007] 1 All ER 113 tại đoạn 47.47.Công ước LHQ về Miễn trừ Quốc gia, điều 5. Công ước LHQ nêu ra một số ngoại lệ trong Phần III nhưng không đề cập đến việc đánh thuế.48.Ủy ban về Các vấn đề Tài khóa của OECD, Bình luận về Điều 1 của Công ước Thuế Mẫu OECD, đoạn 6.11 (22 tháng 7 năm 2010).</w:t>
      </w:r>
    </w:p>
    <w:p>
      <w:pPr>
        <w:spacing w:after="80"/>
      </w:pPr>
      <w:r>
        <w:rPr>
          <w:b w:val="0"/>
          <w:i w:val="0"/>
        </w:rPr>
        <w:t>8</w:t>
      </w:r>
    </w:p>
    <w:p>
      <w:pPr>
        <w:spacing w:after="80"/>
      </w:pPr>
      <w:r>
        <w:rPr>
          <w:b w:val="0"/>
          <w:i w:val="0"/>
        </w:rPr>
        <w:t xml:space="preserve">Ở Vương quốc Anh, quyền miễn trừ quốc gia chủ yếu được điều chỉnh bởi </w:t>
      </w:r>
      <w:r>
        <w:rPr>
          <w:b w:val="0"/>
          <w:i/>
        </w:rPr>
        <w:t>Đạo luật Miễn trừ Quốc gia</w:t>
      </w:r>
      <w:r>
        <w:rPr>
          <w:b w:val="0"/>
          <w:i w:val="0"/>
        </w:rPr>
        <w:t xml:space="preserve"> 1978, được ban hành nhằm thực thi Công ước Châu Âu về Miễn trừ Quốc gia49. Đạo luật này thể chế hóa quan điểm của Vương quốc Anh về luật quốc tế tập quán, theo đó một quốc gia được miễn trừ khỏi thẩm quyền của tòa án Vương quốc Anh, trừ khi Đạo luật có quy định khác.50 Vấn đề thuế được đề cập một phần. Mục 11 quy định rằng một quốc gia không được miễn trừ khỏi các thủ tục tố tụng liên quan đến nghĩa vụ thuế của mình đối với:</w:t>
      </w:r>
    </w:p>
    <w:p>
      <w:pPr>
        <w:spacing w:after="80"/>
      </w:pPr>
      <w:r>
        <w:rPr>
          <w:b w:val="0"/>
          <w:i w:val="0"/>
        </w:rPr>
        <w:t>(a) thuế giá trị gia tăng, thuế hải quan hoặc tiêu thụ đặc biệt, hoặc bất kỳ loại thuế nông nghiệp nào; hoặc (b) thuế địa phương đối với cơ sở mà quốc gia đó chiếm giữ cho mục đích thương mại.</w:t>
      </w:r>
    </w:p>
    <w:p>
      <w:pPr>
        <w:spacing w:after="80"/>
      </w:pPr>
      <w:r>
        <w:rPr>
          <w:b w:val="0"/>
          <w:i w:val="0"/>
        </w:rPr>
        <w:t xml:space="preserve">Đạo luật không áp dụng cho bất kỳ thủ tục tố tụng nào liên quan đến thuế ngoài những trường hợp được đề cập trong mục 11.51 Trong </w:t>
      </w:r>
      <w:r>
        <w:rPr>
          <w:b w:val="0"/>
          <w:i/>
        </w:rPr>
        <w:t>R v IRC, ex p Camacq Corp,</w:t>
      </w:r>
      <w:r>
        <w:rPr>
          <w:b w:val="0"/>
          <w:i w:val="0"/>
        </w:rPr>
        <w:t xml:space="preserve">52 Tòa phúc thẩm đã phán quyết rằng bất kỳ loại thuế nào không được đề cập trong </w:t>
      </w:r>
      <w:r>
        <w:rPr>
          <w:b w:val="0"/>
          <w:i/>
        </w:rPr>
        <w:t>Đạo luật Miễn trừ Quốc gia</w:t>
      </w:r>
      <w:r>
        <w:rPr>
          <w:b w:val="0"/>
          <w:i w:val="0"/>
        </w:rPr>
        <w:t xml:space="preserve"> 1978, mục 11 đều hoàn toàn nằm ngoài phạm vi của Đạo luật và được điều chỉnh bởi luật tập quán.</w:t>
      </w:r>
    </w:p>
    <w:p>
      <w:pPr>
        <w:spacing w:after="80"/>
      </w:pPr>
      <w:r>
        <w:rPr>
          <w:b w:val="0"/>
          <w:i w:val="0"/>
        </w:rPr>
        <w:t xml:space="preserve">Lập trường theo luật tập quán đã được xem xét nhưng để ngỏ chưa giải quyết bởi Tòa án cấp cao trong vụ </w:t>
      </w:r>
      <w:r>
        <w:rPr>
          <w:b w:val="0"/>
          <w:i/>
        </w:rPr>
        <w:t>Camacq</w:t>
      </w:r>
      <w:r>
        <w:rPr>
          <w:b w:val="0"/>
          <w:i w:val="0"/>
        </w:rPr>
        <w:t xml:space="preserve">. Ở đó, các Bên nộp đơn đã lập luận rằng, trong lĩnh vực thuế, quyền miễn trừ chủ quyền là một nguyên tắc của luật quốc tế công, đã được tiếp nhận vào luật Anh và đã được Tổng Chưởng lý (Paymaster General) thừa nhận tại Hạ viện vào ngày 21 tháng 6 năm 1988, khi ông tuyên bố liên quan đến </w:t>
      </w:r>
      <w:r>
        <w:rPr>
          <w:b w:val="0"/>
          <w:i/>
        </w:rPr>
        <w:t>Kuwait Investment Office</w:t>
      </w:r>
      <w:r>
        <w:rPr>
          <w:b w:val="0"/>
          <w:i w:val="0"/>
        </w:rPr>
        <w:t>: ‘thu nhập, lợi nhuận và lợi tức của các quốc vương, quốc gia nước ngoài và các bộ phận cấu thành của chính phủ nước ngoài phát sinh tại Vương quốc Anh được miễn trừ khỏi thuế Vương quốc Anh’.53 Tại Tòa phúc thẩm, Vương quyền (Crown) lập luận rằng các quốc vương nước ngoài không được miễn trừ thuế thu nhập. Thẩm phán Dillon LJ, lưu ý rằng đây là sự đảo ngược thực tiễn trước đây của họ, nói rằng vấn đề này rất quan trọng và rất mong muốn rằng nó nên được làm rõ bằng luật pháp nếu Vương quyền có ý định duy trì lập trường mới. Ông không nghĩ rằng Tòa án nên mạo hiểm đưa ra quyết định trong vụ đó. Không có luật nào được ban hành sau đó.54</w:t>
      </w:r>
    </w:p>
    <w:p>
      <w:pPr>
        <w:spacing w:after="80"/>
      </w:pPr>
      <w:r>
        <w:rPr>
          <w:b w:val="0"/>
          <w:i w:val="0"/>
        </w:rPr>
        <w:t>Thực tiễn được HMRC công bố là ‘Thu nhập và lợi tức phát sinh cho, và thuộc quyền sở hữu hữu ích duy nhất của Người đứng đầu (ví dụ như một Quốc vương trị vì hoặc Tổng thống) của một Quốc gia có chủ quyền độc lập nước ngoài, Phối ngẫu của Người đứng đầu Nhà nước đó, một Chính phủ có chủ quyền độc lập nước ngoài thường được miễn trừ thuế. Quyền miễn trừ này, được gọi là Quyền miễn trừ Chủ quyền khỏi thuế, có nguồn gốc từ một nguyên tắc chung của luật quốc tế rằng một Quốc vương không nên áp đặt luật nội địa của mình lên một Quốc vương khác.’55 Quyền miễn trừ của Vương quyền áp dụng trong trường hợp một số quốc gia thuộc Khối Thịnh vượng chung. Thực tiễn được HMRC công bố nêu rõ: ‘Vương quyền không nằm trong</w:t>
      </w:r>
    </w:p>
    <w:p>
      <w:pPr>
        <w:spacing w:after="80"/>
      </w:pPr>
      <w:r>
        <w:rPr>
          <w:b w:val="0"/>
          <w:i w:val="0"/>
        </w:rPr>
        <w:t xml:space="preserve">49. Công ước Châu Âu về Miễn trừ Quốc gia, Basle, 16 tháng 5 năm 1972, TS 74 (1979); Cmnd 7742. 50. </w:t>
      </w:r>
      <w:r>
        <w:rPr>
          <w:b w:val="0"/>
          <w:i/>
        </w:rPr>
        <w:t>Đạo luật Miễn trừ Quốc gia</w:t>
      </w:r>
      <w:r>
        <w:rPr>
          <w:b w:val="0"/>
          <w:i w:val="0"/>
        </w:rPr>
        <w:t xml:space="preserve"> 1978, mục 1(1). 51. </w:t>
      </w:r>
      <w:r>
        <w:rPr>
          <w:b w:val="0"/>
          <w:i/>
        </w:rPr>
        <w:t>Đạo luật Miễn trừ Quốc gia</w:t>
      </w:r>
      <w:r>
        <w:rPr>
          <w:b w:val="0"/>
          <w:i w:val="0"/>
        </w:rPr>
        <w:t xml:space="preserve"> 1978, mục 16(5). 52. </w:t>
      </w:r>
      <w:r>
        <w:rPr>
          <w:b w:val="0"/>
          <w:i/>
        </w:rPr>
        <w:t>R v IRC, ex p Camacq Corp</w:t>
      </w:r>
      <w:r>
        <w:rPr>
          <w:b w:val="0"/>
          <w:i w:val="0"/>
        </w:rPr>
        <w:t xml:space="preserve"> [1990] 1 All ER 173; [1990] 1 WLR 191, CA. 53. Xem HC Official Report, Standing Committee A (Finance (No. 2) Bill), 21 tháng 6 năm 1988, cột 578; </w:t>
      </w:r>
      <w:r>
        <w:rPr>
          <w:b w:val="0"/>
          <w:i/>
        </w:rPr>
        <w:t>R v IRC, ex p Camacq Corp</w:t>
      </w:r>
      <w:r>
        <w:rPr>
          <w:b w:val="0"/>
          <w:i w:val="0"/>
        </w:rPr>
        <w:t xml:space="preserve"> [1990] 1 All ER 173 tại 181. 54. Tại tr. 190. 55. HMRC, International Manual, INTM368520, cập nhật lần cuối ngày 22 tháng 9 năm 2011. Xem thêm HMRC, International Manual, INTM155010: ‘Vương quốc Anh công nhận nguyên tắc luật quốc tế được gọi là quyền miễn trừ chủ quyền, theo đó một quốc gia có chủ quyền không tìm cách áp dụng luật nội địa của mình lên một quốc gia có chủ quyền khác. Phù hợp với nguyên tắc này, thực tiễn hiện hành của Vương quốc Anh</w:t>
      </w:r>
    </w:p>
    <w:p>
      <w:pPr>
        <w:spacing w:after="80"/>
      </w:pPr>
      <w:r>
        <w:rPr>
          <w:b w:val="0"/>
          <w:i w:val="0"/>
        </w:rPr>
        <w:t>9</w:t>
      </w:r>
    </w:p>
    <w:p>
      <w:pPr>
        <w:spacing w:after="80"/>
      </w:pPr>
      <w:r>
        <w:rPr>
          <w:b w:val="0"/>
          <w:i w:val="0"/>
        </w:rPr>
        <w:t>phạm vi của các đạo luật thuế và có thể yêu cầu miễn trừ hoàn toàn trừ khi một Đạo luật cụ thể quy định rằng nó phải chịu trách nhiệm. Quyền miễn trừ chung khỏi thuế trực thu này được gọi là Quyền miễn trừ của Vương quyền khỏi thuế. Đối với mục đích của Quyền miễn trừ của Vương quyền, Vương quyền bao gồm chính phủ của bất kỳ quốc gia thuộc Khối Thịnh vượng chung nào mà Nữ hoàng là Người đứng đầu Nhà nước, các lãnh thổ phụ thuộc của Vương quốc Anh và Quần đảo Channel và Đảo Man.’56</w:t>
      </w:r>
    </w:p>
    <w:p>
      <w:pPr>
        <w:spacing w:after="80"/>
      </w:pPr>
      <w:r>
        <w:rPr>
          <w:b w:val="0"/>
          <w:i w:val="0"/>
        </w:rPr>
        <w:t>Sự không chắc chắn về phạm vi miễn trừ thuế mở rộng đến các cơ quan khác nhau của quốc gia do phạm vi rộng lớn các hoạt động và hình thức pháp lý được các quốc gia hiện đại áp dụng. Thực tiễn của HMRC trong vấn đề này rất rõ ràng: Quyền miễn trừ Chủ quyền khỏi thuế không áp dụng cho thu nhập phát sinh cho và thuộc quyền sở hữu hữu ích của một pháp nhân tách biệt với Chính phủ nước ngoài, ngay cả khi chính phủ đó có thể sở hữu toàn bộ vốn cổ phần.57 Do đó, nhiều hiệp ước mở rộng lợi ích cho các cơ quan của quốc gia.58</w:t>
      </w:r>
    </w:p>
    <w:p>
      <w:pPr>
        <w:spacing w:after="80"/>
      </w:pPr>
      <w:r>
        <w:rPr>
          <w:b/>
          <w:i w:val="0"/>
        </w:rPr>
        <w:t>§1.07 CÁC TỔ CHỨC QUỐC TẾ</w:t>
      </w:r>
    </w:p>
    <w:p>
      <w:pPr>
        <w:spacing w:after="80"/>
      </w:pPr>
      <w:r>
        <w:rPr>
          <w:b w:val="0"/>
          <w:i w:val="0"/>
        </w:rPr>
        <w:t xml:space="preserve">‘Các tổ chức quốc tế’ là các tổ chức liên chính phủ.59 Do đó, các tổ chức như vậy là sản phẩm của hiệp ước và hiến chương cũng như bản chất của chúng được xác định bởi các văn kiện mà chúng được thành lập. Trong </w:t>
      </w:r>
      <w:r>
        <w:rPr>
          <w:b w:val="0"/>
          <w:i/>
        </w:rPr>
        <w:t>Use by a State of Nuclear Weapons in Armed Conflict (Request by WHO)</w:t>
      </w:r>
      <w:r>
        <w:rPr>
          <w:b w:val="0"/>
          <w:i w:val="0"/>
        </w:rPr>
        <w:t>, ICJ đã nói:60</w:t>
      </w:r>
    </w:p>
    <w:p>
      <w:pPr>
        <w:spacing w:after="80"/>
      </w:pPr>
      <w:r>
        <w:rPr>
          <w:b w:val="0"/>
          <w:i w:val="0"/>
        </w:rPr>
        <w:t>Để phân định lĩnh vực hoạt động hoặc phạm vi thẩm quyền của một tổ chức quốc tế, người ta phải tham chiếu các quy tắc liên quan của tổ chức đó và, trước hết, đến hiến chương của nó. Từ quan điểm hình thức, các văn kiện thành lập của các tổ chức quốc tế là các hiệp ước đa phương, mà các quy tắc giải thích hiệp ước đã được thiết lập vững chắc sẽ được áp dụng.</w:t>
      </w:r>
    </w:p>
    <w:p>
      <w:pPr>
        <w:spacing w:after="80"/>
      </w:pPr>
      <w:r>
        <w:rPr>
          <w:b w:val="0"/>
          <w:i w:val="0"/>
        </w:rPr>
        <w:t>Không có tổ chức quốc tế nào được giao nhiệm vụ áp đặt hoặc quản lý thuế. Tuy nhiên, các tổ chức quốc tế, đặc biệt dưới hình thức Tổ chức Hợp tác và Phát triển Kinh tế (OECD) và Liên Hợp Quốc (UN), có tác động đáng kể đến thuế quốc tế và đặc biệt là đến các hiệp ước thuế.</w:t>
      </w:r>
    </w:p>
    <w:p>
      <w:pPr>
        <w:spacing w:after="80"/>
      </w:pPr>
      <w:r>
        <w:rPr>
          <w:b/>
          <w:i w:val="0"/>
        </w:rPr>
        <w:t>[A] Liên Hợp Quốc</w:t>
      </w:r>
    </w:p>
    <w:p>
      <w:pPr>
        <w:spacing w:after="80"/>
      </w:pPr>
      <w:r>
        <w:rPr>
          <w:b w:val="0"/>
          <w:i w:val="0"/>
        </w:rPr>
        <w:t>UN ra đời vào ngày 24 tháng 10 năm 1945.61 Ủy ban Chuyên gia về Hợp tác Quốc tế trong các vấn đề Thuế là một ủy ban trực thuộc của Bộ Kinh tế</w:t>
      </w:r>
    </w:p>
    <w:p>
      <w:pPr>
        <w:spacing w:after="80"/>
      </w:pPr>
      <w:r>
        <w:rPr>
          <w:b w:val="0"/>
          <w:i w:val="0"/>
        </w:rPr>
        <w:t>là coi mọi khoản thu nhập và lợi nhuận thuộc quyền sở hữu hưởng lợi của nguyên thủ quốc gia và chính phủ của một quốc gia có chủ quyền nước ngoài được Vương quốc Anh công nhận là được miễn thuế trực tiếp.’56.HMRC, International Manual, INTM368510, cập nhật lần cuối ngày 22 tháng 9 năm 2011.57.HMRC, International Manual, INTM368520, cập nhật lần cuối ngày 22 tháng 9 năm 2011.58.Xem Chương 6, §6.08.59.Công ước Vienna về Luật Điều ước giữa các Quốc gia và Tổ chức Quốc tế (Vienna, 21 tháng 3 năm 1986) (Chưa có hiệu lực), điều 2(1)(i).60.Tính hợp pháp của việc một Quốc gia sử dụng Vũ khí Hạt nhân trong Xung đột Vũ trang (Yêu cầu của WHO) Ý kiến Tư vấn ngày 8 tháng 7 năm 1996, ICJ. Reports 1996, 66 tại tr. 74-75.61.Hiến chương Liên hợp quốc (San Francisco, 26 tháng 6 năm 1945; TS 67 (1946); Cmd 7015) (Hiến chương LHQ).</w:t>
      </w:r>
    </w:p>
    <w:p>
      <w:pPr>
        <w:spacing w:after="80"/>
      </w:pPr>
      <w:r>
        <w:rPr>
          <w:b w:val="0"/>
          <w:i w:val="0"/>
        </w:rPr>
        <w:t>10</w:t>
      </w:r>
    </w:p>
    <w:p>
      <w:pPr>
        <w:spacing w:after="80"/>
      </w:pPr>
      <w:r>
        <w:rPr>
          <w:b w:val="0"/>
          <w:i w:val="0"/>
        </w:rPr>
        <w:t>và Hội đồng Kinh tế và Xã hội (ECOSOC).62Các chức năng và quyền hạn của ECOSOC được quy định tại Chương X của Hiến chương LHQ. Cơ quan này được phép thực hiện các nghiên cứu và báo cáo, soạn thảo các dự thảo công ước để trình lên Đại hội đồng, và triệu tập các hội nghị liên quan đến các vấn đề thuộc thẩm quyền của mình.63Ủy ban Chuyên gia chịu trách nhiệm về Công ước Mẫu của LHQ về Đánh thuế Hai lần giữa các Quốc gia Phát triển và Đang phát triển và Sổ tay Hướng dẫn Đàm phán Điều ước Thuế Song phương giữa các Quốc gia Phát triển và Đang phát triển. Ủy ban cũng cung cấp một khuôn khổ cho đối thoại nhằm tăng cường và thúc đẩy hợp tác thuế quốc tế giữa các cơ quan thuế quốc gia và đánh giá cách các vấn đề mới và đang nổi lên có thể ảnh hưởng đến sự hợp tác này.</w:t>
      </w:r>
    </w:p>
    <w:p>
      <w:pPr>
        <w:spacing w:after="80"/>
      </w:pPr>
      <w:r>
        <w:rPr>
          <w:b w:val="0"/>
          <w:i w:val="0"/>
        </w:rPr>
        <w:t>Rõ ràng là công việc của Ủy ban Chuyên gia chỉ có thể mang tính chất khuyến nghị. Những khuyến nghị này không ràng buộc các quốc gia thành viên LHQ. Các khuyến nghị thuộc thẩm quyền của ECOSOC có thể được đối chiếu với các quyết định của Hội đồng Bảo an mà các thành viên LHQ có nghĩa vụ chấp nhận và thực hiện.64</w:t>
      </w:r>
    </w:p>
    <w:p>
      <w:pPr>
        <w:spacing w:after="80"/>
      </w:pPr>
      <w:r>
        <w:rPr>
          <w:b/>
          <w:i w:val="0"/>
        </w:rPr>
        <w:t>[B]OECD</w:t>
      </w:r>
    </w:p>
    <w:p>
      <w:pPr>
        <w:spacing w:after="80"/>
      </w:pPr>
      <w:r>
        <w:rPr>
          <w:b w:val="0"/>
          <w:i w:val="0"/>
        </w:rPr>
        <w:t>OECD được thành lập vào năm 196065 với tư cách là tổ chức kế nhiệm Tổ chức Hợp tác Kinh tế Châu Âu. Với tư cách đó, tổ chức này tiếp tục công việc mà Tổ chức Hợp tác Kinh tế Châu Âu, và trước đó là Hội Quốc Liên, đã thực hiện về các điều ước đánh thuế hai lần.</w:t>
      </w:r>
    </w:p>
    <w:p>
      <w:pPr>
        <w:spacing w:after="80"/>
      </w:pPr>
      <w:r>
        <w:rPr>
          <w:b w:val="0"/>
          <w:i w:val="0"/>
        </w:rPr>
        <w:t>Ủy ban Các vấn đề Tài khóa (CFA), được thành lập ngày 1 tháng 5 năm 1971, phụ trách các vấn đề về chính sách thuế và quản lý thuế. Các sản phẩm công việc chính của Ủy ban liên quan đến các điều ước thuế như Công ước Mẫu về Đánh thuế Thu nhập66 và Công ước Mẫu về Đánh thuế Bất động sản thừa kế và Quà tặng67 được Hội đồng OECD thông qua dưới dạng các khuyến nghị đưa ra theo điều 5(b) của Công ước OECD. OECD có khả năng đưa ra các quyết định ràng buộc các thành viên của mình.68Việc lựa chọn sử dụng thẩm quyền của mình để đưa ra khuyến nghị là một dấu hiệu rõ ràng về ý định không tạo ra các quy tắc ràng buộc. Các khuyến nghị áp dụng các thông lệ cụ thể, tự thân, không cấu thành thông lệ của các quốc gia cũng như về mặt điều khoản sẽ không ràng buộc các quốc gia đến mức được chấp nhận là luật quốc tế tập quán.</w:t>
      </w:r>
    </w:p>
    <w:p>
      <w:pPr>
        <w:spacing w:after="80"/>
      </w:pPr>
      <w:r>
        <w:rPr>
          <w:b w:val="0"/>
          <w:i w:val="0"/>
        </w:rPr>
        <w:t>Việc CFA thành lập các cơ quan trực thuộc và việc mở rộng vai trò và sự tham gia của chúng thể hiện một sự chuyển dịch đáng kể trong vai trò của tổ chức nhằm thực thi việc tuân thủ các nghĩa vụ quốc tế. Diễn đàn về các Thông lệ Thuế Có hại (FHTP) được tổ chức vào năm 1998, với các hướng dẫn và thời gian biểu cho các quốc gia thành viên</w:t>
      </w:r>
    </w:p>
    <w:p>
      <w:pPr>
        <w:spacing w:after="80"/>
      </w:pPr>
      <w:r>
        <w:rPr>
          <w:b w:val="0"/>
          <w:i w:val="0"/>
        </w:rPr>
        <w:t>62.Hiến chương LHQ, điều 68.63.Hiến chương LHQ, điều 62.64.Hiến chương LHQ, điều 25.65.Công ước về Tổ chức Hợp tác và Phát triển Kinh tế (Paris, 14 tháng 12 năm 1960, TS 21 (1962); Cmnd 1646) (‘Công ước OECD’).66.Khuyến nghị của Hội đồng liên quan đến Công ước Mẫu về Đánh thuế Thu nhập và Vốn ngày 23 tháng 10 năm 1997 – C(97)195/FINAL.67.Khuyến nghị của Hội đồng liên quan đến Việc Tránh Đánh thuế Hai lần đối với Thuế Bất động sản thừa kế và Quà tặng, ngày 3 tháng 6 năm 1982 – C(82)64/FINAL.68.Công ước OECD, điều 5(a).</w:t>
      </w:r>
    </w:p>
    <w:p>
      <w:pPr>
        <w:spacing w:after="80"/>
      </w:pPr>
      <w:r>
        <w:rPr>
          <w:b w:val="0"/>
          <w:i w:val="0"/>
        </w:rPr>
        <w:t>11</w:t>
      </w:r>
    </w:p>
    <w:p>
      <w:pPr>
        <w:spacing w:after="80"/>
      </w:pPr>
      <w:r>
        <w:rPr>
          <w:b w:val="0"/>
          <w:i w:val="0"/>
        </w:rPr>
        <w:t>để xác định, báo cáo và loại bỏ các đặc điểm có hại trong các chế độ ưu đãi của họ.69Năm 2002, các quốc gia không phải thành viên được mời tham gia diễn đàn với tư cách đối tác.70</w:t>
      </w:r>
    </w:p>
    <w:p>
      <w:pPr>
        <w:spacing w:after="80"/>
      </w:pPr>
      <w:r>
        <w:rPr>
          <w:b w:val="0"/>
          <w:i w:val="0"/>
        </w:rPr>
        <w:t>Năm 2002 cũng chứng kiến sự ra đời của Diễn đàn về Quản lý Thuế (FTA) nhằm tạo điều kiện thảo luận giữa các quan chức quản lý thuế của cả các quốc gia thành viên và không phải thành viên. Năm 2009, Diễn đàn Toàn cầu về Minh bạch và Trao đổi Thông tin vì Mục đích Thuế71 đã đẩy nhanh quá trình này. Nhiệm vụ của Diễn đàn Toàn cầu là ‘đảm bảo việc thực hiện toàn cầu nhanh chóng và hiệu quả các tiêu chuẩn về minh bạch và trao đổi thông tin vì mục đích thuế’.72Điều này sẽ đạt được thông qua ‘giám sát chuyên sâu và đánh giá đồng cấp’ việc thực hiện của các thành viên.</w:t>
      </w:r>
    </w:p>
    <w:p>
      <w:pPr>
        <w:spacing w:after="80"/>
      </w:pPr>
      <w:r>
        <w:rPr>
          <w:b w:val="0"/>
          <w:i w:val="0"/>
        </w:rPr>
        <w:t xml:space="preserve">Diễn đàn Toàn cầu được thiết kế để hoạt động theo đồng thuận, và tư cách thành viên sẽ ngụ ý sự đồng ý với các điều khoản của nó. Điều này bao gồm việc một thành viên không thể ngăn chặn việc thông qua hoặc công bố một đánh giá đồng cấp. Cơ sở pháp lý cho diễn đàn dường như là điều 5(a) của Công ước OECD liên quan đến các thành viên OECD. Tuy nhiên, tư cách thành viên cũng mở cho các quốc gia G20 và các khu vực tài phán khác được đề cập trong báo cáo OECD </w:t>
      </w:r>
      <w:r>
        <w:rPr>
          <w:b w:val="0"/>
          <w:i/>
        </w:rPr>
        <w:t>TaxCo-operation2009:towardsalevelplayingfield</w:t>
      </w:r>
      <w:r>
        <w:rPr>
          <w:b w:val="0"/>
          <w:i w:val="0"/>
        </w:rPr>
        <w:t>, cũng như các khu vực tài phán khác nếu họ cam kết thực hiện các tiêu chuẩn và chấp nhận được đánh giá.73Quan hệ với các quốc gia không phải thành viên OECD được điều chỉnh bởi điều 5(c) và 12 của Công ước OECD.</w:t>
      </w:r>
    </w:p>
    <w:p>
      <w:pPr>
        <w:spacing w:after="80"/>
      </w:pPr>
      <w:r>
        <w:rPr>
          <w:b w:val="0"/>
          <w:i w:val="0"/>
        </w:rPr>
        <w:t>Việc công bố các báo cáo cuối cùng của Kế hoạch Hành động về Xói mòn Cơ sở Thuế và Chuyển dịch Lợi nhuận (BEPS) bao gồm bốn ‘tiêu chuẩn tối thiểu’. Hai trong số này bao gồm các yêu cầu về minh bạch và trao đổi thông tin. Hành động 5 yêu cầu trao đổi thông tin về các thỏa thuận thuế. Hành động 13 yêu cầu các quốc gia nơi các doanh nghiệp đa quốc gia lớn hoạt động phải trao đổi Báo cáo Quốc gia theo Quốc gia nêu rõ dữ liệu về phân bổ toàn cầu thu nhập, lợi nhuận, thuế đã nộp và hoạt động kinh tế của các doanh nghiệp đó. Hành động 5 và 13 cũng có thể yêu cầu các quốc gia sửa đổi luật trong nước của họ. Hành động 5 yêu cầu việc đưa ra ‘yêu cầu về hoạt động đáng kể’ đối với các chế độ thuế ưu đãi và loại bỏ những chế độ được phân loại là có hại. Nhiều quốc gia cũng yêu cầu sửa đổi luật trong nước để buộc các doanh nghiệp chuẩn bị và nộp báo cáo Hành động 13.74</w:t>
      </w:r>
    </w:p>
    <w:p>
      <w:pPr>
        <w:spacing w:after="80"/>
      </w:pPr>
      <w:r>
        <w:rPr>
          <w:b w:val="0"/>
          <w:i w:val="0"/>
        </w:rPr>
        <w:t>Tiêu chuẩn tối thiểu của Hành động 6 yêu cầu một số điều khoản chống lạm dụng nhất định phải được đưa vào các điều ước đánh thuế hai lần nếu một trong các quốc gia liên quan yêu cầu.75Hành động 14 cũng yêu cầu một số điều khoản nhất định phải được đưa vào các điều ước để cải thiện việc giải quyết tranh chấp.</w:t>
      </w:r>
    </w:p>
    <w:p>
      <w:pPr>
        <w:spacing w:after="80"/>
      </w:pPr>
      <w:r>
        <w:rPr>
          <w:b w:val="0"/>
          <w:i w:val="0"/>
        </w:rPr>
        <w:t>69.OECD, Harmful Tax Competition, An Emerging Global Issue (1998) Chương 3, Phần IV.70.OECD,TowardsGlobalTaxCo-operationReporttothe2000MinisterialCouncilMeetingandRecommendations by the Committee on Fiscal Affairs, Progress in Identifying and EliminatingHarmful Tax Practices (2002) Chương IV.71.Quyết định của Hội đồng OECD về việc Thành lập Diễn đàn Toàn cầu về Minh bạch và Trao đổi Thông tin vì Mục đích Thuế (được Hội đồng thông qua tại Phiên họp thứ 1204 ngày 17 tháng 9 năm 2009) C(2009)122/FINAL.72.Xem Chương 22.73.www.oecd.org/tax/transparency/about-the-global-forum/#d.en.341948 truy cập ngày 4 tháng 8 năm 2017.74.Xem Chương 22 về các biện pháp trao đổi thông tin, đặc biệt là §22.01, §22.12, §22.23 và §22.24.75.Tiêu chuẩn tối thiểu của Hành động 6 được thảo luận trong Chương 17, §17.13 và Chương 18, §18.02.</w:t>
      </w:r>
    </w:p>
    <w:p>
      <w:pPr>
        <w:spacing w:after="80"/>
      </w:pPr>
      <w:r>
        <w:rPr>
          <w:b w:val="0"/>
          <w:i w:val="0"/>
        </w:rPr>
        <w:t>12</w:t>
      </w:r>
    </w:p>
    <w:p>
      <w:pPr>
        <w:spacing w:after="80"/>
      </w:pPr>
      <w:r>
        <w:rPr>
          <w:b w:val="0"/>
          <w:i w:val="0"/>
        </w:rPr>
        <w:t>FTA, được thành lập bởi OECD CFA, cũng tìm cách thúc đẩy việc tuân thủ tiêu chuẩn tối thiểu và thông lệ tốt nhất liên quan đến việc làm cho các cơ chế giải quyết tranh chấp hiệu quả hơn, theo Dự án OECD/G20 BEPS, Hành động 14 thông qua quy trình đánh giá đồng cấp.76</w:t>
      </w:r>
    </w:p>
    <w:p>
      <w:pPr>
        <w:spacing w:after="80"/>
      </w:pPr>
      <w:r>
        <w:rPr>
          <w:b w:val="0"/>
          <w:i w:val="0"/>
        </w:rPr>
        <w:t xml:space="preserve">Rộng hơn, vào năm 2016, Khuôn khổ Toàn diện về BEPS (Inclusive Framework on BEPS) được thành lập để thực hiện các đề xuất BEPS.77 Cũng như các </w:t>
      </w:r>
      <w:r>
        <w:rPr>
          <w:b w:val="0"/>
          <w:i/>
        </w:rPr>
        <w:t>diễn đàn</w:t>
      </w:r>
      <w:r>
        <w:rPr>
          <w:b w:val="0"/>
          <w:i w:val="0"/>
        </w:rPr>
        <w:t xml:space="preserve"> khác, các quốc gia và khu vực tài phán tham gia khuôn khổ này được yêu cầu cam kết với gói BEPS và việc thực hiện nhất quán gói này, đồng thời phải trả một khoản phí hàng năm. Các quốc gia không phải thành viên tham gia với tư cách 'BEPS Associates'.78</w:t>
      </w:r>
    </w:p>
    <w:p>
      <w:pPr>
        <w:spacing w:after="80"/>
      </w:pPr>
      <w:r>
        <w:rPr>
          <w:b w:val="0"/>
          <w:i w:val="0"/>
        </w:rPr>
        <w:t>Những phát triển này đã dẫn đến những gợi ý rằng một luật quốc tế tập quán về thuế đang hình thành.79 Mặc dù đa số các quốc gia là thành viên tham gia80 và các Hành động BEPS được thực thi thông qua các đánh giá 'đồng cấp' và áp lực, các quốc gia tham gia làm như vậy trên cơ sở đồng thuận. Quan điểm của tác giả là còn quá sớm để kết luận rằng chúng đại diện cho thông lệ đã được định hình có thể ràng buộc các quốc gia không đồng thuận. Bản chất của sự đồng thuận quốc gia này, xét về mặt pháp lý, là không rõ ràng và, cho đến khi các hành động này được thông qua như một nghĩa vụ pháp lý, thay vì vì lợi ích chung tự nguyện, chúng khó có thể được coi là các quy tắc của luật quốc tế tập quán.</w:t>
      </w:r>
    </w:p>
    <w:p>
      <w:pPr>
        <w:spacing w:after="80"/>
      </w:pPr>
      <w:r>
        <w:rPr>
          <w:b/>
          <w:i w:val="0"/>
        </w:rPr>
        <w:t>§1.08 LUẬT VỀ CÁC HIỆP ƯỚC</w:t>
      </w:r>
    </w:p>
    <w:p>
      <w:pPr>
        <w:spacing w:after="80"/>
      </w:pPr>
      <w:r>
        <w:rPr>
          <w:b w:val="0"/>
          <w:i w:val="0"/>
        </w:rPr>
        <w:t>Luật hiện đại về các hiệp ước được pháp điển hóa trong VCLT.81 Một 'hiệp ước' là một thỏa thuận quốc tế được ký kết giữa các quốc gia dưới hình thức văn bản và được điều chỉnh bởi luật quốc tế, dù được thể hiện trong một văn kiện duy nhất hay trong hai hoặc nhiều văn kiện có liên quan và bất kể tên gọi cụ thể của nó là gì.82 Nó chỉ áp dụng cho các thỏa thuận giữa các quốc gia, và nói chung không áp dụng cho các thỏa thuận quốc tế giữa các quốc gia với các chủ thể khác của luật quốc tế.83 Do đó, các thỏa thuận giữa quốc gia với các công ty hoặc cá nhân không phải là hiệp ước theo Công ước. Công ước nói chung chỉ áp dụng cho các hiệp ước</w:t>
      </w:r>
    </w:p>
    <w:p>
      <w:pPr>
        <w:spacing w:after="80"/>
      </w:pPr>
      <w:r>
        <w:rPr>
          <w:b w:val="0"/>
          <w:i w:val="0"/>
        </w:rPr>
        <w:t xml:space="preserve">76. OECD (2015), Making Dispute Resolution Mechanisms More Effective, Action 14 – 2015 Final Report, OECD/G20 Base Erosion and Profit Shifting Project http://dx.doi.org/10.1787/9789264241633-en para. 60.77. OECD, Background Brief Inclusive Framework on BEPS (2017) Part 2.78. OECD, Revised Resolution of the Council on Partnerships in OECD Bodies (Adopted by the Council at its 1324th session, on 23 November 2015) C(2012)100/REV1/FINAL, para. 5.79. Để có một phân tích sâu sắc và đánh giá tài liệu về vấn đề này, xem: Mosquera Valderrama, I.J. </w:t>
      </w:r>
      <w:r>
        <w:rPr>
          <w:b w:val="0"/>
          <w:i/>
        </w:rPr>
        <w:t>BEPS Principal Purpose Test and Customary International Law</w:t>
      </w:r>
      <w:r>
        <w:rPr>
          <w:b w:val="0"/>
          <w:i w:val="0"/>
        </w:rPr>
        <w:t xml:space="preserve">, Leiden Journal of International Law, 33(3) 2020, pp.745-766 doi:10.1017/S0922156520000278 truy cập ngày 22 tháng 11 năm 2020. Xem thêm: Mosquera Valderrama, I.J. </w:t>
      </w:r>
      <w:r>
        <w:rPr>
          <w:b w:val="0"/>
          <w:i/>
        </w:rPr>
        <w:t>Legitimacy and the Making of International Tax Law: The Challenges of Multilateralism,</w:t>
      </w:r>
      <w:r>
        <w:rPr>
          <w:b w:val="0"/>
          <w:i w:val="0"/>
        </w:rPr>
        <w:t xml:space="preserve"> World Tax Journal, 7(3) 2015.80. Tại thời điểm viết bài, Khuôn khổ Toàn diện có 137 thành viên: OECD/G20 Inclusive Framework on BEPS Progress report July 2019-July 2020. FHTP thực chất được hợp nhất vào Khuôn khổ Toàn diện; Diễn đàn Toàn cầu về Minh bạch và Trao đổi Thông tin vì Mục đích Thuế có 161 thành viên http://www.oecd.org/tax/transparency/who-we-are/members/ truy cập ngày 22 tháng 11 năm 2020. FTA có 53 thành viên https://www.oecd.org/tax/forum-on-tax-administration/about/ truy cập ngày 22 tháng 11 năm 2020.81. Vienna Convention on the Law of Treaties (VCLT) (Vienna, 23 May 1969; TS 58 (1980); Cmnd 7964).82. VCLT, art. 1(a).83. VCLT, arts 1 and 3.</w:t>
      </w:r>
    </w:p>
    <w:p>
      <w:pPr>
        <w:spacing w:after="80"/>
      </w:pPr>
      <w:r>
        <w:rPr>
          <w:b w:val="0"/>
          <w:i w:val="0"/>
        </w:rPr>
        <w:t>13</w:t>
      </w:r>
    </w:p>
    <w:p>
      <w:pPr>
        <w:spacing w:after="80"/>
      </w:pPr>
      <w:r>
        <w:rPr>
          <w:b w:val="0"/>
          <w:i w:val="0"/>
        </w:rPr>
        <w:t>được các quốc gia ký kết sau khi Công ước có hiệu lực vào ngày 27 tháng 1 năm 1980.84 Vào thời điểm đó, 35 quốc gia đã trở thành thành viên của Công ước. Công ước đã được 116 quốc gia phê chuẩn tính đến tháng 5 năm 2021.85</w:t>
      </w:r>
    </w:p>
    <w:p>
      <w:pPr>
        <w:spacing w:after="80"/>
      </w:pPr>
      <w:r>
        <w:rPr>
          <w:b w:val="0"/>
          <w:i w:val="0"/>
        </w:rPr>
        <w:t>Mặc dù có điều khoản tự giới hạn này, Công ước vẫn được nhiều người coi là bằng chứng của luật quốc tế tập quán và đã được cả các tòa án quốc tế lẫn trong nước viện dẫn khi giải quyết các vấn đề liên quan đến các hiệp ước mà xét về mặt điều khoản thì không thuộc phạm vi điều chỉnh của Công ước.86</w:t>
      </w:r>
    </w:p>
    <w:p>
      <w:pPr>
        <w:spacing w:after="80"/>
      </w:pPr>
      <w:r>
        <w:rPr>
          <w:b/>
          <w:i w:val="0"/>
        </w:rPr>
        <w:t>[A] Việc Tuân Thủ Các Hiệp Ước</w:t>
      </w:r>
    </w:p>
    <w:p>
      <w:pPr>
        <w:spacing w:after="80"/>
      </w:pPr>
      <w:r>
        <w:rPr>
          <w:b w:val="0"/>
          <w:i w:val="0"/>
        </w:rPr>
        <w:t xml:space="preserve">Nguyên tắc chủ đạo đằng sau luật về các hiệp ước được nêu trong VCLT, điều 26. Điều này quy định: 'Mọi hiệp ước đang có hiệu lực đều ràng buộc các bên tham gia và phải được các bên thực hiện một cách thiện chí.' Nguyên tắc chung này rằng các thỏa thuận, một khi đã được ký kết, phải được tuân thủ, là điểm chung của tất cả các hệ thống pháp luật và như cách diễn đạt tiếng Latinh phổ biến của nó, </w:t>
      </w:r>
      <w:r>
        <w:rPr>
          <w:b w:val="0"/>
          <w:i/>
        </w:rPr>
        <w:t>pacta sunt servanda</w:t>
      </w:r>
      <w:r>
        <w:rPr>
          <w:b w:val="0"/>
          <w:i w:val="0"/>
        </w:rPr>
        <w:t xml:space="preserve">, cho thấy, nó bắt nguồn từ luật La Mã. Sự công nhận có đi có lại về các quyền và nghĩa vụ là nền tảng của trật tự pháp lý quốc tế hiện đại. Nguyên tắc này yêu cầu các bên thực hiện các nghĩa vụ mà họ đã đồng ý, cụ thể là các điều khoản của một hiệp ước cụ thể. Cách thức thực hiện nghĩa vụ đó là 'một cách thiện chí'. Trong </w:t>
      </w:r>
      <w:r>
        <w:rPr>
          <w:b w:val="0"/>
          <w:i/>
        </w:rPr>
        <w:t>Gabíkovo-Nagymaros Project (Hungary v Slovakia),</w:t>
      </w:r>
      <w:r>
        <w:rPr>
          <w:b w:val="0"/>
          <w:i w:val="0"/>
        </w:rPr>
        <w:t>87 ICJ đã phán quyết:</w:t>
      </w:r>
    </w:p>
    <w:p>
      <w:pPr>
        <w:spacing w:after="80"/>
      </w:pPr>
      <w:r>
        <w:rPr>
          <w:b w:val="0"/>
          <w:i w:val="0"/>
        </w:rPr>
        <w:t>Điều 26 kết hợp hai yếu tố có tầm quan trọng ngang nhau. Điều này quy định 'mọi hiệp ước đang có hiệu lực đều ràng buộc các bên tham gia và phải được các bên thực hiện một cách thiện chí'. Yếu tố sau này, theo quan điểm của Tòa án, ngụ ý rằng, trong trường hợp này, chính mục đích của hiệp ước và ý định của các bên ký kết hiệp ước đó, phải được ưu tiên hơn việc áp dụng theo nghĩa đen của nó. Nguyên tắc thiện chí buộc các bên phải áp dụng nó một cách hợp lý và theo cách thức mà mục đích của nó có thể được thực hiện.88</w:t>
      </w:r>
    </w:p>
    <w:p>
      <w:pPr>
        <w:spacing w:after="80"/>
      </w:pPr>
      <w:r>
        <w:rPr>
          <w:b w:val="0"/>
          <w:i w:val="0"/>
        </w:rPr>
        <w:t>Sự vận hành của trụ cột này của luật quốc tế được củng cố bởi VCLT, điều 27, trong đó viết:</w:t>
      </w:r>
    </w:p>
    <w:p>
      <w:pPr>
        <w:spacing w:after="80"/>
      </w:pPr>
      <w:r>
        <w:rPr>
          <w:b w:val="0"/>
          <w:i w:val="0"/>
        </w:rPr>
        <w:t>Một bên không được viện dẫn các quy định của luật nội bộ của mình để biện minh cho việc không thực hiện một hiệp ước. Quy tắc này không ảnh hưởng đến điều 46.</w:t>
      </w:r>
    </w:p>
    <w:p>
      <w:pPr>
        <w:spacing w:after="80"/>
      </w:pPr>
      <w:r>
        <w:rPr>
          <w:b w:val="0"/>
          <w:i w:val="0"/>
        </w:rPr>
        <w:t>Điều 46 đề cập đến các quy định của luật trong nước liên quan đến thẩm quyền ký kết các thỏa thuận. Điều này viết:</w:t>
      </w:r>
    </w:p>
    <w:p>
      <w:pPr>
        <w:spacing w:after="80"/>
      </w:pPr>
      <w:r>
        <w:rPr>
          <w:b w:val="0"/>
          <w:i w:val="0"/>
        </w:rPr>
        <w:t>84.VCLT, điều 4.85.http://treaties.un.org Tình trạng của Công ước Vienna về Luật Điều ước.86.Hậu quả pháp lý đối với các quốc gia về việc Nam Phi tiếp tục hiện diện tại Namibia (Tây Nam Phi) bất chấp Nghị quyết 276 (1970) của Hội đồng Bảo an, ICJ Reports 1971, 359;</w:t>
      </w:r>
      <w:r>
        <w:rPr>
          <w:b w:val="0"/>
          <w:i/>
        </w:rPr>
        <w:t>Quyền tài phán về nghề cá (Vương quốc Anh kiện Iceland)</w:t>
      </w:r>
      <w:r>
        <w:rPr>
          <w:b w:val="0"/>
          <w:i w:val="0"/>
        </w:rPr>
        <w:t>,ICJ Reports 1973,3 tại 14,18,19;</w:t>
      </w:r>
      <w:r>
        <w:rPr>
          <w:b w:val="0"/>
          <w:i/>
        </w:rPr>
        <w:t>Đảo Kasikili/Sedudu (Botswana kiện Namibia)</w:t>
      </w:r>
      <w:r>
        <w:rPr>
          <w:b w:val="0"/>
          <w:i w:val="0"/>
        </w:rPr>
        <w:t>,ICJ Reports 1999,1045 tại 1059;</w:t>
      </w:r>
      <w:r>
        <w:rPr>
          <w:b w:val="0"/>
          <w:i/>
        </w:rPr>
        <w:t>Fothergill kiện Monarch Airlines Ltd</w:t>
      </w:r>
      <w:r>
        <w:rPr>
          <w:b w:val="0"/>
          <w:i w:val="0"/>
        </w:rPr>
        <w:t xml:space="preserve"> [1981] AC 251 tại 282 và 290; 2 All ER 696 tại 707 và 712; [1980] 3 WLR209;</w:t>
      </w:r>
      <w:r>
        <w:rPr>
          <w:b w:val="0"/>
          <w:i/>
        </w:rPr>
        <w:t xml:space="preserve"> Trung tâm Nhân quyền Roma Châu Âu kiện Viên chức Nhập cư tại Sân bay Prague (Cao ủy Liên hợp quốc về Người tị nạn tham gia tố tụng)</w:t>
      </w:r>
      <w:r>
        <w:rPr>
          <w:b w:val="0"/>
          <w:i w:val="0"/>
        </w:rPr>
        <w:t xml:space="preserve"> [2004] UKHL 55; [2005] 2 AC 1; [2005] 1 All ER 527. Xem thêm về các hiệp định thuế, Chương 4, §4.03 và §4.04.87.</w:t>
      </w:r>
      <w:r>
        <w:rPr>
          <w:b w:val="0"/>
          <w:i/>
        </w:rPr>
        <w:t>Dự án Gabcˇíkovo-Nagymaros (Hungary kiện Slovakia)</w:t>
      </w:r>
      <w:r>
        <w:rPr>
          <w:b w:val="0"/>
          <w:i w:val="0"/>
        </w:rPr>
        <w:t>, ICJ Reports 1997, 7.88.Tại đoạn 142.</w:t>
      </w:r>
    </w:p>
    <w:p>
      <w:pPr>
        <w:spacing w:after="80"/>
      </w:pPr>
      <w:r>
        <w:rPr>
          <w:b w:val="0"/>
          <w:i w:val="0"/>
        </w:rPr>
        <w:t>14</w:t>
      </w:r>
    </w:p>
    <w:p>
      <w:pPr>
        <w:spacing w:after="80"/>
      </w:pPr>
      <w:r>
        <w:rPr>
          <w:b w:val="0"/>
          <w:i w:val="0"/>
        </w:rPr>
        <w:t>1.Một quốc gia không được viện dẫn việc sự đồng ý của mình bị ràng buộc bởi một điều ước đã được bày tỏ vi phạm một quy định của luật nội bộ về thẩm quyền ký kết điều ước để vô hiệu hóa sự đồng ý đó, trừ khi vi phạm đó là rõ ràng và liên quan đến một quy tắc luật nội bộ có tầm quan trọng cơ bản.2.Một vi phạm là rõ ràng nếu nó hiển nhiên một cách khách quan đối với bất kỳ quốc gia nào, hành xử phù hợp với thông lệ bình thường và thiện chí.</w:t>
      </w:r>
    </w:p>
    <w:p>
      <w:pPr>
        <w:spacing w:after="80"/>
      </w:pPr>
      <w:r>
        <w:rPr>
          <w:b w:val="0"/>
          <w:i w:val="0"/>
        </w:rPr>
        <w:t>Điều 27 đề cập đến việc không thực hiện nghĩa vụ theo điều ước, trong khi điều 46 chỉ giới hạn ở khả năng đồng ý dựa trên các hạn chế của luật trong nước về thẩm quyền ký kết điều ước.89 Nghĩa vụ thiện chí tuân thủ điều ước được củng cố bởi điều 18, trong đó yêu cầu các quốc gia không được làm phương hại đến mục tiêu và mục đích của một điều ước ngay cả trước khi điều ước đó có hiệu lực. Do đó, các quốc gia đã ký một điều ước phải kiềm chế các hành vi có thể làm phương hại đến mục đích của điều ước trong khi chờ phê chuẩn, chấp nhận hoặc phê duyệt.</w:t>
      </w:r>
    </w:p>
    <w:p>
      <w:pPr>
        <w:spacing w:after="80"/>
      </w:pPr>
      <w:r>
        <w:rPr>
          <w:b w:val="0"/>
          <w:i w:val="0"/>
        </w:rPr>
        <w:t>Các nghĩa vụ theo điều ước chỉ ràng buộc các bên. Theo đó, nói chung, một điều ước không tạo ra nghĩa vụ hay quyền lợi cho một quốc gia thứ ba nếu không có sự đồng ý của quốc gia đó.90</w:t>
      </w:r>
    </w:p>
    <w:p>
      <w:pPr>
        <w:spacing w:after="80"/>
      </w:pPr>
      <w:r>
        <w:rPr>
          <w:b w:val="0"/>
          <w:i w:val="0"/>
        </w:rPr>
        <w:t>89.Xem Chương 2, §2.06 và §2.07 và Chương 22, §22.05.90.VCLT, điều 34. Xem thêm các điều 35-38 về quyền và nghĩa vụ của các quốc gia thứ ba.</w:t>
      </w:r>
    </w:p>
    <w:p>
      <w:pPr>
        <w:spacing w:after="80"/>
      </w:pPr>
      <w:r>
        <w:rPr>
          <w:b w:val="0"/>
          <w:i w:val="0"/>
        </w:rPr>
        <w:t>15</w:t>
      </w:r>
    </w:p>
    <w:p>
      <w:pPr>
        <w:spacing w:before="240" w:after="80"/>
      </w:pPr>
      <w:r>
        <w:rPr>
          <w:b/>
          <w:sz w:val="32"/>
        </w:rPr>
        <w:t>CHƯƠNG 2Khung pháp lý: Luật quốc gia – Vương quốc Anh; Éire (Ireland)</w:t>
      </w:r>
    </w:p>
    <w:p>
      <w:pPr>
        <w:spacing w:before="240" w:after="80"/>
      </w:pPr>
      <w:r>
        <w:rPr>
          <w:b/>
          <w:sz w:val="26"/>
        </w:rPr>
        <w:t>Vương quốc Anh</w:t>
      </w:r>
    </w:p>
    <w:p>
      <w:pPr>
        <w:spacing w:after="80"/>
      </w:pPr>
      <w:r>
        <w:rPr>
          <w:b/>
          <w:i w:val="0"/>
        </w:rPr>
        <w:t>§2.01Vương quốc Anh: GIỚI THIỆU</w:t>
      </w:r>
    </w:p>
    <w:p>
      <w:pPr>
        <w:spacing w:after="80"/>
      </w:pPr>
      <w:r>
        <w:rPr>
          <w:b w:val="0"/>
          <w:i w:val="0"/>
        </w:rPr>
        <w:t>Xét về mặt pháp lý, các hiệp định thuế không khác gì bất kỳ điều ước nào khác mà Vương quốc Anh (UK) có thể ký kết. Các hiệp định thuế khác với các điều ước tương tự bên ngoài lĩnh vực thuế ở chỗ, với hai ngoại lệ, chúng là song phương trong khi Vương quốc Anh là một bên của nhiều điều ước đa phương trong các lĩnh vực khác. Sự khác biệt này có ý nghĩa hạn chế, mặc dù có thể lập luận rằng nó ảnh hưởng đến cách giải thích các điều ước.</w:t>
      </w:r>
    </w:p>
    <w:p>
      <w:pPr>
        <w:spacing w:after="80"/>
      </w:pPr>
      <w:r>
        <w:rPr>
          <w:b w:val="0"/>
          <w:i w:val="0"/>
        </w:rPr>
        <w:t>Vì lý do lịch sử, Vương quốc Anh có nhiều mối quan hệ khác nhau với các vùng lãnh thổ khác nhau. Thứ nhất, nước này có quan hệ với các quốc gia độc lập. Thứ hai, nước này có quan hệ với các quốc gia thuộc Khối Thịnh vượng chung là các quốc gia có chủ quyền độc lập. Thứ ba, nước này có quan hệ với các Lãnh thổ Phụ thuộc Hoàng gia (Crown Dependencies), và thứ tư, nước này có quan hệ với các lãnh thổ hải ngoại của Anh.</w:t>
      </w:r>
    </w:p>
    <w:p>
      <w:pPr>
        <w:spacing w:after="80"/>
      </w:pPr>
      <w:r>
        <w:rPr>
          <w:b w:val="0"/>
          <w:i w:val="0"/>
        </w:rPr>
        <w:t>Vì một điều ước là ‘một thỏa thuận quốc tế được ký kết giữa các quốc gia dưới hình thức văn bản và được điều chỉnh bởi luật quốc tế’,1 nên chỉ những thỏa thuận giữa Vương quốc Anh và các quốc gia độc lập, bao gồm các thành viên độc lập của Khối Thịnh vượng chung, mới rõ ràng thuộc loại điều ước. Mặc dù vậy, một số thỏa thuận lâu đời nhất mà Vương quốc Anh là một bên là với Quần đảo Channel và Đảo Man, những nơi giữ một vị trí độc đáo trong luật quốc tế và luật hiến pháp. Ngoài ra, Vương quốc Anh đã ký kết các thỏa thuận với một số lãnh thổ phụ thuộc liên quan đến trao đổi thông tin.</w:t>
      </w:r>
    </w:p>
    <w:p>
      <w:pPr>
        <w:spacing w:after="80"/>
      </w:pPr>
      <w:r>
        <w:rPr>
          <w:b w:val="0"/>
          <w:i w:val="0"/>
        </w:rPr>
        <w:t>1.Công ước Vienna về Luật Điều ước 1969, điều 2, khoản 1(a).</w:t>
      </w:r>
    </w:p>
    <w:p>
      <w:pPr>
        <w:spacing w:after="80"/>
      </w:pPr>
      <w:r>
        <w:rPr>
          <w:b w:val="0"/>
          <w:i w:val="0"/>
        </w:rPr>
        <w:t>17</w:t>
      </w:r>
    </w:p>
    <w:p>
      <w:pPr>
        <w:spacing w:after="80"/>
      </w:pPr>
      <w:r>
        <w:rPr>
          <w:b/>
          <w:i w:val="0"/>
        </w:rPr>
        <w:t>[A]Quần đảo Channel và Đảo Man</w:t>
      </w:r>
    </w:p>
    <w:p>
      <w:pPr>
        <w:spacing w:after="80"/>
      </w:pPr>
      <w:r>
        <w:rPr>
          <w:b w:val="0"/>
          <w:i w:val="0"/>
        </w:rPr>
        <w:t>Quần đảo Channel cùng với Đảo Man và Vương quốc Anh hợp thành Quần đảo Anh (British Islands).2 Quần đảo Channel và Đảo Man không thuộc Vương quốc Anh nhưng là các Lãnh thổ Phụ thuộc Hoàng gia (Crown Dependencies). Quần đảo Channel không có đại diện trong Nghị viện Vương quốc Anh, và các Đạo luật của Nghị viện không tự động áp dụng cho họ. Theo thông lệ, Nghị viện không lập pháp cho Quần đảo Channel mà không có sự đồng ý của họ trong các vấn đề thuế khóa hoặc các vấn đề thuần túy nội bộ. Chính phủ Vương quốc Anh chịu trách nhiệm về các quan hệ quốc tế của họ. Thông lệ là chính quyền Quần đảo được tham vấn trước khi đạt được một thỏa thuận quốc tế sẽ áp dụng cho họ.3 Địa vị của Đảo Man khác với Quần đảo Channel ở một số khía cạnh, ở chỗ nó là một lãnh thổ thuộc sở hữu của Anh nhưng trách nhiệm về quan hệ quốc tế cũng tương tự là trách nhiệm của Chính phủ Vương quốc Anh.</w:t>
      </w:r>
    </w:p>
    <w:p>
      <w:pPr>
        <w:spacing w:after="80"/>
      </w:pPr>
      <w:r>
        <w:rPr>
          <w:b w:val="0"/>
          <w:i w:val="0"/>
        </w:rPr>
        <w:t>Chính phủ Vương quốc Anh đã 'giao phó' cho các Lãnh thổ Phụ thuộc Hoàng gia việc ký kết các Hiệp định trong phạm vi Thư Giao phó (Letters of Entrustment) dựa trên các cam kết đã đưa ra với OECD về trao đổi thông tin thuế. Điều này đã cho phép họ đàm phán các hiệp định trao đổi thông tin thuế (TIEAs), các hiệp ước đánh thuế hai lần và các hiệp định liên quan đến thuế khác quy định việc trao đổi thông tin về các vấn đề thuế với các quốc gia thứ ba, với các quốc gia khác.4</w:t>
      </w:r>
    </w:p>
    <w:p>
      <w:pPr>
        <w:spacing w:after="80"/>
      </w:pPr>
      <w:r>
        <w:rPr>
          <w:b/>
          <w:i w:val="0"/>
        </w:rPr>
        <w:t>[B]Các Lãnh thổ Hải ngoại của Anh</w:t>
      </w:r>
    </w:p>
    <w:p>
      <w:pPr>
        <w:spacing w:after="80"/>
      </w:pPr>
      <w:r>
        <w:rPr>
          <w:b w:val="0"/>
          <w:i w:val="0"/>
        </w:rPr>
        <w:t xml:space="preserve">Các lãnh thổ hải ngoại của Anh bao gồm: Anguilla, Bermuda, Lãnh thổ Nam Cực thuộc Anh, Lãnh thổ Ấn Độ Dương thuộc Anh, Quần đảo Cayman, Quần đảo Falkland, Gibraltar, Montserrat, Quần đảo Pitcairn, Henderson, Ducie và Oeno, St Helena, Ascension và Tristan da Cunha, Nam Georgia và Quần đảo Nam Sandwich, các Căn cứ Chủ quyền Akrotiri và Dhekelia (các khu vực được đề cập trong mục 2(1) của </w:t>
      </w:r>
      <w:r>
        <w:rPr>
          <w:b w:val="0"/>
          <w:i/>
        </w:rPr>
        <w:t>Đạo luật Síp</w:t>
      </w:r>
      <w:r>
        <w:rPr>
          <w:b w:val="0"/>
          <w:i w:val="0"/>
        </w:rPr>
        <w:t xml:space="preserve"> 1960), Quần đảo Turks và Caicos và Quần đảo Virgin.5 Mỗi lãnh thổ là một thuộc địa tự trị với một chính phủ chịu trách nhiệm và có hiến pháp riêng.</w:t>
      </w:r>
    </w:p>
    <w:p>
      <w:pPr>
        <w:spacing w:after="80"/>
      </w:pPr>
      <w:r>
        <w:rPr>
          <w:b w:val="0"/>
          <w:i w:val="0"/>
        </w:rPr>
        <w:t>Chính phủ Vương quốc Anh chịu trách nhiệm về các vấn đề đối ngoại của các lãnh thổ hải ngoại của Anh. Khi ký kết một hiệp ước thay mặt cho một lãnh thổ hải ngoại, bộ trưởng quốc vụ liên quan hành động với tư cách tách biệt khỏi tư cách bộ trưởng Vương quốc Anh của mình.6</w:t>
      </w:r>
    </w:p>
    <w:p>
      <w:pPr>
        <w:spacing w:after="80"/>
      </w:pPr>
      <w:r>
        <w:rPr>
          <w:b w:val="0"/>
          <w:i w:val="0"/>
        </w:rPr>
        <w:t>Do đó, một chế độ riêng biệt về mặt hiến pháp áp dụng cho các hiệp ước được ký kết (theo quyền hạn do Chính phủ Vương quốc Anh trao) bởi Chính phủ của một lãnh thổ hải ngoại của Anh,</w:t>
      </w:r>
    </w:p>
    <w:p>
      <w:pPr>
        <w:spacing w:after="80"/>
      </w:pPr>
      <w:r>
        <w:rPr>
          <w:b w:val="0"/>
          <w:i w:val="0"/>
        </w:rPr>
        <w:t>2. Đạo luật Giải thích 1978, Phụ lục 1 'Quần đảo Anh'.3.</w:t>
      </w:r>
      <w:r>
        <w:rPr>
          <w:b w:val="0"/>
          <w:i/>
        </w:rPr>
        <w:t>R (theo đơn của Barclay) v Bộ trưởng Tư pháp</w:t>
      </w:r>
      <w:r>
        <w:rPr>
          <w:b w:val="0"/>
          <w:i w:val="0"/>
        </w:rPr>
        <w:t xml:space="preserve"> [2009] UKSC 9 tại [9]; [2010] 1 AC464 tại [9].4.Bộ Tư pháp, Bản tóm tắt cơ sở về các Lãnh thổ Phụ thuộc Hoàng gia: Jersey, Guernsey và Đảo Man.</w:t>
      </w:r>
      <w:r>
        <w:rPr>
          <w:b w:val="0"/>
          <w:i/>
        </w:rPr>
        <w:t xml:space="preserve"> Volaw Trust &amp; Corporate Services Ltd và một người khác v Văn phòng Kiểm soát Thuế</w:t>
      </w:r>
      <w:r>
        <w:rPr>
          <w:b w:val="0"/>
          <w:i w:val="0"/>
        </w:rPr>
        <w:t>[2013] JCA 239, 17 ITLR 1 tại đoạn 3. Xem Chương 22, §22.13.5. Đạo luật Giải thích 1978, Phụ lục 1, 'lãnh thổ hải ngoại của Anh';</w:t>
      </w:r>
      <w:r>
        <w:rPr>
          <w:b w:val="0"/>
          <w:i/>
        </w:rPr>
        <w:t xml:space="preserve"> Đạo luật Quốc tịch Anh</w:t>
      </w:r>
      <w:r>
        <w:rPr>
          <w:b w:val="0"/>
          <w:i w:val="0"/>
        </w:rPr>
        <w:t xml:space="preserve"> 1981, mục 50(1) và Phụ lục 6.6.</w:t>
      </w:r>
      <w:r>
        <w:rPr>
          <w:b w:val="0"/>
          <w:i/>
        </w:rPr>
        <w:t>R (theo đơn của Quark Fishing) v Bộ trưởng Ngoại giao và Khối thịnh vượng chung</w:t>
      </w:r>
      <w:r>
        <w:rPr>
          <w:b w:val="0"/>
          <w:i w:val="0"/>
        </w:rPr>
        <w:t>[2005] UKHL 57; [2006] 1 AC 529; [2006] 3 All ER 111.</w:t>
      </w:r>
    </w:p>
    <w:p>
      <w:pPr>
        <w:spacing w:after="80"/>
      </w:pPr>
      <w:r>
        <w:rPr>
          <w:b w:val="0"/>
          <w:i w:val="0"/>
        </w:rPr>
        <w:t>18</w:t>
      </w:r>
    </w:p>
    <w:p>
      <w:pPr>
        <w:spacing w:after="80"/>
      </w:pPr>
      <w:r>
        <w:rPr>
          <w:b w:val="0"/>
          <w:i w:val="0"/>
        </w:rPr>
        <w:t>của bất kỳ Quần đảo Channel nào hoặc Đảo Man.7 Các hiệp ước được ký kết thay mặt cho các lãnh thổ phụ thuộc do đó sẽ là các hiệp ước theo luật quốc tế.</w:t>
      </w:r>
    </w:p>
    <w:p>
      <w:pPr>
        <w:spacing w:after="80"/>
      </w:pPr>
      <w:r>
        <w:rPr>
          <w:b w:val="0"/>
          <w:i w:val="0"/>
        </w:rPr>
        <w:t>Tình hình mơ hồ hơn liên quan đến các hiệp ước được ký kết giữa Vương quốc Anh và từng lãnh thổ phụ thuộc và hải ngoại riêng lẻ. Hiệp ước Jersey-Vương quốc Anh ban đầu (1952)8</w:t>
      </w:r>
    </w:p>
    <w:p>
      <w:pPr>
        <w:spacing w:after="80"/>
      </w:pPr>
      <w:r>
        <w:rPr>
          <w:b w:val="0"/>
          <w:i w:val="0"/>
        </w:rPr>
        <w:t xml:space="preserve">được gọi là 'Thỏa thuận giữa Chính phủ của Bệ hạ và các Bang Jersey'. Hiệp ước Trao đổi Thông tin Jersey-Vương quốc Anh gần đây hơn (2009)9 và hiệp ước toàn diện năm 201810 được gọi là 'Các Hiệp định'. Lập trường liên quan đến các hiệp ước được ký kết bởi các lãnh thổ phụ thuộc với các quốc gia thứ ba sẽ cho thấy rằng tư cách riêng biệt của Chính phủ Vương quốc Anh trong việc ký kết các hiệp ước như vậy cũng áp dụng cho các hiệp ước được ký kết giữa các lãnh thổ đó và Vương quốc Anh và do đó, đây là các hiệp ước theo luật quốc tế. Tuy nhiên, Tòa án Tối cao Vương quốc Anh đã phán quyết trong </w:t>
      </w:r>
      <w:r>
        <w:rPr>
          <w:b w:val="0"/>
          <w:i/>
        </w:rPr>
        <w:t>Routier v HMRC</w:t>
      </w:r>
      <w:r>
        <w:rPr>
          <w:b w:val="0"/>
          <w:i w:val="0"/>
        </w:rPr>
        <w:t xml:space="preserve"> rằng trong luật hiến pháp nội địa của Vương quốc Anh, các Lãnh thổ Phụ thuộc Hoàng gia có mối quan hệ độc đáo với Vương quốc Anh thông qua Hoàng gia và rằng Jersey không phải là một quốc gia độc lập trong luật quốc tế. Chính phủ Vương quốc Anh chịu trách nhiệm về quan hệ quốc tế và quốc phòng của Quần đảo Channel.11</w:t>
      </w:r>
    </w:p>
    <w:p>
      <w:pPr>
        <w:spacing w:after="80"/>
      </w:pPr>
      <w:r>
        <w:rPr>
          <w:b/>
          <w:i w:val="0"/>
        </w:rPr>
        <w:t>§2.02 Vương quốc Anh: CÁC HIỆP ƯỚC THUẾ LÀ GÌ?</w:t>
      </w:r>
    </w:p>
    <w:p>
      <w:pPr>
        <w:spacing w:after="80"/>
      </w:pPr>
      <w:r>
        <w:rPr>
          <w:b w:val="0"/>
          <w:i w:val="0"/>
        </w:rPr>
        <w:t>Một hiệp ước là 'một thỏa thuận quốc tế được ký kết giữa các quốc gia dưới hình thức văn bản và được điều chỉnh bởi luật quốc tế, dù được thể hiện trong một văn kiện duy nhất, hay trong hai hoặc nhiều văn kiện có liên quan và bất kể tên gọi cụ thể của nó là gì'.12 Do đó, mặc dù trong thực tiễn hiệp ước thuế của Vương quốc Anh, các hiệp ước cụ thể có thể được gọi là 'hiệp định', 'công ước', 'thỏa thuận' hay cách khác, chúng thực chất là các hiệp ước theo luật quốc tế. Trong thực tiễn hiệp ước hiện đại, cách diễn đạt này bao gồm, đặc biệt, các hiệp định, công ước, tuyên bố và nghị định thư.</w:t>
      </w:r>
    </w:p>
    <w:p>
      <w:pPr>
        <w:spacing w:after="80"/>
      </w:pPr>
      <w:r>
        <w:rPr>
          <w:b w:val="0"/>
          <w:i w:val="0"/>
        </w:rPr>
        <w:t>Việc trao đổi công hàm bằng thư từ giữa các quốc gia ký kết đã trở nên ngày càng quan trọng, đặc biệt trong các cuộc đàm phán hiệp ước với một số quốc gia đang phát triển. Trong một số trường hợp, các công hàm được trao đổi để làm rõ hoặc mở rộng hiệp ước chính thức</w:t>
      </w:r>
    </w:p>
    <w:p>
      <w:pPr>
        <w:spacing w:after="80"/>
      </w:pPr>
      <w:r>
        <w:rPr>
          <w:b w:val="0"/>
          <w:i w:val="0"/>
        </w:rPr>
        <w:t>7.</w:t>
      </w:r>
      <w:r>
        <w:rPr>
          <w:b w:val="0"/>
          <w:i/>
        </w:rPr>
        <w:t>Đạo luật Cải cách Hiến pháp và Quản trị</w:t>
      </w:r>
      <w:r>
        <w:rPr>
          <w:b w:val="0"/>
          <w:i w:val="0"/>
        </w:rPr>
        <w:t xml:space="preserve"> 2010, mục 20 và 23(3).8.</w:t>
      </w:r>
      <w:r>
        <w:rPr>
          <w:b w:val="0"/>
          <w:i/>
        </w:rPr>
        <w:t>Thỏa thuận giữa Chính phủ của Bệ hạ và các Bang Jersey về Việc Tránh Đánh thuế Hai lần và Ngăn ngừa Trốn thuế liên quan đến Thuế Thu nhập ngày 24 tháng 6 năm 1952</w:t>
      </w:r>
      <w:r>
        <w:rPr>
          <w:b w:val="0"/>
          <w:i w:val="0"/>
        </w:rPr>
        <w:t xml:space="preserve"> (SI 1952/1216).9.Hiệp định giữa Vương quốc Anh và Jersey về Trao đổi Thông tin liên quan đến Các vấn đề Thuế ngày 10 tháng 3 năm 2009 (SI 2009/3012).10.Hiệp định giữa Chính phủ Vương quốc Liên hiệp Anh và Bắc Ireland và Chính phủ Jersey về Việc Loại bỏ Đánh thuế Hai lần liên quan đến Thuế Thu nhập và Thuế Lợi tức Vốn và Ngăn ngừa Trốn thuế và Tránh thuế ngày 2 tháng 7 năm 2018 (SI 2018/1348).11.</w:t>
      </w:r>
      <w:r>
        <w:rPr>
          <w:b w:val="0"/>
          <w:i/>
        </w:rPr>
        <w:t>Routier &amp; Anor v HM Revenue and Customs</w:t>
      </w:r>
      <w:r>
        <w:rPr>
          <w:b w:val="0"/>
          <w:i w:val="0"/>
        </w:rPr>
        <w:t xml:space="preserve"> [2019] STC 2182, [2019] 3 WLR 757, [2019] UKSC43 tại [8]-[10]. Trong Nghị định thư của Hiệp định Đánh thuế Hai lần Gibraltar-Vương quốc Anh, Gibraltar thừa nhận rằng Vương quốc Anh tiếp tục chịu trách nhiệm về các quan hệ quốc tế của Gibraltar trong luật quốc tế và rằng Hiệp định không thể tạo ra các nghĩa vụ theo luật quốc tế (điều 1, Nghị định thư ngày 15 tháng 10 năm 2019 của </w:t>
      </w:r>
      <w:r>
        <w:rPr>
          <w:b w:val="0"/>
          <w:i/>
        </w:rPr>
        <w:t>Hiệp định giữa Chính phủ Vương quốc Liên hiệp Anh và Bắc Ireland và Chính phủ Gibraltar về Việc Loại bỏ Đánh thuế Hai lần liên quan đến Thuế Thu nhập và Thuế Lợi tức Vốn và Ngăn ngừa Trốn thuế và Tránh thuế</w:t>
      </w:r>
      <w:r>
        <w:rPr>
          <w:b w:val="0"/>
          <w:i w:val="0"/>
        </w:rPr>
        <w:t xml:space="preserve"> ngày 15 tháng 10 năm 2019 (SI 2020/275)). Xem thêm </w:t>
      </w:r>
      <w:r>
        <w:rPr>
          <w:b w:val="0"/>
          <w:i/>
        </w:rPr>
        <w:t>Công ước Vienna về Luật Hiệp ước</w:t>
      </w:r>
      <w:r>
        <w:rPr>
          <w:b w:val="0"/>
          <w:i w:val="0"/>
        </w:rPr>
        <w:t xml:space="preserve"> 1969, đoạn 34.12.</w:t>
      </w:r>
      <w:r>
        <w:rPr>
          <w:b w:val="0"/>
          <w:i/>
        </w:rPr>
        <w:t>Công ước Vienna về Luật Hiệp ước</w:t>
      </w:r>
      <w:r>
        <w:rPr>
          <w:b w:val="0"/>
          <w:i w:val="0"/>
        </w:rPr>
        <w:t xml:space="preserve"> 1969, điều 2, đoạn 1(a).</w:t>
      </w:r>
    </w:p>
    <w:p>
      <w:pPr>
        <w:spacing w:after="80"/>
      </w:pPr>
      <w:r>
        <w:rPr>
          <w:b w:val="0"/>
          <w:i w:val="0"/>
        </w:rPr>
        <w:t>19</w:t>
      </w:r>
    </w:p>
    <w:p>
      <w:pPr>
        <w:spacing w:after="80"/>
      </w:pPr>
      <w:r>
        <w:rPr>
          <w:b w:val="0"/>
          <w:i w:val="0"/>
        </w:rPr>
        <w:t>document. Điều này được biện minh trên cơ sở rằng một số điều khoản nhất định dễ được đồng ý theo cách này hơn (với thẩm quyền của các quốc gia ký kết đó) so với việc đưa chúng vào hiệp ước chính thức. Theo luật quốc tế, chúng hoặc là một phần của hiệp ước hoặc là những hiệp ước riêng biệt theo đúng nghĩa của chúng.</w:t>
      </w:r>
    </w:p>
    <w:p>
      <w:pPr>
        <w:spacing w:after="80"/>
      </w:pPr>
      <w:r>
        <w:rPr>
          <w:b w:val="0"/>
          <w:i w:val="0"/>
        </w:rPr>
        <w:t>Việc trao đổi công hàm cũng được sử dụng để làm cho việc cập nhật các hiệp ước trở nên linh hoạt hơn. Ví dụ, Hiệp ước Malaysia-UK13 loại trừ khỏi các lợi ích của hiệp ước những người được hưởng bất kỳ lợi ích thuế đặc biệt nào theo một luật đã được xác định trong một cuộc trao đổi công hàm của một trong hai quốc gia ký kết. Trong trường hợp này, một công hàm đã được trao đổi cùng thời điểm với việc ký kết hiệp ước. Ngoài ra, nó để ngỏ con đường cho việc sửa đổi tương đối không chính thức và nhanh chóng, nhằm đối phó với những phát triển tiếp theo trong luật nội địa của các quốc gia thành viên. Cho đến nay, các cuộc trao đổi công hàm chỉ xuất hiện cùng thời điểm với việc thực hiện các hiệp ước, nhưng không nghi ngờ gì trong tương lai, công hàm có thể được trao đổi vào những dịp khác.</w:t>
      </w:r>
    </w:p>
    <w:p>
      <w:pPr>
        <w:spacing w:after="80"/>
      </w:pPr>
      <w:r>
        <w:rPr>
          <w:b/>
          <w:i w:val="0"/>
        </w:rPr>
        <w:t>[A]Các thỏa thuận phi hiệp ước</w:t>
      </w:r>
    </w:p>
    <w:p>
      <w:pPr>
        <w:spacing w:after="80"/>
      </w:pPr>
      <w:r>
        <w:rPr>
          <w:b w:val="0"/>
          <w:i w:val="0"/>
        </w:rPr>
        <w:t xml:space="preserve">Theo luật quốc tế công, một yêu cầu để tồn tại một hiệp ước là nó phải được ký kết giữa các quốc gia.14 Chính phủ của một quốc gia thường có thẩm quyền ký kết các hiệp ước thay mặt cho quốc gia đó. Cho đến năm 2002, các điều khoản thực thi của </w:t>
      </w:r>
      <w:r>
        <w:rPr>
          <w:b w:val="0"/>
          <w:i/>
        </w:rPr>
        <w:t>Income and Corporation Taxes Act</w:t>
      </w:r>
      <w:r>
        <w:rPr>
          <w:b w:val="0"/>
          <w:i w:val="0"/>
        </w:rPr>
        <w:t xml:space="preserve"> 1988,15 tiền thân của TIOPA 2010, s. 2, đề cập đến các thỏa thuận 'được thực hiện với Chính phủ của bất kỳ lãnh thổ nào'. Các từ 'được thực hiện liên quan đến bất kỳ lãnh thổ nào' đã được thay thế bởi FA 2002, s. 88(1), kể từ ngày 24 tháng 7 năm 2002 liên quan đến các thỏa thuận được thực hiện trước ngày đó (cũng như liên quan đến các thỏa thuận được thực hiện vào hoặc sau ngày đó). Kết quả là một thỏa thuận trong TIOPA 2010, s. 2 không còn cần phải được ký kết với một chính phủ nước ngoài. Chiếc lá vả lập pháp này được đưa ra cụ thể để thực thi một 'thỏa thuận' được ký kết liên quan đến Đài Loan, nơi không được Vương quốc Anh công nhận nhưng mà một hiệp ước được cho là mong muốn. Thỏa thuận đã đạt được vào ngày 8 tháng 4 năm 2002 giữa Văn phòng Thương mại và Văn hóa Anh tại Đài Bắc và Văn phòng Đại diện Đài Bắc tại Vương quốc Anh về việc tránh đánh thuế hai lần và ngăn ngừa trốn thuế tài chính đối với thuế thu nhập và lợi nhuận vốn. Thỏa thuận này dựa trên OECD Model và trông rất giống một hiệp ước. Tuy nhiên, có thể nghi ngờ liệu nó có đủ điều kiện là một hiệp ước hay không. Mặc dù nó được thực thi trong luật nội địa của Vương quốc Anh,16 nhưng tình trạng pháp lý và cách thức được ký kết của nó sẽ ảnh hưởng đến cách nó được giải thích.17 Nó cũng đặt ra câu hỏi về các thủ tục thỏa thuận song phương và trao đổi thông tin.18 TIOPA 2010, s. 2 nên được dành riêng cho các hiệp ước và luật cụ thể nên được ban hành để thực thi những giải pháp tình thế như vậy.</w:t>
      </w:r>
    </w:p>
    <w:p>
      <w:pPr>
        <w:spacing w:after="80"/>
      </w:pPr>
      <w:r>
        <w:rPr>
          <w:b w:val="0"/>
          <w:i w:val="0"/>
        </w:rPr>
        <w:t>13.</w:t>
      </w:r>
      <w:r>
        <w:rPr>
          <w:b w:val="0"/>
          <w:i/>
        </w:rPr>
        <w:t>Agreement between the Government of the United Kingdom of Great Britain and Northern Ireland and the Government of Malaysia for the Avoidance of Double Taxation and the Prevention of Fiscal Evasion with Respect to Taxes on Income of 17 December 1997</w:t>
      </w:r>
      <w:r>
        <w:rPr>
          <w:b w:val="0"/>
          <w:i w:val="0"/>
        </w:rPr>
        <w:t xml:space="preserve"> (SI 1997/2987, art. 25(2)).14.Vienna Convention on the Law of Treaties 1969, art. 1.15.In this work, ICTA 1988.16.SI 2002/3137.17.See Chapter 4, §4.01.18.See Chapter 20, §§20.01ff. and Chapter 22, §§22.01ff.</w:t>
      </w:r>
    </w:p>
    <w:p>
      <w:pPr>
        <w:spacing w:after="80"/>
      </w:pPr>
      <w:r>
        <w:rPr>
          <w:b w:val="0"/>
          <w:i w:val="0"/>
        </w:rPr>
        <w:t>20</w:t>
      </w:r>
    </w:p>
    <w:p>
      <w:pPr>
        <w:spacing w:after="80"/>
      </w:pPr>
      <w:r>
        <w:rPr>
          <w:b w:val="0"/>
          <w:i w:val="0"/>
        </w:rPr>
        <w:t>Những thay đổi này đối với phạm vi của luật thực thi có một số hệ quả. Khả năng ký kết các 'thỏa thuận' liên quan đến một lãnh thổ cụ thể là rất rộng. Những thay đổi này có thể tạo cơ hội cho các thỏa thuận với chính quyền tỉnh hoặc bang ở một số khu vực tài phán liên bang, nơi mà một mặt, chính phủ liên bang không thể ràng buộc chính quyền tỉnh bằng hiệp ước của mình và mặt khác, chính quyền tỉnh hoặc bang không có khả năng ký kết hiệp ước theo các quy định hiến pháp liên quan của họ. Các sửa đổi cho phép các thỏa thuận được ký kết với bất kỳ người nào liên quan đến bất kỳ lãnh thổ nào. Không có giới hạn nào được áp đặt đối với điều này và không có yếu tố kết nối nào giữa những người ký kết thỏa thuận và lãnh thổ được xác định. Tuy nhiên, ngôn ngữ mới không thể chuyển đổi những thỏa thuận này thành hiệp ước theo luật quốc tế. Ngoài ra, những thay đổi sẽ có tác động đến các hiệp ước thuế. Vì các thỏa thuận có thể được thực hiện liên quan đến các lãnh thổ, có thể có nhiều hơn một hiệp ước sẽ áp dụng cho các lãnh thổ cụ thể nơi hai hoặc nhiều chính phủ nước ngoài cùng tuyên bố chủ quyền đối với lãnh thổ đó.</w:t>
      </w:r>
    </w:p>
    <w:p>
      <w:pPr>
        <w:spacing w:after="80"/>
      </w:pPr>
      <w:r>
        <w:rPr>
          <w:b/>
          <w:i w:val="0"/>
        </w:rPr>
        <w:t>§2.03 Vương quốc Anh: VIỆC KÝ KẾT HIỆP ƯỚC</w:t>
      </w:r>
    </w:p>
    <w:p>
      <w:pPr>
        <w:spacing w:after="80"/>
      </w:pPr>
      <w:r>
        <w:rPr>
          <w:b w:val="0"/>
          <w:i w:val="0"/>
        </w:rPr>
        <w:t>Quyền ký kết hiệp ước là một phần của việc điều hành các vấn đề đối ngoại và quyền ký kết hiệp ước là một chức năng của Hoàng gia. Đây là một quyền lực còn lại tồn tại như một vấn đề của đặc quyền Hoàng gia.19 Thẩm quyền đàm phán và ký kết hiệp ước được trao cho các đại diện của Hoàng gia.20</w:t>
      </w:r>
    </w:p>
    <w:p>
      <w:pPr>
        <w:spacing w:after="80"/>
      </w:pPr>
      <w:r>
        <w:rPr>
          <w:b w:val="0"/>
          <w:i w:val="0"/>
        </w:rPr>
        <w:t xml:space="preserve">Phạm vi của đặc quyền đó được giới hạn trong những gì được pháp luật cho phép và được tòa án xác định.21 Mức độ của đặc quyền Hoàng gia trong việc ký kết hiệp ước đã được Tòa án Tối cao xem xét rộng rãi trong </w:t>
      </w:r>
      <w:r>
        <w:rPr>
          <w:b w:val="0"/>
          <w:i/>
        </w:rPr>
        <w:t xml:space="preserve"> Miller &amp; Anor, R (oao) v Secretary of State for Exiting the European Union</w:t>
      </w:r>
      <w:r>
        <w:rPr>
          <w:b w:val="0"/>
          <w:i w:val="0"/>
        </w:rPr>
        <w:t>22, nơi Tòa án bác bỏ tuyên bố rằng thông báo rút khỏi các hiệp ước Liên minh Châu Âu (EU) có thể được đưa ra bởi Cơ quan Hành pháp mà không có sự chấp thuận trước của Nghị viện. Khi làm như vậy, Tòa án đã bác bỏ một cách ngắn gọn lập luận của Chính phủ rằng việc rút khỏi các hiệp ước EU tương tự như việc chấm dứt một hiệp ước thuế.23 Lý do cơ bản cho lập luận rằng các hiệp ước thuế có thể được chấm dứt mà không có sự chấp thuận của Nghị viện đã không được đưa ra trước Tòa án. Quan điểm đúng đắn hơn là trong khi việc ký kết một hiệp ước thuế nằm trong đặc quyền Hoàng gia có giới hạn, việc chấm dứt đòi hỏi sự chấp thuận của cơ quan lập pháp.</w:t>
      </w:r>
    </w:p>
    <w:p>
      <w:pPr>
        <w:spacing w:after="80"/>
      </w:pPr>
      <w:r>
        <w:rPr>
          <w:b w:val="0"/>
          <w:i w:val="0"/>
        </w:rPr>
        <w:t>Đặc quyền Hoàng gia trong việc ký kết hiệp ước trong lĩnh vực thuế không phải là không có giới hạn. Bill of Rights năm 1688 giới hạn việc đánh thuế chỉ ở mức được áp đặt bởi hoặc với sự đồng ý</w:t>
      </w:r>
    </w:p>
    <w:p>
      <w:pPr>
        <w:spacing w:after="80"/>
      </w:pPr>
      <w:r>
        <w:rPr>
          <w:b w:val="0"/>
          <w:i w:val="0"/>
        </w:rPr>
        <w:t xml:space="preserve">19.Xem, ví dụ, </w:t>
      </w:r>
      <w:r>
        <w:rPr>
          <w:b w:val="0"/>
          <w:i/>
        </w:rPr>
        <w:t>Blackburn v Attorney-General</w:t>
      </w:r>
      <w:r>
        <w:rPr>
          <w:b w:val="0"/>
          <w:i w:val="0"/>
        </w:rPr>
        <w:t xml:space="preserve"> [1971] All ER 1380 theo Lord Denning MR tại 1040: 'Quyền ký kết hiệp ước thuộc về … Hoàng gia; tức là, Nữ hoàng hành động theo lời khuyên của các Bộ trưởng của mình. Khi các Bộ trưởng của bà đàm phán và ký kết một hiệp ước … họ hành động thay mặt cho cả quốc gia. Họ thực hiện đặc quyền của Hoàng gia.'20.Xem Bartlett, R.T.</w:t>
      </w:r>
      <w:r>
        <w:rPr>
          <w:b w:val="0"/>
          <w:i/>
        </w:rPr>
        <w:t xml:space="preserve"> The Making of Double Taxation Agreements</w:t>
      </w:r>
      <w:r>
        <w:rPr>
          <w:b w:val="0"/>
          <w:i w:val="0"/>
        </w:rPr>
        <w:t>, British Tax Review, 76 1991.21.</w:t>
      </w:r>
      <w:r>
        <w:rPr>
          <w:b w:val="0"/>
          <w:i/>
        </w:rPr>
        <w:t>R (on the application of Miller) v The Prime Minister; Cherry and others v Advocate General for Scotland</w:t>
      </w:r>
      <w:r>
        <w:rPr>
          <w:b w:val="0"/>
          <w:i w:val="0"/>
        </w:rPr>
        <w:t xml:space="preserve"> [2020] AC 373, [2019] UKSC 41 tại [32].22.</w:t>
      </w:r>
      <w:r>
        <w:rPr>
          <w:b w:val="0"/>
          <w:i/>
        </w:rPr>
        <w:t>Miller &amp; Anor, R (on the application of) v Secretary of State for Exiting the European Union</w:t>
      </w:r>
      <w:r>
        <w:rPr>
          <w:b w:val="0"/>
          <w:i w:val="0"/>
        </w:rPr>
        <w:t xml:space="preserve"> [2017] UKSC 5 [2017] 1 All ER 593, [2017] HRLR 2, [2017] WLR(D) 53, [2017] 2 CMLR 15, [2017] 2 WLR 583 ('Miller').23.</w:t>
      </w:r>
      <w:r>
        <w:rPr>
          <w:b w:val="0"/>
          <w:i/>
        </w:rPr>
        <w:t>Miller</w:t>
      </w:r>
      <w:r>
        <w:rPr>
          <w:b w:val="0"/>
          <w:i w:val="0"/>
        </w:rPr>
        <w:t xml:space="preserve"> [2017] UKSC 5 tại [98].</w:t>
      </w:r>
    </w:p>
    <w:p>
      <w:pPr>
        <w:spacing w:after="80"/>
      </w:pPr>
      <w:r>
        <w:rPr>
          <w:b w:val="0"/>
          <w:i w:val="0"/>
        </w:rPr>
        <w:t>21</w:t>
      </w:r>
    </w:p>
    <w:p>
      <w:pPr>
        <w:spacing w:after="80"/>
      </w:pPr>
      <w:r>
        <w:rPr>
          <w:b w:val="0"/>
          <w:i w:val="0"/>
        </w:rPr>
        <w:t>của Nghị viện.24 Do đó, một hiệp ước áp đặt thuế nằm ngoài đặc quyền Hoàng gia. Tương tự, một khi một hiệp ước thuế giảm thuế đã được ký kết và có hiệu lực trong luật nội địa, thì việc chấm dứt bởi Hoàng gia mà không có sự chấp thuận của Nghị viện sẽ dẫn đến việc đánh thuế vi phạm Bill of Rights. Do đó, luật cho phép trong TIOPA 2010, ss 2-6 quy định phạm vi mà đặc quyền ký kết hiệp ước hoạt động.</w:t>
      </w:r>
    </w:p>
    <w:p>
      <w:pPr>
        <w:spacing w:after="80"/>
      </w:pPr>
      <w:r>
        <w:rPr>
          <w:b w:val="0"/>
          <w:i w:val="0"/>
        </w:rPr>
        <w:t>Sự tham gia của Nghị viện vào việc ký kết hiệp ước thuế được phản ánh trong các điều khoản của chính các hiệp ước. Do đó, các hiệp ước thuế hai lần được ký kết, về mặt điều khoản, để có hiệu lực với điều kiện được Nghị viện chấp thuận. Ví dụ, hiệp ước thuế hai lần Nga-UK25 (dựa trên OECD Model) quy định:</w:t>
      </w:r>
    </w:p>
    <w:p>
      <w:pPr>
        <w:spacing w:after="80"/>
      </w:pPr>
      <w:r>
        <w:rPr>
          <w:b/>
          <w:i w:val="0"/>
        </w:rPr>
        <w:t>Điều 28: Hiệu lực</w:t>
      </w:r>
    </w:p>
    <w:p>
      <w:pPr>
        <w:spacing w:after="80"/>
      </w:pPr>
      <w:r>
        <w:rPr>
          <w:b w:val="0"/>
          <w:i w:val="0"/>
        </w:rPr>
        <w:t>28(1) Mỗi Quốc gia ký kết phải thông báo cho quốc gia kia bằng văn bản thông qua kênh ngoại giao về việc hoàn thành các thủ tục nội bộ theo luật áp dụng tại Quốc gia ký kết đó để đưa Công ước này vào hiệu lực. Công ước này sẽ có hiệu lực vào ngày muộn hơn trong các thông báo đó và sau đó sẽ có hiệu lực … .</w:t>
      </w:r>
    </w:p>
    <w:p>
      <w:pPr>
        <w:spacing w:after="80"/>
      </w:pPr>
      <w:r>
        <w:rPr>
          <w:b w:val="0"/>
          <w:i w:val="0"/>
        </w:rPr>
        <w:t>Các thủ tục nội bộ theo luật định để đưa hiệp ước vào hiệu lực tại Vương quốc Anh là việc ban hành Lệnh của Hội đồng Cơ mật (Order in Council) theo TIOPA 2010, s. 2(1). Do đó, nếu không có Lệnh được Nghị viện phê chuẩn, hiệp ước không thể có hiệu lực.26 Việc có hiệu lực tạo ra nghĩa vụ ràng buộc đối với quốc gia theo luật quốc tế.</w:t>
      </w:r>
    </w:p>
    <w:p>
      <w:pPr>
        <w:spacing w:after="80"/>
      </w:pPr>
      <w:r>
        <w:rPr>
          <w:b w:val="0"/>
          <w:i w:val="0"/>
        </w:rPr>
        <w:t>Tương tự, cơ chế chấm dứt một hiệp ước đánh thuế hai lần bằng thông báo bằng văn bản27 hoạt động ở cấp độ quốc tế, và luật trong nước sẽ thay đổi theo kết quả đó.28</w:t>
      </w:r>
    </w:p>
    <w:p>
      <w:pPr>
        <w:spacing w:after="80"/>
      </w:pPr>
      <w:r>
        <w:rPr>
          <w:b w:val="0"/>
          <w:i w:val="0"/>
        </w:rPr>
        <w:t>Trong phạm vi thuế được đánh do hệ quả của việc chấm dứt, sẽ cần có sự phê chuẩn của Nghị viện.</w:t>
      </w:r>
    </w:p>
    <w:p>
      <w:pPr>
        <w:spacing w:after="80"/>
      </w:pPr>
      <w:r>
        <w:rPr>
          <w:b w:val="0"/>
          <w:i w:val="0"/>
        </w:rPr>
        <w:t>Các thủ tục liên quan đến việc đàm phán hiệp ước đã được RT Bartlett trình bày rõ ràng.29 Chỉ cần thêm một vài nhận xét bổ sung. Việc đàm phán và ký kết hiệp ước diễn ra sau cánh cửa đóng kín. Mặc dù HMRC mời các bên quan tâm đóng góp ý kiến khi các cuộc thảo luận sắp diễn ra nhằm mục đích ký kết một hiệp ước, nhưng nội dung của hiệp ước không được tiết lộ cho đến khi đạt được thỏa thuận với các nhà đàm phán của quốc gia kia. Nội dung của hiệp ước được HMRC công bố qua thông báo ngay sau khi hiệp ước được ký kết. Nội dung các điều khoản của hiệp ước là một phần công việc của nhân viên Văn phòng Cố vấn pháp lý HMRC, với các khía cạnh hiến pháp và luật quốc tế chính thức do các luật sư của Bộ Ngoại giao xử lý.</w:t>
      </w:r>
    </w:p>
    <w:p>
      <w:pPr>
        <w:spacing w:after="80"/>
      </w:pPr>
      <w:r>
        <w:rPr>
          <w:b w:val="0"/>
          <w:i w:val="0"/>
        </w:rPr>
        <w:t>24. Bill of Rights, 1688 Chương 2 1 Will and Mar Sess 2. ‘Việc đánh thuế Tiền vì hoặc để sử dụng cho Nhà vua bằng cách viện dẫn Đặc quyền mà không có sự chấp thuận của Nghị viện trong thời gian dài hơn hoặc theo cách thức khác với cách thức đã được hoặc sẽ được chấp thuận là Bất hợp pháp.’25.</w:t>
      </w:r>
      <w:r>
        <w:rPr>
          <w:b w:val="0"/>
          <w:i/>
        </w:rPr>
        <w:t>Công ước giữa Chính phủ Vương quốc Liên hiệp Anh và Bắc Ireland và Chính phủ Liên bang Nga về Việc tránh Đánh thuế Hai lần và Ngăn ngừa Trốn thuế Liên quan đến Thuế Thu nhập và Lợi nhuận Vốn ngày 15 tháng 2 năm 1994</w:t>
      </w:r>
      <w:r>
        <w:rPr>
          <w:b w:val="0"/>
          <w:i w:val="0"/>
        </w:rPr>
        <w:t xml:space="preserve"> (SI 1994/3213).26.Xem Công ước Vienna về Luật Hiệp ước, Điều 24.27.Xem, ví dụ, hiệp ước đánh thuế hai lần Nga-Anh: Điều 29: Chấm dứt – Công ước này sẽ tiếp tục có hiệu lực cho đến khi bị một trong các Quốc gia ký kết chấm dứt. Mỗi Quốc gia ký kết có thể chấm dứt Công ước, thông qua kênh ngoại giao, bằng cách thông báo bằng văn bản … .28.</w:t>
      </w:r>
      <w:r>
        <w:rPr>
          <w:b w:val="0"/>
          <w:i/>
        </w:rPr>
        <w:t>Miller</w:t>
      </w:r>
      <w:r>
        <w:rPr>
          <w:b w:val="0"/>
          <w:i w:val="0"/>
        </w:rPr>
        <w:t xml:space="preserve"> tại [69].29.Xem §2.06 và §2.07 dưới đây.</w:t>
      </w:r>
    </w:p>
    <w:p>
      <w:pPr>
        <w:spacing w:after="80"/>
      </w:pPr>
      <w:r>
        <w:rPr>
          <w:b w:val="0"/>
          <w:i w:val="0"/>
        </w:rPr>
        <w:t>22</w:t>
      </w:r>
    </w:p>
    <w:p>
      <w:pPr>
        <w:spacing w:after="80"/>
      </w:pPr>
      <w:r>
        <w:rPr>
          <w:b w:val="0"/>
          <w:i w:val="0"/>
        </w:rPr>
        <w:t>Trước khi bất kỳ Lệnh của Hội đồng Cơ mật nào được đề xuất ban hành được trình lên Nữ hoàng trong Hội đồng Cơ mật, một bản dự thảo Lệnh phải được trình lên Hạ viện, và Lệnh không được trình lên trừ khi Hạ viện đó trình lên Nữ hoàng một địa chỉ (address) rằng Lệnh nên được ban hành.30 Do đó, cơ hội để các bên quan tâm bình luận về tính chấp nhận được của các điều khoản hiệp ước là cực kỳ hạn chế. Mặc dù các điều khoản của hiệp ước có thể là đối tượng tranh luận tại Hạ viện và về nguyên tắc Hạ viện có thể từ chối trình lên Hoàng gia một địa chỉ để ban hành Lệnh, đòi hỏi hiệp ước phải được đàm phán lại, nhưng điều này vẫn chưa từng xảy ra.</w:t>
      </w:r>
    </w:p>
    <w:p>
      <w:pPr>
        <w:spacing w:after="80"/>
      </w:pPr>
      <w:r>
        <w:rPr>
          <w:b/>
          <w:i w:val="0"/>
        </w:rPr>
        <w:t>§2.04 Vương quốc Anh: PHẠM VI CỦA CÁC HIỆP ƯỚC THUẾ</w:t>
      </w:r>
    </w:p>
    <w:p>
      <w:pPr>
        <w:spacing w:after="80"/>
      </w:pPr>
      <w:r>
        <w:rPr>
          <w:b w:val="0"/>
          <w:i w:val="0"/>
        </w:rPr>
        <w:t>Không có giới hạn về những gì có thể được thỏa thuận trong một hiệp ước liên quan đến thuế, tùy thuộc vào giới hạn hiến pháp được thảo luận trong §2.03. Trong lĩnh vực thuế, cho đến thế kỷ XXI, hầu hết các hiệp ước thuế đều là song phương và chủ yếu nhằm mục đích ngăn ngừa đánh thuế hai lần. Các hiệp ước thuế thu nhập sớm nhất mà Vương quốc Anh là thành viên chỉ giải quyết lợi nhuận từ vận tải biển và hàng không; một số ít hiệp ước như vậy vẫn còn tồn tại, đáng chú ý là ở các quốc gia mà Vương quốc Anh không thể, hoặc đơn giản là chưa, đàm phán một hiệp ước đánh thuế hai lần ‘toàn diện’. Tiếp theo là các hiệp ước rộng hơn bao gồm thuế thu nhập, thuế doanh nghiệp và thuế lợi nhuận vốn nhằm mục đích ngăn ngừa đánh thuế hai lần. Các hiệp ước toàn diện này chiếm phần lớn các hiệp ước của Vương quốc Anh. Vương quốc Anh cũng là thành viên của một số lượng hạn chế các hiệp ước thuế di sản và quà tặng khá cũ, mà ngày nay bao gồm thuế thừa kế. Hiệp ước thuế đa phương đầu tiên mà Vương quốc Anh tham gia vào năm 1992 là Công ước Trọng tài EU. Việc áp dụng thuế ngân hàng (bank levy) theo FA2011, Sch.19 cũng đã dẫn đến việc ký kết một loại hiệp ước mới để tránh việc đánh thuế ngân hàng hai lần. Hiệp ước đầu tiên như vậy được ký kết với Đức vào tháng 12 năm 2011.31 Các chức năng thiết yếu của các hiệp ước này, dù song phương hay đa phương, là tránh đánh thuế hai lần và phân bổ quyền đánh thuế giữa các đối tác hiệp ước cũng như cấm đánh thuế phân biệt đối xử và các yêu cầu liên quan. Các hiệp ước này có tác dụng chung là trao các lợi ích cụ thể cho những người nộp thuế cụ thể đáp ứng các yêu cầu của hiệp ước.</w:t>
      </w:r>
    </w:p>
    <w:p>
      <w:pPr>
        <w:spacing w:after="80"/>
      </w:pPr>
      <w:r>
        <w:rPr>
          <w:b w:val="0"/>
          <w:i w:val="0"/>
        </w:rPr>
        <w:t>Mục tiêu thứ hai của các hiệp ước là ngăn ngừa trốn thuế. Điều này theo truyền thống được giải quyết bằng các điều khoản trao đổi thông tin trong các hiệp ước song phương. Phạm vi của các điều khoản này đã mở rộng theo thời gian. Kể từ năm 2004, một sự thay đổi căn bản so với việc sử dụng truyền thống các hiệp ước để tránh đánh thuế hai lần đã diễn ra. Vương quốc Anh hiện đã tham gia vào các loại hiệp ước thuế mới không trao lợi ích cho người nộp thuế cụ thể mà hỗ trợ HMRC trong việc quản lý thuế của Vương quốc Anh và yêu cầu HMRC hỗ trợ các cơ quan thuế nước ngoài theo cùng cách. Các TIEA chỉ đơn giản quy định, thứ nhất, việc cung cấp thông tin liên quan đến các loại thuế được quy định trong các thỏa thuận đó; thứ hai, các thỏa thuận thuế tiết kiệm quy định việc trao đổi thông tin liên quan đến các khoản thanh toán lãi cho cư dân Vương quốc Anh và yêu cầu các quốc gia ký kết ngoài Vương quốc Anh khấu trừ thuế đối với</w:t>
      </w:r>
    </w:p>
    <w:p>
      <w:pPr>
        <w:spacing w:after="80"/>
      </w:pPr>
      <w:r>
        <w:rPr>
          <w:b w:val="0"/>
          <w:i w:val="0"/>
        </w:rPr>
        <w:t>30.TIOPA 2010, s. 5(2); FA 2006, s. 173(7).31.Công ước giữa Vương quốc Liên hiệp Anh và Bắc Ireland và Cộng hòa Liên bang Đức về Việc tránh Đánh thuế Hai lần đối với Thuế Ngân hàng ngày 7 tháng 12 năm 2011 (SI 2012/432). Hiệp ước đã bị chấm dứt bằng trao đổi công hàm ngày 20 tháng 2 năm 2017.</w:t>
      </w:r>
    </w:p>
    <w:p>
      <w:pPr>
        <w:spacing w:after="80"/>
      </w:pPr>
      <w:r>
        <w:rPr>
          <w:b w:val="0"/>
          <w:i w:val="0"/>
        </w:rPr>
        <w:t>23</w:t>
      </w:r>
    </w:p>
    <w:p>
      <w:pPr>
        <w:spacing w:after="80"/>
      </w:pPr>
      <w:r>
        <w:rPr>
          <w:b w:val="0"/>
          <w:i w:val="0"/>
        </w:rPr>
        <w:t xml:space="preserve">các khoản thanh toán lãi đó trong một số trường hợp nhất định; và, thứ ba, vào năm 2007, Vương quốc Anh trở thành thành viên của một hiệp ước thuế đa phương khác – Công ước OECD/Hội đồng Châu Âu về Tương trợ Hành chính trong các Vấn đề Thuế – mà đặc biệt giải quyết việc thu thuế xuyên biên giới. Việc thu thuế xuyên biên giới lần đầu tiên được thỏa thuận trong một hiệp ước song phương trong nghị định thư năm 2007 của Hiệp ước New Zealand-Vương quốc Anh. Một hiệp ước sáng tạo giữa Thụy Sĩ và Vương quốc Anh về hợp tác hành chính trong lĩnh vực thuế đã được ký kết vào ngày 6 tháng 10 năm 2011 yêu cầu thu thuế của Vương quốc Anh tại Thụy Sĩ,32 và một hiệp ước mới lạ với Hoa Kỳ để thực hiện luật </w:t>
      </w:r>
      <w:r>
        <w:rPr>
          <w:b w:val="0"/>
          <w:i/>
        </w:rPr>
        <w:t>Foreign Account Tax Compliance Act</w:t>
      </w:r>
      <w:r>
        <w:rPr>
          <w:b w:val="0"/>
          <w:i w:val="0"/>
        </w:rPr>
        <w:t xml:space="preserve"> (FATCA) của Hoa Kỳ đã được ký kết vào ngày 12 tháng 9 năm 2012.33 Xu hướng sử dụng các hiệp ước để tạo điều kiện hợp tác giữa HMRC và các cơ quan quản lý thuế khác có khả năng sẽ tiếp tục. Khía cạnh này được xem xét chi tiết trong Chương 22, §§22.01ff. Công ước Đa phương để Thực hiện các Biện pháp Liên quan đến Hiệp ước Thuế nhằm Ngăn ngừa Xói mòn Cơ sở Tính thuế và Chuyển dịch Lợi nhuận (BEPS) được ký ngày 7 tháng 6 năm 2017 nhằm thực hiện nhanh chóng các biện pháp BEPS liên quan đến hiệp ước thuế.34</w:t>
      </w:r>
    </w:p>
    <w:p>
      <w:pPr>
        <w:spacing w:after="80"/>
      </w:pPr>
      <w:r>
        <w:rPr>
          <w:b/>
          <w:i w:val="0"/>
        </w:rPr>
        <w:t>§2.05 Vương quốc Anh: CÁC QUY TẮC THUẾ TRONG CÁC HIỆP ƯỚC PHI THUẾ</w:t>
      </w:r>
    </w:p>
    <w:p>
      <w:pPr>
        <w:spacing w:after="80"/>
      </w:pPr>
      <w:r>
        <w:rPr>
          <w:b w:val="0"/>
          <w:i w:val="0"/>
        </w:rPr>
        <w:t>Ngoài các hiệp ước chủ yếu liên quan đến thuế, nhiều hiệp ước giải quyết các vấn đề quốc tế khác thường xuyên chứa các điều khoản liên quan đến thuế. Những hiệp ước này bao gồm các hiệp ước đa phương về quan hệ ngoại giao và lãnh sự,35 việc thành lập các tổ chức quốc tế, các thỏa thuận trụ sở với các tổ chức quốc tế có trụ sở tại Vương quốc Anh và lực lượng thăm viếng. Các biện pháp đánh thuế hai lần liên quan đến vận tải hàng không có thể được tìm thấy trong các thỏa thuận vận tải hàng không như thỏa thuận liên quan đến Hồng Kông và không nằm trong (hoặc ngoài) một hiệp ước thuế riêng biệt.36</w:t>
      </w:r>
    </w:p>
    <w:p>
      <w:pPr>
        <w:spacing w:after="80"/>
      </w:pPr>
      <w:r>
        <w:rPr>
          <w:b w:val="0"/>
          <w:i w:val="0"/>
        </w:rPr>
        <w:t>Thỏa thuận Thương mại và Hợp tác hậu Brexit giữa EU và Vương quốc Anh37</w:t>
      </w:r>
    </w:p>
    <w:p>
      <w:pPr>
        <w:spacing w:after="80"/>
      </w:pPr>
      <w:r>
        <w:rPr>
          <w:b w:val="0"/>
          <w:i w:val="0"/>
        </w:rPr>
        <w:t>bao gồm các điều khoản liên quan đến thuế chi phối mối quan hệ giữa EU và Vương quốc Anh kể từ ngày 1 tháng 1 năm 2021.</w:t>
      </w:r>
    </w:p>
    <w:p>
      <w:pPr>
        <w:spacing w:after="80"/>
      </w:pPr>
      <w:r>
        <w:rPr>
          <w:b w:val="0"/>
          <w:i w:val="0"/>
        </w:rPr>
        <w:t xml:space="preserve">32. Thỏa thuận giữa Liên bang Thụy Sĩ và Vương quốc Liên hiệp Anh và Bắc Ireland về hợp tác trong lĩnh vực thuế ngày 6 tháng 10 năm 2011. Chấm dứt hiệu lực từ ngày 31 tháng 12 năm 2016. 33. Thỏa thuận giữa Chính phủ Vương quốc Anh và Chính phủ Hợp chúng quốc Hoa Kỳ nhằm cải thiện việc tuân thủ thuế quốc tế và thực hiện FATCA, ký ngày 12 tháng 9 năm 2012. Xem Chương 22, §22.27. 34. Xem Chương 18. 35. Công ước về Quan hệ Ngoại giao (Vienna, 18 tháng 4 năm 1961; TS19 (1965); Cmnd2565); Công ước về Quan hệ Lãnh sự (Vienna, 24 tháng 4 năm 1963; TS14 (1973); Cmnd5219). Xem Chương 11, §11.13. 36. Thỏa thuận giữa Chính phủ Vương quốc Liên hiệp Anh và Bắc Ireland và Chính phủ Đặc khu Hành chính Hồng Kông thuộc Cộng hòa Nhân dân Trung Hoa về Dịch vụ Hàng không Hồng Kông, ngày 25 tháng 7 năm 1997 (Cmnd4336); </w:t>
      </w:r>
      <w:r>
        <w:rPr>
          <w:b w:val="0"/>
          <w:i/>
        </w:rPr>
        <w:t>Double Taxation Relief (Air Transport) (Hong Kong) Order</w:t>
      </w:r>
      <w:r>
        <w:rPr>
          <w:b w:val="0"/>
          <w:i w:val="0"/>
        </w:rPr>
        <w:t xml:space="preserve"> 1998 (SI 1998/2566) (đã bị thay thế). 37. Thỏa thuận Thương mại và Hợp tác giữa Liên minh Châu Âu và Cộng đồng Năng lượng Nguyên tử Châu Âu, một bên, và Vương quốc Liên hiệp Anh và Bắc Ireland, bên kia, ngày 24 tháng 12 năm 2020.</w:t>
      </w:r>
    </w:p>
    <w:p>
      <w:pPr>
        <w:spacing w:after="80"/>
      </w:pPr>
      <w:r>
        <w:rPr>
          <w:b w:val="0"/>
          <w:i w:val="0"/>
        </w:rPr>
        <w:t>24</w:t>
      </w:r>
    </w:p>
    <w:p>
      <w:pPr>
        <w:spacing w:after="80"/>
      </w:pPr>
      <w:r>
        <w:rPr>
          <w:b/>
          <w:i w:val="0"/>
        </w:rPr>
        <w:t>[A]Các Tổ chức Quốc tế</w:t>
      </w:r>
    </w:p>
    <w:p>
      <w:pPr>
        <w:spacing w:after="80"/>
      </w:pPr>
      <w:r>
        <w:rPr>
          <w:b w:val="0"/>
          <w:i w:val="0"/>
        </w:rPr>
        <w:t>Các hiệp ước thành lập các tổ chức quốc tế thường trao quyền miễn trừ thuế cho các tổ chức đó và nhân viên của họ. Công ước về Đặc quyền và Miễn trừ của Liên hợp quốc38 đã đóng vai trò là hình mẫu cho nhiều hiệp ước tương tự và do đó mang tính đại diện cho cách tiếp cận thông thường. Quyền miễn trừ thuế được trao cho Liên hợp quốc như sau:</w:t>
      </w:r>
    </w:p>
    <w:p>
      <w:pPr>
        <w:spacing w:after="80"/>
      </w:pPr>
      <w:r>
        <w:rPr>
          <w:b w:val="0"/>
          <w:i w:val="0"/>
        </w:rPr>
        <w:t>Điều 7. Liên hợp quốc, tài sản, thu nhập và tài sản khác của Liên hợp quốc sẽ:</w:t>
      </w:r>
    </w:p>
    <w:p>
      <w:pPr>
        <w:spacing w:after="80"/>
      </w:pPr>
      <w:r>
        <w:rPr>
          <w:b w:val="0"/>
          <w:i w:val="0"/>
        </w:rPr>
        <w:t>(a) được miễn mọi loại thuế trực thu; tuy nhiên, cần hiểu rằng Liên hợp</w:t>
      </w:r>
    </w:p>
    <w:p>
      <w:pPr>
        <w:spacing w:after="80"/>
      </w:pPr>
      <w:r>
        <w:rPr>
          <w:b w:val="0"/>
          <w:i w:val="0"/>
        </w:rPr>
        <w:t>quốc sẽ không yêu cầu miễn trừ các loại thuế mà trên thực tế chỉ là khoản phí cho các dịch vụ công ích; (b) được miễn thuế hải quan và các lệnh cấm cũng như hạn chế đối với việc nhập khẩu và</w:t>
      </w:r>
    </w:p>
    <w:p>
      <w:pPr>
        <w:spacing w:after="80"/>
      </w:pPr>
      <w:r>
        <w:rPr>
          <w:b w:val="0"/>
          <w:i w:val="0"/>
        </w:rPr>
        <w:t>xuất khẩu liên quan đến các mặt hàng mà Liên hợp quốc nhập khẩu hoặc xuất khẩu cho mục đích chính thức của mình. Tuy nhiên, cần hiểu rằng các mặt hàng được nhập khẩu theo diện miễn trừ như vậy sẽ không được bán tại quốc gia mà chúng được nhập khẩu vào, trừ khi theo các điều kiện đã thỏa thuận với Chính phủ quốc gia đó; (c) được miễn thuế hải quan và các lệnh cấm cũng như hạn chế đối với việc nhập khẩu và</w:t>
      </w:r>
    </w:p>
    <w:p>
      <w:pPr>
        <w:spacing w:after="80"/>
      </w:pPr>
      <w:r>
        <w:rPr>
          <w:b w:val="0"/>
          <w:i w:val="0"/>
        </w:rPr>
        <w:t>xuất khẩu liên quan đến các ấn phẩm của mình.</w:t>
      </w:r>
    </w:p>
    <w:p>
      <w:pPr>
        <w:spacing w:after="80"/>
      </w:pPr>
      <w:r>
        <w:rPr>
          <w:b w:val="0"/>
          <w:i w:val="0"/>
        </w:rPr>
        <w:t>Điều 8. Mặc dù theo nguyên tắc chung, Liên hợp quốc sẽ không yêu cầu miễn trừ thuế tiêu thụ đặc biệt và thuế đối với việc bán động sản và bất động sản vốn là một phần của giá phải trả, tuy nhiên, khi Liên hợp quốc thực hiện các giao dịch mua quan trọng cho mục đích chính thức đối với tài sản mà các loại thuế và phí đó đã bị đánh hoặc có thể bị đánh, các Thành viên sẽ, bất cứ khi nào có thể, thực hiện các thỏa thuận hành chính phù hợp để miễn hoặc hoàn lại số tiền thuế hoặc phí đó.</w:t>
      </w:r>
    </w:p>
    <w:p>
      <w:pPr>
        <w:spacing w:after="80"/>
      </w:pPr>
      <w:r>
        <w:rPr>
          <w:b w:val="0"/>
          <w:i w:val="0"/>
        </w:rPr>
        <w:t>Quyền miễn trừ thuế được trao cho nhân viên và một số cá nhân khác như sau:</w:t>
      </w:r>
    </w:p>
    <w:p>
      <w:pPr>
        <w:spacing w:after="80"/>
      </w:pPr>
      <w:r>
        <w:rPr>
          <w:b w:val="0"/>
          <w:i w:val="0"/>
        </w:rPr>
        <w:t>Điều 18. Các viên chức của Liên hợp quốc sẽ:</w:t>
      </w:r>
    </w:p>
    <w:p>
      <w:pPr>
        <w:spacing w:after="80"/>
      </w:pPr>
      <w:r>
        <w:rPr>
          <w:b w:val="0"/>
          <w:i w:val="0"/>
        </w:rPr>
        <w:t>(b) được miễn thuế đối với tiền lương và thù lao mà Liên hợp quốc trả cho họ;</w:t>
      </w:r>
    </w:p>
    <w:p>
      <w:pPr>
        <w:spacing w:after="80"/>
      </w:pPr>
      <w:r>
        <w:rPr>
          <w:b w:val="0"/>
          <w:i w:val="0"/>
        </w:rPr>
        <w:t>Liên hợp quốc;</w:t>
      </w:r>
    </w:p>
    <w:p>
      <w:pPr>
        <w:spacing w:after="80"/>
      </w:pPr>
      <w:r>
        <w:rPr>
          <w:b w:val="0"/>
          <w:i w:val="0"/>
        </w:rPr>
        <w:t>Mục 19. Ngoài các quyền miễn trừ và đặc quyền được quy định tại mục 18, Tổng thư ký và tất cả các Trợ lý Tổng thư ký sẽ được hưởng, đối với bản thân họ, vợ/chồng và con chưa thành niên của họ, các đặc quyền và quyền miễn trừ, miễn giảm và thuận lợi dành cho các phái viên ngoại giao, phù hợp với luật pháp quốc tế.</w:t>
      </w:r>
    </w:p>
    <w:p>
      <w:pPr>
        <w:spacing w:after="80"/>
      </w:pPr>
      <w:r>
        <w:rPr>
          <w:b w:val="0"/>
          <w:i w:val="0"/>
        </w:rPr>
        <w:t xml:space="preserve">Chương trình lương hưu của Cơ quan Sáng chế Châu Âu và việc miễn thuế đối với thù lao của nhân viên theo điều 16 của Nghị định thư về Đặc quyền và Quyền miễn trừ của Công ước Sáng chế Châu Âu39 đã được xem xét trong </w:t>
      </w:r>
      <w:r>
        <w:rPr>
          <w:b w:val="0"/>
          <w:i/>
        </w:rPr>
        <w:t>Sinnamon v Revenue and Customs</w:t>
      </w:r>
      <w:r>
        <w:rPr>
          <w:b w:val="0"/>
          <w:i w:val="0"/>
        </w:rPr>
        <w:t>.40 Người ta cho rằng thuật ngữ 'thù lao' không thể áp dụng cho một 'Khoản</w:t>
      </w:r>
    </w:p>
    <w:p>
      <w:pPr>
        <w:spacing w:after="80"/>
      </w:pPr>
      <w:r>
        <w:rPr>
          <w:b w:val="0"/>
          <w:i w:val="0"/>
        </w:rPr>
        <w:t>38.Công ước về Đặc quyền và Quyền miễn trừ của Liên hợp quốc (London, 13 tháng 2 năm 1946; TS 10 (1950); Cmd 7891). Xem thêm Công ước về Đặc quyền và Quyền miễn trừ của các Cơ quan Chuyên môn của Liên hợp quốc (thông qua ngày 21 tháng 11 năm 1947; TS 69 (1959)).39.Nghị định thư về Đặc quyền và Quyền miễn trừ của Cơ quan Sáng chế Châu Âu (SI 1978/179), Nghị định thư của Công ước về Cấp bằng Sáng chế Châu Âu, điều 8.40.</w:t>
      </w:r>
      <w:r>
        <w:rPr>
          <w:b w:val="0"/>
          <w:i/>
        </w:rPr>
        <w:t>Sinnamon v Revenue and Customs</w:t>
      </w:r>
      <w:r>
        <w:rPr>
          <w:b w:val="0"/>
          <w:i w:val="0"/>
        </w:rPr>
        <w:t xml:space="preserve"> [2016] UKFTT 168 (TC), [2016] TC 04958.</w:t>
      </w:r>
    </w:p>
    <w:p>
      <w:pPr>
        <w:spacing w:after="80"/>
      </w:pPr>
      <w:r>
        <w:rPr>
          <w:b w:val="0"/>
          <w:i w:val="0"/>
        </w:rPr>
        <w:t>25</w:t>
      </w:r>
    </w:p>
    <w:p>
      <w:pPr>
        <w:spacing w:after="80"/>
      </w:pPr>
      <w:r>
        <w:rPr>
          <w:b w:val="0"/>
          <w:i w:val="0"/>
        </w:rPr>
        <w:t>Thanh toán Đền bù' được thực hiện cho các cựu nhân viên do những thay đổi đối với chương trình lương hưu của Cơ quan Sáng chế Châu Âu. Do đó, các khoản thanh toán này không được miễn thuế theo điều 16 của Nghị định thư mặc dù Hội đồng Hành chính của Cơ quan Sáng chế Châu Âu dự định rằng các khoản thanh toán này nên được coi là thù lao miễn thuế. Tòa án Sơ thẩm đã phán quyết rằng thù lao mà các cá nhân nhận được với tư cách 'cán bộ' không thể được nhận với tư cách đó trong trường hợp cựu cán bộ.</w:t>
      </w:r>
    </w:p>
    <w:p>
      <w:pPr>
        <w:spacing w:after="80"/>
      </w:pPr>
      <w:r>
        <w:rPr>
          <w:b w:val="0"/>
          <w:i w:val="0"/>
        </w:rPr>
        <w:t xml:space="preserve">Hầu hết các trường hợp miễn thuế trong các hiệp ước như vậy đều được thực thi ở Vương quốc Anh thông qua </w:t>
      </w:r>
      <w:r>
        <w:rPr>
          <w:b w:val="0"/>
          <w:i/>
        </w:rPr>
        <w:t>Đạo luật về các Tổ chức Quốc tế</w:t>
      </w:r>
      <w:r>
        <w:rPr>
          <w:b w:val="0"/>
          <w:i w:val="0"/>
        </w:rPr>
        <w:t xml:space="preserve"> năm 1968, bản thân đạo luật này bao gồm việc miễn hoặc giảm tất cả các loại thuế.41</w:t>
      </w:r>
    </w:p>
    <w:p>
      <w:pPr>
        <w:spacing w:after="80"/>
      </w:pPr>
      <w:r>
        <w:rPr>
          <w:b/>
          <w:i w:val="0"/>
        </w:rPr>
        <w:t>Thỏa thuận về Trụ sở chính</w:t>
      </w:r>
    </w:p>
    <w:p>
      <w:pPr>
        <w:spacing w:after="80"/>
      </w:pPr>
      <w:r>
        <w:rPr>
          <w:b w:val="0"/>
          <w:i w:val="0"/>
        </w:rPr>
        <w:t>Vương quốc Anh đã ký kết các thỏa thuận với một số tổ chức quốc tế có trụ sở chính tại Vương quốc Anh. Các điều khoản mà theo đó việc miễn thuế được cấp bởi các thỏa thuận như vậy cũng bị ảnh hưởng bởi Công ước của Liên hợp quốc. Những thỏa thuận này trao các đặc quyền và quyền miễn trừ cho cơ sở vật chất, tài liệu lưu trữ và nhân sự của tổ chức, đồng thời đảm bảo việc miễn thuế trực thu và thuế hải quan.</w:t>
      </w:r>
    </w:p>
    <w:p>
      <w:pPr>
        <w:spacing w:after="80"/>
      </w:pPr>
      <w:r>
        <w:rPr>
          <w:b w:val="0"/>
          <w:i w:val="0"/>
        </w:rPr>
        <w:t>Thỏa thuận liên quan đến Tổ chức Vệ tinh Di động Quốc tế42 là điển hình và có nội dung liên quan như sau:</w:t>
      </w:r>
    </w:p>
    <w:p>
      <w:pPr>
        <w:spacing w:after="80"/>
      </w:pPr>
      <w:r>
        <w:rPr>
          <w:b w:val="0"/>
          <w:i w:val="0"/>
        </w:rPr>
        <w:t>Điều 7</w:t>
      </w:r>
    </w:p>
    <w:p>
      <w:pPr>
        <w:spacing w:after="80"/>
      </w:pPr>
      <w:r>
        <w:rPr>
          <w:b w:val="0"/>
          <w:i w:val="0"/>
        </w:rPr>
        <w:t>Miễn thuế(1)Trong phạm vi các hoạt động chính thức của mình, Tổ chức cùng tài sản và</w:t>
      </w:r>
    </w:p>
    <w:p>
      <w:pPr>
        <w:spacing w:after="80"/>
      </w:pPr>
      <w:r>
        <w:rPr>
          <w:b w:val="0"/>
          <w:i w:val="0"/>
        </w:rPr>
        <w:t>thu nhập của Tổ chức sẽ được miễn tất cả các loại thuế trực thu bao gồm Thuế Thu nhập, Thuế Lợi nhuận Vốn và Thuế Doanh nghiệp. Tổ chức sẽ được giảm thuế suất không trong nước hoặc bất kỳ loại thuế địa phương hay nghĩa vụ nào khác đối với cơ sở chính thức của Tổ chức như được dành cho một cơ quan ngoại giao. Thuế suất hoặc bất kỳ loại thuế địa phương hay nghĩa vụ nào khác trước tiên sẽ do Chính phủ chi trả, và Chính phủ sẽ thu lại từ Tổ chức phần tương ứng với các khoản thanh toán cho các dịch vụ cụ thể đã được cung cấp. Tổ chức cũng sẽ được miễn thuế tiêu thụ đặc biệt đối với xe cộ đối với các phương tiện chính thức của mình.(2)Tổ chức sẽ được hoàn thuế giá trị gia tăng đối với</w:t>
      </w:r>
    </w:p>
    <w:p>
      <w:pPr>
        <w:spacing w:after="80"/>
      </w:pPr>
      <w:r>
        <w:rPr>
          <w:b w:val="0"/>
          <w:i w:val="0"/>
        </w:rPr>
        <w:t>việc mua xe ô tô mới sản xuất tại Vương quốc Anh và thuế giá trị gia tăng đã trả cho việc cung cấp hàng hóa hoặc dịch vụ khác cần thiết cho các hoạt động chính thức của Tổ chức. Các yêu cầu hoàn thuế giá trị gia tăng đối với hàng hóa và dịch vụ thông thường sẽ được trình bày hàng tháng.(3)Tổ chức sẽ được hoàn thuế Phí Bảo hiểm và Thuế Hành khách Hàng không</w:t>
      </w:r>
    </w:p>
    <w:p>
      <w:pPr>
        <w:spacing w:after="80"/>
      </w:pPr>
      <w:r>
        <w:rPr>
          <w:b w:val="0"/>
          <w:i w:val="0"/>
        </w:rPr>
        <w:t>do Tổ chức chi trả trong quá trình thực hiện các hoạt động chính thức của mình.</w:t>
      </w:r>
    </w:p>
    <w:p>
      <w:pPr>
        <w:spacing w:after="80"/>
      </w:pPr>
      <w:r>
        <w:rPr>
          <w:b w:val="0"/>
          <w:i w:val="0"/>
        </w:rPr>
        <w:t>Điều 14</w:t>
      </w:r>
    </w:p>
    <w:p>
      <w:pPr>
        <w:spacing w:after="80"/>
      </w:pPr>
      <w:r>
        <w:rPr>
          <w:b w:val="0"/>
          <w:i w:val="0"/>
        </w:rPr>
        <w:t>Thành viên Nhân viên(2)(a)Tiền lương và thù lao do Tổ chức chi trả cho các thành viên nhân viên sẽ</w:t>
      </w:r>
    </w:p>
    <w:p>
      <w:pPr>
        <w:spacing w:after="80"/>
      </w:pPr>
      <w:r>
        <w:rPr>
          <w:b w:val="0"/>
          <w:i w:val="0"/>
        </w:rPr>
        <w:t>được miễn thuế thu nhập kể từ ngày mà các nhân viên bắt đầu chịu trách nhiệm về khoản thuế do Tổ chức áp đặt lên những khoản tiền lương này vì lợi ích của Tổ chức; Chính phủ giữ quyền</w:t>
      </w:r>
    </w:p>
    <w:p>
      <w:pPr>
        <w:spacing w:after="80"/>
      </w:pPr>
      <w:r>
        <w:rPr>
          <w:b w:val="0"/>
          <w:i w:val="0"/>
        </w:rPr>
        <w:t>41.</w:t>
      </w:r>
      <w:r>
        <w:rPr>
          <w:b w:val="0"/>
          <w:i/>
        </w:rPr>
        <w:t>Đạo luật về các Tổ chức Quốc tế</w:t>
      </w:r>
      <w:r>
        <w:rPr>
          <w:b w:val="0"/>
          <w:i w:val="0"/>
        </w:rPr>
        <w:t xml:space="preserve"> 1968, Phụ lục 1, khoản 3(1). Ví dụ, liên quan đến Liên hợp quốc, xem </w:t>
      </w:r>
      <w:r>
        <w:rPr>
          <w:b w:val="0"/>
          <w:i/>
        </w:rPr>
        <w:t>Lệnh về Liên hợp quốc và Tòa án Công lý Quốc tế (Quyền miễn trừ và Đặc quyền)</w:t>
      </w:r>
      <w:r>
        <w:rPr>
          <w:b w:val="0"/>
          <w:i w:val="0"/>
        </w:rPr>
        <w:t xml:space="preserve"> 1974 (SI 1974/1261). 42. Hiệp định Trụ sở giữa Chính phủ Vương quốc Anh và Tổ chức Vệ tinh Di động Quốc tế (Luân Đôn, ngày 15 tháng 4 năm 1999; TS 73 (1999); Cm 4511).</w:t>
      </w:r>
    </w:p>
    <w:p>
      <w:pPr>
        <w:spacing w:after="80"/>
      </w:pPr>
      <w:r>
        <w:rPr>
          <w:b w:val="0"/>
          <w:i w:val="0"/>
        </w:rPr>
        <w:t>26</w:t>
      </w:r>
    </w:p>
    <w:p>
      <w:pPr>
        <w:spacing w:after="80"/>
      </w:pPr>
      <w:r>
        <w:rPr>
          <w:b w:val="0"/>
          <w:i w:val="0"/>
        </w:rPr>
        <w:t>tính đến những khoản tiền lương và thù lao này cho mục đích đánh giá số thuế áp dụng đối với thu nhập từ các nguồn khác (b) Khoản (a) không áp dụng đối với bất kỳ khoản lương hưu và niên kim nào do</w:t>
      </w:r>
    </w:p>
    <w:p>
      <w:pPr>
        <w:spacing w:after="80"/>
      </w:pPr>
      <w:r>
        <w:rPr>
          <w:b w:val="0"/>
          <w:i w:val="0"/>
        </w:rPr>
        <w:t>Tổ chức chi trả cho các cựu nhân viên.</w:t>
      </w:r>
    </w:p>
    <w:p>
      <w:pPr>
        <w:spacing w:after="80"/>
      </w:pPr>
      <w:r>
        <w:rPr>
          <w:b/>
          <w:i w:val="0"/>
        </w:rPr>
        <w:t>[C]Lực lượng Thăm viếng</w:t>
      </w:r>
    </w:p>
    <w:p>
      <w:pPr>
        <w:spacing w:after="80"/>
      </w:pPr>
      <w:r>
        <w:rPr>
          <w:b w:val="0"/>
          <w:i w:val="0"/>
        </w:rPr>
        <w:t>Việc xử lý thuế đối với quân nhân nước ngoài và nhân viên dân sự của các liên minh quân sự được quy định cụ thể trong các hiệp ước được ký kết để giải quyết tình trạng của các lực lượng đó. Ví dụ, trong trường hợp nhân viên của Tổ chức Hiệp ước Bắc Đại Tây Dương (NATO), Điều X của Hiệp định về Tình trạng Lực lượng của các Bên tham gia Hiệp ước Bắc Đại Tây Dương quy định:</w:t>
      </w:r>
    </w:p>
    <w:p>
      <w:pPr>
        <w:spacing w:after="80"/>
      </w:pPr>
      <w:r>
        <w:rPr>
          <w:b w:val="0"/>
          <w:i w:val="0"/>
        </w:rPr>
        <w:t>1. Khi việc áp dụng pháp lý của bất kỳ hình thức đánh thuế nào tại Quốc gia tiếp nhận phụ thuộc vào nơi cư trú hoặc nơi định cư, thì khoảng thời gian mà một thành viên của lực lượng hoặc thành phần dân sự ở trong lãnh thổ của Quốc gia đó chỉ vì lý do là thành viên của lực lượng hoặc thành phần dân sự đó sẽ không được coi là thời gian cư trú tại đó, cũng không được coi là tạo ra sự thay đổi nơi cư trú hoặc nơi định cư, cho mục đích đánh thuế đó. Các thành viên của lực lượng hoặc thành phần dân sự sẽ được miễn thuế tại Quốc gia tiếp nhận đối với tiền lương và thù lao mà Quốc gia cử đi chi trả cho họ với tư cách là thành viên đó, hoặc đối với bất kỳ tài sản động hữu hình nào mà sự hiện diện của nó tại Quốc gia tiếp nhận chỉ là do sự hiện diện tạm thời của họ ở đó. 2. Không có gì trong Điều này ngăn cản việc đánh thuế đối với một thành viên của lực lượng hoặc thành phần dân sự liên quan đến bất kỳ doanh nghiệp sinh lợi nào, ngoài tư cách làm việc của họ với tư cách là thành viên đó, mà họ có thể tham gia tại Quốc gia tiếp nhận, và, ngoại trừ liên quan đến tiền lương và thù lao của họ và tài sản động hữu hình được đề cập trong khoản 1, không có gì trong Điều này ngăn cản việc đánh thuế mà, ngay cả khi được coi là có nơi cư trú hoặc nơi định cư bên ngoài lãnh thổ của Quốc gia tiếp nhận, thành viên đó vẫn phải chịu theo luật của Quốc gia đó. 3. Không có gì trong Điều này áp dụng đối với 'thuế quan' như được định nghĩa trong khoản 12 của Điều XI. 4. Cho mục đích của Điều này, thuật ngữ 'thành viên của lực lượng' sẽ không bao gồm bất kỳ người nào là công dân của Quốc gia tiếp nhận. 43</w:t>
      </w:r>
    </w:p>
    <w:p>
      <w:pPr>
        <w:spacing w:after="80"/>
      </w:pPr>
      <w:r>
        <w:rPr>
          <w:b w:val="0"/>
          <w:i w:val="0"/>
        </w:rPr>
        <w:t xml:space="preserve">Các hiệp định về tình trạng lực lượng được thực thi tại Vương quốc Anh thông qua </w:t>
      </w:r>
      <w:r>
        <w:rPr>
          <w:b w:val="0"/>
          <w:i/>
        </w:rPr>
        <w:t>Đạo luật về Lực lượng Thăm viếng</w:t>
      </w:r>
      <w:r>
        <w:rPr>
          <w:b w:val="0"/>
          <w:i w:val="0"/>
        </w:rPr>
        <w:t xml:space="preserve"> 1952. Trong mỗi trường hợp, tổ chức đó được hưởng miễn thuế rộng rãi. Đối với các quan chức và nhân viên, việc miễn thuế thường được nhắm mục tiêu hẹp hơn vào thu nhập liên quan đến nhiệm vụ chính thức của họ. Mức độ miễn thuế rất đa dạng. Ví dụ, hiệp định NATO loại trừ công dân địa phương khỏi quyền được miễn thuế. Việc mở rộng cho các thành viên gia đình của các quan chức cấp cao của Liên hợp quốc là điều bất thường. Nó cũng quy định về nơi cư trú được coi là của các cá nhân. So sánh với, Tổ chức Vệ tinh</w:t>
      </w:r>
    </w:p>
    <w:p>
      <w:pPr>
        <w:spacing w:after="80"/>
      </w:pPr>
      <w:r>
        <w:rPr>
          <w:b w:val="0"/>
          <w:i w:val="0"/>
        </w:rPr>
        <w:t>43. Hiệp định về Tình trạng Lực lượng của các Bên tham gia Hiệp ước Bắc Đại Tây Dương (Luân Đôn, ngày 19 tháng 6 năm 1951; TS 3 (1955)).</w:t>
      </w:r>
    </w:p>
    <w:p>
      <w:pPr>
        <w:spacing w:after="80"/>
      </w:pPr>
      <w:r>
        <w:rPr>
          <w:b w:val="0"/>
          <w:i w:val="0"/>
        </w:rPr>
        <w:t>27</w:t>
      </w:r>
    </w:p>
    <w:p>
      <w:pPr>
        <w:spacing w:after="80"/>
      </w:pPr>
      <w:r>
        <w:rPr>
          <w:b w:val="0"/>
          <w:i w:val="0"/>
        </w:rPr>
        <w:t>Di động Quốc tế chỉ quy định về việc miễn thuế mà không đề cập đến nơi cư trú hay quốc tịch.44</w:t>
      </w:r>
    </w:p>
    <w:p>
      <w:pPr>
        <w:spacing w:after="80"/>
      </w:pPr>
      <w:r>
        <w:rPr>
          <w:b/>
          <w:i w:val="0"/>
        </w:rPr>
        <w:t>§2.06 Vương quốc Anh: THỰC THI HIỆP ƯỚC</w:t>
      </w:r>
    </w:p>
    <w:p>
      <w:pPr>
        <w:spacing w:after="80"/>
      </w:pPr>
      <w:r>
        <w:rPr>
          <w:b w:val="0"/>
          <w:i w:val="0"/>
        </w:rPr>
        <w:t xml:space="preserve">Mặc dù các hiệp ước được ký kết hợp pháp có tính ràng buộc đối với quốc gia mà không cần sự phê chuẩn của quốc hội, chúng không có hiệu lực đối với luật pháp của Vương quốc Anh cho đến khi hành động lập pháp thích hợp được thực hiện.45 Những hậu quả chính xác của điều này trong bối cảnh thuế đã được Park J tóm tắt trong </w:t>
      </w:r>
      <w:r>
        <w:rPr>
          <w:b w:val="0"/>
          <w:i/>
        </w:rPr>
        <w:t>Boake Allen Ltd &amp; Ors (bao gồm NEC Semi-Conductors Ltd) v HMRC</w:t>
      </w:r>
      <w:r>
        <w:rPr>
          <w:b w:val="0"/>
          <w:i w:val="0"/>
        </w:rPr>
        <w:t>46 như sau:</w:t>
      </w:r>
    </w:p>
    <w:p>
      <w:pPr>
        <w:spacing w:after="80"/>
      </w:pPr>
      <w:r>
        <w:rPr>
          <w:b w:val="0"/>
          <w:i w:val="0"/>
        </w:rPr>
        <w:t>[9]. Các hiệp định tránh đánh thuế hai lần là các hiệp ước được ký kết giữa các quốc gia có chủ quyền. Theo luật của Vương quốc Anh, chúng được ký kết dựa trên việc thực thi quyền đặc quyền của Hoàng gia. Theo luật của chúng ta, các hiệp ước không 'tự thực thi': điều đó có nghĩa là, mặc dù chúng có tính ràng buộc trong luật quốc tế giữa Vương quốc Anh và Quốc gia khác ngay khi chúng được ký kết (hoặc phê chuẩn, nếu theo các điều khoản của chúng yêu cầu phê chuẩn), chúng không tự động có hiệu lực trong luật nội địa như một phần của luật pháp Vương quốc Anh. Cần có sự can thiệp của Quốc hội, hoặc trực tiếp bằng luật hoặc bằng sự ủy quyền theo luật cho phép một người hoặc cơ quan khác đưa hiệp ước vào hiệu lực trong nước.</w:t>
      </w:r>
    </w:p>
    <w:p>
      <w:pPr>
        <w:spacing w:after="80"/>
      </w:pPr>
      <w:r>
        <w:rPr>
          <w:b w:val="0"/>
          <w:i w:val="0"/>
        </w:rPr>
        <w:t xml:space="preserve">Cách diễn đạt này đã được Lloyd LJ chấp nhận hoàn toàn khi kháng cáo.47 Thủ tục phê chuẩn các hiệp ước nói chung được quy định trong </w:t>
      </w:r>
      <w:r>
        <w:rPr>
          <w:b w:val="0"/>
          <w:i/>
        </w:rPr>
        <w:t>Đạo luật Cải cách Hiến pháp và Quản trị</w:t>
      </w:r>
      <w:r>
        <w:rPr>
          <w:b w:val="0"/>
          <w:i w:val="0"/>
        </w:rPr>
        <w:t xml:space="preserve"> 2010, Phần 2. Mục 25 của Đạo luật áp dụng định nghĩa về hiệp ước của Công ước Vienna về Luật Hiệp ước cho mục đích này. Thủ tục chung này không áp dụng cho các hiệp ước thuế khi các thủ tục phê chuẩn được quy định cụ thể trong luật thuế.48 Việc không áp dụng điều này là một mô tả lập pháp đơn giản và tao nhã, để lại việc phê chuẩn các hiệp ước thuế trong tình trạng trước đây với nhiều quy định khác nhau nằm rải rác trong luật, cho phép các hiệp ước thuế có hiệu lực trong luật nội địa trên cơ sở </w:t>
      </w:r>
      <w:r>
        <w:rPr>
          <w:b w:val="0"/>
          <w:i/>
        </w:rPr>
        <w:t>tùy từng trường hợp</w:t>
      </w:r>
      <w:r>
        <w:rPr>
          <w:b w:val="0"/>
          <w:i w:val="0"/>
        </w:rPr>
        <w:t>.</w:t>
      </w:r>
    </w:p>
    <w:p>
      <w:pPr>
        <w:spacing w:after="80"/>
      </w:pPr>
      <w:r>
        <w:rPr>
          <w:b w:val="0"/>
          <w:i w:val="0"/>
        </w:rPr>
        <w:t>Việc ban hành luật để đưa các hiệp định đánh thuế hai lần vào hiệu lực trong luật nội địa được quy định trong TIOPA 2010, Phần 2, Chương 1. Mục 2(1) quy định rằng:</w:t>
      </w:r>
    </w:p>
    <w:p>
      <w:pPr>
        <w:spacing w:after="80"/>
      </w:pPr>
      <w:r>
        <w:rPr>
          <w:b w:val="0"/>
          <w:i w:val="0"/>
        </w:rPr>
        <w:t>Nếu Nữ hoàng bằng Lệnh Hội đồng tuyên bố-</w:t>
      </w:r>
    </w:p>
    <w:p>
      <w:pPr>
        <w:spacing w:after="80"/>
      </w:pPr>
      <w:r>
        <w:rPr>
          <w:b w:val="0"/>
          <w:i w:val="0"/>
        </w:rPr>
        <w:t>(a) rằng các thỏa thuận được nêu trong Lệnh đã được thực hiện đối với bất kỳ</w:t>
      </w:r>
    </w:p>
    <w:p>
      <w:pPr>
        <w:spacing w:after="80"/>
      </w:pPr>
      <w:r>
        <w:rPr>
          <w:b w:val="0"/>
          <w:i w:val="0"/>
        </w:rPr>
        <w:t>vùng lãnh thổ nào ngoài Vương quốc Anh nhằm mục đích giảm bớt đánh thuế hai lần liên quan đến các loại thuế trong tiểu mục (3), và: (b) rằng việc các thỏa thuận đó có hiệu lực là thích hợp,</w:t>
      </w:r>
    </w:p>
    <w:p>
      <w:pPr>
        <w:spacing w:after="80"/>
      </w:pPr>
      <w:r>
        <w:rPr>
          <w:b w:val="0"/>
          <w:i w:val="0"/>
        </w:rPr>
        <w:t>thì các thỏa thuận đó sẽ có hiệu lực.</w:t>
      </w:r>
    </w:p>
    <w:p>
      <w:pPr>
        <w:spacing w:after="80"/>
      </w:pPr>
      <w:r>
        <w:rPr>
          <w:b w:val="0"/>
          <w:i w:val="0"/>
        </w:rPr>
        <w:t xml:space="preserve">44. Xem thêm Chương 3, §3.14 về miễn trừ thuế của EU. 45. Trong </w:t>
      </w:r>
      <w:r>
        <w:rPr>
          <w:b w:val="0"/>
          <w:i/>
        </w:rPr>
        <w:t xml:space="preserve"> McLaine Watson v Department of Trade</w:t>
      </w:r>
      <w:r>
        <w:rPr>
          <w:b w:val="0"/>
          <w:i w:val="0"/>
        </w:rPr>
        <w:t xml:space="preserve"> [1990] 2 AC 418, tại 476; [1989] 3 All ER 523, HL, Lord Templeman nói tại 526: 'Một hiệp ước mà Chính phủ Nữ hoàng là một bên không làm thay đổi luật của Vương quốc Anh. Trừ khi một hiệp ước được đưa vào luật của Vương quốc Anh bằng đạo luật, các tòa án của Vương quốc Anh không có quyền thực thi các quyền và nghĩa vụ theo hiệp ước theo yêu cầu của một chính phủ có chủ quyền hoặc thay mặt cho một cá nhân tư nhân.' 46. </w:t>
      </w:r>
      <w:r>
        <w:rPr>
          <w:b w:val="0"/>
          <w:i/>
        </w:rPr>
        <w:t>Boake Allen Ltd &amp; Ors (bao gồm NEC Semi-Conductors Ltd) v Revenue and Customs Commissioners</w:t>
      </w:r>
      <w:r>
        <w:rPr>
          <w:b w:val="0"/>
          <w:i w:val="0"/>
        </w:rPr>
        <w:t xml:space="preserve"> [2006] BTC 266 [2006] EWCA Civ 25; [2006] STC 606. 47. </w:t>
      </w:r>
      <w:r>
        <w:rPr>
          <w:b w:val="0"/>
          <w:i/>
        </w:rPr>
        <w:t>Boake Allen Ltd &amp; Ors (bao gồm NEC Semi-Conductors Ltd) v Revenue and Customs Commissioners</w:t>
      </w:r>
      <w:r>
        <w:rPr>
          <w:b w:val="0"/>
          <w:i w:val="0"/>
        </w:rPr>
        <w:t xml:space="preserve"> [2006] BTC 266; [2006] EWCA Civ 25, đoạn 25; [2006] STC 606. 48. </w:t>
      </w:r>
      <w:r>
        <w:rPr>
          <w:b w:val="0"/>
          <w:i/>
        </w:rPr>
        <w:t>Constitutional Reform and Governance Act</w:t>
      </w:r>
      <w:r>
        <w:rPr>
          <w:b w:val="0"/>
          <w:i w:val="0"/>
        </w:rPr>
        <w:t xml:space="preserve"> 2010, s. 23(2), (2A) và (2B).</w:t>
      </w:r>
    </w:p>
    <w:p>
      <w:pPr>
        <w:spacing w:after="80"/>
      </w:pPr>
      <w:r>
        <w:rPr>
          <w:b w:val="0"/>
          <w:i w:val="0"/>
        </w:rPr>
        <w:t>28</w:t>
      </w:r>
    </w:p>
    <w:p>
      <w:pPr>
        <w:spacing w:after="80"/>
      </w:pPr>
      <w:r>
        <w:rPr>
          <w:b w:val="0"/>
          <w:i w:val="0"/>
        </w:rPr>
        <w:t>TIOPA 2010 tập hợp lại một chỗ các quy định pháp luật để cho phép các hiệp định đánh thuế hai lần có hiệu lực liên quan đến một số loại thuế. Đó là thuế thu nhập, thuế doanh nghiệp, thuế lợi tức vốn, thuế doanh thu dầu khí, và bất kỳ loại thuế nào được áp đặt bởi luật của vùng lãnh thổ có tính chất tương tự như các loại thuế đó.49 Các hiệp ước và công cụ khác có hiệu lực theo các quy định này giờ đây được định nghĩa cho TIOPA 2010, Phần 2, là 'các thỏa thuận đánh thuế hai lần'.50 Định nghĩa này không thêm gì vào hoạt động của luật cho phép ngoài việc giới hạn Phần đó của TIOPA 2010 đối với các hiệp ước được ký kết 'nhằm mục đích giảm bớt đánh thuế hai lần'. Do đó, các hiệp ước cho phép hợp tác giữa các cơ quan thuế không được xử lý theo các quy định này.</w:t>
      </w:r>
    </w:p>
    <w:p>
      <w:pPr>
        <w:spacing w:after="80"/>
      </w:pPr>
      <w:r>
        <w:rPr>
          <w:b w:val="0"/>
          <w:i w:val="0"/>
        </w:rPr>
        <w:t>Phần 3 của TIOPA 2010 đề cập một cách gây nhầm lẫn đến 'các thỏa thuận quốc tế', mà trong phần đó, có nghĩa là các thỏa thuận được thực hiện nhằm đảm bảo việc đánh thuế hiệu quả đối với thu nhập tiết kiệm.51 FA 2006, s. 173 đề cập đến các thỏa thuận liên quan đến thực thi thuế quốc tế.52 Các hiệp ước thuế có hiệu lực cho mục đích thuế thừa kế một cách riêng biệt theo Inheritance Tax Act 1984, s. 158. FA 2011, Sch. 19, đoạn 66(1) bao gồm các thỏa thuận liên quan đến phí ngân hàng. Việc sử dụng thuật ngữ 'các thỏa thuận' trong bối cảnh này là không hữu ích, vì từ này được dùng trong các bối cảnh khác để chỉ một điều gì đó hoàn toàn khác. Có lẽ nó được dự định để chỉ một loạt các thỏa thuận giữa Vương quốc Anh và các quốc gia ký kết khác, nhưng trên thực tế, nó không thêm gì vào thuật ngữ hiệp ước như được hiểu bởi Công ước Vienna. Trong cuốn sách này, từ hiệp ước được sử dụng xuyên suốt để đảm bảo tính nhất quán và phù hợp với Công ước Vienna về Luật Hiệp ước.</w:t>
      </w:r>
    </w:p>
    <w:p>
      <w:pPr>
        <w:spacing w:after="80"/>
      </w:pPr>
      <w:r>
        <w:rPr>
          <w:b w:val="0"/>
          <w:i w:val="0"/>
        </w:rPr>
        <w:t xml:space="preserve">Công ước Trọng tài EU được trao thẩm quyền cụ thể,53 cũng như Hiệp ước Hợp tác Hành chính Thụy Sĩ-Anh (2011)54 và Hiệp ước FATCA Mỹ-Anh (2012).55 Trong </w:t>
      </w:r>
      <w:r>
        <w:rPr>
          <w:b w:val="0"/>
          <w:i/>
        </w:rPr>
        <w:t>Vrang v Revenue and Customs,</w:t>
      </w:r>
      <w:r>
        <w:rPr>
          <w:b w:val="0"/>
          <w:i w:val="0"/>
        </w:rPr>
        <w:t>56 người ta lưu ý rằng Finance Act 2012 không đưa toàn bộ Hiệp ước Hợp tác Hành chính Thụy Sĩ-Anh vào luật nội địa Vương quốc Anh một cách rõ ràng và rằng quy trình phê chuẩn hiệp ước trong s. 20 của Constitutional Reform and Governance Act 2010 không áp dụng cho nó.</w:t>
      </w:r>
    </w:p>
    <w:p>
      <w:pPr>
        <w:spacing w:after="80"/>
      </w:pPr>
      <w:r>
        <w:rPr>
          <w:b/>
          <w:i w:val="0"/>
        </w:rPr>
        <w:t>§2.07 Vương quốc Anh: PHẠM VI THỰC HIỆN HIỆP ƯỚC</w:t>
      </w:r>
    </w:p>
    <w:p>
      <w:pPr>
        <w:spacing w:after="80"/>
      </w:pPr>
      <w:r>
        <w:rPr>
          <w:b w:val="0"/>
          <w:i w:val="0"/>
        </w:rPr>
        <w:t>Mặc dù nhìn chung không có giới hạn về những gì có thể được thỏa thuận trong một hiệp ước, luật thực hiện có thể không đưa ra hiệu lực đầy đủ cho các hiệp ước được cho phép theo TIOPA 2010, s. 2. Mức độ mà các hiệp ước có hiệu lực không được mô tả giống hệt nhau liên quan đến tất cả các loại thuế. Ví dụ, liên quan đến thuế thu nhập và thuế doanh nghiệp, TIOPA</w:t>
      </w:r>
    </w:p>
    <w:p>
      <w:pPr>
        <w:spacing w:after="80"/>
      </w:pPr>
      <w:r>
        <w:rPr>
          <w:b w:val="0"/>
          <w:i w:val="0"/>
        </w:rPr>
        <w:t xml:space="preserve">49. TIOPA 2010, s. 2(3). 50. TIOPA 2010, s. 2(3). 51. Xem Chương 22, §§22.01ff. 52. TIOPA 2010, s. 136(3). 53. TIOPA 2010, s. 126. 54. Bởi FA 2012, s. 218. 55. Bởi FA 2013, s. 219. 56. </w:t>
      </w:r>
      <w:r>
        <w:rPr>
          <w:b w:val="0"/>
          <w:i/>
        </w:rPr>
        <w:t>Vrang v Revenue and Customs</w:t>
      </w:r>
      <w:r>
        <w:rPr>
          <w:b w:val="0"/>
          <w:i w:val="0"/>
        </w:rPr>
        <w:t xml:space="preserve"> [2017] EWHC 1055 (Admin), [2017] BTC 12, [2017] STC 1192 tại đoạn 50.</w:t>
      </w:r>
    </w:p>
    <w:p>
      <w:pPr>
        <w:spacing w:after="80"/>
      </w:pPr>
      <w:r>
        <w:rPr>
          <w:b w:val="0"/>
          <w:i w:val="0"/>
        </w:rPr>
        <w:t>29</w:t>
      </w:r>
    </w:p>
    <w:p>
      <w:pPr>
        <w:spacing w:after="80"/>
      </w:pPr>
      <w:r>
        <w:rPr>
          <w:b w:val="0"/>
          <w:i w:val="0"/>
        </w:rPr>
        <w:t>2010, s. 6(2) quy định rằng các hiệp ước sẽ có hiệu lực 'trong phạm vi' chúng quy định các mục được liệt kê trong điều khoản đó. Ngôn ngữ này giới hạn hiệu lực của hiệp ước trong luật nội địa đối với những mục đó. Các mục mà hiệp ước có thể có hiệu lực liên quan đến thuế thu nhập và thuế doanh nghiệp là:</w:t>
      </w:r>
    </w:p>
    <w:p>
      <w:pPr>
        <w:spacing w:after="80"/>
      </w:pPr>
      <w:r>
        <w:rPr>
          <w:b w:val="0"/>
          <w:i w:val="0"/>
        </w:rPr>
        <w:t>(a) giảm bớt thuế thu nhập hoặc thuế doanh nghiệp; (b) đánh thuế thu nhập của những người không cư trú tại Vương quốc Anh phát sinh từ các nguồn ở Vương quốc Anh; (c) đánh thuế lợi tức chịu thuế phát sinh cho những người không cư trú tại Vương quốc Anh khi chuyển nhượng</w:t>
      </w:r>
    </w:p>
    <w:p>
      <w:pPr>
        <w:spacing w:after="80"/>
      </w:pPr>
      <w:r>
        <w:rPr>
          <w:b w:val="0"/>
          <w:i w:val="0"/>
        </w:rPr>
        <w:t>các tài sản tại Vương quốc Anh;(d)xác định thu nhập hoặc lợi nhuận chịu thuế được quy cho những</w:t>
      </w:r>
    </w:p>
    <w:p>
      <w:pPr>
        <w:spacing w:after="80"/>
      </w:pPr>
      <w:r>
        <w:rPr>
          <w:b w:val="0"/>
          <w:i w:val="0"/>
        </w:rPr>
        <w:t>cá nhân không cư trú;(e)xác định thu nhập hoặc lợi nhuận chịu thuế được quy cho các đại lý,</w:t>
      </w:r>
    </w:p>
    <w:p>
      <w:pPr>
        <w:spacing w:after="80"/>
      </w:pPr>
      <w:r>
        <w:rPr>
          <w:b w:val="0"/>
          <w:i w:val="0"/>
        </w:rPr>
        <w:t>chi nhánh hoặc cơ sở tại Vương quốc Anh của những cá nhân không cư trú;(f)xác định thu nhập hoặc lợi nhuận chịu thuế được quy cho những</w:t>
      </w:r>
    </w:p>
    <w:p>
      <w:pPr>
        <w:spacing w:after="80"/>
      </w:pPr>
      <w:r>
        <w:rPr>
          <w:b w:val="0"/>
          <w:i w:val="0"/>
        </w:rPr>
        <w:t>cá nhân cư trú tại Vương quốc Anh có mối quan hệ đặc biệt với những cá nhân không cư trú; hoặc(g)trao cho những cá nhân không cư trú quyền được hưởng tín dụng thuế theo ITTOIA</w:t>
      </w:r>
    </w:p>
    <w:p>
      <w:pPr>
        <w:spacing w:after="80"/>
      </w:pPr>
      <w:r>
        <w:rPr>
          <w:b w:val="0"/>
          <w:i w:val="0"/>
        </w:rPr>
        <w:t>2005, s.397(1) đối với các khoản phân phối đủ điều kiện mà các công ty cư trú tại Vương quốc Anh thực hiện cho họ.</w:t>
      </w:r>
    </w:p>
    <w:p>
      <w:pPr>
        <w:spacing w:after="80"/>
      </w:pPr>
      <w:r>
        <w:rPr>
          <w:b w:val="0"/>
          <w:i w:val="0"/>
        </w:rPr>
        <w:t>Đối với mục đích thuế lợi nhuận vốn, các hiệp định có hiệu lực trong phạm vi các thỏa thuận quy định:</w:t>
      </w:r>
    </w:p>
    <w:p>
      <w:pPr>
        <w:spacing w:after="80"/>
      </w:pPr>
      <w:r>
        <w:rPr>
          <w:b w:val="0"/>
          <w:i w:val="0"/>
        </w:rPr>
        <w:t>(a)miễn giảm thuế lợi nhuận vốn;(b)đánh thuế lợi nhuận vốn phát sinh đối với những cá nhân không cư trú khi chuyển nhượng</w:t>
      </w:r>
    </w:p>
    <w:p>
      <w:pPr>
        <w:spacing w:after="80"/>
      </w:pPr>
      <w:r>
        <w:rPr>
          <w:b w:val="0"/>
          <w:i w:val="0"/>
        </w:rPr>
        <w:t>tài sản tại Vương quốc Anh;(c)xác định lợi nhuận vốn được quy cho những cá nhân không cư trú;(d)xác định lợi nhuận vốn được quy cho các đại lý, chi nhánh hoặc</w:t>
      </w:r>
    </w:p>
    <w:p>
      <w:pPr>
        <w:spacing w:after="80"/>
      </w:pPr>
      <w:r>
        <w:rPr>
          <w:b w:val="0"/>
          <w:i w:val="0"/>
        </w:rPr>
        <w:t>cơ sở tại Vương quốc Anh của những cá nhân không cư trú, hoặc(e)xác định lợi nhuận vốn được quy cho những cá nhân cư trú tại Vương quốc Anh</w:t>
      </w:r>
    </w:p>
    <w:p>
      <w:pPr>
        <w:spacing w:after="80"/>
      </w:pPr>
      <w:r>
        <w:rPr>
          <w:b w:val="0"/>
          <w:i w:val="0"/>
        </w:rPr>
        <w:t>có mối quan hệ đặc biệt với những cá nhân không cư trú.</w:t>
      </w:r>
    </w:p>
    <w:p>
      <w:pPr>
        <w:spacing w:after="80"/>
      </w:pPr>
      <w:r>
        <w:rPr>
          <w:b w:val="0"/>
          <w:i w:val="0"/>
        </w:rPr>
        <w:t>Mọi khoản miễn giảm đánh thuế hai lần phát sinh từ thuế khấu trừ đặc biệt theo Chỉ thị Tiết kiệm của Cộng đồng Châu Âu hoặc các hiệp định mở rộng việc áp dụng chỉ thị này cho một số vùng lãnh thổ nhất định đều không được áp dụng theo luật trong nước57 nhưng trong mọi trường hợp đều thuộc các quy định cụ thể của TIOPA 2010, Phần 3.</w:t>
      </w:r>
    </w:p>
    <w:p>
      <w:pPr>
        <w:spacing w:after="80"/>
      </w:pPr>
      <w:r>
        <w:rPr>
          <w:b w:val="0"/>
          <w:i w:val="0"/>
        </w:rPr>
        <w:t>Trong trường hợp thuế lợi nhuận dầu khí, một cơ chế tương tự cũng được sử dụng.58 Các hiệp định có hiệu lực liên quan đến thuế lợi nhuận dầu khí trong phạm vi chúng quy định việc miễn giảm thuế lợi nhuận dầu khí được đánh theo Oil Taxation Act 1983, s.12 (đánh thuế lợi nhuận dầu khí đối với khoản đối giá liên quan đến việc sử dụng tài sản mỏ nước ngoài tại Vương quốc Anh). Do đó, một hiệp định chỉ được áp dụng khi thuế lợi nhuận dầu khí được liệt kê là một loại thuế mà hiệp định đó áp dụng. Việc miễn thuế theo quy định của hiệp định được thực thi trong luật trong nước bởi TIOPA 2010, s. 3(2) và s. 4.</w:t>
      </w:r>
    </w:p>
    <w:p>
      <w:pPr>
        <w:spacing w:after="80"/>
      </w:pPr>
      <w:r>
        <w:rPr>
          <w:b w:val="0"/>
          <w:i w:val="0"/>
        </w:rPr>
        <w:t>57.TIOPA 2010, s. 6(5).58.TIOPA 2010, s. 6(4).</w:t>
      </w:r>
    </w:p>
    <w:p>
      <w:pPr>
        <w:spacing w:after="80"/>
      </w:pPr>
      <w:r>
        <w:rPr>
          <w:b w:val="0"/>
          <w:i w:val="0"/>
        </w:rPr>
        <w:t>30</w:t>
      </w:r>
    </w:p>
    <w:p>
      <w:pPr>
        <w:spacing w:after="80"/>
      </w:pPr>
      <w:r>
        <w:rPr>
          <w:b w:val="0"/>
          <w:i w:val="0"/>
        </w:rPr>
        <w:t>Hơi đáng ngạc nhiên là mức độ mà luật tiền nhiệm59 trao hiệu lực cho các hiệp định lại là chủ đề của một số tranh chấp đã được đưa ra tòa án, nơi cơ quan thuế tìm cách viện dẫn việc không được đưa vào luật trong nước để từ chối các quyền lợi theo hiệp định.</w:t>
      </w:r>
    </w:p>
    <w:p>
      <w:pPr>
        <w:spacing w:after="80"/>
      </w:pPr>
      <w:r>
        <w:rPr>
          <w:b w:val="0"/>
          <w:i w:val="0"/>
        </w:rPr>
        <w:t xml:space="preserve">Quy trình kiểm tra xem một quy định của hiệp định có được đưa vào luật hay không đã được Moses LJ mô tả trong </w:t>
      </w:r>
      <w:r>
        <w:rPr>
          <w:b w:val="0"/>
          <w:i/>
        </w:rPr>
        <w:t xml:space="preserve"> UBS AG v HMRC</w:t>
      </w:r>
      <w:r>
        <w:rPr>
          <w:b w:val="0"/>
          <w:i w:val="0"/>
        </w:rPr>
        <w:t>60 như sau:</w:t>
      </w:r>
    </w:p>
    <w:p>
      <w:pPr>
        <w:spacing w:after="80"/>
      </w:pPr>
      <w:r>
        <w:rPr>
          <w:b w:val="0"/>
          <w:i w:val="0"/>
        </w:rPr>
        <w:t>Người ta có thể nghĩ rằng chỉ cần nhìn vào một trong những điều khoản [hiệp ước] đó và giải quyết câu hỏi luật định mà mục 788(3) đặt ra, cụ thể là liệu Điều đó có quy định về bất kỳ vấn đề nào trong mục 788(3)(a)–(d) hay không? Nếu điều khoản thực chất đó có quy định như vậy, thì nó có hiệu lực trong luật Vương quốc Anh.61</w:t>
      </w:r>
    </w:p>
    <w:p>
      <w:pPr>
        <w:spacing w:after="80"/>
      </w:pPr>
      <w:r>
        <w:rPr>
          <w:b w:val="0"/>
          <w:i w:val="0"/>
        </w:rPr>
        <w:t>Để đáp lại lập luận rằng, trong bối cảnh các điều khoản không phân biệt đối xử của Hiệp ước Thụy Sĩ-Vương quốc Anh, các nhà đàm phán hiệp ước của Vương quốc Anh tiến hành trên cơ sở rằng hiệp ước sẽ không có hiệu lực đầy đủ, ông nói:</w:t>
      </w:r>
    </w:p>
    <w:p>
      <w:pPr>
        <w:spacing w:after="80"/>
      </w:pPr>
      <w:r>
        <w:rPr>
          <w:b w:val="0"/>
          <w:i w:val="0"/>
        </w:rPr>
        <w:t>[10] Mặc dù dễ dàng chấp nhận rằng những người đàm phán Công ước thay mặt cho Vương quốc Anh hẳn đã biết rằng không phải tất cả các điều khoản của Công ước sẽ có hiệu lực nhờ mục 788(3), nhưng khó có thể chấp nhận hơn khi cho rằng họ dự định Điều 23(1) và (2) chỉ là những lời hùng biện suông, với lý do rằng chúng không quy định thực chất về bất cứ điều gì.</w:t>
      </w:r>
    </w:p>
    <w:p>
      <w:pPr>
        <w:spacing w:after="80"/>
      </w:pPr>
      <w:r>
        <w:rPr>
          <w:b w:val="0"/>
          <w:i w:val="0"/>
        </w:rPr>
        <w:t>[11] Theo đó, tôi cho rằng phải có một quy trình nào đó để điều khoản không phân biệt đối xử có thể được trao hiệu lực trong luật Vương quốc Anh.</w:t>
      </w:r>
    </w:p>
    <w:p>
      <w:pPr>
        <w:spacing w:after="80"/>
      </w:pPr>
      <w:r>
        <w:rPr>
          <w:b w:val="0"/>
          <w:i w:val="0"/>
        </w:rPr>
        <w:t xml:space="preserve">Tương tự, trong </w:t>
      </w:r>
      <w:r>
        <w:rPr>
          <w:b w:val="0"/>
          <w:i/>
        </w:rPr>
        <w:t xml:space="preserve"> Bricom Holdings v IRC</w:t>
      </w:r>
      <w:r>
        <w:rPr>
          <w:b w:val="0"/>
          <w:i w:val="0"/>
        </w:rPr>
        <w:t>,62 các Ủy viên Đặc biệt (Special Commissioners) nhận xét rằng kết luận rằng một hiệp ước không được trao hiệu lực trong luật trong nước là không thỏa đáng, bởi vì nếu kết luận đó đúng, thì Vương quốc Anh đang vi phạm hiệp ước.</w:t>
      </w:r>
    </w:p>
    <w:p>
      <w:pPr>
        <w:spacing w:after="80"/>
      </w:pPr>
      <w:r>
        <w:rPr>
          <w:b w:val="0"/>
          <w:i w:val="0"/>
        </w:rPr>
        <w:t>Mặc dù vậy, trong một số trường hợp, các điều khoản hiệp ước đã được xác định là không có hiệu lực trong luật trong nước. Trong các vụ án gần đây, tòa án đã có cách nhìn hẹp về việc nội luật hóa các hiệp ước. Cụm từ 'trong chừng mực' trong phần mở đầu của ICTA 1988, s. 788(3), tiền thân của TIOPA 2010, s. 6(2)(a), đã được xem là chỉ ra việc kết hợp có chọn lọc các điều khoản hiệp ước vào luật trong nước. Các vụ án đã xem xét chi tiết ngôn ngữ tương đương của ICTA 1988, s. 788(3).</w:t>
      </w:r>
    </w:p>
    <w:p>
      <w:pPr>
        <w:spacing w:after="80"/>
      </w:pPr>
      <w:r>
        <w:rPr>
          <w:b/>
          <w:i w:val="0"/>
        </w:rPr>
        <w:t>[A] Thuế Thu nhập Công ty đối với Thu nhập hoặc Lợi nhuận chịu thuế</w:t>
      </w:r>
    </w:p>
    <w:p>
      <w:pPr>
        <w:spacing w:after="80"/>
      </w:pPr>
      <w:r>
        <w:rPr>
          <w:b w:val="0"/>
          <w:i w:val="0"/>
        </w:rPr>
        <w:t xml:space="preserve">TIOPA 2010, s. 6(2)(a) yêu cầu rằng khoản giảm trừ phải là từ 'thuế thu nhập' hoặc 'thuế thu nhập công ty'. Phạm vi của yêu cầu này đã được Tòa án Cấp cao (High Court) xem xét trong </w:t>
      </w:r>
      <w:r>
        <w:rPr>
          <w:b w:val="0"/>
          <w:i/>
        </w:rPr>
        <w:t>Bricom Holdings v IRC</w:t>
      </w:r>
      <w:r>
        <w:rPr>
          <w:b w:val="0"/>
          <w:i w:val="0"/>
        </w:rPr>
        <w:t>.63 Vụ án liên quan đến sự tương tác giữa Hiệp ước Hà Lan-Vương quốc Anh và luật về các công ty nước ngoài do Vương quốc Anh kiểm soát (CFC). Nó</w:t>
      </w:r>
    </w:p>
    <w:p>
      <w:pPr>
        <w:spacing w:after="80"/>
      </w:pPr>
      <w:r>
        <w:rPr>
          <w:b w:val="0"/>
          <w:i w:val="0"/>
        </w:rPr>
        <w:t>59. ICTA 1988, s. 788(3).60.</w:t>
      </w:r>
      <w:r>
        <w:rPr>
          <w:b w:val="0"/>
          <w:i/>
        </w:rPr>
        <w:t>UBS AG v Revenue and Customs Commissioners</w:t>
      </w:r>
      <w:r>
        <w:rPr>
          <w:b w:val="0"/>
          <w:i w:val="0"/>
        </w:rPr>
        <w:t xml:space="preserve"> [2007] BTC 285 [2007] EWCA Civ 119; [2007] STC 588.61. Tại đoạn 8.62.</w:t>
      </w:r>
      <w:r>
        <w:rPr>
          <w:b w:val="0"/>
          <w:i/>
        </w:rPr>
        <w:t>Bricom Holdings v Inland Revenue Commissioners</w:t>
      </w:r>
      <w:r>
        <w:rPr>
          <w:b w:val="0"/>
          <w:i w:val="0"/>
        </w:rPr>
        <w:t xml:space="preserve"> [1997] BTC 471; [1996] STC 228.63.</w:t>
      </w:r>
      <w:r>
        <w:rPr>
          <w:b w:val="0"/>
          <w:i/>
        </w:rPr>
        <w:t>Bricom Holdings v Inland Revenue Commissioners</w:t>
      </w:r>
      <w:r>
        <w:rPr>
          <w:b w:val="0"/>
          <w:i w:val="0"/>
        </w:rPr>
        <w:t xml:space="preserve"> (1996) Sp C 76; [1996] STC (SCD) 228 và [1997] BTC 471; [1997] STC 1179, CA.</w:t>
      </w:r>
    </w:p>
    <w:p>
      <w:pPr>
        <w:spacing w:after="80"/>
      </w:pPr>
      <w:r>
        <w:rPr>
          <w:b w:val="0"/>
          <w:i w:val="0"/>
        </w:rPr>
        <w:t>31</w:t>
      </w:r>
    </w:p>
    <w:p>
      <w:pPr>
        <w:spacing w:after="80"/>
      </w:pPr>
      <w:r>
        <w:rPr>
          <w:b w:val="0"/>
          <w:i w:val="0"/>
        </w:rPr>
        <w:t xml:space="preserve">đã được lập luận, trong số những điều khác, bởi Cơ quan Thuế Nội địa (Inland Revenue) rằng khoản thuế CFC64 không phải là 'thuế thu nhập công ty'. Người ta lập luận rằng mặc dù khoản thu theo ICTA 1988, s. 747 là một loại thuế, nhưng nó không phải là thuế thu nhập công ty. Số tiền được đánh giá theo s. 747(4)(a) là một số tiền 'bằng với' thuế thu nhập công ty; nó được đánh giá đối với và có thể thu hồi từ công ty cư trú 'như thể' đó là một khoản thuế thu nhập công ty mà công ty đó phải chịu.65 Do đó, Cơ quan Thuế Nội địa lập luận rằng khi các loại thuế được đề cập trong art. 2(1) của hiệp ước như là đối tượng của hiệp ước, thì khoản thuế CFC không được bao gồm. Tuy nhiên, Điều 2(1) của hiệp ước không chỉ đề cập đến thuế thu nhập công ty mà còn cả các loại thuế 'về cơ bản tương tự như thuế thu nhập công ty' được bao gồm bởi art. 2(2). Cơ quan Thuế Nội địa lập luận rằng thuế thu nhập công ty là một loại thuế đánh trên lợi nhuận của các công ty. 'Lợi nhuận' có nghĩa là thu nhập và lợi nhuận chịu thuế. Số tiền phải chịu thuế theo các quy tắc CFC không phải là lợi nhuận của công ty được đánh giá mà là một số tiền bằng với thuế thu nhập công ty trên một khoản lợi nhuận danh nghĩa của CFC không cư trú. Cơ quan Thuế Nội địa lập luận rằng khoản thuế CFC là một loại thuế tài chính </w:t>
      </w:r>
      <w:r>
        <w:rPr>
          <w:b w:val="0"/>
          <w:i/>
        </w:rPr>
        <w:t>sui generis</w:t>
      </w:r>
      <w:r>
        <w:rPr>
          <w:b w:val="0"/>
          <w:i w:val="0"/>
        </w:rPr>
        <w:t xml:space="preserve"> được đưa ra để bao quát một hình thức tránh thuế cụ thể. Nó không liên quan gì đến lợi nhuận của công ty được đánh giá.</w:t>
      </w:r>
    </w:p>
    <w:p>
      <w:pPr>
        <w:spacing w:after="80"/>
      </w:pPr>
      <w:r>
        <w:rPr>
          <w:b w:val="0"/>
          <w:i w:val="0"/>
        </w:rPr>
        <w:t>Các Ủy viên Đặc biệt kết luận rằng khoản thuế CFC là một loại thuế, nhưng nó không phải là thuế thu nhập công ty. Về câu hỏi liệu khoản thuế CFC có 'về cơ bản tương tự' với thuế thu nhập công ty hay không, các Ủy viên Đặc biệt lưu ý rằng sự khác biệt giữa khoản thuế đó và thuế thu nhập công ty chủ yếu là khoản thuế CFC chỉ được đánh trên các công ty cư trú tại Vương quốc Anh có lợi ích trong các CFC. Nó không được đánh trên lợi nhuận của chính công ty Vương quốc Anh, mà trên lợi nhuận (được tính về cơ bản giống như đối với thuế thu nhập công ty) không bao gồm lãi vốn và dựa trên một số giả định nhất định. Chỉ những khoản giảm trừ được quy định trong Schedule 26 của ICTA 1988 mới có thể được dùng để khấu trừ vào nó. Các Ủy viên Đặc biệt cho rằng cơ sở tính thuế là yếu tố quan trọng nhất để xác định sự tương tự: một loại thuế được tính trên cùng cơ sở như thuế thu nhập công ty, nhưng được đánh trên một nhóm công ty cụ thể với một số biến thể phù hợp với nhóm công ty đó, hoàn toàn có thể về cơ bản tương tự với thuế thu nhập công ty. Có những khác biệt không chỉ ở nhóm công ty bị đánh thuế mà còn ở cách tính lợi nhuận, người bị đánh thuế trên lợi nhuận đó và các khoản giảm trừ có sẵn để khấu trừ vào nó. Họ coi vấn đề này là một vấn đề mức độ nhưng nghiêng về quan điểm rằng những khác biệt so với thuế thu nhập công ty không lớn đến mức khiến khoản thuế CFC không thể về cơ bản tương tự với thuế thu nhập công ty.</w:t>
      </w:r>
    </w:p>
    <w:p>
      <w:pPr>
        <w:spacing w:after="80"/>
      </w:pPr>
      <w:r>
        <w:rPr>
          <w:b w:val="0"/>
          <w:i w:val="0"/>
        </w:rPr>
        <w:t>Tuy nhiên, các Ủy viên Đặc biệt nhận ra rằng trước khi người nộp thuế được hưởng giảm trừ, vẫn phải có trường hợp rằng khoản giảm trừ có sẵn trong nước theo điều hiện nay là TIOPA 2010, s. 6(2)(a). Người nộp thuế lưu ý rằng tiền thân, ICTA 1988, s. 788(3)(a) chỉ đề cập đến khoản giảm trừ 'từ thuế thu nhập công ty đối với thu nhập hoặc lợi nhuận chịu thuế'. Người nộp thuế lập luận rằng việc đề cập trong tiểu mục này nên được đọc là bao gồm cả việc đề cập đến khoản thuế CFC. Điều này dựa trên cơ sở rằng s. 788(3) là một điều khoản áp dụng chung cho thuế thu nhập công ty. Do đó, nó nên được đọc với sự sửa đổi cần thiết rằng nó nên bao quát khoản thuế CFC như thể đó là một khoản thuế thu nhập công ty như được quy định trong s. 747(4)(a). Mục 754(1) yêu cầu các quy định của s. 747(4)(a) áp dụng cho 'tất cả các đạo luật áp dụng chung cho thuế thu nhập công ty'. Tuy nhiên, các Ủy viên Đặc biệt coi s. 754(1) chỉ đơn thuần</w:t>
      </w:r>
    </w:p>
    <w:p>
      <w:pPr>
        <w:spacing w:after="80"/>
      </w:pPr>
      <w:r>
        <w:rPr>
          <w:b w:val="0"/>
          <w:i w:val="0"/>
        </w:rPr>
        <w:t>64. ICTA 1988, s. 747, nay là TIOPA 2010, Phần 9A.65.</w:t>
      </w:r>
      <w:r>
        <w:rPr>
          <w:b w:val="0"/>
          <w:i/>
        </w:rPr>
        <w:t>Bricom Holdings v Inland Revenue Commissioners</w:t>
      </w:r>
      <w:r>
        <w:rPr>
          <w:b w:val="0"/>
          <w:i w:val="0"/>
        </w:rPr>
        <w:t xml:space="preserve"> (1996) Sp C 76; [1996] STC (SCD) 228 tại 234.</w:t>
      </w:r>
    </w:p>
    <w:p>
      <w:pPr>
        <w:spacing w:after="80"/>
      </w:pPr>
      <w:r>
        <w:rPr>
          <w:b w:val="0"/>
          <w:i w:val="0"/>
        </w:rPr>
        <w:t>32</w:t>
      </w:r>
    </w:p>
    <w:p>
      <w:pPr>
        <w:spacing w:after="80"/>
      </w:pPr>
      <w:r>
        <w:rPr>
          <w:b w:val="0"/>
          <w:i w:val="0"/>
        </w:rPr>
        <w:t>giải quyết các quy định về bộ máy khác với việc áp đặt một khoản thuế. Họ kết luận rằng s. 754(1) không có tác dụng mở rộng phạm vi của s. 788(3) để bao quát khoản thuế CFC.</w:t>
      </w:r>
    </w:p>
    <w:p>
      <w:pPr>
        <w:spacing w:after="80"/>
      </w:pPr>
      <w:r>
        <w:rPr>
          <w:b w:val="0"/>
          <w:i w:val="0"/>
        </w:rPr>
        <w:t>Tòa án Phúc thẩm nhận định rằng vụ án đặt ra những câu hỏi cơ bản về mối quan hệ giữa hiệp định thuế và khoản thuế CFC. Tòa thấy đáng ngạc nhiên khi các quy định về CFC đã tồn tại trên văn bản luật hơn 12 năm mà chưa từng có tranh chấp nào phát sinh. Cơ quan Thuế nội địa (Inland Revenue) lập luận rằng cách hiểu của họ về hiệu lực của các quy định CFC rõ ràng đúng đến mức không ai thấy đáng để thách thức quan điểm đó trước đây. Tại Tòa án Phúc thẩm, người ta nhận xét66 rằng các hiệp định thuế không có hiệu lực trực tiếp trong luật Anh. Chúng được trao hiệu lực bởi Phần XVIII của ICTA 1988 (nay là TIOPA 2010, Phần 2). Sau khi một số thủ tục chính thức đã được tuân thủ, ‘các thỏa thuận trong một hiệp định đánh thuế hai lần được trao hiệu lực bởi mục 788(3) của Đạo luật 1988’. Người ta cũng lưu ý rằng Phần XVIII của ICTA 1988 không có bất kỳ đề cập nào đến các loại thuế giống hệt hoặc về cơ bản tương tự.</w:t>
      </w:r>
    </w:p>
    <w:p>
      <w:pPr>
        <w:spacing w:after="80"/>
      </w:pPr>
      <w:r>
        <w:rPr>
          <w:b w:val="0"/>
          <w:i w:val="0"/>
        </w:rPr>
        <w:t xml:space="preserve">Khi xác định các vấn đề, Tòa án Phúc thẩm lưu ý rằng câu hỏi cuối cùng cần giải quyết là liệu khoản cứu trợ được yêu cầu có được cấp bởi mục 788 hay không, còn các câu hỏi liên quan đến việc áp dụng hiệp định chỉ là bước chuẩn bị để đặt ra câu hỏi này. Thẩm phán Millett quyết định rằng khoản thuế CFC dù sao cũng không nằm trong các quy định cứu trợ của hiệp định và rằng không cần thiết phải xem xét liệu các vấn đề có liên quan đến các loại thuế về cơ bản tương tự hay không. Tuy nhiên, ông cho rằng lập luận rằng khoản thuế CFC không phải là thuế doanh nghiệp (corporation tax) đã không thực hiện đầy đủ hiệu lực của mục 754(2), trong đó quy định ‘vì mục đích của Đạo luật Thuế, bất kỳ khoản tiền nào có thể bị đánh giá và thu hồi theo mục 747(4)(a) đều được coi là thuế doanh nghiệp’. Kết luận như vậy vẫn né tránh vấn đề liệu mục 788(3) có mở rộng đến các loại thuế về cơ bản tương tự hay không. Trong bối cảnh này, các loại thuế về cơ bản tương tự là những loại thuế được đánh theo các Đạo luật Thuế Doanh nghiệp (Corporation Tax Acts) bất kể chúng có được gọi là thuế doanh nghiệp theo nghĩa hẹp hay không, như Cơ quan Thuế nội địa đã lập luận trong </w:t>
      </w:r>
      <w:r>
        <w:rPr>
          <w:b w:val="0"/>
          <w:i/>
        </w:rPr>
        <w:t xml:space="preserve"> Bricom</w:t>
      </w:r>
      <w:r>
        <w:rPr>
          <w:b w:val="0"/>
          <w:i w:val="0"/>
        </w:rPr>
        <w:t>.67 Trong bối cảnh thuế nước ngoài, mục 788(l)(c) đề cập (cũng như quy định hiện hành trong TIOPA 2010, mục 2(3)(e)) đến ‘bất kỳ loại thuế nào có tính chất tương tự với những loại thuế được áp đặt bởi luật pháp của lãnh thổ đó’. Cách diễn đạt rộng rãi được dùng để chỉ các loại thuế nước ngoài tương tự với các loại thuế trực thu chính của Vương quốc Anh cùng với mục đích của toàn bộ điều khoản sẽ gợi ý một cách hiểu bao quát tất cả đối với thuật ngữ ‘thuế doanh nghiệp đối với thu nhập và lợi nhuận chịu thuế’ thay vì một cách hiểu hạn chế.68</w:t>
      </w:r>
    </w:p>
    <w:p>
      <w:pPr>
        <w:spacing w:after="80"/>
      </w:pPr>
      <w:r>
        <w:rPr>
          <w:b/>
          <w:i w:val="0"/>
        </w:rPr>
        <w:t>[B]Cứu trợ</w:t>
      </w:r>
    </w:p>
    <w:p>
      <w:pPr>
        <w:spacing w:after="80"/>
      </w:pPr>
      <w:r>
        <w:rPr>
          <w:b w:val="0"/>
          <w:i w:val="0"/>
        </w:rPr>
        <w:t xml:space="preserve">Một quy định trong hiệp định phải cung cấp ‘cứu trợ’ khỏi thuế thu nhập hoặc thuế doanh nghiệp để đáp ứng các yêu cầu của TIOPA 2010, mục 6. Trong </w:t>
      </w:r>
      <w:r>
        <w:rPr>
          <w:b w:val="0"/>
          <w:i/>
        </w:rPr>
        <w:t xml:space="preserve"> Taylor (HM Inspector of Taxes) v MEPC Holdings Ltd</w:t>
      </w:r>
      <w:r>
        <w:rPr>
          <w:b w:val="0"/>
          <w:i w:val="0"/>
        </w:rPr>
        <w:t>,69 Lord Hoffmann nói:</w:t>
      </w:r>
    </w:p>
    <w:p>
      <w:pPr>
        <w:spacing w:after="80"/>
      </w:pPr>
      <w:r>
        <w:rPr>
          <w:b w:val="0"/>
          <w:i w:val="0"/>
        </w:rPr>
        <w:t>66. Tại 1190.67.</w:t>
      </w:r>
      <w:r>
        <w:rPr>
          <w:b w:val="0"/>
          <w:i/>
        </w:rPr>
        <w:t>Bricom Holdings v Inland Revenue Commissioners</w:t>
      </w:r>
      <w:r>
        <w:rPr>
          <w:b w:val="0"/>
          <w:i w:val="0"/>
        </w:rPr>
        <w:t xml:space="preserve"> [1996] STC 228, [1997] BTC 471.68.Xem thêm, </w:t>
      </w:r>
      <w:r>
        <w:rPr>
          <w:b w:val="0"/>
          <w:i/>
        </w:rPr>
        <w:t xml:space="preserve"> Andrew Davies and Others v Revenue and Customs</w:t>
      </w:r>
      <w:r>
        <w:rPr>
          <w:b w:val="0"/>
          <w:i w:val="0"/>
        </w:rPr>
        <w:t xml:space="preserve"> [2020] UKUT 67 (TCC) [2020] STC649, được thảo luận trong Chương 17, §17.03.69.</w:t>
      </w:r>
      <w:r>
        <w:rPr>
          <w:b w:val="0"/>
          <w:i/>
        </w:rPr>
        <w:t>Taylor(HMInspectorofTaxes)vMEPCHoldingsLtd</w:t>
      </w:r>
      <w:r>
        <w:rPr>
          <w:b w:val="0"/>
          <w:i w:val="0"/>
        </w:rPr>
        <w:t>[2003]UKHL70,[2004]STC123;[2004]BTC 20.</w:t>
      </w:r>
    </w:p>
    <w:p>
      <w:pPr>
        <w:spacing w:after="80"/>
      </w:pPr>
      <w:r>
        <w:rPr>
          <w:b w:val="0"/>
          <w:i w:val="0"/>
        </w:rPr>
        <w:t>33</w:t>
      </w:r>
    </w:p>
    <w:p>
      <w:pPr>
        <w:spacing w:after="80"/>
      </w:pPr>
      <w:r>
        <w:rPr>
          <w:b w:val="0"/>
          <w:i w:val="0"/>
        </w:rPr>
        <w:t>[10] Từ ‘cứu trợ’ không phải là một thuật ngữ chuyên môn mà đã được sử dụng trong pháp luật thuế kể từ những đạo luật sớm nhất để chỉ một quy định làm giảm số thuế lẽ ra phải nộp.</w:t>
      </w:r>
    </w:p>
    <w:p>
      <w:pPr>
        <w:spacing w:after="80"/>
      </w:pPr>
      <w:r>
        <w:rPr>
          <w:b w:val="0"/>
          <w:i w:val="0"/>
        </w:rPr>
        <w:t xml:space="preserve">Trong </w:t>
      </w:r>
      <w:r>
        <w:rPr>
          <w:b w:val="0"/>
          <w:i/>
        </w:rPr>
        <w:t xml:space="preserve"> UBS</w:t>
      </w:r>
      <w:r>
        <w:rPr>
          <w:b w:val="0"/>
          <w:i w:val="0"/>
        </w:rPr>
        <w:t>, cách diễn đạt này được Thẩm phán Moses áp dụng để kết luận rằng khoản tín dụng thuế mà UBS yêu cầu không và không thể giải phóng UBS khỏi bất kỳ nghĩa vụ thuế doanh nghiệp nào vì đang bị lỗ nên UBS không có nghĩa vụ nào. Kết luận này mang theo một hàm ý kỳ lạ rằng một khoản tín dụng thuế có thể là cứu trợ cho một người nộp thuế có lợi nhuận nhưng không phải cho người không có lợi nhuận.</w:t>
      </w:r>
    </w:p>
    <w:p>
      <w:pPr>
        <w:spacing w:after="80"/>
      </w:pPr>
      <w:r>
        <w:rPr>
          <w:b/>
          <w:i w:val="0"/>
        </w:rPr>
        <w:t>[C]Đánh thuế Thu nhập hoặc Lợi nhuận</w:t>
      </w:r>
    </w:p>
    <w:p>
      <w:pPr>
        <w:spacing w:after="80"/>
      </w:pPr>
      <w:r>
        <w:rPr>
          <w:b w:val="0"/>
          <w:i w:val="0"/>
        </w:rPr>
        <w:t>Một quy định trong hiệp định phải thuộc một trong các loại được liệt kê để có hiệu lực trong luật trong nước. TIOPA 2010, mục 6(2)(b) quy định ‘đánh thuế thu nhập phát sinh từ các nguồn tại Vương quốc Anh’.</w:t>
      </w:r>
    </w:p>
    <w:p>
      <w:pPr>
        <w:spacing w:after="80"/>
      </w:pPr>
      <w:r>
        <w:rPr>
          <w:b w:val="0"/>
          <w:i w:val="0"/>
        </w:rPr>
        <w:t xml:space="preserve">Trong </w:t>
      </w:r>
      <w:r>
        <w:rPr>
          <w:b w:val="0"/>
          <w:i/>
        </w:rPr>
        <w:t xml:space="preserve"> R v IRC, ex parte Commerzbank AG</w:t>
      </w:r>
      <w:r>
        <w:rPr>
          <w:b w:val="0"/>
          <w:i w:val="0"/>
        </w:rPr>
        <w:t>,70 tòa án từ chối trao hiệu lực cho các quy định về không phân biệt đối xử của Hiệp định Đức-Anh. Trong vụ đó, người nộp thuế, một cư dân Đức, yêu cầu khoản bổ sung hoàn thuế theo quy định nay là ICTA 1988, mục 825. Yêu cầu này bị từ chối với lý do điều khoản đó chỉ cho phép khoản bổ sung hoàn thuế đối với thuế nộp thừa nếu người nộp thuế cư trú tại Vương quốc Anh. Điều 20(1) của Hiệp định đó quy định rằng:</w:t>
      </w:r>
    </w:p>
    <w:p>
      <w:pPr>
        <w:spacing w:after="80"/>
      </w:pPr>
      <w:r>
        <w:rPr>
          <w:b w:val="0"/>
          <w:i w:val="0"/>
        </w:rPr>
        <w:t>Công dân của một quốc gia ký kết không được bị đối xử tại quốc gia kia theo bất kỳ hình thức đánh thuế nào hoặc bất kỳ yêu cầu nào liên quan đến việc đó nặng nề hơn hoặc phiền hà hơn so với việc đánh thuế hoặc các yêu cầu liên quan mà công dân của quốc gia kia trong cùng hoàn cảnh đang phải chịu hoặc có thể phải chịu.</w:t>
      </w:r>
    </w:p>
    <w:p>
      <w:pPr>
        <w:spacing w:after="80"/>
      </w:pPr>
      <w:r>
        <w:rPr>
          <w:b w:val="0"/>
          <w:i w:val="0"/>
        </w:rPr>
        <w:t>Cơ quan Thuế nội địa cố gắng lập luận rằng cụm từ ‘yêu cầu liên quan đến’ việc đánh thuế không thể bao gồm quyền được hưởng khoản bổ sung hoàn thuế. Họ lập luận rằng những từ này chủ yếu hướng đến số thuế phải nộp, dù không giới hạn ở đó. Tòa án bác bỏ lập luận này và lưu ý rằng nếu một công dân Đức không được hưởng khoản bổ sung hoàn thuế khi hoàn trả thuế nộp thừa, thì người đó phải chịu một yêu cầu phiền hà hơn về việc nộp thuế so với người tương đương ở Vương quốc Anh. Do đó, pháp luật rõ ràng mang tính phân biệt đối xử trong phạm vi Điều 20(1). Tuy nhiên, Cơ quan Thuế nội địa lập luận rằng người nộp thuế không thể viện dẫn hiệp định về mặt này. Đó là vì các hiệp định chỉ có hiệu lực trong luật trong nước ‘trong phạm vi chúng quy định’ các vấn đề được nêu trong tiền thân của TIOPA 2010, mục 6. Tòa án cho rằng các quy định về khoản bổ sung hoàn thuế không cấu thành quy định đánh thuế cũng không phải quy định cứu trợ. Trên thực tế, chúng chỉ cho phép tính lãi đối với khoản hoàn trả thuế quá hạn. Do đó, cả quy định về không phân biệt đối xử lẫn bất kỳ quy định nào khác của hiệp định đều không thể áp dụng cho khoản bổ sung hoàn thuế. Khi đi đến kết luận này, tòa án bác bỏ lập luận rằng khoản bổ sung hoàn thuế thuộc phạm vi các điều khoản của ICTA 1988, mục 788(3)(b), trong đó quy định ‘đánh thuế thu nhập phát sinh từ các nguồn hoặc</w:t>
      </w:r>
    </w:p>
    <w:p>
      <w:pPr>
        <w:spacing w:after="80"/>
      </w:pPr>
      <w:r>
        <w:rPr>
          <w:b w:val="0"/>
          <w:i w:val="0"/>
        </w:rPr>
        <w:t>70.</w:t>
      </w:r>
      <w:r>
        <w:rPr>
          <w:b w:val="0"/>
          <w:i/>
        </w:rPr>
        <w:t>R v Inland Revenue Commissioners, ex parte Commerzbank AG</w:t>
      </w:r>
      <w:r>
        <w:rPr>
          <w:b w:val="0"/>
          <w:i w:val="0"/>
        </w:rPr>
        <w:t xml:space="preserve"> [1991] BTC 161; [1991] STC 271,QBD.</w:t>
      </w:r>
    </w:p>
    <w:p>
      <w:pPr>
        <w:spacing w:after="80"/>
      </w:pPr>
      <w:r>
        <w:rPr>
          <w:b w:val="0"/>
          <w:i w:val="0"/>
        </w:rPr>
        <w:t>34</w:t>
      </w:r>
    </w:p>
    <w:p>
      <w:pPr>
        <w:spacing w:after="80"/>
      </w:pPr>
      <w:r>
        <w:rPr>
          <w:b w:val="0"/>
          <w:i w:val="0"/>
        </w:rPr>
        <w:t>đánh thuế lợi nhuận phát sinh từ việc chuyển nhượng tài sản tại Vương quốc Anh đối với những người không cư trú tại Vương quốc Anh’.</w:t>
      </w:r>
    </w:p>
    <w:p>
      <w:pPr>
        <w:spacing w:after="80"/>
      </w:pPr>
      <w:r>
        <w:rPr>
          <w:b/>
          <w:i w:val="0"/>
        </w:rPr>
        <w:t>[D]Các khoản tín dụng thuế</w:t>
      </w:r>
    </w:p>
    <w:p>
      <w:pPr>
        <w:spacing w:after="80"/>
      </w:pPr>
      <w:r>
        <w:rPr>
          <w:b w:val="0"/>
          <w:i w:val="0"/>
        </w:rPr>
        <w:t>Luật được viết lại trong TIOPA 2010, s. 6(2)(g) tiếp tục quy định việc mở rộng quyền được hưởng tín dụng thuế (tax credit) cho những người không cư trú. Khía cạnh khó khăn nhất trong việc thực thi các hiệp định thuế lại nảy sinh liên quan đến quy định tiền thân của nó, ICTA 1988 s. 788(3)(d), vốn đề cập đến việc trao tín dụng thuế cho những người không cư trú.</w:t>
      </w:r>
    </w:p>
    <w:p>
      <w:pPr>
        <w:spacing w:after="80"/>
      </w:pPr>
      <w:r>
        <w:rPr>
          <w:b w:val="0"/>
          <w:i w:val="0"/>
        </w:rPr>
        <w:t xml:space="preserve">Các vụ án về vấn đề này nảy sinh trong bối cảnh hệ thống quy gán thuế (imputation system) đối với việc đánh thuế các công ty và cổ đông của họ, được ban hành trong FA 1972 và nhìn chung đã bị bãi bỏ bởi FA 1999.71 Trong </w:t>
      </w:r>
      <w:r>
        <w:rPr>
          <w:b w:val="0"/>
          <w:i/>
        </w:rPr>
        <w:t>Pirelli Cable Holding NV &amp; Ors v IRC</w:t>
      </w:r>
      <w:r>
        <w:rPr>
          <w:b w:val="0"/>
          <w:i w:val="0"/>
        </w:rPr>
        <w:t>,72 Lord Walker xứ Gestingthorpe đã lưu ý rằng:</w:t>
      </w:r>
    </w:p>
    <w:p>
      <w:pPr>
        <w:spacing w:after="80"/>
      </w:pPr>
      <w:r>
        <w:rPr>
          <w:b w:val="0"/>
          <w:i w:val="0"/>
        </w:rPr>
        <w:t xml:space="preserve">[104] Một tia sét từ Luxembourg, dưới hình thức phán quyết trong </w:t>
      </w:r>
      <w:r>
        <w:rPr>
          <w:b w:val="0"/>
          <w:i/>
        </w:rPr>
        <w:t>Hoechst</w:t>
      </w:r>
      <w:r>
        <w:rPr>
          <w:b w:val="0"/>
          <w:i w:val="0"/>
        </w:rPr>
        <w:t>, đã cho thấy rằng theo luật EU, cơ chế luật định này đã có sai sót, và đã có sai sót ngay từ khi ra đời vào năm 1973. Không có câu trả lời nào giải quyết được mọi khó khăn. Nhưng trong hoàn cảnh đó, theo ý kiến của tôi, các vị Thượng nghị sĩ nên áp dụng cách giải thích phù hợp nhất với cơ chế ban đầu của Đạo luật 1988, dù giờ đây nó được nhìn nhận là có sai sót, thay vì từ bỏ nỗ lực tìm kiếm bất kỳ cách giải thích theo mục đích nào.</w:t>
      </w:r>
    </w:p>
    <w:p>
      <w:pPr>
        <w:spacing w:after="80"/>
      </w:pPr>
      <w:r>
        <w:rPr>
          <w:b w:val="0"/>
          <w:i w:val="0"/>
        </w:rPr>
        <w:t>Ông còn nói thêm rằng:</w:t>
      </w:r>
    </w:p>
    <w:p>
      <w:pPr>
        <w:spacing w:after="80"/>
      </w:pPr>
      <w:r>
        <w:rPr>
          <w:b w:val="0"/>
          <w:i w:val="0"/>
        </w:rPr>
        <w:t>[105] Những yêu cầu của công lý không dễ nhận ra trong thế giới đánh thuế xuyên biên giới đối với các công ty đa quốc gia, nhưng tôi cho rằng lẽ thường thực sự nghiêng về phía kháng cáo của cơ quan thuế (Revenue).</w:t>
      </w:r>
    </w:p>
    <w:p>
      <w:pPr>
        <w:spacing w:after="80"/>
      </w:pPr>
      <w:r>
        <w:rPr>
          <w:b w:val="0"/>
          <w:i w:val="0"/>
        </w:rPr>
        <w:t xml:space="preserve">Những hệ lụy của hệ thống quy gán thuế đầy rắc rối không chỉ giới hạn ở việc nắm giữ cổ phần xuyên biên giới trong EU; trong một số vụ án, người nộp thuế đã tìm cách thuyết phục tòa án rằng việc đối xử với người không cư trú hoặc các công ty do người không cư trú sở hữu đã vi phạm các hiệp định thuế, ngoài việc trái với luật EU. Rõ ràng là các tòa án cấp cao hơn, và đặc biệt là Thượng viện (House of Lords), đã cảm thấy không thoải mái với những khiếu nại này, và HMRC phần lớn đã thành công trong việc bác bỏ chúng.73 Các thẩm phán hoàn toàn không nhất trí về lý do bác bỏ khiếu nại của người nộp thuế. Trong </w:t>
      </w:r>
      <w:r>
        <w:rPr>
          <w:b w:val="0"/>
          <w:i/>
        </w:rPr>
        <w:t>Boake Allen Ltd &amp; Ors (including NEC Semi-Conductors Ltd) v HMRC</w:t>
      </w:r>
      <w:r>
        <w:rPr>
          <w:b w:val="0"/>
          <w:i w:val="0"/>
        </w:rPr>
        <w:t>,74 cả Tòa án cấp cao (High Court) và Tòa phúc thẩm (Court of Appeal) đều đồng ý rằng, ngoại trừ sự dẫn chiếu ngầm đến Thuế Công ty Tạm ứng (Advance Corporation Tax - ACT) trong các quy định về tín dụng thuế (được thêm vào khi ACT có hiệu lực), điều khoản này không đưa bất kỳ thỏa thuận nào mà một hiệp định thuế có thể đưa ra về nghĩa vụ nộp ACT vào hiệu lực trong luật nội địa. 'Thuế công ty đối với thu nhập hoặc lợi tức chịu thuế' trong đoạn (a) có nghĩa là</w:t>
      </w:r>
    </w:p>
    <w:p>
      <w:pPr>
        <w:spacing w:after="80"/>
      </w:pPr>
      <w:r>
        <w:rPr>
          <w:b w:val="0"/>
          <w:i w:val="0"/>
        </w:rPr>
        <w:t xml:space="preserve">71. FA 1998, s. 31 và Sch. 3.72. </w:t>
      </w:r>
      <w:r>
        <w:rPr>
          <w:b w:val="0"/>
          <w:i/>
        </w:rPr>
        <w:t>Pirelli Cable Holding NV &amp; Ors v Inland Revenue Commissioners</w:t>
      </w:r>
      <w:r>
        <w:rPr>
          <w:b w:val="0"/>
          <w:i w:val="0"/>
        </w:rPr>
        <w:t xml:space="preserve"> [2006] BTC 181 [2006] UKHL 4; [2006] STC 548.73. Xem §2.10. Vụ đầu tiên là </w:t>
      </w:r>
      <w:r>
        <w:rPr>
          <w:b w:val="0"/>
          <w:i/>
        </w:rPr>
        <w:t>Union Texas Petroleum Corporation v Critchley (HM Inspector of Taxes)</w:t>
      </w:r>
      <w:r>
        <w:rPr>
          <w:b w:val="0"/>
          <w:i w:val="0"/>
        </w:rPr>
        <w:t xml:space="preserve"> [1988] BTC 405; [1988] STC 691, Ch. D; [1990] BTC 253; [1990] STC 305, CA.74. </w:t>
      </w:r>
      <w:r>
        <w:rPr>
          <w:b w:val="0"/>
          <w:i/>
        </w:rPr>
        <w:t>Boake Allen Ltd &amp; Ors (including NEC Semi-Conductors Ltd) v Revenue and Customs Commissioners</w:t>
      </w:r>
      <w:r>
        <w:rPr>
          <w:b w:val="0"/>
          <w:i w:val="0"/>
        </w:rPr>
        <w:t xml:space="preserve"> [2007] BTC 414; [2007] STC 1265; [2007] UKHL 25.</w:t>
      </w:r>
    </w:p>
    <w:p>
      <w:pPr>
        <w:spacing w:after="80"/>
      </w:pPr>
      <w:r>
        <w:rPr>
          <w:b w:val="0"/>
          <w:i w:val="0"/>
        </w:rPr>
        <w:t>35</w:t>
      </w:r>
    </w:p>
    <w:p>
      <w:pPr>
        <w:spacing w:after="80"/>
      </w:pPr>
      <w:r>
        <w:rPr>
          <w:b w:val="0"/>
          <w:i w:val="0"/>
        </w:rPr>
        <w:t>thuế công ty chính (mainstream corporation tax), chứ không phải ACT. Do đó, việc vi phạm các hiệp định không làm phát sinh bất kỳ cơ sở khởi kiện nào trong luật Anh. Tại Thượng viện, chỉ có hai trong số năm Thẩm phán (Law Lords) cho rằng ACT không thuộc phạm vi ICTA 1988, s. 788(3)(a) vì nó không 'đối với thu nhập hoặc lợi tức chịu thuế'.</w:t>
      </w:r>
    </w:p>
    <w:p>
      <w:pPr>
        <w:spacing w:after="80"/>
      </w:pPr>
      <w:r>
        <w:rPr>
          <w:b w:val="0"/>
          <w:i w:val="0"/>
        </w:rPr>
        <w:t>Lord Mance chỉ đơn giản nói như vậy mà không phân tích75 trong khi Lord Neuberger xứ Abbotsbury chấp nhận rằng ACT là 'thuế công ty' nhưng không 'đối với thu nhập hoặc lợi tức chịu thuế' bởi vì nó phải nộp khi thực hiện việc phân phối, không giống như cái được gọi là thuế công ty chính, vốn phải nộp trên thu nhập và lợi tức chịu thuế.</w:t>
      </w:r>
    </w:p>
    <w:p>
      <w:pPr>
        <w:spacing w:after="80"/>
      </w:pPr>
      <w:r>
        <w:rPr>
          <w:b w:val="0"/>
          <w:i w:val="0"/>
        </w:rPr>
        <w:t xml:space="preserve">Ông cũng bác bỏ lập luận76 dựa trên điều mà Diplock LJ đã nói trong </w:t>
      </w:r>
      <w:r>
        <w:rPr>
          <w:b w:val="0"/>
          <w:i/>
        </w:rPr>
        <w:t>Salomon v C &amp; E Commrs</w:t>
      </w:r>
      <w:r>
        <w:rPr>
          <w:b w:val="0"/>
          <w:i w:val="0"/>
        </w:rPr>
        <w:t xml:space="preserve">,77 rằng khi một quy định luật định 'không rõ ràng' và 'có khả năng một cách hợp lý [mang] nhiều hơn một nghĩa', tòa án nên ưu tiên 'nghĩa phù hợp' với các nghĩa vụ hiệp định của Vương quốc Anh. Khi làm vậy, ông lập luận rằng nguyên tắc này có trọng lượng ít hơn trong một vụ án như vụ trước mắt ông, nơi không có câu hỏi nào, như trong </w:t>
      </w:r>
      <w:r>
        <w:rPr>
          <w:b w:val="0"/>
          <w:i/>
        </w:rPr>
        <w:t>Salomon</w:t>
      </w:r>
      <w:r>
        <w:rPr>
          <w:b w:val="0"/>
          <w:i w:val="0"/>
        </w:rPr>
        <w:t>, về việc quy định luật định đang được xem xét, cụ thể là s. 788 của Đạo luật 1988, đã được ban hành để thực thi một nghĩa vụ hiệp định cụ thể. Trong vụ này, ông nói, s. 788, 'dù được ban hành để cho phép các nghĩa vụ hiệp định của Vương quốc Anh theo các DTC nói chung có hiệu lực trong luật nội địa, rõ ràng không được thiết kế để thực thi bất kỳ nghĩa vụ cụ thể nào hoặc thậm chí bất kỳ Công ước cụ thể nào'.</w:t>
      </w:r>
    </w:p>
    <w:p>
      <w:pPr>
        <w:spacing w:after="80"/>
      </w:pPr>
      <w:r>
        <w:rPr>
          <w:b w:val="0"/>
          <w:i w:val="0"/>
        </w:rPr>
        <w:t>Tuy nhiên, bất chấp tuyên bố rộng rãi này, ông thừa nhận rằng quan điểm này sẽ có sức nặng nếu các nguyên đơn thắng kiện ở vấn đề chính, cụ thể là họ đã bị phân biệt đối xử trái với các quy định của hiệp định.78 Nói cách khác, việc bác bỏ lập luận này gắn liền với việc bác bỏ khiếu nại về phân biệt đối xử.</w:t>
      </w:r>
    </w:p>
    <w:p>
      <w:pPr>
        <w:spacing w:after="80"/>
      </w:pPr>
      <w:r>
        <w:rPr>
          <w:b w:val="0"/>
          <w:i w:val="0"/>
        </w:rPr>
        <w:t xml:space="preserve">Trong </w:t>
      </w:r>
      <w:r>
        <w:rPr>
          <w:b w:val="0"/>
          <w:i/>
        </w:rPr>
        <w:t>Pirelli Cable Holding NV &amp; Ors v IRC</w:t>
      </w:r>
      <w:r>
        <w:rPr>
          <w:b w:val="0"/>
          <w:i w:val="0"/>
        </w:rPr>
        <w:t>,79 Lord Walker xứ Gestingthorpe nói:</w:t>
      </w:r>
    </w:p>
    <w:p>
      <w:pPr>
        <w:spacing w:after="80"/>
      </w:pPr>
      <w:r>
        <w:rPr>
          <w:b w:val="0"/>
          <w:i w:val="0"/>
        </w:rPr>
        <w:t>[94] Một đặc điểm nổi bật của điều khoản 788(3)(d) là nó được diễn đạt bằng ngôn ngữ chính xác và kỹ thuật (trái ngược với ba đoạn trước đó, vốn được diễn đạt bằng ngôn ngữ tổng quát hơn và phần lớn phi kỹ thuật).</w:t>
      </w:r>
    </w:p>
    <w:p>
      <w:pPr>
        <w:spacing w:after="80"/>
      </w:pPr>
      <w:r>
        <w:rPr>
          <w:b w:val="0"/>
          <w:i w:val="0"/>
        </w:rPr>
        <w:t>[102] Tòa phúc thẩm (Peter Gibson và Laws LJJ cùng Sir Martin Nourse) đã giữ nguyên kết luận của thẩm phán, và một lần nữa dường như không gặp mấy khó khăn khi làm vậy. Lý lẽ cốt lõi nằm ở các đoạn 46 và 47 của phán quyết do Peter Gibson LJ trình bày:</w:t>
      </w:r>
    </w:p>
    <w:p>
      <w:pPr>
        <w:spacing w:after="80"/>
      </w:pPr>
      <w:r>
        <w:rPr>
          <w:b w:val="0"/>
          <w:i w:val="0"/>
        </w:rPr>
        <w:t>Given the elaborate detail of the DTAs (double taxation agreements) and their purpose of relieving double taxation, we would find it very surprising if specific provisions limiting the conferring of tax credits in the domestic tax legislation so as to exclude it in particular circumstances were intended to govern the availability of tax credits to a non-resident. Is it really to be supposed that every statutory qualification enacted from time to time in the UK fiscal legislation to the availability of a tax credit under section 231 qualifies the entitlement conferred by the DTA to the limited relief of double taxation by the tax credit as provided for in the DTA? We think not. Moreover, section 247(2), which forms the linchpin of Mr Glick’s argument, is not in fact purporting to affect the</w:t>
      </w:r>
    </w:p>
    <w:p>
      <w:pPr>
        <w:spacing w:after="80"/>
      </w:pPr>
      <w:r>
        <w:rPr>
          <w:b w:val="0"/>
          <w:i w:val="0"/>
        </w:rPr>
        <w:t>75. Tại đoạn 36.76. Tại đoạn 51.77.</w:t>
      </w:r>
      <w:r>
        <w:rPr>
          <w:b w:val="0"/>
          <w:i/>
        </w:rPr>
        <w:t>Salomon v Customs &amp; Excise Commissioners</w:t>
      </w:r>
      <w:r>
        <w:rPr>
          <w:b w:val="0"/>
          <w:i w:val="0"/>
        </w:rPr>
        <w:t xml:space="preserve"> [1967] 2 QB 116, 143.78. Liên quan đến vấn đề phân biệt đối xử, xem Chương 16, §§16.01ff.79.</w:t>
      </w:r>
      <w:r>
        <w:rPr>
          <w:b w:val="0"/>
          <w:i/>
        </w:rPr>
        <w:t>Pirelli Cable Holding NV &amp; Ors v Inland Revenue Commissioners</w:t>
      </w:r>
      <w:r>
        <w:rPr>
          <w:b w:val="0"/>
          <w:i w:val="0"/>
        </w:rPr>
        <w:t xml:space="preserve"> [2006] BTC 181; [2006] STC 548; [2006] UKHL 4.</w:t>
      </w:r>
    </w:p>
    <w:p>
      <w:pPr>
        <w:spacing w:after="80"/>
      </w:pPr>
      <w:r>
        <w:rPr>
          <w:b w:val="0"/>
          <w:i w:val="0"/>
        </w:rPr>
        <w:t>36</w:t>
      </w:r>
    </w:p>
    <w:p>
      <w:pPr>
        <w:spacing w:after="80"/>
      </w:pPr>
      <w:r>
        <w:rPr>
          <w:b w:val="0"/>
          <w:i w:val="0"/>
        </w:rPr>
        <w:t>ý nghĩa của ‘tax credit’ (tín dụng thuế) trong luật thuế Vương quốc Anh. Nó chỉ đơn thuần giới hạn các trường hợp mà một tín dụng thuế theo mục 231 sẽ được cấp.</w:t>
      </w:r>
    </w:p>
    <w:p>
      <w:pPr>
        <w:spacing w:after="80"/>
      </w:pPr>
      <w:r>
        <w:rPr>
          <w:b w:val="0"/>
          <w:i w:val="0"/>
        </w:rPr>
        <w:t>[103] Tôi thấy vấn đề này khó hơn nhiều. Theo tôi, đây là một điểm giải thích luật ngắn gọn nhưng rất khó. Quan điểm nhất trí của các thẩm phán rất giàu kinh nghiệm ở các tòa án cấp dưới khiến ta phải hết sức kính trọng. Nhưng cuối cùng, tôi đi đến kết luận, dù rất miễn cưỡng khác với các tòa án cấp dưới, rằng họ đã đi đến kết luận sai vì họ không dành đủ trọng số cho hai yếu tố. Một là khi áp dụng các DTA, cần phải xem xét không chỉ các điều khoản của chúng mà còn cả ngôn ngữ của mục 788(3)(d), vốn sử dụng một cách diễn đạt kỹ thuật của luật thuế nội địa, ‘qualifying distribution’ (phân phối đủ điều kiện). Hai là sơ đồ rõ ràng của Đạo luật 1988 là việc chi trả cổ tức phải đi kèm với việc thanh toán ACT nếu muốn hình thành một tín dụng thuế, và nếu trong trường hợp ngoại lệ (do GIE) việc chi trả cổ tức không đi kèm với việc thanh toán ACT, thì cổ tức đó sẽ không làm phát sinh tín dụng thuế, vì mục 247(2). Mục 247(2) không trực tiếp ảnh hưởng đến ý nghĩa của ‘tax credit’, nhưng theo tôi nó ảnh hưởng đến ý nghĩa của ‘qualifying distribution’; một cổ tức được chi trả theo GIE bị loại trừ rõ ràng khỏi mục 14(1), và mục 231 được quy định rõ ràng là có hiệu lực tùy thuộc vào mục 247.</w:t>
      </w:r>
    </w:p>
    <w:p>
      <w:pPr>
        <w:spacing w:after="80"/>
      </w:pPr>
      <w:r>
        <w:rPr>
          <w:b/>
          <w:i w:val="0"/>
        </w:rPr>
        <w:t>[E]Mục 6 và Luật Quốc tế</w:t>
      </w:r>
    </w:p>
    <w:p>
      <w:pPr>
        <w:spacing w:after="80"/>
      </w:pPr>
      <w:r>
        <w:rPr>
          <w:b w:val="0"/>
          <w:i w:val="0"/>
        </w:rPr>
        <w:t xml:space="preserve">Như đã lưu ý, một kết luận rằng luật Vương quốc Anh không thực thi đầy đủ một hiệp ước là một kết luận đáng buồn. Cách thức mà các vụ án về tín dụng thuế đã được giải quyết và các bình luận về tiền thân của mục 6 cho thấy rằng chúng là ngoại lệ và không nhất thiết là một hướng dẫn hữu ích cho thời kỳ hậu tín dụng thuế. Các câu hỏi về việc giải thích các điều khoản này còn lâu mới được giải quyết. Khi phân biệt các điều khoản về tín dụng thuế, Lord Walker trong </w:t>
      </w:r>
      <w:r>
        <w:rPr>
          <w:b w:val="0"/>
          <w:i/>
        </w:rPr>
        <w:t>Boake Allen</w:t>
      </w:r>
      <w:r>
        <w:rPr>
          <w:b w:val="0"/>
          <w:i w:val="0"/>
        </w:rPr>
        <w:t xml:space="preserve"> đã để ngỏ phạm vi cho một cách giải thích rộng rãi hơn đối với các yếu tố tổng quát hơn và ít kỹ thuật hơn của mục này. Thẩm quyền ký kết hiệp ước như một đặc quyền của Hoàng gia nói chung là không bị hạn chế. Khi Nghị viện muốn hạn chế quyền ký kết hiệp ước của Hoàng gia, họ phải làm điều đó bằng những điều khoản rõ ràng.80 Mục 6 không nên được xem là áp đặt một hạn chế như vậy, điều này có thể ngụ ý một cách giải thích hạn chế các hiệp ước để phù hợp với mục này.</w:t>
      </w:r>
    </w:p>
    <w:p>
      <w:pPr>
        <w:spacing w:after="80"/>
      </w:pPr>
      <w:r>
        <w:rPr>
          <w:b w:val="0"/>
          <w:i w:val="0"/>
        </w:rPr>
        <w:t xml:space="preserve">Ngoài ra, phương thức mà Nghị viện thực thi các nghĩa vụ hiệp ước không ảnh hưởng đến cách các tòa án giải quyết các vấn đề giải thích có thể phát sinh khi có sự khác biệt giữa ngôn ngữ luật định và ngôn ngữ của hiệp ước.81 Trong </w:t>
      </w:r>
      <w:r>
        <w:rPr>
          <w:b w:val="0"/>
          <w:i/>
        </w:rPr>
        <w:t>Garland v British Rail Engineering Ltd</w:t>
      </w:r>
      <w:r>
        <w:rPr>
          <w:b w:val="0"/>
          <w:i w:val="0"/>
        </w:rPr>
        <w:t>,82 Lord Diplock nói:</w:t>
      </w:r>
    </w:p>
    <w:p>
      <w:pPr>
        <w:spacing w:after="80"/>
      </w:pPr>
      <w:r>
        <w:rPr>
          <w:b w:val="0"/>
          <w:i w:val="0"/>
        </w:rPr>
        <w:t>80.</w:t>
      </w:r>
      <w:r>
        <w:rPr>
          <w:b w:val="0"/>
          <w:i/>
        </w:rPr>
        <w:t>R v Secretary of State for Foreign and Commonwealth Affairs, ex parte Rees-Mogg</w:t>
      </w:r>
      <w:r>
        <w:rPr>
          <w:b w:val="0"/>
          <w:i w:val="0"/>
        </w:rPr>
        <w:t xml:space="preserve"> [1994] QB 552 tại 567; [1994] 1 All ER 457 tại 467 theo Lloyd LJ.81.</w:t>
      </w:r>
      <w:r>
        <w:rPr>
          <w:b w:val="0"/>
          <w:i/>
        </w:rPr>
        <w:t>Salomon v Customs and Excise Commissioners</w:t>
      </w:r>
      <w:r>
        <w:rPr>
          <w:b w:val="0"/>
          <w:i w:val="0"/>
        </w:rPr>
        <w:t xml:space="preserve"> [1967] 2 QB 116; [1966] 3 All ER 871, CA. Trong trường hợp đó, hiệp ước đang bàn không được đưa vào hoặc được đề cập trong đạo luật. Bất chấp điều này, Lord Denning MR nói tại 874: ‘Tôi nghĩ chúng ta có quyền xem xét [hiệp ước] vì nó là một văn kiện có tính ràng buộc trong luật quốc tế; chúng ta luôn phải giải thích các đạo luật của mình sao cho phù hợp với luật quốc tế.’ Russell LJ đồng ý với điều này khi đạo luật rõ ràng nhằm thực thi các điều khoản của hiệp ước. Trong </w:t>
      </w:r>
      <w:r>
        <w:rPr>
          <w:b w:val="0"/>
          <w:i/>
        </w:rPr>
        <w:t>Cheney v Conn</w:t>
      </w:r>
      <w:r>
        <w:rPr>
          <w:b w:val="0"/>
          <w:i w:val="0"/>
        </w:rPr>
        <w:t xml:space="preserve"> (1964-1968) 44 TC 217; [1968] All ER 799, Ch. D, một khiếu nại rằng việc đánh thuế thu nhập là vô hiệu bởi các điều khoản của một Công ước Geneva cấm vũ khí hạt nhân với lý do rằng một phần đáng kể của thuế</w:t>
      </w:r>
    </w:p>
    <w:p>
      <w:pPr>
        <w:spacing w:after="80"/>
      </w:pPr>
      <w:r>
        <w:rPr>
          <w:b w:val="0"/>
          <w:i w:val="0"/>
        </w:rPr>
        <w:t>37</w:t>
      </w:r>
    </w:p>
    <w:p>
      <w:pPr>
        <w:spacing w:after="80"/>
      </w:pPr>
      <w:r>
        <w:rPr>
          <w:b w:val="0"/>
          <w:i w:val="0"/>
        </w:rPr>
        <w:t>Đó là một nguyên tắc giải thích các đạo luật của Vương quốc Anh hiện nay đã quá vững chắc đến mức không cần phải viện dẫn án lệ, rằng các từ ngữ của một đạo luật được thông qua sau khi hiệp ước đã được ký kết và liên quan đến đối tượng của các nghĩa vụ quốc tế của Vương quốc Anh, phải được giải thích, nếu chúng có khả năng mang ý nghĩa đó một cách hợp lý, là nhằm thực thi nghĩa vụ đó chứ không phải không nhất quán với nó.</w:t>
      </w:r>
    </w:p>
    <w:p>
      <w:pPr>
        <w:spacing w:after="80"/>
      </w:pPr>
      <w:r>
        <w:rPr>
          <w:b w:val="0"/>
          <w:i w:val="0"/>
        </w:rPr>
        <w:t xml:space="preserve">Kết luận của Lord Neuberger trong </w:t>
      </w:r>
      <w:r>
        <w:rPr>
          <w:b w:val="0"/>
          <w:i/>
        </w:rPr>
        <w:t>Boake Allen</w:t>
      </w:r>
      <w:r>
        <w:rPr>
          <w:b w:val="0"/>
          <w:i w:val="0"/>
        </w:rPr>
        <w:t>83 rằng quy tắc chỉ áp dụng cho một điều khoản lập pháp được ban hành để thực thi một điều khoản hiệp ước cụ thể không giải quyết được vấn đề. Mục đích của mục 6 là rõ ràng. Nó hoạt động như một chiếc ô cho phép tất cả các hiệp ước mà Vương quốc Anh ký kết nhằm giảm bớt đánh thuế hai lần được ban hành vào luật nội địa mà không cần phải có luật cụ thể. Các hiệp ước thuế của Vương quốc Anh đã được mô phỏng theo các mô hình OECD trong gần sáu thập kỷ nhưng mỗi hiệp ước là duy nhất. Nó tránh sự cần thiết phải xem xét những thay đổi trong thực tiễn hiệp ước hoặc kết quả của các cuộc đàm phán liên quan đến các hiệp ước cụ thể để xác định liệu chúng có hay không được ban hành vào luật nội địa. Vì có quá nhiều hiệp ước thuế, cách tiếp cận này loại bỏ nhu cầu đưa ra luật liên quan đến từng hiệp ước riêng lẻ. Do đó, mặc dù việc thực thi các hiệp ước thuế nói chung trong các giới hạn được chỉ định được Nghị viện cho phép trước, và các điều khoản cụ thể của hiệp ước trở nên có thể áp dụng trực tiếp thông qua việc đưa hiệp ước vào một Lệnh, luật nội địa nên được giải thích theo cách nhất quán với các nghĩa vụ hiệp ước.</w:t>
      </w:r>
    </w:p>
    <w:p>
      <w:pPr>
        <w:spacing w:after="80"/>
      </w:pPr>
      <w:r>
        <w:rPr>
          <w:b w:val="0"/>
          <w:i w:val="0"/>
        </w:rPr>
        <w:t xml:space="preserve">Nguyên tắc giải thích được Lord Denning MR nêu rõ rằng ‘chúng ta luôn phải giải thích các đạo luật của mình sao cho phù hợp với luật quốc tế’ rộng hơn việc chỉ đơn thuần hòa giải ngôn ngữ khác nhau trong một đạo luật với ngôn ngữ trong một hiệp ước cụ thể. Là một bên tham gia Công ước Vienna về Luật Hiệp ước, phải xem xét các nghĩa vụ mà nó kéo theo.84 Điều 26 của Công ước Vienna thể hiện nguyên tắc </w:t>
      </w:r>
      <w:r>
        <w:rPr>
          <w:b w:val="0"/>
          <w:i/>
        </w:rPr>
        <w:t>pacta servanda sunt</w:t>
      </w:r>
      <w:r>
        <w:rPr>
          <w:b w:val="0"/>
          <w:i w:val="0"/>
        </w:rPr>
        <w:t>, đòi hỏi các hiệp ước phải được tuân thủ một cách thiện chí. Điều 27 quy định rằng một bên không được viện dẫn các quy định của luật nội bộ của mình để biện minh cho việc không thực hiện một hiệp ước. Hạn chế duy nhất đối với điều này là việc vi phạm rõ ràng một quy định của luật nội bộ của một bên liên quan đến thẩm quyền ký kết hiệp ước có thể được bên đó viện dẫn trong một số trường hợp nhất định. Nguyên tắc giải thích bao gồm việc tuân thủ các nghĩa vụ này chứ không chỉ nghĩa vụ hiệp ước cụ thể là đối tượng của việc đưa vào luật.85 Có một giả định rằng Nghị viện có ý định thực hiện chứ không phải phá vỡ một thỏa thuận quốc tế.86 Do đó, khi một Đạo luật nhằm thực thi một hiệp ước, mọi nghi ngờ về ý nghĩa của nó nên, nếu có thể, được giải quyết theo hướng nhất quán với các điều khoản của hiệp ước.87</w:t>
      </w:r>
    </w:p>
    <w:p>
      <w:pPr>
        <w:spacing w:after="80"/>
      </w:pPr>
      <w:r>
        <w:rPr>
          <w:b w:val="0"/>
          <w:i w:val="0"/>
        </w:rPr>
        <w:t>là để trả cho những vũ khí như vậy, đã bị bác bỏ với lý do rằng phần liên quan của Công ước không được ban hành vào luật nội địa và đạo luật đánh thuế rõ ràng và không mơ hồ trong các điều khoản của nó.82.</w:t>
      </w:r>
      <w:r>
        <w:rPr>
          <w:b w:val="0"/>
          <w:i/>
        </w:rPr>
        <w:t>Garland v British Rail Engineering Ltd</w:t>
      </w:r>
      <w:r>
        <w:rPr>
          <w:b w:val="0"/>
          <w:i w:val="0"/>
        </w:rPr>
        <w:t xml:space="preserve"> [1983] 2 AC 751 tại 771; [1982] 2 WLR 918 tại 934 đến 935, HL.83. Xem §2.06.84. Xem các điều 26 và 27 của Công ước Vienna và Chương 1, §1.08.85. Công ước Vienna về Luật Hiệp ước, điều 46.86. Xem </w:t>
      </w:r>
      <w:r>
        <w:rPr>
          <w:b w:val="0"/>
          <w:i/>
        </w:rPr>
        <w:t>Salomon v Customs and Excise Commissioners</w:t>
      </w:r>
      <w:r>
        <w:rPr>
          <w:b w:val="0"/>
          <w:i w:val="0"/>
        </w:rPr>
        <w:t xml:space="preserve"> [1967] 2 QB 116; [1966] 3 All ER 871, CA, theo Diplock LJ tại 875.87.</w:t>
      </w:r>
      <w:r>
        <w:rPr>
          <w:b w:val="0"/>
          <w:i/>
        </w:rPr>
        <w:t>Quazi v Quazi</w:t>
      </w:r>
      <w:r>
        <w:rPr>
          <w:b w:val="0"/>
          <w:i w:val="0"/>
        </w:rPr>
        <w:t xml:space="preserve"> [1980] AC 744 tại 805; [1979] 3 All ER 897 tại 903, HL theo Lord Diplock: Khi Nghị viện thông qua một Đạo luật sửa đổi luật nội địa của Vương quốc Anh để cho phép</w:t>
      </w:r>
    </w:p>
    <w:p>
      <w:pPr>
        <w:spacing w:after="80"/>
      </w:pPr>
      <w:r>
        <w:rPr>
          <w:b w:val="0"/>
          <w:i w:val="0"/>
        </w:rPr>
        <w:t>38</w:t>
      </w:r>
    </w:p>
    <w:p>
      <w:pPr>
        <w:spacing w:after="80"/>
      </w:pPr>
      <w:r>
        <w:rPr>
          <w:b w:val="0"/>
          <w:i w:val="0"/>
        </w:rPr>
        <w:t>Có thể lưu ý rằng mặc dù hiện tại dường như không có mong muốn sửa đổi mục 6 để đảm bảo hiệu lực đầy đủ của các nghĩa vụ hiệp ước là không còn nghi ngờ gì, bất chấp các khuyến nghị rằng Nghị viện nên xem xét lại điều khoản này.88 Một cách tiếp cận cầu toàn hơn đã được tìm thấy trong việc ban hành luật trong những năm gần đây để giải quyết sự hợp tác xuyên biên giới giữa các cơ quan thuế.89</w:t>
      </w:r>
    </w:p>
    <w:p>
      <w:pPr>
        <w:spacing w:after="80"/>
      </w:pPr>
      <w:r>
        <w:rPr>
          <w:b/>
          <w:i w:val="0"/>
        </w:rPr>
        <w:t>§2.08 Vương quốc Anh: Hiệu lực hồi tố và các biện pháp chuyển tiếp</w:t>
      </w:r>
    </w:p>
    <w:p>
      <w:pPr>
        <w:spacing w:after="80"/>
      </w:pPr>
      <w:r>
        <w:rPr>
          <w:b w:val="0"/>
          <w:i w:val="0"/>
        </w:rPr>
        <w:t>Luật thực thi cho phép một mức độ hồi tố nhất định. Các hiệp định có thể được ban hành hiệu lực theo TIOPA 2010, s. 3(1) nếu chúng cung cấp biện pháp giảm thuế:</w:t>
      </w:r>
    </w:p>
    <w:p>
      <w:pPr>
        <w:spacing w:after="80"/>
      </w:pPr>
      <w:r>
        <w:rPr>
          <w:b w:val="0"/>
          <w:i w:val="0"/>
        </w:rPr>
        <w:t>– cho các giai đoạn trước khi TIOPA 2010 được thông qua; hoặc – trước khi hiệp định đang xét được ký kết.</w:t>
      </w:r>
    </w:p>
    <w:p>
      <w:pPr>
        <w:spacing w:after="80"/>
      </w:pPr>
      <w:r>
        <w:rPr>
          <w:b w:val="0"/>
          <w:i w:val="0"/>
        </w:rPr>
        <w:t>Cũng có thể có quy định về miễn thuế (tax sparing) trong những trường hợp như thu nhập không bị đánh thuế hai lần hoặc lợi nhuận chịu thuế không bị đánh thuế hai lần theo ss 3(2) và 4.</w:t>
      </w:r>
    </w:p>
    <w:p>
      <w:pPr>
        <w:spacing w:after="80"/>
      </w:pPr>
      <w:r>
        <w:rPr>
          <w:b w:val="0"/>
          <w:i w:val="0"/>
        </w:rPr>
        <w:t>Các biện pháp hồi tố như vậy thường được đưa vào các hiệp định khi một hiệp định được thay thế bằng một hiệp định khác, hoặc trong trường hợp khoảng thời gian giữa việc đàm phán một hiệp định và việc hiệp định đó có hiệu lực kéo dài do đàm phán kéo dài hoặc do sự chậm trễ trong việc phê chuẩn hoặc trao đổi văn kiện phê chuẩn vì lý do nội bộ ở một trong hai quốc gia ký kết.90 Hơn nữa, một Order in Council bãi bỏ một Order trước đó có thể chứa các quy định chuyển tiếp cần thiết hoặc thích hợp vì luôn có sự chậm trễ giữa việc ký kết một hiệp định và việc hiệp định đó cuối cùng có hiệu lực theo luật trong nước. Thực tiễn hiệp định hiện nay là quy định các biện pháp chuyển tiếp trong chính các điều khoản của hiệp định. Các biện pháp chuyển tiếp được ngụ ý đơn phương có thể vi phạm nghĩa vụ theo hiệp định trong một số trường hợp nhất định.</w:t>
      </w:r>
    </w:p>
    <w:p>
      <w:pPr>
        <w:spacing w:after="80"/>
      </w:pPr>
      <w:r>
        <w:rPr>
          <w:b w:val="0"/>
          <w:i w:val="0"/>
        </w:rPr>
        <w:t xml:space="preserve">Trong </w:t>
      </w:r>
      <w:r>
        <w:rPr>
          <w:b w:val="0"/>
          <w:i/>
        </w:rPr>
        <w:t>Gadsden v Minister for National Revenue</w:t>
      </w:r>
      <w:r>
        <w:rPr>
          <w:b w:val="0"/>
          <w:i w:val="0"/>
        </w:rPr>
        <w:t>,91 một tranh chấp đã nảy sinh về việc liệu Hiệp định Thuế Thu nhập Canada–Vương quốc Anh (1966) hay hiệp định được ký kết sau đó vào năm 1978 được áp dụng. Điều 28(4) của hiệp định năm 1978 cho phép áp dụng bất kỳ điều khoản nào của một hiệp định hiện hành nếu điều khoản đó mang lại biện pháp giảm thuế nhiều hơn so với hiệp định năm 1978 trong một giai đoạn chuyển tiếp. Hiệp định năm 1978 được ban hành hiệu lực trong luật trong nước của Canada vào năm 1980. Điều 28(1) quy định rằng hiệp định có hiệu lực ở Canada từ năm tính thuế 1976. Hiệp định năm 1966</w:t>
      </w:r>
    </w:p>
    <w:p>
      <w:pPr>
        <w:spacing w:after="80"/>
      </w:pPr>
      <w:r>
        <w:rPr>
          <w:b w:val="0"/>
          <w:i w:val="0"/>
        </w:rPr>
        <w:t xml:space="preserve">quốc gia này phê chuẩn một hiệp định quốc tế và qua đó cam kết với các quốc gia khác là thành viên của hiệp định về một nghĩa vụ theo luật quốc tế là tuân thủ các điều khoản của hiệp định, thì việc viện dẫn các điều khoản của hiệp định để xem nghĩa vụ theo luật quốc tế mà Nghị viện dự định rằng quốc gia này sẽ được phép đảm nhận là gì là một trợ giúp hợp pháp cho việc giải thích bất kỳ điều khoản nào của Đạo luật mang tính mơ hồ hoặc không rõ ràng. Xem thêm gần đây </w:t>
      </w:r>
      <w:r>
        <w:rPr>
          <w:b w:val="0"/>
          <w:i/>
        </w:rPr>
        <w:t>R v Secretary of State for the Home Department, ex parte Brind</w:t>
      </w:r>
      <w:r>
        <w:rPr>
          <w:b w:val="0"/>
          <w:i w:val="0"/>
        </w:rPr>
        <w:t xml:space="preserve"> [1991] 1 AC 696.88. </w:t>
      </w:r>
      <w:r>
        <w:rPr>
          <w:b w:val="0"/>
          <w:i/>
        </w:rPr>
        <w:t>UBS AG v Revenue &amp; Customs Commissioners</w:t>
      </w:r>
      <w:r>
        <w:rPr>
          <w:b w:val="0"/>
          <w:i w:val="0"/>
        </w:rPr>
        <w:t xml:space="preserve"> [2005] UKSPC 480; (2005) SpC 480 bởi các Special Commissioners John FA Jones và Julian Ghosh tại đoạn 41.89. Vấn đề này được đề cập trong Chương 22, §§22.01ff.90. Convention between the Government of the United Kingdom of Great Britain and Northern Ireland and the Government of the United States of America for the Avoidance of Double Taxation and the Prevention of Fiscal Evasion with Respect to Taxes on Income and on Capital Gains Convention of 24 July 2001 (SI 2002/2848), art. 29(2)(b) là một ví dụ điển hình.91. </w:t>
      </w:r>
      <w:r>
        <w:rPr>
          <w:b w:val="0"/>
          <w:i/>
        </w:rPr>
        <w:t>Gadsden v Minister for National Revenue</w:t>
      </w:r>
      <w:r>
        <w:rPr>
          <w:b w:val="0"/>
          <w:i w:val="0"/>
        </w:rPr>
        <w:t xml:space="preserve"> [1983] CTC 2132 (TRB).</w:t>
      </w:r>
    </w:p>
    <w:p>
      <w:pPr>
        <w:spacing w:after="80"/>
      </w:pPr>
      <w:r>
        <w:rPr>
          <w:b w:val="0"/>
          <w:i w:val="0"/>
        </w:rPr>
        <w:t>39</w:t>
      </w:r>
    </w:p>
    <w:p>
      <w:pPr>
        <w:spacing w:after="80"/>
      </w:pPr>
      <w:r>
        <w:rPr>
          <w:b w:val="0"/>
          <w:i w:val="0"/>
        </w:rPr>
        <w:t>hiệp định là hiệp định ‘hiện hành’ và có hiệu lực cho đến khi hiệp định năm 1978 có hiệu lực vào năm 1980. Việc so sánh cách đối xử theo cả hai hiệp định là cần thiết, theo đó hiệp định có lợi hơn sẽ được áp dụng cho giao dịch xảy ra vào năm 1976.</w:t>
      </w:r>
    </w:p>
    <w:p>
      <w:pPr>
        <w:spacing w:after="80"/>
      </w:pPr>
      <w:r>
        <w:rPr>
          <w:b w:val="0"/>
          <w:i w:val="0"/>
        </w:rPr>
        <w:t xml:space="preserve">FA 2006, s. 173, có hiệu lực từ ngày 19 tháng 7 năm 2006, cung cấp thẩm quyền để ban hành hiệu lực cho các hiệp định liên quan đến việc thực thi thuế quốc tế trong luật trong nước.92 Trong </w:t>
      </w:r>
      <w:r>
        <w:rPr>
          <w:b w:val="0"/>
          <w:i/>
        </w:rPr>
        <w:t>Ben Nevis (Holdings) Ltd v Revenue &amp; Customs</w:t>
      </w:r>
      <w:r>
        <w:rPr>
          <w:b w:val="0"/>
          <w:i w:val="0"/>
        </w:rPr>
        <w:t>,93 Tòa phúc thẩm đã bác bỏ lập luận rằng bất kỳ Order in Council nào nhằm ban hành hiệu lực cho các hiệp định như vậy trong luật trong nước sẽ không có hiệu lực đối với các giai đoạn trước ngày đó nếu không có thẩm quyền theo luật định rõ ràng cho việc đưa ra các thỏa thuận liên quan đến việc thu thuế quốc tế có hiệu lực hồi tố.</w:t>
      </w:r>
    </w:p>
    <w:p>
      <w:pPr>
        <w:spacing w:after="80"/>
      </w:pPr>
      <w:r>
        <w:rPr>
          <w:b w:val="0"/>
          <w:i w:val="0"/>
        </w:rPr>
        <w:t>Lợi ích của các biện pháp chuyển tiếp trong art. 30(4) của Hiệp định Thuế Thu nhập Hà Lan – Vương quốc Anh (2008) đã bị Hoge Raad der Nederlanden (Tòa án Tối cao Hà Lan) từ chối trong trường hợp của một cá nhân cư trú tại Hà Lan đã làm việc cho một cơ quan công quyền ở Vương quốc Anh trong một số năm trước khi chuyển đến Hà Lan. Những thay đổi trong cách đối xử với lương hưu so với hiệp định năm 1989 có lợi hơn cho người nộp thuế vì quyền đánh thuế chuyển từ quốc gia cư trú sang quốc gia nguồn. Tòa án cho rằng sự thay đổi trong việc phân bổ quyền đánh thuế không chỉ xuất phát từ sự thay đổi trong hiệp định cư trú năm 2008 mà còn từ việc ông trở thành cư dân Hà Lan vào năm 2013. Yêu cầu rằng các khoản thanh toán phải nằm trong các điều khoản của hiệp định trước đó đã được tòa án giải thích một cách chặt chẽ.94</w:t>
      </w:r>
    </w:p>
    <w:p>
      <w:pPr>
        <w:spacing w:after="80"/>
      </w:pPr>
      <w:r>
        <w:rPr>
          <w:b/>
          <w:i w:val="0"/>
        </w:rPr>
        <w:t>§2.09 Vương quốc Anh: Các hiệp định được ký kết theo luật cũ</w:t>
      </w:r>
    </w:p>
    <w:p>
      <w:pPr>
        <w:spacing w:after="80"/>
      </w:pPr>
      <w:r>
        <w:rPr>
          <w:b w:val="0"/>
          <w:i w:val="0"/>
        </w:rPr>
        <w:t>Tính liên tục của việc ban hành theo luật trong nước đối với các hiệp định được ký kết theo luật trước đây được đảm bảo bởi TIOPA 2010, Schedule 9, paragraph 11. Do đó, các hiệp định cũ hơn có hiệu lực liên quan đến thuế doanh nghiệp (corporation tax) và thu nhập và lợi nhuận chịu thuế doanh nghiệp theo các điều khoản của chúng khi chúng được quy định có hiệu lực liên quan đến thuế lợi nhuận (profits tax) và lợi nhuận chịu thuế lợi nhuận. Các kỳ kế toán (thuật ngữ hiện tại) được thay thế cho các kỳ kế toán chịu thuế.</w:t>
      </w:r>
    </w:p>
    <w:p>
      <w:pPr>
        <w:spacing w:after="80"/>
      </w:pPr>
      <w:r>
        <w:rPr>
          <w:b/>
          <w:i w:val="0"/>
        </w:rPr>
        <w:t>§2.10 Vương quốc Anh: Hiệu lực của các hiệp định</w:t>
      </w:r>
    </w:p>
    <w:p>
      <w:pPr>
        <w:spacing w:after="80"/>
      </w:pPr>
      <w:r>
        <w:rPr>
          <w:b w:val="0"/>
          <w:i w:val="0"/>
        </w:rPr>
        <w:t>Hiệu lực chính xác của các hiệp định trong luật thuế Vương quốc Anh và đặc biệt là liệu các hiệp định có thể áp đặt hoặc làm tăng nghĩa vụ thuế vượt quá mức được quy định theo luật trong nước hay không đã là chủ đề của một số cuộc tranh luận đáng kể.95 Một phần của cuộc tranh cãi xuất phát từ cách thức mà luật thực thi được soạn thảo. Section 6(2)(b), ví dụ, cho phép rằng các hiệp định sẽ ‘có hiệu lực’ trong phạm vi chúng cung cấp:</w:t>
      </w:r>
    </w:p>
    <w:p>
      <w:pPr>
        <w:spacing w:after="80"/>
      </w:pPr>
      <w:r>
        <w:rPr>
          <w:b w:val="0"/>
          <w:i w:val="0"/>
        </w:rPr>
        <w:t xml:space="preserve">92. Xem Chương 22.93. </w:t>
      </w:r>
      <w:r>
        <w:rPr>
          <w:b w:val="0"/>
          <w:i/>
        </w:rPr>
        <w:t>Ben Nevis (Holdings) Ltd v Revenue &amp; Customs</w:t>
      </w:r>
      <w:r>
        <w:rPr>
          <w:b w:val="0"/>
          <w:i w:val="0"/>
        </w:rPr>
        <w:t xml:space="preserve"> [2013] BTC 485; [2013] EWCA Civ 578, [2013] STC 1579.94. </w:t>
      </w:r>
      <w:r>
        <w:rPr>
          <w:b w:val="0"/>
          <w:i/>
        </w:rPr>
        <w:t>X v the Tax Administration</w:t>
      </w:r>
      <w:r>
        <w:rPr>
          <w:b w:val="0"/>
          <w:i w:val="0"/>
        </w:rPr>
        <w:t xml:space="preserve">, Hoge Raad der Nederlanden (Tòa án Tối cao Hà Lan), 17 tháng 9 năm 2019 (Case No. 18/048500).95. Xem Oliver, J.D.B. </w:t>
      </w:r>
      <w:r>
        <w:rPr>
          <w:b w:val="0"/>
          <w:i/>
        </w:rPr>
        <w:t>Double Tax Treaties in United Kingdom Tax Law</w:t>
      </w:r>
      <w:r>
        <w:rPr>
          <w:b w:val="0"/>
          <w:i w:val="0"/>
        </w:rPr>
        <w:t>, British Tax Review, 1970(6) tháng 11-tháng 12 năm 1970, tr. 388.</w:t>
      </w:r>
    </w:p>
    <w:p>
      <w:pPr>
        <w:spacing w:after="80"/>
      </w:pPr>
      <w:r>
        <w:rPr>
          <w:b w:val="0"/>
          <w:i w:val="0"/>
        </w:rPr>
        <w:t>40</w:t>
      </w:r>
    </w:p>
    <w:p>
      <w:pPr>
        <w:spacing w:after="80"/>
      </w:pPr>
      <w:r>
        <w:rPr>
          <w:b w:val="0"/>
          <w:i w:val="0"/>
        </w:rPr>
        <w:t>(b) để đánh thuế thu nhập của những người không cư trú tại Vương quốc Anh phát sinh từ các nguồn ở Vương quốc Anh đối với những người không cư trú tại Vương quốc Anh;</w:t>
      </w:r>
    </w:p>
    <w:p>
      <w:pPr>
        <w:spacing w:after="80"/>
      </w:pPr>
      <w:r>
        <w:rPr>
          <w:b w:val="0"/>
          <w:i w:val="0"/>
        </w:rPr>
        <w:t xml:space="preserve">Có thể lập luận rằng điều này sẽ cho phép một hiệp ước áp đặt thuế lên thu nhập hoặc lợi nhuận của một người không cư trú mà theo luật trong nước thì không bị đánh thuế. Tuy nhiên, những điều khoản cho phép này phải tuân theo các quy định của Phần 2 nói chung. Mục 2 đề cập đến các thỏa thuận được thực hiện 'nhằm mục đích giảm bớt việc đánh thuế hai lần'. Như vậy, có vẻ như mục đích của hiệp ước phải là để giảm bớt việc đánh thuế hai lần và rằng mục 6(2)(b) không thể tạo ra một khoản thuế không tồn tại theo luật trong nước. Cách tiếp cận của HMRC đối với vấn đề này là rõ ràng. </w:t>
      </w:r>
      <w:r>
        <w:rPr>
          <w:b w:val="0"/>
          <w:i/>
        </w:rPr>
        <w:t>Sổ tay Quốc tế</w:t>
      </w:r>
      <w:r>
        <w:rPr>
          <w:b w:val="0"/>
          <w:i w:val="0"/>
        </w:rPr>
        <w:t xml:space="preserve"> của HMRC (</w:t>
      </w:r>
      <w:r>
        <w:rPr>
          <w:b w:val="0"/>
          <w:i/>
        </w:rPr>
        <w:t>INTM</w:t>
      </w:r>
      <w:r>
        <w:rPr>
          <w:b w:val="0"/>
          <w:i w:val="0"/>
        </w:rPr>
        <w:t>) nêu rằng 'một hiệp định đánh thuế hai lần không thể áp đặt một khoản thuế đối với trường hợp hoàn toàn không tồn tại theo luật trong nước'.96</w:t>
      </w:r>
    </w:p>
    <w:p>
      <w:pPr>
        <w:spacing w:after="80"/>
      </w:pPr>
      <w:r>
        <w:rPr>
          <w:b w:val="0"/>
          <w:i w:val="0"/>
        </w:rPr>
        <w:t xml:space="preserve">Mục 6(2)(g) cũng cho phép các hiệp ước quy định việc trao cho những người không cư trú tại Vương quốc Anh quyền được hưởng tín dụng thuế theo ITTOIA, mục 397(1) đối với các khoản phân phối đủ điều kiện được thực hiện cho họ bởi các công ty cư trú tại Vương quốc Anh. Câu hỏi liệu các hiệp ước có thể áp đặt một khoản thuế hay không đã được tranh luận trong </w:t>
      </w:r>
      <w:r>
        <w:rPr>
          <w:b w:val="0"/>
          <w:i/>
        </w:rPr>
        <w:t>Union Texas Petroleum Corporation v Critchley (HM Inspector of Taxes)</w:t>
      </w:r>
      <w:r>
        <w:rPr>
          <w:b w:val="0"/>
          <w:i w:val="0"/>
        </w:rPr>
        <w:t>.97</w:t>
      </w:r>
    </w:p>
    <w:p>
      <w:pPr>
        <w:spacing w:after="80"/>
      </w:pPr>
      <w:r>
        <w:rPr>
          <w:b w:val="0"/>
          <w:i w:val="0"/>
        </w:rPr>
        <w:t>Điều 10(2)(a)(i) của Hiệp ước Thuế Thu nhập Hoa Kỳ - Vương quốc Anh năm 197598 quy định rằng khi một công ty Hoa Kỳ nhận được cổ tức từ một công ty cư trú tại Vương quốc Anh, người nhận được quyền nhận từ Vương quốc Anh một khoản tín dụng thuế bằng một nửa khoản tín dụng mà một cá nhân cư trú tại Vương quốc Anh sẽ được hưởng nếu người đó nhận được cổ tức, với điều kiện phải khấu trừ từ khoản thanh toán đó một số tiền không vượt quá 5% số tiền hoặc giá trị của cổ tức và số tiền tín dụng thuế được trả cho công ty Hoa Kỳ. Công ty Hoa Kỳ lập luận rằng các khoản thanh toán mà công ty được hưởng là số tiền bằng một nửa khoản tín dụng thuế mà một cá nhân cư trú tại Vương quốc Anh sẽ được hưởng nếu người đó nhận được cổ tức. Người ta lập luận rằng việc đề cập đến 'tín dụng thuế' trong tiểu đoạn đó không phải là 'tín dụng thuế theo mục 86 của FA 1972'. Theo đó, không được khấu trừ bất kỳ khoản nào từ chúng, bất chấp những từ ngữ kết thúc của điều khoản hiệp ước. Công ty không bị đánh thuế thu nhập Vương quốc Anh đối với cổ tức hoặc khoản thanh toán tín dụng thuế và bản thân hiệp ước không áp đặt bất kỳ nghĩa vụ thuế nào đối với Vương quốc Anh liên quan đến những khoản tiền đó. Người ta cũng lập luận rằng bản thân hiệp ước không áp đặt yêu cầu khấu trừ.</w:t>
      </w:r>
    </w:p>
    <w:p>
      <w:pPr>
        <w:spacing w:after="80"/>
      </w:pPr>
      <w:r>
        <w:rPr>
          <w:b w:val="0"/>
          <w:i w:val="0"/>
        </w:rPr>
        <w:t>Vương quyền lập luận rằng một hiệp ước có hiệu lực trong luật Anh và ghi đè lên bất cứ điều gì trái ngược. Một khi hiệp ước mở rộng tín dụng thuế cho một người, tín dụng đó sẽ có sẵn cho các mục đích được quy định trong FA 1992, mục 86. Công ty Hoa Kỳ phải chịu thuế thu nhập theo Sch. F và hiệp ước có hiệu lực giới hạn khoản thuế đó từ mức thuế cơ bản xuống còn năm phần trăm, có thể được khấu trừ từ khoản thanh toán theo mục 86(4) của Đạo luật 1972. Người ta lập luận rằng tiền thân của mục 6(2)(g) không thể áp dụng vì nó không bao gồm bất kỳ quyền hạn nào để khấu trừ thuế trong các trường hợp như tồn tại theo Hiệp ước Hoa Kỳ.</w:t>
      </w:r>
    </w:p>
    <w:p>
      <w:pPr>
        <w:spacing w:after="80"/>
      </w:pPr>
      <w:r>
        <w:rPr>
          <w:b w:val="0"/>
          <w:i w:val="0"/>
        </w:rPr>
        <w:t>96. Tại đoạn INTM152060.97.</w:t>
      </w:r>
      <w:r>
        <w:rPr>
          <w:b w:val="0"/>
          <w:i/>
        </w:rPr>
        <w:t>Union Texas Petroleum Corporation v Critchley (HM Inspector of Taxes)</w:t>
      </w:r>
      <w:r>
        <w:rPr>
          <w:b w:val="0"/>
          <w:i w:val="0"/>
        </w:rPr>
        <w:t xml:space="preserve"> [1988] BTC 405; [1988] STC 691, Ch. D; [1990] BTC 253; [1990] STC 305, CA.98.</w:t>
      </w:r>
      <w:r>
        <w:rPr>
          <w:b w:val="0"/>
          <w:i/>
        </w:rPr>
        <w:t>Double Taxation Relief (Taxes on Income) (United States of America) Order</w:t>
      </w:r>
      <w:r>
        <w:rPr>
          <w:b w:val="0"/>
          <w:i w:val="0"/>
        </w:rPr>
        <w:t xml:space="preserve"> 1980 (SI 1980/568).</w:t>
      </w:r>
    </w:p>
    <w:p>
      <w:pPr>
        <w:spacing w:after="80"/>
      </w:pPr>
      <w:r>
        <w:rPr>
          <w:b w:val="0"/>
          <w:i w:val="0"/>
        </w:rPr>
        <w:t>41</w:t>
      </w:r>
    </w:p>
    <w:p>
      <w:pPr>
        <w:spacing w:after="80"/>
      </w:pPr>
      <w:r>
        <w:rPr>
          <w:b w:val="0"/>
          <w:i w:val="0"/>
        </w:rPr>
        <w:t>Thẩm phán Harman nhận thấy vấn đề này rất khó để xác định và ghi nhận trong phán quyết của mình rằng quan điểm của ông đã thay đổi nhiều lần trong quá trình tranh luận và xem xét. Ông ủng hộ lập luận của Vương quyền về việc đưa hiệp ước vào luật Vương quốc Anh và cho rằng những đề cập đến tín dụng thuế trong điều 10 là đề cập đến tín dụng thuế được quy định bởi ICTA 1970, mục 86. Ông chấp nhận các lập luận của Vương quyền rằng hiệp ước nên được đọc với mong muốn hợp lý để hiểu mục đích của nó, đó là đưa hệ thống giảm thuế hai lần vào hệ thống tín dụng thuế đối với cổ tức được đưa ra bởi FA 1972. Về vấn đề này, rõ ràng rằng toàn bộ điều 10(2) được thiết kế đặc biệt để phù hợp với các quy định về đánh thuế hai lần đối với cổ tức theo hệ thống quy kết của Vương quốc Anh. Vương quyền đã lập luận rằng ICTA 1970, mục 86(4) quy định việc hoàn trả tín dụng thuế vượt quá thuế thu nhập phải chịu đối với người nộp thuế.</w:t>
      </w:r>
    </w:p>
    <w:p>
      <w:pPr>
        <w:spacing w:after="80"/>
      </w:pPr>
      <w:r>
        <w:rPr>
          <w:b w:val="0"/>
          <w:i w:val="0"/>
        </w:rPr>
        <w:t>Mặc dù hiệp ước đề cập đến việc khấu trừ từ khoản thanh toán đến hạn từ Vương quốc Anh, việc giải thích hiệp ước là giới hạn số tiền đó như quy định trong hiệp ước tạo ra một kết quả kinh tế tương tự. Do đó, lý lẽ có phần khó hiểu, nhưng hàm ý là nếu hiệu lực của hiệp ước là đạt được một kết quả kinh tế tương tự như theo luật trong nước, thì hiệp ước có lẽ có khả năng áp đặt một khoản thuế.</w:t>
      </w:r>
    </w:p>
    <w:p>
      <w:pPr>
        <w:spacing w:after="80"/>
      </w:pPr>
      <w:r>
        <w:rPr>
          <w:b w:val="0"/>
          <w:i w:val="0"/>
        </w:rPr>
        <w:t xml:space="preserve">Trong khi hầu hết các hiệp ước đã được thực hiện thông qua các tiền thân của TIOPA Phần 2, đôi khi một 'bản vá' lập pháp được áp dụng để giải quyết những thiếu sót. Một ví dụ về điều này là </w:t>
      </w:r>
      <w:r>
        <w:rPr>
          <w:b w:val="0"/>
          <w:i/>
        </w:rPr>
        <w:t>Finance (No. 2) Act</w:t>
      </w:r>
      <w:r>
        <w:rPr>
          <w:b w:val="0"/>
          <w:i w:val="0"/>
        </w:rPr>
        <w:t xml:space="preserve"> 1979, mục 16. Điều này mở rộng lợi ích của Hiệp ước Hoa Kỳ cho các giai đoạn trước khi ban hành Lệnh Hội đồng, mặc dù hiệp ước đã rút lại việc giảm thuế cho những giai đoạn đó. Điều này cực kỳ hiếm và thực tế trong vụ </w:t>
      </w:r>
      <w:r>
        <w:rPr>
          <w:b w:val="0"/>
          <w:i/>
        </w:rPr>
        <w:t>Union Texas</w:t>
      </w:r>
      <w:r>
        <w:rPr>
          <w:b w:val="0"/>
          <w:i w:val="0"/>
        </w:rPr>
        <w:t>,99 tòa án dường như chấp nhận lập luận của Vương quyền rằng điều khoản này không có hiệu lực đưa hiệp ước vào luật Vương quốc Anh một cách tổng quát.</w:t>
      </w:r>
    </w:p>
    <w:p>
      <w:pPr>
        <w:spacing w:after="80"/>
      </w:pPr>
      <w:r>
        <w:rPr>
          <w:b/>
          <w:i w:val="0"/>
        </w:rPr>
        <w:t>§2.11 Vương quốc Anh: CÁC HIỆP ƯỚC GIẢ ĐỊNH</w:t>
      </w:r>
    </w:p>
    <w:p>
      <w:pPr>
        <w:spacing w:after="80"/>
      </w:pPr>
      <w:r>
        <w:rPr>
          <w:b w:val="0"/>
          <w:i w:val="0"/>
        </w:rPr>
        <w:t>Khi một hiệp ước được đàm phán và ký kết, và các điều khoản của nó được một trong các bên thực hiện, nhưng việc phê chuẩn chính thức chưa diễn ra, vị trí pháp lý chính xác là không rõ ràng. Khả năng bất thường này đã phát sinh trong bối cảnh hiệp ước năm 1977 với Ghana.100 Tại Vương quốc Anh, Lệnh Hội đồng thích hợp đã được ban hành, và vào ngày 6 tháng 6 năm 1978, Cơ quan Thuế Nội địa thông báo rằng hiệp ước đã có hiệu lực.101 Vương quốc Anh đã áp dụng hiệp ước trong một số năm, nhưng vào năm 1991, người ta phát hiện ra rằng hiệp ước chưa bao giờ được phê chuẩn đúng cách tại Ghana.102 Điều 27 của hiệp ước năm 1977 quy định rằng hiệp ước sẽ có hiệu lực vào ngày 'điều cuối cùng trong tất cả những điều đó đã được thực hiện tại Vương quốc Anh và Ghana khi cần thiết để trao cho Công ước hiệu lực pháp luật tại Vương quốc Anh và Ghana tương ứng'. Các điều kiện tiên quyết chưa bao giờ được thực hiện và kết quả là hiệp ước chưa bao giờ có hiệu lực và chưa bao giờ có hiệu lực ở cả hai quốc gia ký kết. Điều 27 của hiệp ước năm 1977 quy định việc chấm dứt hiệp ước năm 1947 trước đó và vì việc có hiệu lực được công nhận là có thể có hiệu lực hồi tố, cho phép các điều khoản đó của hiệp ước trước đó tiếp tục có hiệu lực nếu</w:t>
      </w:r>
    </w:p>
    <w:p>
      <w:pPr>
        <w:spacing w:after="80"/>
      </w:pPr>
      <w:r>
        <w:rPr>
          <w:b w:val="0"/>
          <w:i w:val="0"/>
        </w:rPr>
        <w:t>99.</w:t>
      </w:r>
      <w:r>
        <w:rPr>
          <w:b w:val="0"/>
          <w:i/>
        </w:rPr>
        <w:t>Union Texas Petroleum Co. v Critchley</w:t>
      </w:r>
      <w:r>
        <w:rPr>
          <w:b w:val="0"/>
          <w:i w:val="0"/>
        </w:rPr>
        <w:t xml:space="preserve"> [1988] BTC 405; [1988] STC 691.100.SI 1978/785.101.Thông cáo báo chí của Cơ quan Thuế Nội địa, ngày 6 tháng 6 năm 1978.102.Thông cáo báo chí của Cơ quan Thuế Nội địa, ngày 31 tháng 1 năm 1991.</w:t>
      </w:r>
    </w:p>
    <w:p>
      <w:pPr>
        <w:spacing w:after="80"/>
      </w:pPr>
      <w:r>
        <w:rPr>
          <w:b w:val="0"/>
          <w:i w:val="0"/>
        </w:rPr>
        <w:t>42</w:t>
      </w:r>
    </w:p>
    <w:p>
      <w:pPr>
        <w:spacing w:after="80"/>
      </w:pPr>
      <w:r>
        <w:rPr>
          <w:b w:val="0"/>
          <w:i w:val="0"/>
        </w:rPr>
        <w:t>chúng có lợi hơn cho đến khi hiệp ước năm 1977 có hiệu lực. Tuy nhiên, trên thực tế, hiệp ước năm 1947 chưa bao giờ bị chấm dứt và vẫn còn hiệu lực ở cả hai quốc gia.</w:t>
      </w:r>
    </w:p>
    <w:p>
      <w:pPr>
        <w:spacing w:after="80"/>
      </w:pPr>
      <w:r>
        <w:rPr>
          <w:b w:val="0"/>
          <w:i w:val="0"/>
        </w:rPr>
        <w:t>Cơ quan Thuế Nội địa (Inland Revenue) đã ngừng áp dụng hiệp ước năm 1977 ngay khi phát hiện ra điều này và tái áp dụng hiệp ước năm 1947. Bằng cách nhượng bộ và để ghi nhận "những hoàn cảnh hoàn toàn đặc biệt", Cơ quan Thuế Nội địa đã đề nghị áp dụng các điều khoản thuận lợi nhất của cả hai hiệp ước trong suốt thời gian xảy ra sai sót, bao gồm cả việc cho phép các yêu cầu được nộp quá hạn trong một khoảng thời gian giới hạn.</w:t>
      </w:r>
    </w:p>
    <w:p>
      <w:pPr>
        <w:spacing w:after="80"/>
      </w:pPr>
      <w:r>
        <w:rPr>
          <w:b w:val="0"/>
          <w:i w:val="0"/>
        </w:rPr>
        <w:t>Cách tiếp cận hợp lý mà Cơ quan Thuế Nội địa áp dụng đã loại bỏ nhu cầu phân tích chi tiết về lập trường pháp lý chặt chẽ của người nộp thuế. Về mặt chặt chẽ, hiệp ước năm 1947 vẫn có hiệu lực và người nộp thuế có quyền dựa vào đó. Tuy nhiên, vì người nộp thuế đã được dẫn dắt để tin rằng hiệp ước năm 1977 đang có hiệu lực, nên người nộp thuế có một kỳ vọng chính đáng rằng họ được quyền dựa vào hiệp ước đó, mà không cần phải nhìn lại các bước đã được thực hiện ở cấp ngoại giao giữa các quốc gia ký kết.</w:t>
      </w:r>
    </w:p>
    <w:p>
      <w:pPr>
        <w:spacing w:after="80"/>
      </w:pPr>
      <w:r>
        <w:rPr>
          <w:b/>
          <w:i w:val="0"/>
        </w:rPr>
        <w:t>§2.12 Vương quốc Anh: KẾ THỪA QUỐC GIA</w:t>
      </w:r>
    </w:p>
    <w:p>
      <w:pPr>
        <w:spacing w:after="80"/>
      </w:pPr>
      <w:r>
        <w:rPr>
          <w:b w:val="0"/>
          <w:i w:val="0"/>
        </w:rPr>
        <w:t>Theo luật quốc tế, kế thừa quốc gia mô tả nhiều thay đổi khác nhau về chủ quyền đối với một lãnh thổ cụ thể. Những thay đổi chính trị ở Trung và Đông Âu trong thời gian gần đây đã ảnh hưởng đến mạng lưới hiệp ước thuế của Vương quốc Anh. Trong lịch sử gần đây, hầu hết các trường hợp đều liên quan đến việc giải thể các thực thể có chủ quyền. Do có nhiều thay đổi khác nhau có thể xảy ra, không có quy tắc chung nào của luật quốc tế quy định rằng khi một quốc gia kế thừa, lợi ích hoặc gánh nặng từ các hiệp ước của quốc gia tiền nhiệm sẽ được chuyển giao cho quốc gia kế thừa do việc kế thừa đó. Ngược lại, nếu một quốc gia bị tiêu vong, các quyền và nghĩa vụ của quốc gia đó theo các hiệp ước nói chung cũng bị tiêu vong theo.</w:t>
      </w:r>
    </w:p>
    <w:p>
      <w:pPr>
        <w:spacing w:after="80"/>
      </w:pPr>
      <w:r>
        <w:rPr>
          <w:b w:val="0"/>
          <w:i w:val="0"/>
        </w:rPr>
        <w:t>Sự giải thể của Liên bang Cộng hòa Xã hội Chủ nghĩa Xô viết có lẽ là sự kiện quan trọng nhất. Hiệp ước Thuế thu nhập giữa Liên Xô và Vương quốc Anh năm 1985 đã thực sự bị chấm dứt bởi sự giải thể này. Lập trường này lần đầu tiên được Cơ quan Thuế Nội địa làm rõ trong SP3/92, ban hành ngày 1 tháng 5 năm 1992. Văn bản này chỉ ra rằng hiệp ước được coi là vẫn có hiệu lực giữa Vương quốc Anh và Liên bang Nga. Các nước Cộng hòa thuộc Liên Xô cũ còn lại vào thời điểm đó đã được Vương quốc Anh công nhận là các quốc gia có chủ quyền độc lập. Ngoài ra, các nước Cộng hòa đó đã cam kết tiếp tục tôn trọng mọi nghĩa vụ quốc tế của Liên Xô cũ. Kết quả là, các điều khoản của Hiệp ước Liên Xô tiếp tục được áp dụng, ngoại trừ các nước Baltic gồm Estonia, Lithuania và Latvia. Vương quốc Anh đã nhanh chóng đàm phán các hiệp ước riêng với gần như tất cả các quốc gia kế thừa. Một bản cập nhật tiếp theo về lập trường này được trình bày trong SP 4/01 dựa trên những cuộc đàm phán đó. Văn bản này chỉ ra rằng trong một số trường hợp, các quốc gia như Armenia và Kyrgyzstan chưa bao giờ coi mình bị ràng buộc bởi Hiệp ước Liên Xô, nhưng Vương quốc Anh vẫn áp dụng hiệp ước này cho cư dân của các quốc gia đó cho đến tháng 4 năm 2002. Kết quả là vào thời điểm đó không có hiệp ước nào có hiệu lực với các quốc gia này.</w:t>
      </w:r>
    </w:p>
    <w:p>
      <w:pPr>
        <w:spacing w:after="80"/>
      </w:pPr>
      <w:r>
        <w:rPr>
          <w:b w:val="0"/>
          <w:i w:val="0"/>
        </w:rPr>
        <w:t>Các vấn đề tương tự cũng nảy sinh liên quan đến sự giải thể của Tiệp Khắc. Cả hai quốc gia kế thừa đều cam kết tôn trọng mọi nghĩa vụ quốc tế của</w:t>
      </w:r>
    </w:p>
    <w:p>
      <w:pPr>
        <w:spacing w:after="80"/>
      </w:pPr>
      <w:r>
        <w:rPr>
          <w:b w:val="0"/>
          <w:i w:val="0"/>
        </w:rPr>
        <w:t>43</w:t>
      </w:r>
    </w:p>
    <w:p>
      <w:pPr>
        <w:spacing w:after="80"/>
      </w:pPr>
      <w:r>
        <w:rPr>
          <w:b w:val="0"/>
          <w:i w:val="0"/>
        </w:rPr>
        <w:t>Cộng hòa Liên bang trước đây; Hiệp ước Tiệp Khắc được coi là vẫn còn hiệu lực giữa Vương quốc Anh và lần lượt Cộng hòa Séc và Cộng hòa Slovakia.103</w:t>
      </w:r>
    </w:p>
    <w:p>
      <w:pPr>
        <w:spacing w:after="80"/>
      </w:pPr>
      <w:r>
        <w:rPr>
          <w:b w:val="0"/>
          <w:i w:val="0"/>
        </w:rPr>
        <w:t>Tương tự, một cách tiếp cận như vậy cũng được áp dụng đối với sự giải thể của Nam Tư.104 Do đó, Công ước Nam Tư được coi là vẫn còn hiệu lực giữa Vương quốc Anh và lần lượt Croatia và Slovenia. Tình trạng của các hiệp ước này được cập nhật trong SP 3/04 và một lần nữa trong SP 3/07. Cơ sở pháp lý của các tuyên bố ban đầu dường như là sự kết hợp giữa việc Vương quốc Anh công nhận quốc gia kế thừa và trên thực tế là việc quốc gia kế thừa đổi mới hiệp ước khi quốc gia đó đồng ý đảm nhận các nghĩa vụ. Các tuyên bố sau này liên quan đến Hiệp ước Liên Xô cho thấy một cách tiếp cận thực tiễn và có lẽ mang tính nhượng bộ trong bối cảnh lập trường pháp lý mơ hồ.</w:t>
      </w:r>
    </w:p>
    <w:p>
      <w:pPr>
        <w:spacing w:after="80"/>
      </w:pPr>
      <w:r>
        <w:rPr>
          <w:b w:val="0"/>
          <w:i w:val="0"/>
        </w:rPr>
        <w:t>Những thay đổi chủ quyền khác cho đến nay vẫn chưa gây ra vấn đề gì trong bối cảnh hiệp ước thuế. Ví dụ, hiệp ước với Namibia là sự mở rộng của hiệp ước với Nam Phi, được mở rộng bằng Trao đổi Công hàm ngày 8 tháng 8 năm 1962 và được sửa đổi bằng trao đổi công hàm năm 1967. Bất chấp phán quyết của Tòa án Công lý Quốc tế (ICJ) rằng việc Nam Phi chiếm đóng Namibia (trước đây là Tây Nam Phi) là bất hợp pháp,105</w:t>
      </w:r>
    </w:p>
    <w:p>
      <w:pPr>
        <w:spacing w:after="80"/>
      </w:pPr>
      <w:r>
        <w:rPr>
          <w:b w:val="0"/>
          <w:i w:val="0"/>
        </w:rPr>
        <w:t>thỏa thuận này vẫn tiếp tục sau khi Namibia độc lập vào năm 1985.</w:t>
      </w:r>
    </w:p>
    <w:p>
      <w:pPr>
        <w:spacing w:after="80"/>
      </w:pPr>
      <w:r>
        <w:rPr>
          <w:b w:val="0"/>
          <w:i w:val="0"/>
        </w:rPr>
        <w:t>Việc thống nhất Cộng hòa Liên bang Đức và Cộng hòa Dân chủ Đức vào ngày 3 tháng 10 năm 1990 đã dẫn đến việc tự động mở rộng hiệp ước với Cộng hòa Liên bang sang lãnh thổ của Cộng hòa Dân chủ Đức trước đây. Quan điểm của Vương quốc Anh là các hiệp ước của Cộng hòa Liên bang được áp dụng cho lãnh thổ trước đây của Cộng hòa Dân chủ Đức. Bộ Tài chính Đức tuyên bố rằng họ sẽ áp dụng các hiệp ước đó từ ngày 1 tháng 1 năm 1991.106</w:t>
      </w:r>
    </w:p>
    <w:p>
      <w:pPr>
        <w:spacing w:after="80"/>
      </w:pPr>
      <w:r>
        <w:rPr>
          <w:b/>
          <w:i w:val="0"/>
        </w:rPr>
        <w:t>§2.13 Vương quốc Anh: MỐI QUAN HỆ GIỮA CÁC HIỆP ƯỚC VÀ CÁC QUY ĐỊNH LUẬT ĐỊNH CỤ THỂ</w:t>
      </w:r>
    </w:p>
    <w:p>
      <w:pPr>
        <w:spacing w:after="80"/>
      </w:pPr>
      <w:r>
        <w:rPr>
          <w:b w:val="0"/>
          <w:i w:val="0"/>
        </w:rPr>
        <w:t xml:space="preserve">Theo luật quốc tế, mọi hiệp ước đang có hiệu lực đều ràng buộc các bên tham gia và phải được các bên thực hiện một cách thiện chí.107 Đây đơn thuần là sự hệ thống hóa nguyên tắc lâu đời </w:t>
      </w:r>
      <w:r>
        <w:rPr>
          <w:b w:val="0"/>
          <w:i/>
        </w:rPr>
        <w:t>pacta sunt servanda</w:t>
      </w:r>
      <w:r>
        <w:rPr>
          <w:b w:val="0"/>
          <w:i w:val="0"/>
        </w:rPr>
        <w:t>. Trong bối cảnh các hiệp ước thuế, việc thực hiện nguyên tắc này đòi hỏi phải có những thay đổi trong luật trong nước để đưa các điều khoản của hiệp ước vào hiệu lực. Mức độ mà luật cho phép thực thi làm được điều này được xem xét tại §2.10. Nói chung, phần mở đầu của TIOPA 2010, s. 6, yêu cầu các hiệp ước phải có hiệu lực "bất chấp bất kỳ quy định nào trong bất kỳ văn bản luật nào", đã thiết lập tính ưu việt của các hiệp ước so với luật trong nước.108 Hiệu lực của cách diễn đạt như vậy là đảm bảo rằng trong mọi trường hợp, các hiệp ước đều</w:t>
      </w:r>
    </w:p>
    <w:p>
      <w:pPr>
        <w:spacing w:after="80"/>
      </w:pPr>
      <w:r>
        <w:rPr>
          <w:b w:val="0"/>
          <w:i w:val="0"/>
        </w:rPr>
        <w:t xml:space="preserve">103. SP 5/93. 104. SP 6/93. 105. </w:t>
      </w:r>
      <w:r>
        <w:rPr>
          <w:b w:val="0"/>
          <w:i/>
        </w:rPr>
        <w:t>Hậu quả pháp lý đối với các quốc gia về sự hiện diện tiếp tục của Nam Phi tại Namibia (Tây Nam Phi) bất chấp Nghị quyết 276 của Hội đồng Bảo an (1970)</w:t>
      </w:r>
      <w:r>
        <w:rPr>
          <w:b w:val="0"/>
          <w:i w:val="0"/>
        </w:rPr>
        <w:t>, Ý kiến Tư vấn, ICJ Reports 1971, tr. 16. 106. Định nghĩa tại art. 2(1)(b) của Hiệp ước Thuế Đức - Vương quốc Anh (1964) yêu cầu rằng "Cộng hòa Liên bang" khi được dùng theo nghĩa địa lý, có nghĩa là lãnh thổ nơi Luật Cơ bản của Cộng hòa Liên bang Đức có hiệu lực. Do đó, việc mở rộng Hiến pháp Đức sang miền Đông nước Đức đã tự động mở rộng phạm vi áp dụng của hiệp ước. 107. Công ước Vienna về Luật Hiệp ước, art. 26. 108. Tiền thân của nó, ICTA 1988, s. 788(3) yêu cầu các hiệp ước phải có hiệu lực "bất chấp bất kỳ quy định nào trong bất kỳ văn bản luật nào".</w:t>
      </w:r>
    </w:p>
    <w:p>
      <w:pPr>
        <w:spacing w:after="80"/>
      </w:pPr>
      <w:r>
        <w:rPr>
          <w:b w:val="0"/>
          <w:i w:val="0"/>
        </w:rPr>
        <w:t>44</w:t>
      </w:r>
    </w:p>
    <w:p>
      <w:pPr>
        <w:spacing w:after="80"/>
      </w:pPr>
      <w:r>
        <w:rPr>
          <w:b w:val="0"/>
          <w:i w:val="0"/>
        </w:rPr>
        <w:t>cao hơn luật trong nước. Mặc dù điều này tương đối đơn giản, liên quan đến luật pháp có hiệu lực khi hiệp ước có hiệu lực, vấn đề lại rắc rối trong bối cảnh luật pháp ban hành sau đó vì nguyên tắc hiến pháp rằng không một nghị viện nào có thể ràng buộc hay hạn chế năng lực lập pháp của bất kỳ nghị viện tương lai nào.</w:t>
      </w:r>
    </w:p>
    <w:p>
      <w:pPr>
        <w:spacing w:after="80"/>
      </w:pPr>
      <w:r>
        <w:rPr>
          <w:b/>
          <w:i w:val="0"/>
        </w:rPr>
        <w:t>§2.14 Vương quốc Anh: HIỆP ƯỚC GHI ĐÈ</w:t>
      </w:r>
    </w:p>
    <w:p>
      <w:pPr>
        <w:spacing w:after="80"/>
      </w:pPr>
      <w:r>
        <w:rPr>
          <w:b w:val="0"/>
          <w:i w:val="0"/>
        </w:rPr>
        <w:t xml:space="preserve">Học thuyết về chủ quyền nghị viện rõ ràng có nghĩa là nếu muốn, xét theo luật trong nước, Nghị viện có thể lập pháp để ghi đè một hiệp ước trong luật trong nước. Làm như vậy sẽ là một sự vi phạm rõ ràng luật quốc tế. Tuy nhiên, các biện pháp khắc phục cho sự vi phạm như vậy không nằm trong tay các cá nhân nộp thuế mà nằm trong tay quốc gia ký kết khác. Câu hỏi về mối quan hệ cơ bản giữa luật trong nước và các hiệp ước đã đến trước tòa án nhiều lần. Trong </w:t>
      </w:r>
      <w:r>
        <w:rPr>
          <w:b w:val="0"/>
          <w:i/>
        </w:rPr>
        <w:t>Ostime (HM Inspector of Taxes) v Australian Mutual Provident</w:t>
      </w:r>
      <w:r>
        <w:rPr>
          <w:b w:val="0"/>
          <w:i w:val="0"/>
        </w:rPr>
        <w:t>,109 điểm đơn giản được đưa ra là hiệu lực của luật pháp là, nếu và trong chừng mực có bất kỳ sự không nhất quán nào giữa luật trong nước và hiệp ước, thì hiệp ước sau khi đã được ban hành hiệu lực theo luật định phải được ưu tiên hơn luật trong nước. Vụ án tương đối đơn giản về điểm này theo nghĩa luật pháp được đề cập có trước hiệp ước.</w:t>
      </w:r>
    </w:p>
    <w:p>
      <w:pPr>
        <w:spacing w:after="80"/>
      </w:pPr>
      <w:r>
        <w:rPr>
          <w:b w:val="0"/>
          <w:i w:val="0"/>
        </w:rPr>
        <w:t xml:space="preserve">Trong </w:t>
      </w:r>
      <w:r>
        <w:rPr>
          <w:b w:val="0"/>
          <w:i/>
        </w:rPr>
        <w:t>IRC v Collco Dealings Ltd</w:t>
      </w:r>
      <w:r>
        <w:rPr>
          <w:b w:val="0"/>
          <w:i w:val="0"/>
        </w:rPr>
        <w:t>,110 câu hỏi là liệu luật ban hành năm 1955 có ghi đè các quy định của hiệp ước với Ireland có từ năm 1926 hay không. Luật năm 1955 được ban hành để chống lại sự lạm dụng được nhận thấy liên quan đến việc tước cổ tức. Hiệp ước giữa Vương quốc Anh và Ireland không được ban hành theo cơ chế hiện có trong TIOPA 2010, Phần 2, mà bằng luật cụ thể. Nó không chứa từ ngữ làm cho hiệp ước được ưu tiên 'bất chấp bất kỳ quy định nào'. Người ta lập luận rằng việc áp dụng luật sau này sẽ tạo ra sự vi phạm hiệp ước và sẽ không nhất quán với sự hòa hợp giữa các quốc gia và các quy tắc đã được thiết lập của luật quốc tế. Do đó, luật trong nước có khả năng ghi đè phải được giải thích để tránh kết quả này. Tử tước Simonds từ chối chấp nhận lập luận này và nói tại 526:</w:t>
      </w:r>
    </w:p>
    <w:p>
      <w:pPr>
        <w:spacing w:after="80"/>
      </w:pPr>
      <w:r>
        <w:rPr>
          <w:b w:val="0"/>
          <w:i w:val="0"/>
        </w:rPr>
        <w:t>[N]hưng trước tiên người ta nói rằng nó [người nộp thuế] không được hưởng quyền theo một quy định mà theo một thỏa thuận mà công ty kháng cáo, để tăng thêm trọng lượng cho lập luận, thích gọi là một hiệp ước. Nhưng lập luận này không thể được chấp nhận. Công ty không có quyền theo bất kỳ thỏa thuận nào. Quyền của nó phát sinh từ đạo luật của Nghị viện xác nhận thỏa thuận và trao cho nó hiệu lực pháp luật.</w:t>
      </w:r>
    </w:p>
    <w:p>
      <w:pPr>
        <w:spacing w:after="80"/>
      </w:pPr>
      <w:r>
        <w:rPr>
          <w:b w:val="0"/>
          <w:i w:val="0"/>
        </w:rPr>
        <w:t xml:space="preserve">Ông không thấy các từ ngữ cần được giải thích và áp dụng quan điểm trong </w:t>
      </w:r>
      <w:r>
        <w:rPr>
          <w:b w:val="0"/>
          <w:i/>
        </w:rPr>
        <w:t>Maxwell về Giải thích Quy chế</w:t>
      </w:r>
      <w:r>
        <w:rPr>
          <w:b w:val="0"/>
          <w:i w:val="0"/>
        </w:rPr>
        <w:t>111 kết luận: 'Nhưng nếu Quy chế là</w:t>
      </w:r>
    </w:p>
    <w:p>
      <w:pPr>
        <w:spacing w:after="80"/>
      </w:pPr>
      <w:r>
        <w:rPr>
          <w:b w:val="0"/>
          <w:i w:val="0"/>
        </w:rPr>
        <w:t xml:space="preserve">109. </w:t>
      </w:r>
      <w:r>
        <w:rPr>
          <w:b w:val="0"/>
          <w:i/>
        </w:rPr>
        <w:t>Ostime (HM Inspector of Taxes) v Australian Mutual Provident</w:t>
      </w:r>
      <w:r>
        <w:rPr>
          <w:b w:val="0"/>
          <w:i w:val="0"/>
        </w:rPr>
        <w:t xml:space="preserve"> (1956-1960) 38 TC 492, HL; [1960] AC 459. 110. </w:t>
      </w:r>
      <w:r>
        <w:rPr>
          <w:b w:val="0"/>
          <w:i/>
        </w:rPr>
        <w:t>Inland Revenue Commissioners v Collco Dealings Ltd</w:t>
      </w:r>
      <w:r>
        <w:rPr>
          <w:b w:val="0"/>
          <w:i w:val="0"/>
        </w:rPr>
        <w:t xml:space="preserve"> (1961) 39 TC 509. 111. Galpin, B. Maxwell, P.B. và Wilson, R. </w:t>
      </w:r>
      <w:r>
        <w:rPr>
          <w:b w:val="0"/>
          <w:i/>
        </w:rPr>
        <w:t>Maxwell về Giải thích Quy chế</w:t>
      </w:r>
      <w:r>
        <w:rPr>
          <w:b w:val="0"/>
          <w:i w:val="0"/>
        </w:rPr>
        <w:t>, tái bản lần thứ 10, tr. 143 và 149.</w:t>
      </w:r>
    </w:p>
    <w:p>
      <w:pPr>
        <w:spacing w:after="80"/>
      </w:pPr>
      <w:r>
        <w:rPr>
          <w:b w:val="0"/>
          <w:i w:val="0"/>
        </w:rPr>
        <w:t>45</w:t>
      </w:r>
    </w:p>
    <w:p>
      <w:pPr>
        <w:spacing w:after="80"/>
      </w:pPr>
      <w:r>
        <w:rPr>
          <w:b w:val="0"/>
          <w:i w:val="0"/>
        </w:rPr>
        <w:t>rõ ràng, các quy định của nó phải được tuân theo, ngay cả khi chúng trái với luật quốc tế.'112 Phán quyết của ông về điều này rõ ràng bị ảnh hưởng bởi thực tế rằng luật pháp được đề cập là để chống lại sự lạm dụng được nhận thấy. Ông tiếp tục:</w:t>
      </w:r>
    </w:p>
    <w:p>
      <w:pPr>
        <w:spacing w:after="80"/>
      </w:pPr>
      <w:r>
        <w:rPr>
          <w:b w:val="0"/>
          <w:i w:val="0"/>
        </w:rPr>
        <w:t>Tôi không chắc công ty kháng cáo chủ yếu dựa vào cụm từ hoa mỹ nào trong số này. Nhưng tôi sẽ trả lời rằng cả sự hòa hợp giữa các quốc gia lẫn quy tắc luật quốc tế đều không thể được viện dẫn để ngăn cản một quốc gia có chủ quyền thực hiện các bước mà nó cho là phù hợp để bảo vệ luật doanh thu của chính mình khỏi sự lạm dụng nghiêm trọng hoặc để cứu công dân của chính mình khỏi sự phân biệt đối xử bất công có lợi cho người nước ngoài. Yêu cầu rằng những từ ngữ rõ ràng của quy chế phải bị bỏ qua để làm chính điều đó là một sự ngông cuồng mà Viện này, tôi hy vọng, sẽ không đưa ra ở đây.</w:t>
      </w:r>
    </w:p>
    <w:p>
      <w:pPr>
        <w:spacing w:after="80"/>
      </w:pPr>
      <w:r>
        <w:rPr>
          <w:b w:val="0"/>
          <w:i w:val="0"/>
        </w:rPr>
        <w:t>Lãnh chúa Morton của Henryton tán thành quan điểm này bằng ngôn ngữ có phần ít gay gắt hơn, nhưng ông vẫn bị ảnh hưởng bởi tính chất chống lạm dụng của các quy định. Ông tán thành quan điểm của Vaisey J tại Tòa án Cấp cao113 rằng:</w:t>
      </w:r>
    </w:p>
    <w:p>
      <w:pPr>
        <w:spacing w:after="80"/>
      </w:pPr>
      <w:r>
        <w:rPr>
          <w:b w:val="0"/>
          <w:i w:val="0"/>
        </w:rPr>
        <w:t>Mục đích rõ ràng của mục 4(2) là ngăn chặn cái được gọi một cách thông tục là 'tước cổ tức', và nếu quyết định của các Ủy viên Đặc biệt được giữ nguyên, cư dân Ireland có thể làm điều mà những người nộp thuế đồng hương của họ ở quốc gia này bị cấm làm. Nếu đó là luật, thì đành vậy; nhưng hậu quả đó không phải là điều tự nó thuyết phục tôi dựa trên các nguyên tắc chung về công lý hay sự công bằng.</w:t>
      </w:r>
    </w:p>
    <w:p>
      <w:pPr>
        <w:spacing w:after="80"/>
      </w:pPr>
      <w:r>
        <w:rPr>
          <w:b w:val="0"/>
          <w:i w:val="0"/>
        </w:rPr>
        <w:t>Lãnh chúa Reed đồng ý với kết luận nhưng dựa trên những lý do có phần khác biệt. Ông lưu ý rằng trừ khi một giới hạn được ngụ ý, luật sau này ban hành điều gì đó không nhất quán với các quy định của một hiệp ước. Ông nói:</w:t>
      </w:r>
    </w:p>
    <w:p>
      <w:pPr>
        <w:spacing w:after="80"/>
      </w:pPr>
      <w:r>
        <w:rPr>
          <w:b w:val="0"/>
          <w:i w:val="0"/>
        </w:rPr>
        <w:t>Không hề có giả định mạnh mẽ đến vậy chống lại việc Nghị viện đã làm điều đó. Mặc dù sự vi phạm một hiệp ước có thể gây tổn thất cho các cá nhân, người duy nhất thực sự có quyền phàn nàn về sự vi phạm như vậy là bên kia của hiệp ước. Không nghi ngờ gì nếu bên kia bị tổn hại, sự vi phạm là một sự vi phạm sự hòa hợp giữa các quốc gia và có một giả định rằng Nghị viện không có ý định hành động trái với sự hòa hợp giữa các quốc gia, nhưng tôi không nghĩ rằng nhất thiết phải có một giả định rằng mọi sự vi phạm một hiệp ước đều là sự vi phạm sự hòa hợp giữa các quốc gia. Sau khi một hiệp ước được ký kết, hoàn cảnh có thể thay đổi và có thể hợp lý khi thực hiện hành động đơn phương với kỳ vọng rằng bên kia của hiệp ước sẽ không phản đối. Thật vậy, bên kia có thể đã được tham vấn và không đưa ra phản đối nào.</w:t>
      </w:r>
    </w:p>
    <w:p>
      <w:pPr>
        <w:spacing w:after="80"/>
      </w:pPr>
      <w:r>
        <w:rPr>
          <w:b w:val="0"/>
          <w:i w:val="0"/>
        </w:rPr>
        <w:t>…</w:t>
      </w:r>
    </w:p>
    <w:p>
      <w:pPr>
        <w:spacing w:after="80"/>
      </w:pPr>
      <w:r>
        <w:rPr>
          <w:b w:val="0"/>
          <w:i w:val="0"/>
        </w:rPr>
        <w:t>Chúng ta không biết điều gì đã xảy ra trong trường hợp này. Nhưng chúng ta biết rằng vào một dịp trước đó, hành động đơn phương đã được thực hiện bởi mục 52 của Đạo luật Tài chính (Số 2) 1945 và điều này được theo sau bởi một sự thay đổi của hiệp ước vào năm 1947, điều đã thay đổi phạm vi miễn thuế ban đầu để tương ứng với các quy định của Đạo luật 1945.</w:t>
      </w:r>
    </w:p>
    <w:p>
      <w:pPr>
        <w:spacing w:after="80"/>
      </w:pPr>
      <w:r>
        <w:rPr>
          <w:b w:val="0"/>
          <w:i w:val="0"/>
        </w:rPr>
        <w:t>Lord Radcliffe công nhận rằng các từ ngữ trong luật, dù bề ngoài có vẻ không giới hạn phạm vi, vẫn có thể bị thu hẹp lĩnh vực áp dụng nếu có căn cứ hợp lý để đưa vào một sự hạn chế như vậy, và việc xem xét rằng nếu không được giải thích theo một nghĩa hạn chế nào đó, chúng sẽ dẫn đến việc vi phạm luật quốc tế, được công nhận rộng rãi như một căn cứ như thế.</w:t>
      </w:r>
    </w:p>
    <w:p>
      <w:pPr>
        <w:spacing w:after="80"/>
      </w:pPr>
      <w:r>
        <w:rPr>
          <w:b w:val="0"/>
          <w:i w:val="0"/>
        </w:rPr>
        <w:t>112. Tại Tòa án Cấp cao (High Court), nhận xét này cũng được đưa ra với sự tham chiếu cụ thể đến 'bất kỳ hiệp ước hoặc thỏa thuận quốc tế nào', tại 517. 113. Xem tại 517.</w:t>
      </w:r>
    </w:p>
    <w:p>
      <w:pPr>
        <w:spacing w:after="80"/>
      </w:pPr>
      <w:r>
        <w:rPr>
          <w:b w:val="0"/>
          <w:i w:val="0"/>
        </w:rPr>
        <w:t>46</w:t>
      </w:r>
    </w:p>
    <w:p>
      <w:pPr>
        <w:spacing w:after="80"/>
      </w:pPr>
      <w:r>
        <w:rPr>
          <w:b w:val="0"/>
          <w:i w:val="0"/>
        </w:rPr>
        <w:t>Tuy nhiên, ông cho rằng ý định được suy đoán là không muốn rời xa việc tuân thủ phép lịch sự giữa các quốc gia (comity of nations) là một tiêu chí mơ hồ hơn nhiều để xác định phạm vi của một đạo luật. Khi sự rời xa đó chỉ đơn thuần là một quy định không nhất quán với một thỏa thuận liên chính phủ về thuế, mà theo chính các điều khoản của nó thì phải phụ thuộc vào sự phê chuẩn của cơ quan lập pháp tương ứng của các quốc gia liên quan và chỉ tồn tại chừng nào các điều khoản của nó còn được các cơ quan lập pháp đó duy trì hiệu lực như luật, thì ông lập luận rằng hoàn toàn không thể thu được sự hỗ trợ hữu ích nào từ nguyên tắc giải thích này. Các thỏa thuận giữa Vương quốc Anh và Ireland là bất thường; thực tiễn hiệp ước thuế hiện đại dựa vào TIOPA 2010, Phần 2, Chương 1 để thực thi các nghĩa vụ hiệp ước thay vì dựa vào luật cụ thể.</w:t>
      </w:r>
    </w:p>
    <w:p>
      <w:pPr>
        <w:spacing w:after="80"/>
      </w:pPr>
      <w:r>
        <w:rPr>
          <w:b w:val="0"/>
          <w:i w:val="0"/>
        </w:rPr>
        <w:t xml:space="preserve">Hội đồng Cơ mật (Privy Council), trong một kháng cáo từ Ceylon, đã ủng hộ luật pháp Ceylon vốn không nhất quán với Hiệp ước Ceylon trong </w:t>
      </w:r>
      <w:r>
        <w:rPr>
          <w:b w:val="0"/>
          <w:i/>
        </w:rPr>
        <w:t xml:space="preserve"> Woodend (KV Ceylon) Rubber Antiques Co. Limited v CIR </w:t>
      </w:r>
      <w:r>
        <w:rPr>
          <w:b w:val="0"/>
          <w:i w:val="0"/>
        </w:rPr>
        <w:t>.114 Mặc dù những vụ án này hữu ích trong việc xem xét các nguyên tắc chung, chúng không giúp ích gì trong việc giải thích s. 6, bởi vì chúng không chứa các từ ngữ 'bất kể điều gì trong bất kỳ văn bản luật nào'. Do đó, như một nguyên tắc chung, Nghị viện được suy đoán là có ý định thực hiện chứ không phải phá vỡ một hiệp ước. Tuy nhiên, khi, dựa trên một cách giải thích có đầy đủ thông tin, không có nghi ngờ thực sự nào về ý nghĩa thực sự của một văn bản luật, thì phải cho nó hiệu lực ngay cả khi nó không phù hợp với một hiệp ước hoặc trái với luật quốc tế. Tuy nhiên, hiệu lực của các từ ngữ trong s. 6 là cho đến khi Nghị viện thực thi quyền lực của mình để ghi đè một hiệp ước hoặc các hiệp ước, thì Nghị viện sẽ không được suy đoán là làm như vậy và các điều khoản của hiệp ước sẽ chiếm ưu thế. Để ghi đè thành công một hiệp ước, phải sử dụng ngôn ngữ rõ ràng và minh thị mang ý nghĩa đó.</w:t>
      </w:r>
    </w:p>
    <w:p>
      <w:pPr>
        <w:spacing w:after="80"/>
      </w:pPr>
      <w:r>
        <w:rPr>
          <w:b w:val="0"/>
          <w:i w:val="0"/>
        </w:rPr>
        <w:t>Một ví dụ trắng trợn và có tính toán nhất về việc ghi đè hiệp ước ở Vương quốc Anh trong bối cảnh hiện đại được tìm thấy trong ICTA 1988, s. 812. Điều này nhằm mục đích tước bỏ quyền được hoàn lại các khoản tín dụng thuế cho các công ty hiện diện hoặc có các công ty liên kết trong một quốc gia đơn nhất (unitary state). Ngôn ngữ của điều khoản này là rõ ràng, không mập mờ. Nó quy định rằng 'bất kể điều gì trái ngược trong các thỏa thuận', những công ty như vậy không được quyền hoàn lại các khoản tín dụng thuế được quy định trong một hiệp ước. Điều khoản này được ban hành nhằm trả đũa việc áp dụng các hệ thống thuế đơn nhất được một số bang ở Hoa Kỳ, đáng chú ý nhất là California, thông qua. Luật này không có hiệu lực cho đến khi một lệnh có hiệu lực đó được ban hành, mà lệnh này cần được phê chuẩn bằng một nghị quyết của Hạ viện (House of Commons). Mặc dù Chính phủ đã chỉ ra vào năm 1993 rằng họ sẽ hoãn hành động trả đũa đối với Bang California sau khi bang đó thông qua luật sửa đổi luật thuế đơn nhất của mình, nhưng chưa có động thái nào được thực hiện để đưa các điều khoản này vào hiệu lực. Tuy nhiên, chúng vẫn còn trên văn bản luật. Những điều khoản như vậy là sự ghi đè hiệp ước rõ ràng như được định nghĩa bởi Ủy ban Các vấn đề Tài khóa của OECD (OECD Committee on Fiscal Affairs) là 'việc ban hành luật trong nước mà cơ quan lập pháp dự định có hiệu lực mâu thuẫn rõ ràng với các nghĩa vụ hiệp ước quốc tế'.115</w:t>
      </w:r>
    </w:p>
    <w:p>
      <w:pPr>
        <w:spacing w:after="80"/>
      </w:pPr>
      <w:r>
        <w:rPr>
          <w:b w:val="0"/>
          <w:i w:val="0"/>
        </w:rPr>
        <w:t>Tương tự, luật đã được ban hành liên quan đến việc đối xử với các thành viên cư trú tại Vương quốc Anh của các quan hệ đối tác (partnerships) được kiểm soát ở nước ngoài vào năm 1987, hiện được quy định trong ITTOIA, s 858.</w:t>
      </w:r>
    </w:p>
    <w:p>
      <w:pPr>
        <w:spacing w:after="80"/>
      </w:pPr>
      <w:r>
        <w:rPr>
          <w:b w:val="0"/>
          <w:i w:val="0"/>
        </w:rPr>
        <w:t xml:space="preserve">114. </w:t>
      </w:r>
      <w:r>
        <w:rPr>
          <w:b w:val="0"/>
          <w:i/>
        </w:rPr>
        <w:t xml:space="preserve"> Woodend (KV Ceylon) Rubber Antiques Co. Limited v Commissioner for Inland Revenue </w:t>
      </w:r>
      <w:r>
        <w:rPr>
          <w:b w:val="0"/>
          <w:i w:val="0"/>
        </w:rPr>
        <w:t xml:space="preserve"> [1971] AC 321, PC. 115. OECD Committee on Fiscal Affairs, Tax Treaty Override (1989).</w:t>
      </w:r>
    </w:p>
    <w:p>
      <w:pPr>
        <w:spacing w:after="80"/>
      </w:pPr>
      <w:r>
        <w:rPr>
          <w:b w:val="0"/>
          <w:i w:val="0"/>
        </w:rPr>
        <w:t>47</w:t>
      </w:r>
    </w:p>
    <w:p>
      <w:pPr>
        <w:spacing w:after="80"/>
      </w:pPr>
      <w:r>
        <w:rPr>
          <w:b w:val="0"/>
          <w:i w:val="0"/>
        </w:rPr>
        <w:t xml:space="preserve">Điều này phát sinh từ </w:t>
      </w:r>
      <w:r>
        <w:rPr>
          <w:b w:val="0"/>
          <w:i/>
        </w:rPr>
        <w:t xml:space="preserve"> Padmore v IRC </w:t>
      </w:r>
      <w:r>
        <w:rPr>
          <w:b w:val="0"/>
          <w:i w:val="0"/>
        </w:rPr>
        <w:t xml:space="preserve">.116 Luật ở đây rõ ràng nhằm mục đích ghi đè hiệp ước. Đạo luật tìm cách loại bỏ hiệu lực của các hiệp ước liên quan đến thu nhập và lợi tức vốn (capital gains) của các thành viên cư trú tại Vương quốc Anh. Nó yêu cầu rằng '[các hiệp ước]… sẽ không ảnh hưởng đến bất kỳ nghĩa vụ thuế nào liên quan đến phần thu nhập hoặc lợi tức vốn của quan hệ đối tác thuộc về các thành viên cư trú'.117 Các sửa đổi sau đó đối với những điều khoản này trong FA 2008 đã bị thách thức trong </w:t>
      </w:r>
      <w:r>
        <w:rPr>
          <w:b w:val="0"/>
          <w:i/>
        </w:rPr>
        <w:t xml:space="preserve"> R (on the application of Huitson) v HMRC </w:t>
      </w:r>
      <w:r>
        <w:rPr>
          <w:b w:val="0"/>
          <w:i w:val="0"/>
        </w:rPr>
        <w:t>118 với lý do chúng có hiệu lực hồi tố nhưng người nộp thuế không đưa ra lập luận rằng các sửa đổi này không ghi đè hiệp ước.</w:t>
      </w:r>
    </w:p>
    <w:p>
      <w:pPr>
        <w:spacing w:after="80"/>
      </w:pPr>
      <w:r>
        <w:rPr>
          <w:b w:val="0"/>
          <w:i w:val="0"/>
        </w:rPr>
        <w:t>Một quy tắc chống lạm dụng chung (GAAR) được FA 2013, Phần 5 và Sch. 41 đưa ra nhằm mục đích ghi đè các hiệp ước và TIOPA 2010, s. 6(1). FA 2013. s. 209(1) quy định rằng tất cả các quy tắc ưu tiên, như được định nghĩa trong s. 209(2), phải có hiệu lực tùy thuộc vào GAAR. 'Quy tắc ưu tiên' có nghĩa là một quy tắc (dù được diễn đạt như thế nào) có hiệu lực rằng các điều khoản cụ thể có hiệu lực loại trừ, hoặc có ưu tiên hơn, bất kỳ điều gì khác.119 Quy tắc trong điều khoản 6(1) của TIOPA 2010 (phải cho hiệu lực đối với các thỏa thuận đánh thuế hai lần bất kể điều gì trong bất kỳ văn bản luật nào) được xác định là một quy tắc ưu tiên như vậy để bị GAAR ghi đè.120 Những điều khoản này được xem xét thêm trong Chương 17, §17.03.</w:t>
      </w:r>
    </w:p>
    <w:p>
      <w:pPr>
        <w:spacing w:after="80"/>
      </w:pPr>
      <w:r>
        <w:rPr>
          <w:b/>
          <w:i w:val="0"/>
        </w:rPr>
        <w:t xml:space="preserve">[A] Ghi đè bằng 'Giải thích' </w:t>
      </w:r>
    </w:p>
    <w:p>
      <w:pPr>
        <w:spacing w:after="80"/>
      </w:pPr>
      <w:r>
        <w:rPr>
          <w:b w:val="0"/>
          <w:i w:val="0"/>
        </w:rPr>
        <w:t>Một ví dụ khả dĩ khác về việc ghi đè hiệp ước có thể được tìm thấy trong TIOPA 2010, s. 131. Điều khoản này quy định các quy tắc giải thích các điều khoản về lãi suất khi có một mối quan hệ đặc biệt. Mặc dù có thể được lập luận là mang tính tuyên bố về các quy tắc giải thích trong một số khía cạnh, hiệu lực của s. 131 là buộc một số hiệp ước cũ hơn, trong đó hiệu lực của điều khoản về mối quan hệ đặc biệt đối với lãi suất chỉ là điều chỉnh mức lãi suất mà không đề cập đến số tiền nợ, phải thông qua cách giải thích áp đặt rằng điều khoản về mối quan hệ đặc biệt phải tính đến số tiền nợ trong tất cả các hiệp ước như vậy. Thư ký Tài chính của Bộ Tài chính (Financial Secretary to the Treasury) đã giải thích rằng 'chúng tôi hiện đang sử dụng Dự luật này để thay đổi luật thành những gì chúng tôi nghĩ nó vốn là và để phản ánh hiệp ước đánh thuế hai lần'.121 Điều này rõ ràng không phải là trường hợp như vậy.</w:t>
      </w:r>
    </w:p>
    <w:p>
      <w:pPr>
        <w:spacing w:after="80"/>
      </w:pPr>
      <w:r>
        <w:rPr>
          <w:b w:val="0"/>
          <w:i w:val="0"/>
        </w:rPr>
        <w:t xml:space="preserve">Một thủ thuật tương tự đã được áp dụng liên quan đến công thức hoàn lại các khoản tín dụng thuế trên cổ tức. Điều này phát sinh từ các thủ tục tố tụng trong </w:t>
      </w:r>
      <w:r>
        <w:rPr>
          <w:b w:val="0"/>
          <w:i/>
        </w:rPr>
        <w:t xml:space="preserve"> Union Texas Petroleum Co. v Critchley </w:t>
      </w:r>
      <w:r>
        <w:rPr>
          <w:b w:val="0"/>
          <w:i w:val="0"/>
        </w:rPr>
        <w:t>.122 Trong trường hợp này, luật không có ý định ghi đè hiệp ước. FA 1989, s. 115, chỉ đơn giản nói rằng '[hiệp ước] sẽ được giải thích là quy định'. Những</w:t>
      </w:r>
    </w:p>
    <w:p>
      <w:pPr>
        <w:spacing w:after="80"/>
      </w:pPr>
      <w:r>
        <w:rPr>
          <w:b w:val="0"/>
          <w:i w:val="0"/>
        </w:rPr>
        <w:t xml:space="preserve">116. </w:t>
      </w:r>
      <w:r>
        <w:rPr>
          <w:b w:val="0"/>
          <w:i/>
        </w:rPr>
        <w:t xml:space="preserve"> Padmore v Inland Revenue Commissioners </w:t>
      </w:r>
      <w:r>
        <w:rPr>
          <w:b w:val="0"/>
          <w:i w:val="0"/>
        </w:rPr>
        <w:t xml:space="preserve"> [1987] BTC 3; [1987] STC 36. 117. Việc ghi đè này đã được duy trì trong ICTA 1988, s. 112(4), (và ITTOIA 2005, s. 858, đối với thuế thu nhập) mặc dù thực tế là cách tiếp cận thực thể đối với việc đánh thuế quan hệ đối tác không còn được áp dụng nữa (ICTA 1988, s. 111, và đối với thuế thu nhập, ITTOIA 2005, s. 848). Nó đã được tái khẳng định là 'luôn luôn có hiệu lực' trong FA 2008, s. 58, và có hiệu lực hồi tố trước FA 1987. 118. </w:t>
      </w:r>
      <w:r>
        <w:rPr>
          <w:b w:val="0"/>
          <w:i/>
        </w:rPr>
        <w:t xml:space="preserve"> R (on the application of Huitson) v Revenue and Customs </w:t>
      </w:r>
      <w:r>
        <w:rPr>
          <w:b w:val="0"/>
          <w:i w:val="0"/>
        </w:rPr>
        <w:t xml:space="preserve"> [2011] BTC 4567; [2011] EWCA Civ 893; [2011] STC 1860. Luật này cũng được xác định là không vi phạm quyền tự do di chuyển vốn của EU trong </w:t>
      </w:r>
      <w:r>
        <w:rPr>
          <w:b w:val="0"/>
          <w:i/>
        </w:rPr>
        <w:t xml:space="preserve"> R (on the application of Shiner and another) v Revenue and Customs Commissioners </w:t>
      </w:r>
      <w:r>
        <w:rPr>
          <w:b w:val="0"/>
          <w:i w:val="0"/>
        </w:rPr>
        <w:t xml:space="preserve"> [2011] BTC 456; [2011] EWCA Civ 892; [2011] STC 1878. 119. FA 2013, s. 209(2). 120. FA 2013, s. 209(3)(b). 121. House of Commons, 30 tháng 6 năm 1992, tại 452. 122. </w:t>
      </w:r>
      <w:r>
        <w:rPr>
          <w:b w:val="0"/>
          <w:i/>
        </w:rPr>
        <w:t xml:space="preserve"> Union Texas Petroleum Co. v Critchley </w:t>
      </w:r>
      <w:r>
        <w:rPr>
          <w:b w:val="0"/>
          <w:i w:val="0"/>
        </w:rPr>
        <w:t xml:space="preserve"> [1988] BTC 405; [1988] STC 691.</w:t>
      </w:r>
    </w:p>
    <w:p>
      <w:pPr>
        <w:spacing w:after="80"/>
      </w:pPr>
      <w:r>
        <w:rPr>
          <w:b w:val="0"/>
          <w:i w:val="0"/>
        </w:rPr>
        <w:t>48</w:t>
      </w:r>
    </w:p>
    <w:p>
      <w:pPr>
        <w:spacing w:after="80"/>
      </w:pPr>
      <w:r>
        <w:rPr>
          <w:b w:val="0"/>
          <w:i w:val="0"/>
        </w:rPr>
        <w:t>Các quy định được ban hành có hiệu lực hồi tố, ngoại trừ liên quan đến các phán quyết được đưa ra trước khi có thông báo hoặc trong các thủ tục đã được khởi xướng.</w:t>
      </w:r>
    </w:p>
    <w:p>
      <w:pPr>
        <w:spacing w:after="80"/>
      </w:pPr>
      <w:r>
        <w:rPr>
          <w:b w:val="0"/>
          <w:i w:val="0"/>
        </w:rPr>
        <w:t xml:space="preserve">Trong trường hợp luật pháp phát sinh từ các vụ án </w:t>
      </w:r>
      <w:r>
        <w:rPr>
          <w:b w:val="0"/>
          <w:i/>
        </w:rPr>
        <w:t>Padmore</w:t>
      </w:r>
      <w:r>
        <w:rPr>
          <w:b w:val="0"/>
          <w:i w:val="0"/>
        </w:rPr>
        <w:t xml:space="preserve"> và </w:t>
      </w:r>
      <w:r>
        <w:rPr>
          <w:b w:val="0"/>
          <w:i/>
        </w:rPr>
        <w:t>Union Texas</w:t>
      </w:r>
      <w:r>
        <w:rPr>
          <w:b w:val="0"/>
          <w:i w:val="0"/>
        </w:rPr>
        <w:t>, Cục Thuế Nội địa (Inland Revenue) đang (hoặc tin rằng sắp) ở phía thua kiện trước tòa. Vì quan điểm của Cục Thuế Nội địa về cách giải thích hiệp định đã thắng thế trong vụ Union Texas, nên luật pháp trên thực tế không ghi đè hiệp định. Có thể mô tả nó như một nỗ lực ghi đè. Mặt khác, gợi ý rằng luật pháp ghi đè cách giải thích tư pháp về một hiệp định khi Cục Thuế thua kiện (như trường hợp rõ ràng với TIOPA 2010, s. 131) là một sự "chỉnh sửa" chỉ là một lý lẽ hời hợt để biện minh cho một hành động đơn thuần thể hiện quyền tối thượng của nghị viện.</w:t>
      </w:r>
    </w:p>
    <w:p>
      <w:pPr>
        <w:spacing w:after="80"/>
      </w:pPr>
      <w:r>
        <w:rPr>
          <w:b w:val="0"/>
          <w:i w:val="0"/>
        </w:rPr>
        <w:t>Không có mối đe dọa thua kiện nào xuất hiện trong trường hợp ban hành điều khoản hiện là TIOPA 2010, s. 132, bởi FA 2000. Điều khoản này áp đặt một cách giải thích cụm từ "mối quan hệ đặc biệt" trong các hiệp định liên quan đến tiền bản quyền. Cục Thuế Nội địa đã tuyên bố trong tài liệu về cải cách cứu trợ thuế hai lần rằng trong mọi trường hợp, lợi ích hiệp định nên bị giới hạn không chỉ khi mức tiền bản quyền được trả là quá cao, mà còn khi, nếu không có mối quan hệ đặc biệt, các thỏa thuận mà theo đó tiền bản quyền được trả hoàn toàn sẽ không được ký kết. Điều này trên thực tế áp đặt một ý nghĩa lên "mối quan hệ đặc biệt" mà không được tất cả các hiệp định ủng hộ. Các quy tắc chống tránh thuế rộng rãi được đưa vào TIOPA 2010, s. 132 khó có thể được mô tả là giải thích và do đó là một sự ghi đè hiệp định rõ ràng.</w:t>
      </w:r>
    </w:p>
    <w:p>
      <w:pPr>
        <w:spacing w:after="80"/>
      </w:pPr>
      <w:r>
        <w:rPr>
          <w:b w:val="0"/>
          <w:i w:val="0"/>
        </w:rPr>
        <w:t>Ý định ghi đè các hiệp định không thể rõ ràng hơn trong FA 2008, s. 59(1), điều khoản đã chèn tiền thân của TIOPA 2010, s. 130. Điều này loại trừ cư dân Vương quốc Anh khỏi việc hưởng lợi từ các quy định tương tự như điều 7 của OECD Model liên quan đến lợi nhuận của một ngành nghề, nghề nghiệp hoặc hoạt động kinh doanh được kiểm soát hoặc quản lý bên ngoài Vương quốc Anh hoặc của một doanh nghiệp cư trú bên ngoài Vương quốc Anh.123</w:t>
      </w:r>
    </w:p>
    <w:p>
      <w:pPr>
        <w:spacing w:after="80"/>
      </w:pPr>
      <w:r>
        <w:rPr>
          <w:b w:val="0"/>
          <w:i w:val="0"/>
        </w:rPr>
        <w:t xml:space="preserve">Cho đến gần đây, vụ án duy nhất mà việc ghi đè hiệp định liên quan đến luật thuế Vương quốc Anh bị thách thức trước tòa là </w:t>
      </w:r>
      <w:r>
        <w:rPr>
          <w:b w:val="0"/>
          <w:i/>
        </w:rPr>
        <w:t>Collco Dealings Ltd</w:t>
      </w:r>
      <w:r>
        <w:rPr>
          <w:b w:val="0"/>
          <w:i w:val="0"/>
        </w:rPr>
        <w:t xml:space="preserve"> (và đó là liên quan đến Cộng hòa Ireland, nơi có các thỏa thuận lập pháp cụ thể và bất thường).124 Rõ ràng, những thách thức như vậy phải thất bại liên quan đến việc ghi đè rõ ràng và không mơ hồ. Đây là trường hợp trong </w:t>
      </w:r>
      <w:r>
        <w:rPr>
          <w:b w:val="0"/>
          <w:i/>
        </w:rPr>
        <w:t>Padmore (No.2) v Commissioners of Inland Revenue</w:t>
      </w:r>
      <w:r>
        <w:rPr>
          <w:b w:val="0"/>
          <w:i w:val="0"/>
        </w:rPr>
        <w:t>.125 Người nộp thuế lập luận rằng ICTA 1988, s. 788(3), xuất hiện trong Phần XVII của đạo luật, ghi đè s. 112(4), nằm trong Phần IV của đạo luật. Các hiệp định thuế, theo tuyên bố, có hiệu lực "bất chấp bất kỳ quy định nào trong bất kỳ văn bản luật nào", nhưng bản thân s. 788 lại "tuân theo các quy định của Phần này". Do đó, một sự ghi đè hiệp định có hiệu lực phải được chứa trong Phần XVII.</w:t>
      </w:r>
    </w:p>
    <w:p>
      <w:pPr>
        <w:spacing w:after="80"/>
      </w:pPr>
      <w:r>
        <w:rPr>
          <w:b w:val="0"/>
          <w:i w:val="0"/>
        </w:rPr>
        <w:t>Tòa án phán quyết rằng hiệp định đã bị ghi đè. Một cách giải thích thay thế sẽ tước đi mọi hiệu lực của điều khoản sửa đổi. Mục đích của nó là loại bỏ quyền miễn trừ được trao cho người nộp thuế. Việc đi chệch khỏi các quy định của hiệp định đã được thực hiện một cách rõ ràng và có chủ ý, và do đó không có chỗ cho bất kỳ giả định nào.</w:t>
      </w:r>
    </w:p>
    <w:p>
      <w:pPr>
        <w:spacing w:after="80"/>
      </w:pPr>
      <w:r>
        <w:rPr>
          <w:b w:val="0"/>
          <w:i w:val="0"/>
        </w:rPr>
        <w:t xml:space="preserve">123. Lý do cho sự ghi đè này dựa trên một quan điểm khá thiên lệch về điều 7. Cách các hiệp định hoạt động được tìm thấy trong các đoạn 8 và 9 trong HMRC Explanatory Notes cho s. 56 của FA 2008.124. </w:t>
      </w:r>
      <w:r>
        <w:rPr>
          <w:b w:val="0"/>
          <w:i/>
        </w:rPr>
        <w:t>Inland Revenue Commissioners v Collco Dealings Ltd</w:t>
      </w:r>
      <w:r>
        <w:rPr>
          <w:b w:val="0"/>
          <w:i w:val="0"/>
        </w:rPr>
        <w:t xml:space="preserve"> (1961) 39 TC 509.125. </w:t>
      </w:r>
      <w:r>
        <w:rPr>
          <w:b w:val="0"/>
          <w:i/>
        </w:rPr>
        <w:t>Padmore (No. 2) v Commissioners of Inland Revenue</w:t>
      </w:r>
      <w:r>
        <w:rPr>
          <w:b w:val="0"/>
          <w:i w:val="0"/>
        </w:rPr>
        <w:t xml:space="preserve"> [2001] BTC 36; [2001] STC 280, Ch. D.</w:t>
      </w:r>
    </w:p>
    <w:p>
      <w:pPr>
        <w:spacing w:after="80"/>
      </w:pPr>
      <w:r>
        <w:rPr>
          <w:b w:val="0"/>
          <w:i w:val="0"/>
        </w:rPr>
        <w:t>49</w:t>
      </w:r>
    </w:p>
    <w:p>
      <w:pPr>
        <w:spacing w:after="80"/>
      </w:pPr>
      <w:r>
        <w:rPr>
          <w:b w:val="0"/>
          <w:i w:val="0"/>
        </w:rPr>
        <w:t>Nghị viện không có ý định rằng luật nội địa mơ hồ hoặc không rõ ràng phải được kiểm tra để tuân thủ các nghĩa vụ hiệp định.</w:t>
      </w:r>
    </w:p>
    <w:p>
      <w:pPr>
        <w:spacing w:after="80"/>
      </w:pPr>
      <w:r>
        <w:rPr>
          <w:b w:val="0"/>
          <w:i w:val="0"/>
        </w:rPr>
        <w:t>Việc kiềm chế thực thi quyền lực nghị viện theo cách này thực sự cho thấy một cách tiếp cận tuân thủ luật quốc tế của Vương quốc Anh. Việc tránh vi phạm luật quốc tế được thiết kế để thể hiện sự tuân thủ các nguyên tắc của luật quốc tế sẽ mang lại sự tin tưởng cho các bên ký kết hiệp định khác, từ đó duy trì sự ổn định của mạng lưới hiệp định của Vương quốc Anh.</w:t>
      </w:r>
    </w:p>
    <w:p>
      <w:pPr>
        <w:spacing w:after="80"/>
      </w:pPr>
      <w:r>
        <w:rPr>
          <w:b w:val="0"/>
          <w:i w:val="0"/>
        </w:rPr>
        <w:t>Dường như không có dấu hiệu công khai nào về việc các quốc gia ký kết đưa ra phản đối cụ thể đối với những sự ghi đè này. Tuy nhiên, hậu quả của việc ghi đè hiệp định (hoặc thực sự là việc không thực hiện một hiệp định ngay từ đầu) không giải phóng một quốc gia ký kết khỏi các nghĩa vụ của mình theo luật quốc tế. Thuế được đánh theo luật nội địa ghi đè sẽ không được đánh theo hiệp định. Quốc gia ký kết khác sẽ không được yêu cầu cấp tín dụng hoặc cứu trợ thuế hai lần khác phát sinh do việc ghi đè.126 Thủ tục thỏa thuận song phương có thể được một người nộp thuế không hài lòng viện dẫn.127 Khả năng này được HMRC công nhận, ít nhất là liên quan đến các khoản thanh toán lãi xuyên biên giới.</w:t>
      </w:r>
    </w:p>
    <w:p>
      <w:pPr>
        <w:spacing w:after="80"/>
      </w:pPr>
      <w:r>
        <w:rPr>
          <w:b/>
          <w:i w:val="0"/>
        </w:rPr>
        <w:t>§2.15 Vương quốc Anh: GHI ĐÈ NGƯỢC HIỆP ĐỊNH</w:t>
      </w:r>
    </w:p>
    <w:p>
      <w:pPr>
        <w:spacing w:after="80"/>
      </w:pPr>
      <w:r>
        <w:rPr>
          <w:b w:val="0"/>
          <w:i w:val="0"/>
        </w:rPr>
        <w:t xml:space="preserve">Quyền truy cập vào các lợi ích của một hiệp định có thể bị tìm cách loại bỏ bằng cách soạn thảo luật được thể hiện là nằm ngoài các loại thuế được hiệp định bao phủ, nhưng về bản chất, lại nằm trong các loại thuế đó. Thuế Lợi nhuận Chuyển hướng (Diverted Profits Tax), được ban hành trong </w:t>
      </w:r>
      <w:r>
        <w:rPr>
          <w:b w:val="0"/>
          <w:i/>
        </w:rPr>
        <w:t>Finance Act</w:t>
      </w:r>
      <w:r>
        <w:rPr>
          <w:b w:val="0"/>
          <w:i w:val="0"/>
        </w:rPr>
        <w:t xml:space="preserve"> 2015 là một ví dụ cực đoan. Đây là một loại thuế mới128 được tính trên cùng cơ sở như Thuế Doanh nghiệp129 và áp đặt một khoản thuế lên một cơ sở thường trú không tồn tại thông qua một loạt các giả định hư cấu, qua đó loại trừ lợi ích của một hiệp định mà theo các điều khoản của nó không có cơ sở thường trú nào tồn tại.130 HMRC đã giải thích rằng "Về mặt hình thức, do đó, thuế lợi nhuận chuyển hướng nằm ngoài phạm vi cứu trợ có sẵn theo các hiệp định thuế của Vương quốc Anh."131</w:t>
      </w:r>
    </w:p>
    <w:p>
      <w:pPr>
        <w:spacing w:after="80"/>
      </w:pPr>
      <w:r>
        <w:rPr>
          <w:b/>
          <w:i w:val="0"/>
        </w:rPr>
        <w:t>§2.16 Vương quốc Anh: HẠN CHẾ QUYỀN TRUY CẬP CÁC HIỆP ĐỊNH</w:t>
      </w:r>
    </w:p>
    <w:p>
      <w:pPr>
        <w:spacing w:after="80"/>
      </w:pPr>
      <w:r>
        <w:rPr>
          <w:b w:val="0"/>
          <w:i w:val="0"/>
        </w:rPr>
        <w:t>Các phương tiện lập pháp đã trở nên tinh vi hơn trong việc tìm cách thu hẹp phạm vi áp dụng tiềm năng của các hiệp định. Một phạm trù quan hệ khác giữa các hiệp định và luật nội địa phản ánh những nỗ lực khác nhằm hạn chế tính khả dụng của các lợi ích hiệp định. Trong lĩnh vực lợi nhuận vốn, một số biện pháp đã xuất hiện qua nhiều năm nhằm ngăn chặn quyền truy cập vào hiệp định</w:t>
      </w:r>
    </w:p>
    <w:p>
      <w:pPr>
        <w:spacing w:after="80"/>
      </w:pPr>
      <w:r>
        <w:rPr>
          <w:b w:val="0"/>
          <w:i w:val="0"/>
        </w:rPr>
        <w:t>126. Xem Chương 15, §§15.01ff.127. Xem Chương 20, §20.01.128. FA 2015, s. 77.129. FA 2015, s. 88(5).130. FA 2015, s. 86. Xem Chương 7, §7.15 để biết chi tiết.131. Các slide do HMRC trình bày trong sự kiện ngày mở cửa 8 tháng 1 năm 2015 www.gov.uk/government/publications/diverted-profits-tax-open-day-slides truy cập ngày 7 tháng 6 năm 2015. HMRC lập luận ở đó rằng thuế sẽ chỉ được áp dụng cho các thỏa thuận được thiết kế để khai thác các quy định của hiệp định thuế nhằm tránh thuế và do đó họ không có nghĩa vụ cung cấp cứu trợ hiệp định phù hợp với các đoạn 9.4 và 9.5 của bình luận cho điều 1 của Model Tax Convention của OECD. Xem Chương 17, §17.03.</w:t>
      </w:r>
    </w:p>
    <w:p>
      <w:pPr>
        <w:spacing w:after="80"/>
      </w:pPr>
      <w:r>
        <w:rPr>
          <w:b w:val="0"/>
          <w:i w:val="0"/>
        </w:rPr>
        <w:t>50</w:t>
      </w:r>
    </w:p>
    <w:p>
      <w:pPr>
        <w:spacing w:after="80"/>
      </w:pPr>
      <w:r>
        <w:rPr>
          <w:b w:val="0"/>
          <w:i w:val="0"/>
        </w:rPr>
        <w:t xml:space="preserve">các lợi ích thông qua những thay đổi về nơi cư trú. Các biện pháp như vậy bao gồm Đạo luật Đánh thuế các khoản lợi tức chịu thuế (Taxation of Chargeable Gains Act - TCGA) 1992, mục 83, trong đó yêu cầu các ủy viên quản lý trở thành cư dân của một quốc gia có hiệp định nhờ các quy định về tiêu chí phá vỡ thế cân bằng (tiebreaker provisions) phải được coi là đã định đoạt các tài sản được hiệp định bảo vệ vào thời điểm họ trở thành cư dân của quốc gia ký kết kia. Những quy định này không thể bị coi là ghi đè hiệp định, vì các sự kiện chịu thuế được áp dụng ngay trước khi người nộp thuế trở thành cư dân của quốc gia ký kết kia. Tương tự, TCGA 1992, mục 84, cấm áp dụng cứu trợ chuyển tiếp (rollover relief) khi thay thế tài sản kinh doanh theo mục 152 trong trường hợp tài sản mới được mua bởi các ủy viên quản lý là cư dân Vương quốc Anh nhưng được coi là không cư trú vì mục đích của một hiệp định và các tài sản được đề cập thuộc loại được "chỉ định" trong hiệp định. Một lần nữa, những biện pháp này ngăn cản một nhóm người cụ thể đủ điều kiện hưởng các lợi ích hiệp định. Các quy định tiếp theo xử lý lợi tức vốn và các thỏa thuận cư trú kép. Mục 88 yêu cầu lợi tức của các quỹ tín thác phải được quy cho các thụ hưởng nếu các ủy viên quản lý là cư dân Vương quốc Anh nhưng được coi là không cư trú vì mục đích hiệp định và nếu các tài sản thuộc loại đủ điều kiện được hưởng cứu trợ hiệp định trong tay của một cư dân của quốc gia ký kết kia. Trong </w:t>
      </w:r>
      <w:r>
        <w:rPr>
          <w:b w:val="0"/>
          <w:i/>
        </w:rPr>
        <w:t>Boote v Banco do Brasil</w:t>
      </w:r>
      <w:r>
        <w:rPr>
          <w:b w:val="0"/>
          <w:i w:val="0"/>
        </w:rPr>
        <w:t>,132 tòa án đã giữ nguyên hiệu lực của luật được thiết kế để ngăn các chi nhánh của các ngân hàng không cư trú chuyển tiếp hoặc sử dụng theo cách khác các khoản lỗ phát sinh từ thu nhập được miễn thuế theo hiệp định bất chấp mức độ hồi tố nhất định.</w:t>
      </w:r>
    </w:p>
    <w:p>
      <w:pPr>
        <w:spacing w:after="80"/>
      </w:pPr>
      <w:r>
        <w:rPr>
          <w:b/>
          <w:i w:val="0"/>
        </w:rPr>
        <w:t>§2.17 Vương quốc Anh: MỞ RỘNG CÁC LỢI ÍCH HIỆP ĐỊNH</w:t>
      </w:r>
    </w:p>
    <w:p>
      <w:pPr>
        <w:spacing w:after="80"/>
      </w:pPr>
      <w:r>
        <w:rPr>
          <w:b w:val="0"/>
          <w:i w:val="0"/>
        </w:rPr>
        <w:t>Mặt khác, các lợi ích đôi khi được mở rộng bởi luật trong nước vượt ra ngoài những gì được hiệp định cấp. Các công ty được coi là cư dân của một quốc gia ký kết khác nhờ việc áp dụng một hiệp định được coi là không cư trú cho mọi mục đích theo CTA 2009, mục 18. Quy định này không áp dụng cho cá nhân. Các cá nhân được coi là không cư trú theo hiệp định được coi là không cư trú vì mục đích xác định một khoảng thời gian ở nước ngoài liên quan đến việc đánh thuế thu nhập và lợi tức của những người tạm thời không cư trú quay trở về theo FA 2013, Phần 4 và Phụ lục 43.</w:t>
      </w:r>
    </w:p>
    <w:p>
      <w:pPr>
        <w:spacing w:after="80"/>
      </w:pPr>
      <w:r>
        <w:rPr>
          <w:b w:val="0"/>
          <w:i w:val="0"/>
        </w:rPr>
        <w:t>132.</w:t>
      </w:r>
      <w:r>
        <w:rPr>
          <w:b w:val="0"/>
          <w:i/>
        </w:rPr>
        <w:t>Boote (HM Inspector of Taxes) v Banco do Brasil</w:t>
      </w:r>
      <w:r>
        <w:rPr>
          <w:b w:val="0"/>
          <w:i w:val="0"/>
        </w:rPr>
        <w:t xml:space="preserve"> (1997) 69 TC 333. [1997] BTC 140; [1997] STC327, CA.</w:t>
      </w:r>
    </w:p>
    <w:p>
      <w:pPr>
        <w:spacing w:after="80"/>
      </w:pPr>
      <w:r>
        <w:rPr>
          <w:b w:val="0"/>
          <w:i w:val="0"/>
        </w:rPr>
        <w:t>51</w:t>
      </w:r>
    </w:p>
    <w:p>
      <w:pPr>
        <w:spacing w:before="240" w:after="80"/>
      </w:pPr>
      <w:r>
        <w:rPr>
          <w:b/>
          <w:sz w:val="26"/>
        </w:rPr>
        <w:t>Ireland</w:t>
      </w:r>
    </w:p>
    <w:p>
      <w:pPr>
        <w:spacing w:after="80"/>
      </w:pPr>
      <w:r>
        <w:rPr>
          <w:b/>
          <w:i w:val="0"/>
        </w:rPr>
        <w:t>§2.18 IRELAND: GIỚI THIỆU</w:t>
      </w:r>
    </w:p>
    <w:p>
      <w:pPr>
        <w:spacing w:after="80"/>
      </w:pPr>
      <w:r>
        <w:rPr>
          <w:b w:val="0"/>
          <w:i w:val="0"/>
        </w:rPr>
        <w:t>Cộng hòa Ireland là một quốc gia có chủ quyền hoàn toàn tự trị. Sự hình thành của nó với tư cách đó, kể từ Đạo luật Liên minh Ireland năm 1800,133 đã sáp nhập toàn bộ Ireland vào Vương quốc Anh của Đại Anh và Ireland dưới chủ quyền của Nghị viện Anh, đã phát triển qua một khoảng thời gian. Tình trạng hiện tại của nó có lẽ được thể hiện rõ nhất, từ góc độ pháp lý, ban đầu là bởi Hiến pháp của Nhà nước Tự do Ireland được thông qua năm 1922. Hiến pháp hiện hành134 có hiệu lực năm 1937 và đã được sửa đổi nhiều lần. Năm 1948, Ireland tuyên bố mình là một nước cộng hòa.135</w:t>
      </w:r>
    </w:p>
    <w:p>
      <w:pPr>
        <w:spacing w:after="80"/>
      </w:pPr>
      <w:r>
        <w:rPr>
          <w:b w:val="0"/>
          <w:i w:val="0"/>
        </w:rPr>
        <w:t>Điều 73 của Hiến pháp năm 1922136 quy định sự tiếp nối của luật đã tồn tại trước đó. Điều này bao gồm cả luật thành văn và thông luật. Do thực tế rằng thuế thu nhập được áp dụng ở Vương quốc Anh vào năm 1799, luật thuế Ireland chịu ơn luật của Vương quốc Anh rất nhiều. Sau khi độc lập, luật thuế của Ireland vẫn duy trì sự tương ứng chặt chẽ với luật tương ứng của Vương quốc Anh. Mặc dù không còn ràng buộc,137 án lệ của Vương quốc Anh về thuế thường được viện dẫn như thẩm quyền có sức thuyết phục tại các tòa án Ireland.138</w:t>
      </w:r>
    </w:p>
    <w:p>
      <w:pPr>
        <w:spacing w:after="80"/>
      </w:pPr>
      <w:r>
        <w:rPr>
          <w:b/>
          <w:i w:val="0"/>
        </w:rPr>
        <w:t>§2.19 IRELAND: VIỆC KÝ KẾT HIỆP ĐỊNH</w:t>
      </w:r>
    </w:p>
    <w:p>
      <w:pPr>
        <w:spacing w:after="80"/>
      </w:pPr>
      <w:r>
        <w:rPr>
          <w:b w:val="0"/>
          <w:i w:val="0"/>
        </w:rPr>
        <w:t>Thẩm quyền ký kết các hiệp định được trao cho Chính phủ như một chức năng hành pháp.139</w:t>
      </w:r>
    </w:p>
    <w:p>
      <w:pPr>
        <w:spacing w:after="80"/>
      </w:pPr>
      <w:r>
        <w:rPr>
          <w:b w:val="0"/>
          <w:i w:val="0"/>
        </w:rPr>
        <w:t>Quy trình phê chuẩn được quy định tại điều 29.5:</w:t>
      </w:r>
    </w:p>
    <w:p>
      <w:pPr>
        <w:spacing w:after="80"/>
      </w:pPr>
      <w:r>
        <w:rPr>
          <w:b w:val="0"/>
          <w:i w:val="0"/>
        </w:rPr>
        <w:t>5 1° Mọi thỏa thuận quốc tế mà Nhà nước trở thành một bên phải được trình trước Dáil Éireann.</w:t>
      </w:r>
    </w:p>
    <w:p>
      <w:pPr>
        <w:spacing w:after="80"/>
      </w:pPr>
      <w:r>
        <w:rPr>
          <w:b w:val="0"/>
          <w:i w:val="0"/>
        </w:rPr>
        <w:t>2° Nhà nước không bị ràng buộc bởi bất kỳ thỏa thuận quốc tế nào liên quan đến việc chi tiêu công quỹ trừ khi các điều khoản của thỏa thuận đã được Dáil Éireann phê duyệt.</w:t>
      </w:r>
    </w:p>
    <w:p>
      <w:pPr>
        <w:spacing w:after="80"/>
      </w:pPr>
      <w:r>
        <w:rPr>
          <w:b w:val="0"/>
          <w:i w:val="0"/>
        </w:rPr>
        <w:t>3° Mục này sẽ không áp dụng cho các thỏa thuận hoặc công ước có tính chất kỹ thuật và hành chính.</w:t>
      </w:r>
    </w:p>
    <w:p>
      <w:pPr>
        <w:spacing w:after="80"/>
      </w:pPr>
      <w:r>
        <w:rPr>
          <w:b w:val="0"/>
          <w:i w:val="0"/>
        </w:rPr>
        <w:t xml:space="preserve">In </w:t>
      </w:r>
      <w:r>
        <w:rPr>
          <w:b w:val="0"/>
          <w:i/>
        </w:rPr>
        <w:t>Gilliland v Mountjoy Prison</w:t>
      </w:r>
      <w:r>
        <w:rPr>
          <w:b w:val="0"/>
          <w:i w:val="0"/>
        </w:rPr>
        <w:t xml:space="preserve"> 140, Tòa án Tối cao đã phán quyết rằng các điều khoản của chính hiệp ước phải xác định liệu hiệp ước đó có liên quan đến việc giam giữ bằng công quỹ hay không. Do đó, 'những chi phí hoàn toàn mang tính ngẫu nhiên hoặc hệ quả có thể rơi vào một số cơ quan của Nhà nước do việc Nhà nước' tham gia một hiệp ước không thuộc phạm vi điều 29.5.2°. Mặc dù một số hiệp ước thuế mang tính chất hành chính, chẳng hạn như những hiệp ước</w:t>
      </w:r>
    </w:p>
    <w:p>
      <w:pPr>
        <w:spacing w:after="80"/>
      </w:pPr>
      <w:r>
        <w:rPr>
          <w:b w:val="0"/>
          <w:i w:val="0"/>
        </w:rPr>
        <w:t xml:space="preserve">133. 40 Geo 3 ch 67. 134. </w:t>
      </w:r>
      <w:r>
        <w:rPr>
          <w:b w:val="0"/>
          <w:i/>
        </w:rPr>
        <w:t>Bunreacht Na hÉireann</w:t>
      </w:r>
      <w:r>
        <w:rPr>
          <w:b w:val="0"/>
          <w:i w:val="0"/>
        </w:rPr>
        <w:t xml:space="preserve">. 135. Republic of Ireland Act 1948. 136. Xem thêm Bunreacht, điều 50. 137. </w:t>
      </w:r>
      <w:r>
        <w:rPr>
          <w:b w:val="0"/>
          <w:i/>
        </w:rPr>
        <w:t>Attorney General v Ryan's Car Hire</w:t>
      </w:r>
      <w:r>
        <w:rPr>
          <w:b w:val="0"/>
          <w:i w:val="0"/>
        </w:rPr>
        <w:t xml:space="preserve"> [1965] IR 642. 138. Chương này không đề cập đến án lệ hoặc thực tiễn của Vương quốc Anh trong cùng lĩnh vực. Thay vào đó, độc giả được hướng dẫn đến Chương 2 để xem xét tính hữu ích tiềm tàng của chúng khi không có án lệ Ireland đã được phán quyết. 139. </w:t>
      </w:r>
      <w:r>
        <w:rPr>
          <w:b w:val="0"/>
          <w:i/>
        </w:rPr>
        <w:t>Bunreacht</w:t>
      </w:r>
      <w:r>
        <w:rPr>
          <w:b w:val="0"/>
          <w:i w:val="0"/>
        </w:rPr>
        <w:t xml:space="preserve">, điều 29.4.1°. 140. </w:t>
      </w:r>
      <w:r>
        <w:rPr>
          <w:b w:val="0"/>
          <w:i/>
        </w:rPr>
        <w:t>State (Gilliland) v Governor of Mountjoy Prison</w:t>
      </w:r>
      <w:r>
        <w:rPr>
          <w:b w:val="0"/>
          <w:i w:val="0"/>
        </w:rPr>
        <w:t xml:space="preserve"> [1986] IESC 3; [1987] ILRM 278, tại [55] và [56].</w:t>
      </w:r>
    </w:p>
    <w:p>
      <w:pPr>
        <w:spacing w:after="80"/>
      </w:pPr>
      <w:r>
        <w:rPr>
          <w:b w:val="0"/>
          <w:i w:val="0"/>
        </w:rPr>
        <w:t>52</w:t>
      </w:r>
    </w:p>
    <w:p>
      <w:pPr>
        <w:spacing w:after="80"/>
      </w:pPr>
      <w:r>
        <w:rPr>
          <w:b w:val="0"/>
          <w:i w:val="0"/>
        </w:rPr>
        <w:t>liên quan đến trao đổi thông tin hoặc hỗ trợ thu hồi thuế, về nguyên tắc, có thể được miễn trừ khỏi yêu cầu phải được trình trước Dáil, nhưng trên thực tế, cùng một khung lập pháp và thủ tục được áp dụng cho các hiệp ước này giống như đối với các hiệp ước đánh thuế hai lần.</w:t>
      </w:r>
    </w:p>
    <w:p>
      <w:pPr>
        <w:spacing w:after="80"/>
      </w:pPr>
      <w:r>
        <w:rPr>
          <w:b/>
          <w:i w:val="0"/>
        </w:rPr>
        <w:t>§2.20 IRELAND: THỰC THI HIỆP ƯỚC</w:t>
      </w:r>
    </w:p>
    <w:p>
      <w:pPr>
        <w:spacing w:after="80"/>
      </w:pPr>
      <w:r>
        <w:rPr>
          <w:b w:val="0"/>
          <w:i w:val="0"/>
        </w:rPr>
        <w:t>Các hiệp ước được ký kết hợp lệ và tuân thủ quy trình phê chuẩn theo điều 29.5 thì ràng buộc Nhà nước, nhưng chúng không có hiệu lực trong luật nội địa Ireland cho đến khi hành động lập pháp thích hợp được thực hiện. Điều 29.6 quy định rằng: 'Không có thỏa thuận quốc tế nào được trở thành một phần của luật nội địa của Nhà nước trừ khi được Oireachtas quy định.' (cơ quan lập pháp Ireland)</w:t>
      </w:r>
    </w:p>
    <w:p>
      <w:pPr>
        <w:spacing w:after="80"/>
      </w:pPr>
      <w:r>
        <w:rPr>
          <w:b w:val="0"/>
          <w:i w:val="0"/>
        </w:rPr>
        <w:t>Trong bối cảnh hiệp ước thuế, luật cho phép để đưa các hiệp ước thuế vào hiệu lực trong luật nội địa được quy định tại điều 826 của Đạo luật Hợp nhất Thuế 1997.141 Các quy định riêng được đưa ra cho các loại hiệp ước khác nhau. Quá trình ban hành tuân theo một mô hình chuẩn được minh họa bởi điều 826(1):</w:t>
      </w:r>
    </w:p>
    <w:p>
      <w:pPr>
        <w:spacing w:after="80"/>
      </w:pPr>
      <w:r>
        <w:rPr>
          <w:b w:val="0"/>
          <w:i w:val="0"/>
        </w:rPr>
        <w:t>826(1) Khi –</w:t>
      </w:r>
    </w:p>
    <w:p>
      <w:pPr>
        <w:spacing w:after="80"/>
      </w:pPr>
      <w:r>
        <w:rPr>
          <w:b w:val="0"/>
          <w:i w:val="0"/>
        </w:rPr>
        <w:t>(a) Chính phủ bằng lệnh tuyên bố rằng các thỏa thuận được chỉ định trong lệnh</w:t>
      </w:r>
    </w:p>
    <w:p>
      <w:pPr>
        <w:spacing w:after="80"/>
      </w:pPr>
      <w:r>
        <w:rPr>
          <w:b w:val="0"/>
          <w:i w:val="0"/>
        </w:rPr>
        <w:t>đã được thực hiện với chính phủ của bất kỳ lãnh thổ nào ngoài Nhà nước …</w:t>
      </w:r>
    </w:p>
    <w:p>
      <w:pPr>
        <w:spacing w:after="80"/>
      </w:pPr>
      <w:r>
        <w:rPr>
          <w:b w:val="0"/>
          <w:i w:val="0"/>
        </w:rPr>
        <w:t>và rằng việc những thỏa thuận đó có hiệu lực pháp luật là thích đáng, và (b) lệnh được ban hành như vậy được nêu trong … . Phụ lục 24A,</w:t>
      </w:r>
    </w:p>
    <w:p>
      <w:pPr>
        <w:spacing w:after="80"/>
      </w:pPr>
      <w:r>
        <w:rPr>
          <w:b w:val="0"/>
          <w:i w:val="0"/>
        </w:rPr>
        <w:t>thì, tùy thuộc vào điều này và trong phạm vi được quy định trong điều này, các thỏa thuận đó, bất kể bất kỳ văn bản luật nào, sẽ có hiệu lực pháp luật như thể mỗi lệnh như vậy là một Đạo luật của Oireachtas … .</w:t>
      </w:r>
    </w:p>
    <w:p>
      <w:pPr>
        <w:spacing w:after="80"/>
      </w:pPr>
      <w:r>
        <w:rPr>
          <w:b w:val="0"/>
          <w:i w:val="0"/>
        </w:rPr>
        <w:t>Do đó, một lệnh phải được Chính phủ ban hành và lệnh đó phải được xác định trong TCA, Phụ lục 24A. Dự thảo của bất kỳ lệnh nào như vậy phải được trình trước Dáil Éireann (hạ viện của cơ quan lập pháp) và không thể ban hành lệnh cho đến khi một nghị quyết phê duyệt dự thảo đã được Dáil thông qua.142 Thủ tục này cũng giải quyết các yêu cầu hiến pháp theo điều 29.5.</w:t>
      </w:r>
    </w:p>
    <w:p>
      <w:pPr>
        <w:spacing w:after="80"/>
      </w:pPr>
      <w:r>
        <w:rPr>
          <w:b w:val="0"/>
          <w:i w:val="0"/>
        </w:rPr>
        <w:t>Điều 826(1) của TCA áp dụng cho 'các thỏa thuận … được thực hiện với chính phủ của bất kỳ lãnh thổ nào ngoài Nhà nước'.143 Mặc dù các thuật ngữ 'thỏa thuận' và 'hiệp ước' không được sử dụng, rõ ràng là quy định chỉ áp dụng cho các hiệp ước như được định nghĩa trong điều 2 của Công ước Vienna về Luật Hiệp ước vì các thỏa thuận phải được thực hiện với một chính phủ. Vì mục đích này, các thỏa thuận được thực hiện với người đứng đầu một quốc gia nước ngoài được coi là được thực hiện với chính phủ của quốc gia đó.144</w:t>
      </w:r>
    </w:p>
    <w:p>
      <w:pPr>
        <w:spacing w:after="80"/>
      </w:pPr>
      <w:r>
        <w:rPr>
          <w:b w:val="0"/>
          <w:i w:val="0"/>
        </w:rPr>
        <w:t>141. 'TCA'. 142. TCA, điều 828(6). 143. TCA, điều 826(1)(a). Điều tương tự cũng áp dụng cho các thỏa thuận theo điều 826(1A) (các hiệp định vận tải hàng không) và điều 826(1B) (trao đổi thông tin và 'các vấn đề khác liên quan đến việc giảm bớt gánh nặng đánh thuế hai lần mà Chính phủ cho là thích đáng'). 144. TCA, điều 826(4).</w:t>
      </w:r>
    </w:p>
    <w:p>
      <w:pPr>
        <w:spacing w:after="80"/>
      </w:pPr>
      <w:r>
        <w:rPr>
          <w:b w:val="0"/>
          <w:i w:val="0"/>
        </w:rPr>
        <w:t>53</w:t>
      </w:r>
    </w:p>
    <w:p>
      <w:pPr>
        <w:spacing w:after="80"/>
      </w:pPr>
      <w:r>
        <w:rPr>
          <w:b/>
          <w:i w:val="0"/>
        </w:rPr>
        <w:t>[A]Các thỏa thuận phi hiệp ước</w:t>
      </w:r>
    </w:p>
    <w:p>
      <w:pPr>
        <w:spacing w:after="80"/>
      </w:pPr>
      <w:r>
        <w:rPr>
          <w:b w:val="0"/>
          <w:i w:val="0"/>
        </w:rPr>
        <w:t>Điều khoản riêng được quy định tại s. 826(1D) cho các thỏa thuận với ‘một cơ quan, không phải chính phủ’ của một vùng lãnh thổ ngoài Nhà nước bao gồm cùng đối tượng như các hiệp ước đánh thuế hai lần. Những thỏa thuận như vậy có thể nằm ngoài định nghĩa hiệp ước trong điều 2 của Công ước Vienna và cũng không thuộc phạm vi điều 29 của Hiến pháp với tư cách là ‘các thỏa thuận quốc tế’. Trong trường hợp đó, chúng sẽ hoàn toàn phụ thuộc vào s. 826(1D), cùng với s. 826(10), để được ký kết và có hiệu lực trong luật nội địa. Quyền hạn này, được chèn bởi FA 2015 s. 79(1)(a), dường như chưa từng được sử dụng.</w:t>
      </w:r>
    </w:p>
    <w:p>
      <w:pPr>
        <w:spacing w:after="80"/>
      </w:pPr>
      <w:r>
        <w:rPr>
          <w:b/>
          <w:i w:val="0"/>
        </w:rPr>
        <w:t>§2.21 IRELAND: PHẠM VI CỦA CÁC HIỆP ƯỚC THUẾ</w:t>
      </w:r>
    </w:p>
    <w:p>
      <w:pPr>
        <w:spacing w:after="80"/>
      </w:pPr>
      <w:r>
        <w:rPr>
          <w:b w:val="0"/>
          <w:i w:val="0"/>
        </w:rPr>
        <w:t>Phạm vi của các hiệp ước liên quan đến đánh thuế hai lần là những hiệp ước:</w:t>
      </w:r>
    </w:p>
    <w:p>
      <w:pPr>
        <w:spacing w:after="80"/>
      </w:pPr>
      <w:r>
        <w:rPr>
          <w:b w:val="0"/>
          <w:i w:val="0"/>
        </w:rPr>
        <w:t>Giảm trừ thuế hai lần đối với –</w:t>
      </w:r>
    </w:p>
    <w:p>
      <w:pPr>
        <w:spacing w:after="80"/>
      </w:pPr>
      <w:r>
        <w:rPr>
          <w:b w:val="0"/>
          <w:i w:val="0"/>
        </w:rPr>
        <w:t>(I) thuế thu nhập, (II) thuế doanh nghiệp đối với thu nhập và lợi nhuận chịu thuế (hoặc, trong trường hợp</w:t>
      </w:r>
    </w:p>
    <w:p>
      <w:pPr>
        <w:spacing w:after="80"/>
      </w:pPr>
      <w:r>
        <w:rPr>
          <w:b w:val="0"/>
          <w:i w:val="0"/>
        </w:rPr>
        <w:t>các thỏa thuận được thực hiện trước khi ban hành Đạo luật Thuế Doanh nghiệp 1976, thuế lợi nhuận doanh nghiệp),145</w:t>
      </w:r>
    </w:p>
    <w:p>
      <w:pPr>
        <w:spacing w:after="80"/>
      </w:pPr>
      <w:r>
        <w:rPr>
          <w:b w:val="0"/>
          <w:i w:val="0"/>
        </w:rPr>
        <w:t>(III) thuế lợi nhuận vốn, (IV) bất kỳ loại thuế nào có tính chất tương tự, được áp đặt bởi luật pháp của Nhà nước hoặc bởi</w:t>
      </w:r>
    </w:p>
    <w:p>
      <w:pPr>
        <w:spacing w:after="80"/>
      </w:pPr>
      <w:r>
        <w:rPr>
          <w:b w:val="0"/>
          <w:i w:val="0"/>
        </w:rPr>
        <w:t>luật pháp của một vùng lãnh thổ nước ngoài</w:t>
      </w:r>
    </w:p>
    <w:p>
      <w:pPr>
        <w:spacing w:after="80"/>
      </w:pPr>
      <w:r>
        <w:rPr>
          <w:b w:val="0"/>
          <w:i w:val="0"/>
        </w:rPr>
        <w:t>Ngoài ra, liên quan đến bất kỳ loại thuế nước ngoài nào, những điều sau đây được yêu cầu:</w:t>
      </w:r>
    </w:p>
    <w:p>
      <w:pPr>
        <w:spacing w:after="80"/>
      </w:pPr>
      <w:r>
        <w:rPr>
          <w:b w:val="0"/>
          <w:i w:val="0"/>
        </w:rPr>
        <w:t>(I) trao đổi thông tin nhằm mục đích ngăn ngừa và phát hiện</w:t>
      </w:r>
    </w:p>
    <w:p>
      <w:pPr>
        <w:spacing w:after="80"/>
      </w:pPr>
      <w:r>
        <w:rPr>
          <w:b w:val="0"/>
          <w:i w:val="0"/>
        </w:rPr>
        <w:t>trốn thuế, (II) giảm trừ cho cư dân Ireland khỏi thuế nước ngoài, (III) thu và truy thu thuế (bao gồm lãi, tiền phạt và chi phí</w:t>
      </w:r>
    </w:p>
    <w:p>
      <w:pPr>
        <w:spacing w:after="80"/>
      </w:pPr>
      <w:r>
        <w:rPr>
          <w:b w:val="0"/>
          <w:i w:val="0"/>
        </w:rPr>
        <w:t>liên quan đến loại thuế đó) nhằm mục đích ngăn ngừa trốn thuế.146</w:t>
      </w:r>
    </w:p>
    <w:p>
      <w:pPr>
        <w:spacing w:after="80"/>
      </w:pPr>
      <w:r>
        <w:rPr>
          <w:b w:val="0"/>
          <w:i w:val="0"/>
        </w:rPr>
        <w:t>Mặc dù giảm trừ thuế hai lần là trọng tâm trong phạm vi của các hiệp ước như vậy, chúng cũng có thể mở rộng đến thu nhập hoặc lợi nhuận chịu thuế không bị đánh thuế hai lần.147</w:t>
      </w:r>
    </w:p>
    <w:p>
      <w:pPr>
        <w:spacing w:after="80"/>
      </w:pPr>
      <w:r>
        <w:rPr>
          <w:b w:val="0"/>
          <w:i w:val="0"/>
        </w:rPr>
        <w:t>Thẩm quyền riêng cho các hiệp ước giảm trừ thuế hai lần đối với các doanh nghiệp vận tải hàng không và nhân viên của họ liên quan đến tất cả các loại thuế đang hoặc có thể trở thành phải chịu đối với lợi nhuận, thu nhập và lợi nhuận vốn được quy định bởi s. 826(1A). Điều này tuân theo thông lệ cũ là đưa các biện pháp liên quan đến đánh thuế hai lần trong ngành vận tải hàng không vào các hiệp ước vận tải hàng không thay vì vào các hiệp ước đánh thuế hai lần148</w:t>
      </w:r>
    </w:p>
    <w:p>
      <w:pPr>
        <w:spacing w:after="80"/>
      </w:pPr>
      <w:r>
        <w:rPr>
          <w:b w:val="0"/>
          <w:i w:val="0"/>
        </w:rPr>
        <w:t>145. Xem thêm TCA, s. 827 về các hiệp ước cũ có đề cập đến thuế lợi nhuận doanh nghiệp. 146. TCA, s. 826(1)(a). 147. TCA s. 826(3). 148. Xem Chương 2, §2.05.</w:t>
      </w:r>
    </w:p>
    <w:p>
      <w:pPr>
        <w:spacing w:after="80"/>
      </w:pPr>
      <w:r>
        <w:rPr>
          <w:b w:val="0"/>
          <w:i w:val="0"/>
        </w:rPr>
        <w:t>54</w:t>
      </w:r>
    </w:p>
    <w:p>
      <w:pPr>
        <w:spacing w:after="80"/>
      </w:pPr>
      <w:r>
        <w:rPr>
          <w:b w:val="0"/>
          <w:i w:val="0"/>
        </w:rPr>
        <w:t>Công ước đa phương của OECD về việc thực hiện các biện pháp liên quan đến hiệp định thuế nhằm ngăn chặn xói mòn cơ sở tính thuế và chuyển dịch lợi nhuận149, sửa đổi các hiệp định thuế song phương, được cho phép bởi mục 826(1E).</w:t>
      </w:r>
    </w:p>
    <w:p>
      <w:pPr>
        <w:spacing w:after="80"/>
      </w:pPr>
      <w:r>
        <w:rPr>
          <w:b w:val="0"/>
          <w:i w:val="0"/>
        </w:rPr>
        <w:t>Thẩm quyền đối với các thỏa thuận trao đổi thông tin thuế150 nằm ở mục 826(1B). Công ước đa phương về tương trợ hành chính trong lĩnh vực thuế151 cũng được trao thẩm quyền luật định cụ thể tại mục 826(1C).</w:t>
      </w:r>
    </w:p>
    <w:p>
      <w:pPr>
        <w:spacing w:after="80"/>
      </w:pPr>
      <w:r>
        <w:rPr>
          <w:b/>
          <w:i w:val="0"/>
        </w:rPr>
        <w:t>§2.22 IRELAND: HIỆU LỰC CỦA CÁC HIỆP ĐỊNH</w:t>
      </w:r>
    </w:p>
    <w:p>
      <w:pPr>
        <w:spacing w:after="80"/>
      </w:pPr>
      <w:r>
        <w:rPr>
          <w:b w:val="0"/>
          <w:i w:val="0"/>
        </w:rPr>
        <w:t>Tính chất nhị nguyên trong mối quan hệ giữa các hiệp định và luật trong nước được ghi nhận tại điều 29.6 của Hiến pháp, có nghĩa là mức độ mà một hiệp định có thể trở thành một phần của luật trong nước phụ thuộc vào công cụ pháp lý đưa nó vào hiệu lực.152 TCA.862 quy định rằng các hiệp định tuân thủ các thủ tục được quy định trong đó có hiệu lực pháp lý tương đương với một Đạo luật của Oireachtas. Do đó, luật thuế trong nước sẽ được sửa đổi bởi các quy định của hiệp định. Các hiệp định được áp dụng 'bất chấp bất kỳ văn bản luật nào', qua đó thiết lập tính tối cao của các hiệp định so với luật trong nước. Mặc dù về nguyên tắc, luật ban hành sau này có thể thay đổi thứ bậc này, Ireland đã không tìm cách ghi đè lên các hiệp định thuế của mình.153</w:t>
      </w:r>
    </w:p>
    <w:p>
      <w:pPr>
        <w:spacing w:after="80"/>
      </w:pPr>
      <w:r>
        <w:rPr>
          <w:b/>
          <w:i w:val="0"/>
        </w:rPr>
        <w:t>[A]Hiệu lực hồi tố</w:t>
      </w:r>
    </w:p>
    <w:p>
      <w:pPr>
        <w:spacing w:after="80"/>
      </w:pPr>
      <w:r>
        <w:rPr>
          <w:b w:val="0"/>
          <w:i w:val="0"/>
        </w:rPr>
        <w:t>Mục 826(3) cho phép tính hồi tố trong các hiệp định, qua đó cho phép một hiệp định áp dụng cho các giai đoạn trước khi nó được ký kết. Điều tương tự cũng áp dụng cho việc giảm thuế cho các giai đoạn trước khi TCA được thông qua vào năm 1997.</w:t>
      </w:r>
    </w:p>
    <w:p>
      <w:pPr>
        <w:spacing w:after="80"/>
      </w:pPr>
      <w:r>
        <w:rPr>
          <w:b w:val="0"/>
          <w:i w:val="0"/>
        </w:rPr>
        <w:t>149. Xem Chương 18. 150. Xem Chương 22, §22.14. 151. Xem Chương 22, §22.16. 152.</w:t>
      </w:r>
      <w:r>
        <w:rPr>
          <w:b w:val="0"/>
          <w:i/>
        </w:rPr>
        <w:t>Re Ó Laighléis</w:t>
      </w:r>
      <w:r>
        <w:rPr>
          <w:b w:val="0"/>
          <w:i w:val="0"/>
        </w:rPr>
        <w:t xml:space="preserve"> [1960] IR 93. 153. Việc ngầm bác bỏ sự ghi đè hiệp định bằng diễn giải đã xuất hiện trong các quan sát của Ireland về Bình luận đối với điều 1 của OECD Model (2014), tại đoạn 27.5. Ireland phản đối bất kỳ 'kết luận chung nào rằng bất kỳ xung đột nào giữa một hiệp định và các quy định chống lạm dụng trong nước đều phải được giải quyết theo hướng có lợi cho luật trong nước'. Tính tương thích của các quy định như vậy với các hiệp định thuế, theo nước này, sẽ 'phụ thuộc vào bản chất của quy định luật trong nước và cả vào mối quan hệ pháp lý và hiến định ở từng quốc gia thành viên giữa luật trong nước với các thỏa thuận và luật quốc tế'. Điều này không có trong Bình luận đối với OECD Model 2017. So sánh §2.14.</w:t>
      </w:r>
    </w:p>
    <w:p>
      <w:pPr>
        <w:spacing w:after="80"/>
      </w:pPr>
      <w:r>
        <w:rPr>
          <w:b w:val="0"/>
          <w:i w:val="0"/>
        </w:rPr>
        <w:t>55</w:t>
      </w:r>
    </w:p>
    <w:p>
      <w:pPr>
        <w:spacing w:before="240" w:after="80"/>
      </w:pPr>
      <w:r>
        <w:rPr>
          <w:b/>
          <w:sz w:val="32"/>
        </w:rPr>
        <w:t>CHƯƠNG 3 Khung pháp lý: Luật châu Âu</w:t>
      </w:r>
    </w:p>
    <w:p>
      <w:pPr>
        <w:spacing w:after="80"/>
      </w:pPr>
      <w:r>
        <w:rPr>
          <w:b/>
          <w:i w:val="0"/>
        </w:rPr>
        <w:t>§3.01 GIỚI THIỆU</w:t>
      </w:r>
    </w:p>
    <w:p>
      <w:pPr>
        <w:spacing w:after="80"/>
      </w:pPr>
      <w:r>
        <w:rPr>
          <w:b w:val="0"/>
          <w:i w:val="0"/>
        </w:rPr>
        <w:t>Liên minh châu Âu (EU) được thành lập bằng một hiệp ước quy định các điều khoản cấu thành của nó.1 Luật của Liên minh trong phạm vi thẩm quyền của mình có tính tối cao và làm vô hiệu bất kỳ hành vi lập pháp, hành chính hoặc tư pháp nào của Quốc gia thành viên trái với nó.2</w:t>
      </w:r>
    </w:p>
    <w:p>
      <w:pPr>
        <w:spacing w:after="80"/>
      </w:pPr>
      <w:r>
        <w:rPr>
          <w:b w:val="0"/>
          <w:i w:val="0"/>
        </w:rPr>
        <w:t>Do đó, các cơ quan lập pháp quốc gia không thể ghi đè luật châu Âu theo cách mà các nghĩa vụ hiệp định khác có thể bị ghi đè.</w:t>
      </w:r>
    </w:p>
    <w:p>
      <w:pPr>
        <w:spacing w:after="80"/>
      </w:pPr>
      <w:r>
        <w:rPr>
          <w:b w:val="0"/>
          <w:i w:val="0"/>
        </w:rPr>
        <w:t>Tư cách thành viên của Ireland trong Liên minh được ghi nhận tại điều 29.4 của Hiến pháp. Thẩm quyền cụ thể để phê chuẩn hiệp ước Lisbon được quy định theo hiến pháp, cùng với cam kết đối với Liên minh và việc thúc đẩy hòa bình, các giá trị chung và phúc lợi của các dân tộc trong Liên minh.3</w:t>
      </w:r>
    </w:p>
    <w:p>
      <w:pPr>
        <w:spacing w:after="80"/>
      </w:pPr>
      <w:r>
        <w:rPr>
          <w:b w:val="0"/>
          <w:i w:val="0"/>
        </w:rPr>
        <w:t>Luật của Liên minh tác động đến các hiệp định thuế ở ba khía cạnh. Thứ nhất, các hiệp định phải chịu các bài kiểm tra về tính tương thích với luật của Liên minh giống như luật trong nước của các Quốc gia thành viên. Thứ hai, một số lĩnh vực thuế vốn do các hiệp định chi phối nay được điều chỉnh bởi các biện pháp hài hòa hóa của châu Âu.4 Khi có luật hài hòa hóa toàn diện, tính tương thích của luật Quốc gia thành viên phải được đánh giá dựa trên</w:t>
      </w:r>
    </w:p>
    <w:p>
      <w:pPr>
        <w:spacing w:after="80"/>
      </w:pPr>
      <w:r>
        <w:rPr>
          <w:b w:val="0"/>
          <w:i w:val="0"/>
        </w:rPr>
        <w:t>1. Các phiên bản hợp nhất của Phiên bản hợp nhất hiện hành của Hiệp ước về chức năng của Liên minh châu Âu, kết hợp các sửa đổi được thực hiện bởi Hiệp ước Lisbon, ký ngày 13 tháng 12 năm 2007, được tìm thấy trong Official Journal of the European Union C115/479 tháng 5 năm 2008. Các điều khoản đã được đánh số lại bởi Hiệp ước Lisbon. Các tham chiếu trong cuốn sách này là theo các điều khoản được đánh số trong hiệp ước hiện tại mặc dù các vụ án được quyết định và tham chiếu đến cách đánh số hiện hành tại thời điểm vụ án. Trong cuốn sách này, TFEU được dùng để chỉ Hiệp ước về chức năng của Liên minh châu Âu và các tiền thân của nó. Thuật ngữ 'luật châu Âu' được dùng để mô tả toàn bộ luật của Cộng đồng và Liên minh. 2. Đây nay là luật hiển nhiên.</w:t>
      </w:r>
      <w:r>
        <w:rPr>
          <w:b w:val="0"/>
          <w:i/>
        </w:rPr>
        <w:t>Costa v ENEL</w:t>
      </w:r>
      <w:r>
        <w:rPr>
          <w:b w:val="0"/>
          <w:i w:val="0"/>
        </w:rPr>
        <w:t xml:space="preserve"> (Case 14/64) [1964] ECR 585. Xem, ví dụ, ở Ireland,</w:t>
      </w:r>
      <w:r>
        <w:rPr>
          <w:b w:val="0"/>
          <w:i/>
        </w:rPr>
        <w:t>Bunreacht Na hÉireann</w:t>
      </w:r>
      <w:r>
        <w:rPr>
          <w:b w:val="0"/>
          <w:i w:val="0"/>
        </w:rPr>
        <w:t>, art. 29.4.6°, s. 2. Xem thêm</w:t>
      </w:r>
      <w:r>
        <w:rPr>
          <w:b w:val="0"/>
          <w:i/>
        </w:rPr>
        <w:t xml:space="preserve"> R. v Secretary of State for Transport, ex parte Factortame Ltd</w:t>
      </w:r>
      <w:r>
        <w:rPr>
          <w:b w:val="0"/>
          <w:i w:val="0"/>
        </w:rPr>
        <w:t xml:space="preserve"> [1991] AC 603, HL. 3.</w:t>
      </w:r>
      <w:r>
        <w:rPr>
          <w:b w:val="0"/>
          <w:i/>
        </w:rPr>
        <w:t>Bunreacht</w:t>
      </w:r>
      <w:r>
        <w:rPr>
          <w:b w:val="0"/>
          <w:i w:val="0"/>
        </w:rPr>
        <w:t>, art. 29.4.4° và 29.4.5°. 4. Xem Chương 14, §§14.01ff.; Chương 21, §§21.01ff.; EU Arbitration Convention và Chương 22, §§22.01ff. Hợp tác hành chính quốc tế.</w:t>
      </w:r>
    </w:p>
    <w:p>
      <w:pPr>
        <w:spacing w:after="80"/>
      </w:pPr>
      <w:r>
        <w:rPr>
          <w:b w:val="0"/>
          <w:i w:val="0"/>
        </w:rPr>
        <w:t>57</w:t>
      </w:r>
    </w:p>
    <w:p>
      <w:pPr>
        <w:spacing w:after="80"/>
      </w:pPr>
      <w:r>
        <w:rPr>
          <w:b w:val="0"/>
          <w:i w:val="0"/>
        </w:rPr>
        <w:t>biện pháp hài hòa hóa, và không dựa trên luật cơ bản của các hiệp ước châu Âu.5</w:t>
      </w:r>
    </w:p>
    <w:p>
      <w:pPr>
        <w:spacing w:after="80"/>
      </w:pPr>
      <w:r>
        <w:rPr>
          <w:b w:val="0"/>
          <w:i w:val="0"/>
        </w:rPr>
        <w:t>Ngoài ra, chính Liên minh cũng có quyền tự mình ký kết các hiệp ước với các quốc gia thứ ba, quyền này đã được thực thi liên quan đến thuế.6</w:t>
      </w:r>
    </w:p>
    <w:p>
      <w:pPr>
        <w:spacing w:after="80"/>
      </w:pPr>
      <w:r>
        <w:rPr>
          <w:b w:val="0"/>
          <w:i w:val="0"/>
        </w:rPr>
        <w:t>Chương này xem xét khung hiến pháp của EU, trong đó các hiệp ước thuế vận hành. Pháp luật EU trong lĩnh vực thuế trực thu có tác động đến các hiệp ước thuế sẽ được thảo luận trong Chương 14.</w:t>
      </w:r>
    </w:p>
    <w:p>
      <w:pPr>
        <w:spacing w:after="80"/>
      </w:pPr>
      <w:r>
        <w:rPr>
          <w:b w:val="0"/>
          <w:i w:val="0"/>
        </w:rPr>
        <w:t>Trong một trong những vụ án rất sớm liên quan đến thuế (và một hiệp ước thuế),7 Tòa án Công lý châu Âu (ECJ) (nay là Tòa án Công lý Liên minh châu Âu (CJEU)) đã phán quyết rằng ngay cả khi không có sự hài hòa hóa thuế doanh nghiệp, mặc dù vị thế thuế của một công ty phụ thuộc vào luật quốc gia được áp dụng cho công ty đó, điều hiện nay là Điều 49 của Hiệp ước về Chức năng của Liên minh châu Âu (TFEU) vô điều kiện cấm các Quốc gia Thành viên đặt ra trong luật của mình các điều kiện cho việc theo đuổi hoạt động của những người thực hiện quyền tự do thành lập khác với những điều kiện được đặt ra cho công dân của chính họ.</w:t>
      </w:r>
    </w:p>
    <w:p>
      <w:pPr>
        <w:spacing w:after="80"/>
      </w:pPr>
      <w:r>
        <w:rPr>
          <w:b w:val="0"/>
          <w:i w:val="0"/>
        </w:rPr>
        <w:t>CJEU đã liên tục tái khẳng định quan điểm này rằng mặc dù theo luật Cộng đồng (nay là Liên minh), thuế trực thu thuộc thẩm quyền của các Quốc gia Thành viên và do đó không nằm trong phạm vi của Cộng đồng (nay là Liên minh), quyền đánh thuế mà các Quốc gia Thành viên giữ lại vẫn phải được thực thi một cách nhất quán với luật Cộng đồng (nay là Liên minh).8</w:t>
      </w:r>
    </w:p>
    <w:p>
      <w:pPr>
        <w:spacing w:after="80"/>
      </w:pPr>
      <w:r>
        <w:rPr>
          <w:b w:val="0"/>
          <w:i w:val="0"/>
        </w:rPr>
        <w:t>Trong bối cảnh các hiệp ước thuế, tòa án đã áp dụng cùng một quy tắc, cụ thể là, trong trường hợp không có các biện pháp thống nhất hoặc hài hòa hóa ở cấp Liên minh để loại bỏ đánh thuế hai lần, các Quốc gia Thành viên vẫn giữ thẩm quyền xác định các tiêu chí đánh thuế thu nhập và tài sản nhằm loại bỏ đánh thuế hai lần thông qua các hiệp ước thuế cùng các công cụ khác. Do đó, các Quốc gia Thành viên vẫn tự do xác định các yếu tố kết nối để phân bổ thẩm quyền tài phán về thuế theo các hiệp ước đó.9 Các Quốc gia Thành viên được tự do phân chia giữa họ không chỉ thẩm quyền đánh thuế mà còn cả các quy tắc ưu tiên trong thẩm quyền đánh thuế.10</w:t>
      </w:r>
    </w:p>
    <w:p>
      <w:pPr>
        <w:spacing w:after="80"/>
      </w:pPr>
      <w:r>
        <w:rPr>
          <w:b w:val="0"/>
          <w:i w:val="0"/>
        </w:rPr>
        <w:t>5.</w:t>
      </w:r>
      <w:r>
        <w:rPr>
          <w:b w:val="0"/>
          <w:i/>
        </w:rPr>
        <w:t>Euro Park Service, having assumed the rights and obligations of Cairnbulg Nanteuil v Ministre des finances et des comptes publics</w:t>
      </w:r>
      <w:r>
        <w:rPr>
          <w:b w:val="0"/>
          <w:i w:val="0"/>
        </w:rPr>
        <w:t xml:space="preserve"> (Vụ án C-14/16) ECLI:EU:C:2017:177, [2011] ECR I-12273; [2017] BTC 5, tại đoạn 19. Tòa án kết luận rằng các quy định chống lạm dụng của Điều 11(1)(a) của Chỉ thị Sáp nhập 90/434 không phải là hài hòa hóa toàn diện, xem Chương 14, §14.10.6. Xem §3.12.7.</w:t>
      </w:r>
      <w:r>
        <w:rPr>
          <w:b w:val="0"/>
          <w:i/>
        </w:rPr>
        <w:t>EC Commission v France</w:t>
      </w:r>
      <w:r>
        <w:rPr>
          <w:b w:val="0"/>
          <w:i w:val="0"/>
        </w:rPr>
        <w:t xml:space="preserve"> (Vụ án C-270/83) [1986] ECR 273.8. Xem, ví dụ, </w:t>
      </w:r>
      <w:r>
        <w:rPr>
          <w:b w:val="0"/>
          <w:i/>
        </w:rPr>
        <w:t>Finanzamt Koln-Altstadt v Schumacker</w:t>
      </w:r>
      <w:r>
        <w:rPr>
          <w:b w:val="0"/>
          <w:i w:val="0"/>
        </w:rPr>
        <w:t xml:space="preserve"> (Vụ án C-279/93) [1995] BTC 251; [1995] STC 306; [1995] ECR I-225; </w:t>
      </w:r>
      <w:r>
        <w:rPr>
          <w:b w:val="0"/>
          <w:i/>
        </w:rPr>
        <w:t>Wielockx v Inspector der Directe Belastingen</w:t>
      </w:r>
      <w:r>
        <w:rPr>
          <w:b w:val="0"/>
          <w:i w:val="0"/>
        </w:rPr>
        <w:t xml:space="preserve"> (Vụ án C-80/94) [1995] BTC 415; [1995] STC 876; </w:t>
      </w:r>
      <w:r>
        <w:rPr>
          <w:b w:val="0"/>
          <w:i/>
        </w:rPr>
        <w:t>Asscher v Staatssecretaris van Financien</w:t>
      </w:r>
      <w:r>
        <w:rPr>
          <w:b w:val="0"/>
          <w:i w:val="0"/>
        </w:rPr>
        <w:t xml:space="preserve"> (Vụ án C-107/94) [1996] BTC 563; [1996] STC 1025; </w:t>
      </w:r>
      <w:r>
        <w:rPr>
          <w:b w:val="0"/>
          <w:i/>
        </w:rPr>
        <w:t>Compagnie de Saint-Gobain, Zweigniederlassung Deutschland v Finanzamt Aachen Innenstadt</w:t>
      </w:r>
      <w:r>
        <w:rPr>
          <w:b w:val="0"/>
          <w:i w:val="0"/>
        </w:rPr>
        <w:t xml:space="preserve"> (Vụ án C-307/97) [1999] ECR I-6161; [2000] STC 854, ECJ; </w:t>
      </w:r>
      <w:r>
        <w:rPr>
          <w:b w:val="0"/>
          <w:i/>
        </w:rPr>
        <w:t>Metallgesellschaft Ltd &amp; Ors</w:t>
      </w:r>
      <w:r>
        <w:rPr>
          <w:b w:val="0"/>
          <w:i w:val="0"/>
        </w:rPr>
        <w:t xml:space="preserve"> (Vụ án C-397/98); </w:t>
      </w:r>
      <w:r>
        <w:rPr>
          <w:b w:val="0"/>
          <w:i/>
        </w:rPr>
        <w:t>Hoechst AG &amp; Hoechst UK Ltd v Commissioners of Inland Revenue &amp; Attorney-General</w:t>
      </w:r>
      <w:r>
        <w:rPr>
          <w:b w:val="0"/>
          <w:i w:val="0"/>
        </w:rPr>
        <w:t xml:space="preserve"> (Vụ án C-410/98) [2001] BTC 99, [2001] STC 452 [2001] ECR I-1727, đoạn 37; </w:t>
      </w:r>
      <w:r>
        <w:rPr>
          <w:b w:val="0"/>
          <w:i/>
        </w:rPr>
        <w:t>Marks &amp; Spencer plc v Halsey (HMIT)</w:t>
      </w:r>
      <w:r>
        <w:rPr>
          <w:b w:val="0"/>
          <w:i w:val="0"/>
        </w:rPr>
        <w:t xml:space="preserve"> (Vụ án C-446/03) [2006] BTC 318, [2008] STC 1408 [2005] ECR I-10837, đoạn 29; và </w:t>
      </w:r>
      <w:r>
        <w:rPr>
          <w:b w:val="0"/>
          <w:i/>
        </w:rPr>
        <w:t>Test Claimants in Class IV of the ACT Group Litigation v IR Commrs</w:t>
      </w:r>
      <w:r>
        <w:rPr>
          <w:b w:val="0"/>
          <w:i w:val="0"/>
        </w:rPr>
        <w:t xml:space="preserve"> (Vụ án C-374/04) [2008] BTC 305 [2007] STC 404, [2006] ECR I-11673, đoạn 36.9. </w:t>
      </w:r>
      <w:r>
        <w:rPr>
          <w:b w:val="0"/>
          <w:i/>
        </w:rPr>
        <w:t>Gilly v Directeur des Services Fiscaux du Bas-Rhin</w:t>
      </w:r>
      <w:r>
        <w:rPr>
          <w:b w:val="0"/>
          <w:i w:val="0"/>
        </w:rPr>
        <w:t xml:space="preserve"> (Vụ án C-336/96) [1998] BTC 335; [1998] ECR I-2793; [1998] STC 1014, đoạn 30 và 31; </w:t>
      </w:r>
      <w:r>
        <w:rPr>
          <w:b w:val="0"/>
          <w:i/>
        </w:rPr>
        <w:t>Denkavit International BV &amp; Anor v Ministre de l'Économie, des Finances et de l'Industrie</w:t>
      </w:r>
      <w:r>
        <w:rPr>
          <w:b w:val="0"/>
          <w:i w:val="0"/>
        </w:rPr>
        <w:t xml:space="preserve"> (Vụ án C-170/05) [2008] BTC 418 tại đoạn 43; [2007] STC 452; [1998] ECR I-2793.10. </w:t>
      </w:r>
      <w:r>
        <w:rPr>
          <w:b w:val="0"/>
          <w:i/>
        </w:rPr>
        <w:t>Test Claimants in Class IV of the ACT Group Litigation v Inland Revenue Commissioners</w:t>
      </w:r>
      <w:r>
        <w:rPr>
          <w:b w:val="0"/>
          <w:i w:val="0"/>
        </w:rPr>
        <w:t xml:space="preserve"> (Vụ án C-374/04) [2008] BTC 305; [2007] STC 404; ECR I-11673.</w:t>
      </w:r>
    </w:p>
    <w:p>
      <w:pPr>
        <w:spacing w:after="80"/>
      </w:pPr>
      <w:r>
        <w:rPr>
          <w:b w:val="0"/>
          <w:i w:val="0"/>
        </w:rPr>
        <w:t>58</w:t>
      </w:r>
    </w:p>
    <w:p>
      <w:pPr>
        <w:spacing w:after="80"/>
      </w:pPr>
      <w:r>
        <w:rPr>
          <w:b w:val="0"/>
          <w:i w:val="0"/>
        </w:rPr>
        <w:t>Tuy nhiên, việc phân bổ thẩm quyền tài phán về thuế như vậy không cho phép các Quốc gia Thành viên đưa ra các biện pháp phân biệt đối xử hạn chế hoạt động của thị trường đơn nhất và trái với các quy tắc của Liên minh.11</w:t>
      </w:r>
    </w:p>
    <w:p>
      <w:pPr>
        <w:spacing w:after="80"/>
      </w:pPr>
      <w:r>
        <w:rPr>
          <w:b/>
          <w:i w:val="0"/>
        </w:rPr>
        <w:t>[A] Các quyền tự do cơ bản</w:t>
      </w:r>
    </w:p>
    <w:p>
      <w:pPr>
        <w:spacing w:after="80"/>
      </w:pPr>
      <w:r>
        <w:rPr>
          <w:b w:val="0"/>
          <w:i w:val="0"/>
        </w:rPr>
        <w:t>Các biện pháp thuế trực thu có khả năng bị kiểm tra theo một số điều khoản của TFEU:</w:t>
      </w:r>
    </w:p>
    <w:p>
      <w:pPr>
        <w:spacing w:after="80"/>
      </w:pPr>
      <w:r>
        <w:rPr>
          <w:b w:val="0"/>
          <w:i w:val="0"/>
        </w:rPr>
        <w:t>(1) Điều 18 cấm mọi sự phân biệt đối xử trên cơ sở quốc tịch. Lệnh cấm</w:t>
      </w:r>
    </w:p>
    <w:p>
      <w:pPr>
        <w:spacing w:after="80"/>
      </w:pPr>
      <w:r>
        <w:rPr>
          <w:b w:val="0"/>
          <w:i w:val="0"/>
        </w:rPr>
        <w:t>này được quy định theo các thuật ngữ tương tự như lệnh cấm trong Điều 24(1) của Hiệp ước Mẫu OECD.12 ECJ thích dựa vào các lệnh cấm cụ thể ở các phần khác của TFEU.(2) Điều 21(1) trao cho mọi công dân của Liên minh13 quyền di chuyển và cư trú</w:t>
      </w:r>
    </w:p>
    <w:p>
      <w:pPr>
        <w:spacing w:after="80"/>
      </w:pPr>
      <w:r>
        <w:rPr>
          <w:b w:val="0"/>
          <w:i w:val="0"/>
        </w:rPr>
        <w:t>tự do trong lãnh thổ của các Quốc gia Thành viên, tùy thuộc vào các giới hạn và điều kiện được quy định trong các Hiệp ước của Liên minh và bởi các biện pháp được thông qua để thực thi điều đó.(3) Điều 45 trao quyền tự do di chuyển cho người lao động. Điều này kéo theo việc bãi bỏ</w:t>
      </w:r>
    </w:p>
    <w:p>
      <w:pPr>
        <w:spacing w:after="80"/>
      </w:pPr>
      <w:r>
        <w:rPr>
          <w:b w:val="0"/>
          <w:i w:val="0"/>
        </w:rPr>
        <w:t>sự phân biệt đối xử dựa trên quốc tịch liên quan đến việc làm, thù lao và các điều kiện làm việc và việc làm khác. Nó bao gồm quyền chấp nhận lời đề nghị việc làm, di chuyển tự do trong EU và ở lại một Quốc gia Thành viên trong và sau khi làm việc.(4) Điều 49 cấm các hạn chế đối với quyền tự do thành lập của công dân</w:t>
      </w:r>
    </w:p>
    <w:p>
      <w:pPr>
        <w:spacing w:after="80"/>
      </w:pPr>
      <w:r>
        <w:rPr>
          <w:b w:val="0"/>
          <w:i w:val="0"/>
        </w:rPr>
        <w:t>of a Member State in the territory of another Member State, including restrictions on the setting up of agencies, branches or subsidiaries in any Member State. Freedom of establishment includes the right to take up and pursue activities as self-employed persons and to set up and manage undertakings, in particular companies or firms. (5) Article 54 extends the freedom of establishment rules to companies formed or</w:t>
      </w:r>
    </w:p>
    <w:p>
      <w:pPr>
        <w:spacing w:after="80"/>
      </w:pPr>
      <w:r>
        <w:rPr>
          <w:b w:val="0"/>
          <w:i w:val="0"/>
        </w:rPr>
        <w:t>managed in a Member State. (6) Article 56 prohibits restrictions on freedom of nationals of Member States who</w:t>
      </w:r>
    </w:p>
    <w:p>
      <w:pPr>
        <w:spacing w:after="80"/>
      </w:pPr>
      <w:r>
        <w:rPr>
          <w:b w:val="0"/>
          <w:i w:val="0"/>
        </w:rPr>
        <w:t>are established in a Member State to provide services within the EU. (7) Article 63 guarantees free movement of capital by prohibiting all restrictions</w:t>
      </w:r>
    </w:p>
    <w:p>
      <w:pPr>
        <w:spacing w:after="80"/>
      </w:pPr>
      <w:r>
        <w:rPr>
          <w:b w:val="0"/>
          <w:i w:val="0"/>
        </w:rPr>
        <w:t>on the movement of capital and payments between Member States and between Member States and third countries.</w:t>
      </w:r>
    </w:p>
    <w:p>
      <w:pPr>
        <w:spacing w:after="80"/>
      </w:pPr>
      <w:r>
        <w:rPr>
          <w:b w:val="0"/>
          <w:i w:val="0"/>
        </w:rPr>
        <w:t>11.</w:t>
      </w:r>
      <w:r>
        <w:rPr>
          <w:b w:val="0"/>
          <w:i/>
        </w:rPr>
        <w:t>Bouanich v Skatteverket</w:t>
      </w:r>
      <w:r>
        <w:rPr>
          <w:b w:val="0"/>
          <w:i w:val="0"/>
        </w:rPr>
        <w:t xml:space="preserve"> (Case C-265/04) [2010] BTC 714, [2008] STC 2020, [2006] ECR I-923, paras 50 and 51 (ECJ). 12. Xem Chương 16, §16.04. 13. Quyền công dân của Liên minh được thiết lập bởi art. 21 cho mọi người có quốc tịch của một Member State. Quyền công dân của Liên minh bổ sung và không thay thế quốc tịch quốc gia.</w:t>
      </w:r>
    </w:p>
    <w:p>
      <w:pPr>
        <w:spacing w:after="80"/>
      </w:pPr>
      <w:r>
        <w:rPr>
          <w:b w:val="0"/>
          <w:i w:val="0"/>
        </w:rPr>
        <w:t>59</w:t>
      </w:r>
    </w:p>
    <w:p>
      <w:pPr>
        <w:spacing w:after="80"/>
      </w:pPr>
      <w:r>
        <w:rPr>
          <w:b/>
          <w:i w:val="0"/>
        </w:rPr>
        <w:t>[B]Các biện pháp bào chữa cho những hạn chế</w:t>
      </w:r>
    </w:p>
    <w:p>
      <w:pPr>
        <w:spacing w:after="80"/>
      </w:pPr>
      <w:r>
        <w:rPr>
          <w:b w:val="0"/>
          <w:i w:val="0"/>
        </w:rPr>
        <w:t>Những quyền tự do cơ bản này không phải là vô hạn. Ngoài những giới hạn được thể hiện trong chính các quyền tự do, các biện pháp bào chữa cho các biện pháp thuế mà nếu không sẽ vi phạm các quyền tự do có thể được thiết lập trên cơ sở các điều khoản sau:</w:t>
      </w:r>
    </w:p>
    <w:p>
      <w:pPr>
        <w:spacing w:after="80"/>
      </w:pPr>
      <w:r>
        <w:rPr>
          <w:b w:val="0"/>
          <w:i w:val="0"/>
        </w:rPr>
        <w:t>–</w:t>
      </w:r>
      <w:r>
        <w:rPr>
          <w:b w:val="0"/>
          <w:i/>
        </w:rPr>
        <w:t>Điều 52</w:t>
      </w:r>
      <w:r>
        <w:rPr>
          <w:b w:val="0"/>
          <w:i w:val="0"/>
        </w:rPr>
        <w:t xml:space="preserve">: chính sách công, an toàn công cộng, sức khỏe cộng đồng; và – </w:t>
      </w:r>
      <w:r>
        <w:rPr>
          <w:b w:val="0"/>
          <w:i/>
        </w:rPr>
        <w:t>Điều 65</w:t>
      </w:r>
      <w:r>
        <w:rPr>
          <w:b w:val="0"/>
          <w:i w:val="0"/>
        </w:rPr>
        <w:t>: sự phân biệt dựa trên nơi cư trú hoặc nơi vốn được đầu tư</w:t>
      </w:r>
    </w:p>
    <w:p>
      <w:pPr>
        <w:spacing w:after="80"/>
      </w:pPr>
      <w:r>
        <w:rPr>
          <w:b w:val="0"/>
          <w:i w:val="0"/>
        </w:rPr>
        <w:t>và để ngăn chặn sự vi phạm pháp luật quốc gia, đặc biệt là thuế. Biện pháp bào chữa này chỉ giới hạn trong các trường hợp của art. 63.</w:t>
      </w:r>
    </w:p>
    <w:p>
      <w:pPr>
        <w:spacing w:after="80"/>
      </w:pPr>
      <w:r>
        <w:rPr>
          <w:b w:val="0"/>
          <w:i w:val="0"/>
        </w:rPr>
        <w:t>Vì các trường hợp liên quan đến hoạt động xuyên biên giới chắc chắn liên quan đến các vấn đề hiệp định thuế, các tham chiếu đến các hiệp định xuất hiện trong nhiều trường hợp liên quan đến những quyền tự do này đã được đưa ra trước Tòa án Công lý. Trong các phán quyết gần đây, tòa án đã áp dụng một cách tiếp cận có hệ thống để phân tích những vấn đề này: (1) Quyền tự do nào của EU được áp dụng? (2) Có sự hạn chế đối với quyền tự do liên quan không? (3) Nếu có, sự hạn chế đó có chính đáng không? (4) Nếu sự hạn chế là chính đáng, nó có tương xứng không? 14 Các hiệp định thuế xuất hiện ở tất cả các giai đoạn của quá trình điều tra.</w:t>
      </w:r>
    </w:p>
    <w:p>
      <w:pPr>
        <w:spacing w:after="80"/>
      </w:pPr>
      <w:r>
        <w:rPr>
          <w:b/>
          <w:i w:val="0"/>
        </w:rPr>
        <w:t>[C]Viện trợ Nhà nước</w:t>
      </w:r>
    </w:p>
    <w:p>
      <w:pPr>
        <w:spacing w:after="80"/>
      </w:pPr>
      <w:r>
        <w:rPr>
          <w:b w:val="0"/>
          <w:i w:val="0"/>
        </w:rPr>
        <w:t>Bất kỳ khoản viện trợ có chọn lọc nào được cấp bởi một Member State hoặc thông qua các nguồn lực nhà nước dưới bất kỳ hình thức nào làm bóp méo hoặc đe dọa bóp méo cạnh tranh bằng cách ưu đãi một số doanh nghiệp nhất định gây ảnh hưởng đến thương mại giữa các Member State đều không tương thích với thị trường nội bộ. 15 Khoản viện trợ như vậy có thể được cung cấp thông qua hệ thống thuế. 16 Điều này có thể dưới hình thức các khoản miễn giảm thuế, giảm cơ sở tính thuế hoặc các hình thức ưu đãi thuế khác. Nếu Ủy ban phát hiện rằng viện trợ được cấp bởi một quốc gia hoặc thông qua các nguồn lực nhà nước không tương thích với thị trường nội bộ, hoặc rằng viện trợ đó đang bị lạm dụng, Ủy ban phải yêu cầu quốc gia đó bãi bỏ hoặc thay đổi viện trợ đó trong một thời hạn cụ thể. 17 Nếu quốc gia liên quan không tuân thủ, Ủy ban, hoặc bất kỳ quốc gia quan tâm nào khác, có thể chuyển vấn đề lên CJEU. 18 Các hiệp định thuế thường được áp dụng chung và do đó nằm ngoài phạm vi viện trợ nhà nước. 19</w:t>
      </w:r>
    </w:p>
    <w:p>
      <w:pPr>
        <w:spacing w:after="80"/>
      </w:pPr>
      <w:r>
        <w:rPr>
          <w:b w:val="0"/>
          <w:i w:val="0"/>
        </w:rPr>
        <w:t xml:space="preserve">14. Xem, ví dụ, </w:t>
      </w:r>
      <w:r>
        <w:rPr>
          <w:b w:val="0"/>
          <w:i/>
        </w:rPr>
        <w:t>Société de Gestion Industrielle (SGI) v Belgium</w:t>
      </w:r>
      <w:r>
        <w:rPr>
          <w:b w:val="0"/>
          <w:i w:val="0"/>
        </w:rPr>
        <w:t xml:space="preserve"> (Case C-311/08) [2011] BTC 123; [2010] ECR I-487; [2010] 2 CMLR 1017 [2011] BTC 123; </w:t>
      </w:r>
      <w:r>
        <w:rPr>
          <w:b w:val="0"/>
          <w:i/>
        </w:rPr>
        <w:t>National Grid Indus BV v Inspecteur van de Belastingdienst Rijnmond/kantoor Rotterdam</w:t>
      </w:r>
      <w:r>
        <w:rPr>
          <w:b w:val="0"/>
          <w:i w:val="0"/>
        </w:rPr>
        <w:t xml:space="preserve"> (Case C-371/10) [2012] BTC 385; [2012] 1 CMLR 1409; [2012] STC 114. Ở một mức độ nào đó, cách tiếp cận có hệ thống phụ thuộc vào cách thức mà các câu hỏi được chuyển đến CJEU được đặt ra. </w:t>
      </w:r>
      <w:r>
        <w:rPr>
          <w:b w:val="0"/>
          <w:i/>
        </w:rPr>
        <w:t>National Grid Indus</w:t>
      </w:r>
      <w:r>
        <w:rPr>
          <w:b w:val="0"/>
          <w:i w:val="0"/>
        </w:rPr>
        <w:t xml:space="preserve"> là một ví dụ điển hình về cách tiếp cận có hệ thống của tòa án chuyển vấn đề. Trong trường hợp đó, chính tòa án quốc gia đã quyết định rằng thuế xuất cảnh là một sự hạn chế và do đó CJEU không được yêu cầu giải quyết điểm đó. 15. TFEU Điều 107(1). 16. </w:t>
      </w:r>
      <w:r>
        <w:rPr>
          <w:b w:val="0"/>
          <w:i/>
        </w:rPr>
        <w:t>Commission v Italy</w:t>
      </w:r>
      <w:r>
        <w:rPr>
          <w:b w:val="0"/>
          <w:i w:val="0"/>
        </w:rPr>
        <w:t xml:space="preserve"> (Case C-173/73) [1974] ECR 709 tại [13]. 17. Quan điểm của Ủy ban về việc áp dụng các quy tắc viện trợ nhà nước đối với thuế kinh doanh trực tiếp được nêu trong: Thông báo của Ủy ban về việc áp dụng các quy tắc viện trợ nhà nước đối với các biện pháp liên quan đến thuế kinh doanh trực tiếp 98/C 384/03 (OJ C 384, 10.12.1998). 18. TFEU, Art. 108. 19. Chỉ những hiệp định đặc biệt mới đề cập đến những người nộp thuế cụ thể, chẳng hạn như art. 9 của Công ước giữa Chính phủ Vương quốc Liên hiệp Anh và Bắc Ireland và</w:t>
      </w:r>
    </w:p>
    <w:p>
      <w:pPr>
        <w:spacing w:after="80"/>
      </w:pPr>
      <w:r>
        <w:rPr>
          <w:b w:val="0"/>
          <w:i w:val="0"/>
        </w:rPr>
        <w:t>60</w:t>
      </w:r>
    </w:p>
    <w:p>
      <w:pPr>
        <w:spacing w:after="80"/>
      </w:pPr>
      <w:r>
        <w:rPr>
          <w:b w:val="0"/>
          <w:i w:val="0"/>
        </w:rPr>
        <w:t xml:space="preserve">Một phán quyết giải thích sai một hiệp định thuế, do đó tạo ra một lợi thế chọn lọc gây bóp méo, có thể là viện trợ nhà nước. </w:t>
      </w:r>
      <w:r>
        <w:rPr>
          <w:b w:val="0"/>
          <w:i/>
        </w:rPr>
        <w:t>Trong Luxembourg – Viện trợ bị cáo buộc cho McDonald’s, SA.38945</w:t>
      </w:r>
      <w:r>
        <w:rPr>
          <w:b w:val="0"/>
          <w:i w:val="0"/>
        </w:rPr>
        <w:t>, 20</w:t>
      </w:r>
    </w:p>
    <w:p>
      <w:pPr>
        <w:spacing w:after="80"/>
      </w:pPr>
      <w:r>
        <w:rPr>
          <w:b w:val="0"/>
          <w:i w:val="0"/>
        </w:rPr>
        <w:t>chi nhánh Hoa Kỳ của McD Europe Franchising, S.à.r.l., một công ty Luxembourg, nắm giữ quyền nhượng quyền thương mại châu Âu của McDonald's và nhận tiền bản quyền từ việc sử dụng chúng. Theo luật thuế nội địa Hoa Kỳ, công ty này không có sự hiện diện chịu thuế tại Hoa Kỳ. Cơ quan thuế Luxembourg đã ban hành một phán quyết rằng, vì các quyền này được quy cho một cơ sở thường trú (permanent establishment) tại Hoa Kỳ theo luật Luxembourg và Điều 7 của hiệp định thuế song phương Luxembourg–Hoa Kỳ mà Hoa Kỳ được quyền đánh thuế nhưng thực tế không đánh thuế, nên lợi nhuận được quy cho cơ sở thường trú đó được miễn thuế Luxembourg theo Điều 25 (loại trừ đánh thuế hai lần) của hiệp định. Ủy ban đã khởi xướng thủ tục cho rằng phán quyết này là viện trợ nhà nước (state aid) với lý do vì Hoa Kỳ không thể đánh thuế chi nhánh Hoa Kỳ theo luật nội địa của mình, việc miễn thuế Luxembourg cho họ là việc áp dụng sai hiệp định và mang lại lợi thế chọn lọc. Ủy ban kết luận rằng các phán quyết này không cấu thành viện trợ nhà nước, điều chỉ có thể dựa trên cơ sở rằng hiệp định đã được giải thích đúng đắn. Tuy nhiên, cuộc điều tra cho thấy các hiệp định thuế không khác gì các nguồn luật khác trong các vấn đề viện trợ nhà nước.</w:t>
      </w:r>
    </w:p>
    <w:p>
      <w:pPr>
        <w:spacing w:after="80"/>
      </w:pPr>
      <w:r>
        <w:rPr>
          <w:b w:val="0"/>
          <w:i w:val="0"/>
        </w:rPr>
        <w:t>Các quyền tự do cơ bản và viện trợ nhà nước đều là những ứng dụng của nguyên tắc bình đẳng. Các quyền tự do cơ bản yêu cầu không được đối xử kém thuận lợi hơn, trong khi viện trợ nhà nước cấm đối xử thuận lợi hơn. Có thể xảy ra việc một luật duy nhất của một Quốc gia Thành viên vi phạm cả hai.21</w:t>
      </w:r>
    </w:p>
    <w:p>
      <w:pPr>
        <w:spacing w:after="80"/>
      </w:pPr>
      <w:r>
        <w:rPr>
          <w:b/>
          <w:i w:val="0"/>
        </w:rPr>
        <w:t>§3.02 CÁC HIỆP ĐỊNH VÀ LUẬT NỘI ĐỊA CỦA QUỐC GIA THÀNH VIÊN</w:t>
      </w:r>
    </w:p>
    <w:p>
      <w:pPr>
        <w:spacing w:after="80"/>
      </w:pPr>
      <w:r>
        <w:rPr>
          <w:b w:val="0"/>
          <w:i w:val="0"/>
        </w:rPr>
        <w:t xml:space="preserve">CJEU sẽ không phán quyết về việc hiệp định ghi đè, việc không thực thi một hiệp định, hay mối quan hệ giữa một hiệp định và luật nội địa của một Quốc gia Thành viên. CJEU không có thẩm quyền theo Điều 267 TFEU để phán quyết về những câu hỏi như vậy, vì chúng không liên quan đến việc giải thích luật Liên minh.22 Trong </w:t>
      </w:r>
      <w:r>
        <w:rPr>
          <w:b w:val="0"/>
          <w:i/>
        </w:rPr>
        <w:t>Columbus Containers</w:t>
      </w:r>
      <w:r>
        <w:rPr>
          <w:b w:val="0"/>
          <w:i w:val="0"/>
        </w:rPr>
        <w:t>, Điều 23 của hiệp định Bỉ-Đức miễn thuế đối với thu nhập của cư dân Đức vốn chịu thuế tại Bỉ theo hiệp định. Quy tắc này đã bị luật nội địa ghi đè trong trường hợp thu nhập thụ động được chỉ định chịu thuế suất thấp ở nước ngoài. Việc đánh thuế hai lần đối với thu nhập thụ động được chỉ định như vậy</w:t>
      </w:r>
    </w:p>
    <w:p>
      <w:pPr>
        <w:spacing w:after="80"/>
      </w:pPr>
      <w:r>
        <w:rPr>
          <w:b w:val="0"/>
          <w:i w:val="0"/>
        </w:rPr>
        <w:t xml:space="preserve">Hiệp định giữa Chính phủ Cộng hòa Pháp về việc Tránh đánh thuế hai lần và Ngăn ngừa trốn thuế liên quan đến Thuế thu nhập và Thuế lợi tức vốn ngày 19 tháng 6 năm 2008 (SI 2009/226) áp dụng cho các nhà nhượng quyền được chỉ định khai thác Đường hầm Channel. Xem Chương 13, §13.05. Trong </w:t>
      </w:r>
      <w:r>
        <w:rPr>
          <w:b w:val="0"/>
          <w:i/>
        </w:rPr>
        <w:t>Congregacion de Escuelas Pias Provincia Betania</w:t>
      </w:r>
      <w:r>
        <w:rPr>
          <w:b w:val="0"/>
          <w:i w:val="0"/>
        </w:rPr>
        <w:t xml:space="preserve"> (Vụ án C-74/16) ECLI:EU:C:2017:496, tòa án CJEU đã phán quyết rằng việc miễn thuế được cấp cho Giáo hội Công giáo theo một hiệp định giữa Tây Ban Nha và Tòa thánh, xem, một quốc gia thứ ba, không ngăn cản việc nó được coi là một biện pháp được tài trợ bởi nhà nước hoặc thông qua nguồn lực nhà nước cho mục đích của Điều 107(1).20. Ủy ban châu Âu, </w:t>
      </w:r>
      <w:r>
        <w:rPr>
          <w:b w:val="0"/>
          <w:i/>
        </w:rPr>
        <w:t>Viện trợ nhà nước – Cáo buộc viện trợ cho McDonald's tại Luxembourg</w:t>
      </w:r>
      <w:r>
        <w:rPr>
          <w:b w:val="0"/>
          <w:i w:val="0"/>
        </w:rPr>
        <w:t xml:space="preserve">, SA.38945 (2015/C)(ex2015/NN)(2016/C258/03); Quyết định của Ủy ban ngày 19.9.2018 về các phán quyết thuế SA.38945(2015/C) (ex 2015/NN) (ex 2014/CP) được Luxembourg cấp có lợi cho McDonald's Europe.21. </w:t>
      </w:r>
      <w:r>
        <w:rPr>
          <w:b w:val="0"/>
          <w:i/>
        </w:rPr>
        <w:t>A-Fonds v Inspecteur van de Belastingdienst</w:t>
      </w:r>
      <w:r>
        <w:rPr>
          <w:b w:val="0"/>
          <w:i w:val="0"/>
        </w:rPr>
        <w:t xml:space="preserve"> (Vụ án C-598/17) ECLI:EU:C:2019:352.22. </w:t>
      </w:r>
      <w:r>
        <w:rPr>
          <w:b w:val="0"/>
          <w:i/>
        </w:rPr>
        <w:t>Columbus Container Services BVBA &amp; Co. v Finanzamt Bielefeld-Innenstadt</w:t>
      </w:r>
      <w:r>
        <w:rPr>
          <w:b w:val="0"/>
          <w:i w:val="0"/>
        </w:rPr>
        <w:t xml:space="preserve"> (Vụ án C-298/05) [2007] ECR I-02999; [2011] BTC 551; [2008] STC 2554, đoạn phán quyết 46, ý kiến của Tổng biện lý đoạn 46; </w:t>
      </w:r>
      <w:r>
        <w:rPr>
          <w:b w:val="0"/>
          <w:i/>
        </w:rPr>
        <w:t>Algemene Maatschappij voor Investering en Dienstverlening NV (AMID) v Nhà nước Bỉ</w:t>
      </w:r>
      <w:r>
        <w:rPr>
          <w:b w:val="0"/>
          <w:i w:val="0"/>
        </w:rPr>
        <w:t xml:space="preserve"> (Vụ án C-141/99) [2004] BTC 141, [2003] STC 356, [2000] ECR I-11619, đoạn 18; </w:t>
      </w:r>
      <w:r>
        <w:rPr>
          <w:b w:val="0"/>
          <w:i/>
        </w:rPr>
        <w:t>Gilly &amp; Anor v Directeur des Services Fiscaux du Bas-Rhin</w:t>
      </w:r>
      <w:r>
        <w:rPr>
          <w:b w:val="0"/>
          <w:i w:val="0"/>
        </w:rPr>
        <w:t xml:space="preserve"> (Vụ án C-336/96) [1998] BTC 335, [1998] STC 1014, [1998] ECR I-2793, Ý kiến của Tổng biện lý đoạn 25.</w:t>
      </w:r>
    </w:p>
    <w:p>
      <w:pPr>
        <w:spacing w:after="80"/>
      </w:pPr>
      <w:r>
        <w:rPr>
          <w:b w:val="0"/>
          <w:i w:val="0"/>
        </w:rPr>
        <w:t>61</w:t>
      </w:r>
    </w:p>
    <w:p>
      <w:pPr>
        <w:spacing w:after="80"/>
      </w:pPr>
      <w:r>
        <w:rPr>
          <w:b w:val="0"/>
          <w:i w:val="0"/>
        </w:rPr>
        <w:t>thu nhập thụ động được chỉ định đã được giảm nhẹ đơn phương bằng cách khấu trừ thuế nước ngoài đã nộp. Cách tiếp cận của tòa án trong những trường hợp như vậy là coi các quy định của hiệp định như một phần của khuôn khổ pháp lý áp dụng cho vụ án. Do đó, hiệu lực kết hợp thực tế của một hiệp định và luật nội địa cần được tính đến khi đánh giá liệu có sự hạn chế đối với các quyền tự do được TFEU bảo đảm hay không. Nếu không, thực tế kinh tế trong hoạt động của người nộp thuế đó và bất kỳ ưu đãi nào liên quan đến bối cảnh xuyên biên giới, đặc biệt, sẽ không được tính đến.23</w:t>
      </w:r>
    </w:p>
    <w:p>
      <w:pPr>
        <w:spacing w:after="80"/>
      </w:pPr>
      <w:r>
        <w:rPr>
          <w:b/>
          <w:i w:val="0"/>
        </w:rPr>
        <w:t>[A] Giải thích các hiệp định thuế</w:t>
      </w:r>
    </w:p>
    <w:p>
      <w:pPr>
        <w:spacing w:after="80"/>
      </w:pPr>
      <w:r>
        <w:rPr>
          <w:b w:val="0"/>
          <w:i w:val="0"/>
        </w:rPr>
        <w:t xml:space="preserve">Tương tự, Tòa án sẽ không giải thích một hiệp định thuế hay thiết lập các nghĩa vụ phát sinh theo hiệp định đó khi xem xét việc áp dụng các quyền tự do cơ bản. Trong </w:t>
      </w:r>
      <w:r>
        <w:rPr>
          <w:b w:val="0"/>
          <w:i/>
        </w:rPr>
        <w:t>Damseaux v Bỉ</w:t>
      </w:r>
      <w:r>
        <w:rPr>
          <w:b w:val="0"/>
          <w:i w:val="0"/>
        </w:rPr>
        <w:t>,24 một tranh chấp đã phát sinh về việc giải thích và áp dụng Điều 19A của hiệp định Pháp-Bỉ và người nộp thuế lập luận rằng Bỉ đã không thực thi hiệp định đó. Tòa án đã phán quyết rằng đây là những vấn đề thuộc thẩm quyền của tòa án quốc gia quyết định.</w:t>
      </w:r>
    </w:p>
    <w:p>
      <w:pPr>
        <w:spacing w:after="80"/>
      </w:pPr>
      <w:r>
        <w:rPr>
          <w:b w:val="0"/>
          <w:i w:val="0"/>
        </w:rPr>
        <w:t xml:space="preserve">CJEU có thể được yêu cầu giải thích một hiệp định thuế khi các Quốc gia Thành viên đệ trình vấn đề lên Tòa án bằng thỏa thuận đặc biệt theo Điều 273 TFEU. Theo Điều 25(5) của hiệp định thuế song phương Đức-Áo, các câu hỏi chưa được giải quyết bằng thủ tục thỏa thuận chung có thể được đệ trình lên Tòa án để trọng tài theo Điều 273 TFEU. Trong </w:t>
      </w:r>
      <w:r>
        <w:rPr>
          <w:b w:val="0"/>
          <w:i/>
        </w:rPr>
        <w:t>Cộng hòa Áo v Cộng hòa Liên bang Đức</w:t>
      </w:r>
      <w:r>
        <w:rPr>
          <w:b w:val="0"/>
          <w:i w:val="0"/>
        </w:rPr>
        <w:t>,25 Tổng biện lý Mengozzi đã đưa ra ý kiến rằng, khi đệ trình lên thẩm quyền của Tòa án, các quốc gia thành viên cũng đồng ý để Tòa án áp dụng toàn bộ luật EU điều chỉnh quyền hạn và thủ tục của mình, trong trường hợp không có các quy định khác trong hiệp định.26</w:t>
      </w:r>
    </w:p>
    <w:p>
      <w:pPr>
        <w:spacing w:after="80"/>
      </w:pPr>
      <w:r>
        <w:rPr>
          <w:b w:val="0"/>
          <w:i w:val="0"/>
        </w:rPr>
        <w:t>Tòa án cũng sẽ được yêu cầu giải thích một hiệp định thuế khi việc giải thích đúng đắn hiệp định đó là đối tượng của một tranh chấp viện trợ nhà nước.27</w:t>
      </w:r>
    </w:p>
    <w:p>
      <w:pPr>
        <w:spacing w:after="80"/>
      </w:pPr>
      <w:r>
        <w:rPr>
          <w:b/>
          <w:i w:val="0"/>
        </w:rPr>
        <w:t>§3.03 PHẠM VI CÁ NHÂN</w:t>
      </w:r>
    </w:p>
    <w:p>
      <w:pPr>
        <w:spacing w:after="80"/>
      </w:pPr>
      <w:r>
        <w:rPr>
          <w:b w:val="0"/>
          <w:i w:val="0"/>
        </w:rPr>
        <w:t>Điều 18 TFEU cấm phân biệt đối xử dựa trên quốc tịch trong phạm vi áp dụng của hiệp định đó. Tương tự, quyền tự do thành lập và cung cấp dịch vụ được cấp cho công dân của các Quốc gia Thành viên. Các quy định về đối xử quốc gia được mở rộng cho các công ty hoặc hãng theo Điều 48 liên quan đến quyền thành lập. Do đó, một công ty hoặc hãng được thành lập theo luật của một Quốc gia Thành viên và có trụ sở đăng ký, ban quản lý trung tâm hoặc địa điểm kinh doanh chính trong</w:t>
      </w:r>
    </w:p>
    <w:p>
      <w:pPr>
        <w:spacing w:after="80"/>
      </w:pPr>
      <w:r>
        <w:rPr>
          <w:b w:val="0"/>
          <w:i w:val="0"/>
        </w:rPr>
        <w:t xml:space="preserve">23. </w:t>
      </w:r>
      <w:r>
        <w:rPr>
          <w:b w:val="0"/>
          <w:i/>
        </w:rPr>
        <w:t>Columbus Containers AG</w:t>
      </w:r>
      <w:r>
        <w:rPr>
          <w:b w:val="0"/>
          <w:i w:val="0"/>
        </w:rPr>
        <w:t xml:space="preserve">, đoạn 47; </w:t>
      </w:r>
      <w:r>
        <w:rPr>
          <w:b w:val="0"/>
          <w:i/>
        </w:rPr>
        <w:t>Denkavit Internationaal</w:t>
      </w:r>
      <w:r>
        <w:rPr>
          <w:b w:val="0"/>
          <w:i w:val="0"/>
        </w:rPr>
        <w:t xml:space="preserve"> và </w:t>
      </w:r>
      <w:r>
        <w:rPr>
          <w:b w:val="0"/>
          <w:i/>
        </w:rPr>
        <w:t>Denkavit France</w:t>
      </w:r>
      <w:r>
        <w:rPr>
          <w:b w:val="0"/>
          <w:i w:val="0"/>
        </w:rPr>
        <w:t xml:space="preserve"> phán quyết, đoạn 45; Ý kiến của Tổng biện lý, đoạn 33-38. Điều này được xác nhận bởi một dòng án lệ nhất quán, ví dụ: Vụ án C-414/06 </w:t>
      </w:r>
      <w:r>
        <w:rPr>
          <w:b w:val="0"/>
          <w:i/>
        </w:rPr>
        <w:t>Lidl Belgium</w:t>
      </w:r>
      <w:r>
        <w:rPr>
          <w:b w:val="0"/>
          <w:i w:val="0"/>
        </w:rPr>
        <w:t xml:space="preserve"> (tại đoạn 51); </w:t>
      </w:r>
      <w:r>
        <w:rPr>
          <w:b w:val="0"/>
          <w:i/>
        </w:rPr>
        <w:t>Ủy ban v Ý</w:t>
      </w:r>
      <w:r>
        <w:rPr>
          <w:b w:val="0"/>
          <w:i w:val="0"/>
        </w:rPr>
        <w:t xml:space="preserve"> (Vụ án C-540/07) [2009] ECR I-10983; </w:t>
      </w:r>
      <w:r>
        <w:rPr>
          <w:b w:val="0"/>
          <w:i/>
        </w:rPr>
        <w:t>Ủy ban v Tây Ban Nha</w:t>
      </w:r>
      <w:r>
        <w:rPr>
          <w:b w:val="0"/>
          <w:i w:val="0"/>
        </w:rPr>
        <w:t xml:space="preserve"> (Vụ án C-487/08) [2008] ECR I-03601; Ngược lại là </w:t>
      </w:r>
      <w:r>
        <w:rPr>
          <w:b w:val="0"/>
          <w:i/>
        </w:rPr>
        <w:t>Staatssecretaris van Financiën v Orange European Smallcap Fund NV</w:t>
      </w:r>
      <w:r>
        <w:rPr>
          <w:b w:val="0"/>
          <w:i w:val="0"/>
        </w:rPr>
        <w:t xml:space="preserve"> (Vụ án C-194/06) [2010] ECR I-04843 [2011] BTC 473 (tại đoạn 112-114) mà đã không được tuân theo.24. </w:t>
      </w:r>
      <w:r>
        <w:rPr>
          <w:b w:val="0"/>
          <w:i/>
        </w:rPr>
        <w:t>Damseaux v Bỉ</w:t>
      </w:r>
      <w:r>
        <w:rPr>
          <w:b w:val="0"/>
          <w:i w:val="0"/>
        </w:rPr>
        <w:t xml:space="preserve"> (Vụ án C-128/08) [2008] ECR I-03747 [2009] BTC 746; [2009] STC 2689. Xem §3.12 về việc giải thích các hiệp định do chính EU ký kết.25. </w:t>
      </w:r>
      <w:r>
        <w:rPr>
          <w:b w:val="0"/>
          <w:i/>
        </w:rPr>
        <w:t>Cộng hòa Áo v Cộng hòa Liên bang Đức</w:t>
      </w:r>
      <w:r>
        <w:rPr>
          <w:b w:val="0"/>
          <w:i w:val="0"/>
        </w:rPr>
        <w:t xml:space="preserve"> (Vụ án C-648/15) ECLI:EU:C:2017:664.26. Tại đoạn 56. Phán quyết ECLI:EU:C:2017:664; Ý kiến ECLI:EU:C:2017:311.27. Xem: </w:t>
      </w:r>
      <w:r>
        <w:rPr>
          <w:b w:val="0"/>
          <w:i/>
        </w:rPr>
        <w:t>Cáo buộc viện trợ cho McDonald's tại Luxembourg</w:t>
      </w:r>
      <w:r>
        <w:rPr>
          <w:b w:val="0"/>
          <w:i w:val="0"/>
        </w:rPr>
        <w:t>, §3.01[C].</w:t>
      </w:r>
    </w:p>
    <w:p>
      <w:pPr>
        <w:spacing w:after="80"/>
      </w:pPr>
      <w:r>
        <w:rPr>
          <w:b w:val="0"/>
          <w:i w:val="0"/>
        </w:rPr>
        <w:t>62</w:t>
      </w:r>
    </w:p>
    <w:p>
      <w:pPr>
        <w:spacing w:after="80"/>
      </w:pPr>
      <w:r>
        <w:rPr>
          <w:b w:val="0"/>
          <w:i w:val="0"/>
        </w:rPr>
        <w:t>Liên minh phải được đối xử giống như thể nhân là công dân của các Quốc gia Thành viên cho những mục đích này. Do đó, định nghĩa này không khác biệt so với định nghĩa 'công dân' trong Điều 3 của OECD Model khi đọc kết hợp với định nghĩa cư dân trong Điều 4(1) của OECD Model.</w:t>
      </w:r>
    </w:p>
    <w:p>
      <w:pPr>
        <w:spacing w:after="80"/>
      </w:pPr>
      <w:r>
        <w:rPr>
          <w:b w:val="0"/>
          <w:i w:val="0"/>
        </w:rPr>
        <w:t xml:space="preserve">Các quy tắc liên quan đến phân biệt đối xử dựa trên quốc tịch cũng đã được ECJ mở rộng sang phân biệt đối xử dựa trên nơi cư trú.28 Trích dẫn </w:t>
      </w:r>
      <w:r>
        <w:rPr>
          <w:b w:val="0"/>
          <w:i/>
        </w:rPr>
        <w:t>Sotgiu v Deutsche Bundespost</w:t>
      </w:r>
      <w:r>
        <w:rPr>
          <w:b w:val="0"/>
          <w:i w:val="0"/>
        </w:rPr>
        <w:t xml:space="preserve">, ECJ đã phán quyết trong </w:t>
      </w:r>
      <w:r>
        <w:rPr>
          <w:b w:val="0"/>
          <w:i/>
        </w:rPr>
        <w:t>Biehl</w:t>
      </w:r>
      <w:r>
        <w:rPr>
          <w:b w:val="0"/>
          <w:i w:val="0"/>
        </w:rPr>
        <w:t>29 rằng:</w:t>
      </w:r>
    </w:p>
    <w:p>
      <w:pPr>
        <w:spacing w:after="80"/>
      </w:pPr>
      <w:r>
        <w:rPr>
          <w:b w:val="0"/>
          <w:i w:val="0"/>
        </w:rPr>
        <w:t>Các quy tắc về bình đẳng đối xử không chỉ cấm phân biệt đối xử công khai vì lý do quốc tịch mà còn cấm tất cả các hình thức phân biệt đối xử ngầm, thông qua việc áp dụng các tiêu chí khác biệt khác, dẫn đến cùng kết quả.</w:t>
      </w:r>
    </w:p>
    <w:p>
      <w:pPr>
        <w:spacing w:after="80"/>
      </w:pPr>
      <w:r>
        <w:rPr>
          <w:b w:val="0"/>
          <w:i w:val="0"/>
        </w:rPr>
        <w:t xml:space="preserve">ECJ thừa nhận rằng sự phân biệt dựa trên nơi cư trú, mặc dù được áp dụng không phân biệt đối với công dân và người không phải công dân, cũng nên được xem xét theo cùng cách như sự phân biệt dựa trên quốc tịch khi những người không cư trú chủ yếu là người không phải công dân. Trong </w:t>
      </w:r>
      <w:r>
        <w:rPr>
          <w:b w:val="0"/>
          <w:i/>
        </w:rPr>
        <w:t>Schumacker</w:t>
      </w:r>
      <w:r>
        <w:rPr>
          <w:b w:val="0"/>
          <w:i w:val="0"/>
        </w:rPr>
        <w:t>, Tổng Chưởng lý Legern đã lưu ý30 rằng 'tiêu chí cư trú là trụ cột chính của luật thuế quốc tế. Được hầu hết các quốc gia trên thế giới lựa chọn, nó được ưu tiên hơn quốc tịch'.</w:t>
      </w:r>
    </w:p>
    <w:p>
      <w:pPr>
        <w:spacing w:after="80"/>
      </w:pPr>
      <w:r>
        <w:rPr>
          <w:b w:val="0"/>
          <w:i w:val="0"/>
        </w:rPr>
        <w:t>Mặc dù việc mở rộng nguyên tắc sang các phân biệt dựa trên nơi cư trú đã được thực hiện thông qua diễn giải của tòa án, nhưng biện pháp bảo vệ chống lại các hạn chế đối với tự do di chuyển vốn một cách rõ ràng dựa trên cơ sở cư trú trong các vấn đề thuế đã được chấp thuận một cách hạn chế trong một số trường hợp nhất định bởi các sửa đổi được đưa ra trong Hiệp ước Maastricht.31</w:t>
      </w:r>
    </w:p>
    <w:p>
      <w:pPr>
        <w:spacing w:after="80"/>
      </w:pPr>
      <w:r>
        <w:rPr>
          <w:b w:val="0"/>
          <w:i w:val="0"/>
        </w:rPr>
        <w:t xml:space="preserve">Sự liên quan của nơi cư trú đã được Tổng Chưởng lý Mengozzi giải thích trong </w:t>
      </w:r>
      <w:r>
        <w:rPr>
          <w:b w:val="0"/>
          <w:i/>
        </w:rPr>
        <w:t>Amurta SGPS v Inspecteur van de Belastingdienst</w:t>
      </w:r>
      <w:r>
        <w:rPr>
          <w:b w:val="0"/>
          <w:i w:val="0"/>
        </w:rPr>
        <w:t xml:space="preserve"> như sau:</w:t>
      </w:r>
    </w:p>
    <w:p>
      <w:pPr>
        <w:spacing w:after="80"/>
      </w:pPr>
      <w:r>
        <w:rPr>
          <w:b w:val="0"/>
          <w:i w:val="0"/>
        </w:rPr>
        <w:t>Liên quan đến thuế trực thu, Tòa án đã tuyên bố rằng sự khác biệt trong đối xử dựa trên nơi cư trú tự nó không phải là phân biệt đối xử, vì như một nguyên tắc chung, tiêu chí đó là dấu hiệu cho thấy mối liên hệ của người nộp thuế với quốc gia gốc của họ và do đó có thể biện minh cho sự khác biệt trong đối xử thuế.</w:t>
      </w:r>
    </w:p>
    <w:p>
      <w:pPr>
        <w:spacing w:after="80"/>
      </w:pPr>
      <w:r>
        <w:rPr>
          <w:b w:val="0"/>
          <w:i w:val="0"/>
        </w:rPr>
        <w:t>Tuy nhiên, Tòa án đã giải thích rằng, trong trường hợp một lợi ích thuế bị từ chối đối với người không cư trú, sự khác biệt trong đối xử giữa hai loại người nộp thuế có thể cấu thành phân biệt đối xử theo ý nghĩa của Hiệp ước khi không có sự khác biệt khách quan trong tình huống để biện minh cho việc đối xử khác nhau về điểm này giữa hai loại người nộp thuế.</w:t>
      </w:r>
    </w:p>
    <w:p>
      <w:pPr>
        <w:spacing w:after="80"/>
      </w:pPr>
      <w:r>
        <w:rPr>
          <w:b w:val="0"/>
          <w:i w:val="0"/>
        </w:rPr>
        <w:t xml:space="preserve">28. Lần đầu tiên là trong </w:t>
      </w:r>
      <w:r>
        <w:rPr>
          <w:b w:val="0"/>
          <w:i/>
        </w:rPr>
        <w:t>Sotgiu v Deutsche Bundespost</w:t>
      </w:r>
      <w:r>
        <w:rPr>
          <w:b w:val="0"/>
          <w:i w:val="0"/>
        </w:rPr>
        <w:t xml:space="preserve"> (Vụ án C-152/73) [1974] ECR 153. Điều này đã được tiếp nối trong một loạt các vụ án thuế liên quan đến cá nhân, như: </w:t>
      </w:r>
      <w:r>
        <w:rPr>
          <w:b w:val="0"/>
          <w:i/>
        </w:rPr>
        <w:t>Finanzamt Koln-Altstadt v Schumacker</w:t>
      </w:r>
      <w:r>
        <w:rPr>
          <w:b w:val="0"/>
          <w:i w:val="0"/>
        </w:rPr>
        <w:t xml:space="preserve"> (Vụ án C-279/93) [1995] BTC 251; [1995] STC 306; </w:t>
      </w:r>
      <w:r>
        <w:rPr>
          <w:b w:val="0"/>
          <w:i/>
        </w:rPr>
        <w:t>Wielockx v Inspecteur der Directs Belastingen</w:t>
      </w:r>
      <w:r>
        <w:rPr>
          <w:b w:val="0"/>
          <w:i w:val="0"/>
        </w:rPr>
        <w:t xml:space="preserve"> (Vụ án C-80/94) [1995] ECR I-00225 [1995] BTC 415; [1995] STC 876, và </w:t>
      </w:r>
      <w:r>
        <w:rPr>
          <w:b w:val="0"/>
          <w:i/>
        </w:rPr>
        <w:t>Asscher v Staatssecretaris van Financien</w:t>
      </w:r>
      <w:r>
        <w:rPr>
          <w:b w:val="0"/>
          <w:i w:val="0"/>
        </w:rPr>
        <w:t xml:space="preserve"> (Vụ án C-107/94) [1995] ECR I-02493 [1996] BTC 563; [1996] STC 1025; và trong trường hợp các công ty, trong </w:t>
      </w:r>
      <w:r>
        <w:rPr>
          <w:b w:val="0"/>
          <w:i/>
        </w:rPr>
        <w:t>Halliburton Services BV v Staatssecretaris van Financien</w:t>
      </w:r>
      <w:r>
        <w:rPr>
          <w:b w:val="0"/>
          <w:i w:val="0"/>
        </w:rPr>
        <w:t xml:space="preserve"> [1996] ECR I-03089 (Vụ án C-1/93) [1994] BTC 8069; [1994] STC 655, và </w:t>
      </w:r>
      <w:r>
        <w:rPr>
          <w:b w:val="0"/>
          <w:i/>
        </w:rPr>
        <w:t>R. v IRC, ex parte Commerzbank AG</w:t>
      </w:r>
      <w:r>
        <w:rPr>
          <w:b w:val="0"/>
          <w:i w:val="0"/>
        </w:rPr>
        <w:t xml:space="preserve"> (Vụ án C-330/91) [1994] ECR I-01137 [1993] BTC 299; [1993] STC 605. 29. </w:t>
      </w:r>
      <w:r>
        <w:rPr>
          <w:b w:val="0"/>
          <w:i/>
        </w:rPr>
        <w:t>Biehl v Administration des Contributions du Grand-Duche de Luxembourg</w:t>
      </w:r>
      <w:r>
        <w:rPr>
          <w:b w:val="0"/>
          <w:i w:val="0"/>
        </w:rPr>
        <w:t xml:space="preserve"> (Vụ án C-175/88) [1991] STC 575, [1991] BTC 400; [1990] ECR 1-1779, ECLI:EU:C:1990:186. 30. </w:t>
      </w:r>
      <w:r>
        <w:rPr>
          <w:b w:val="0"/>
          <w:i/>
        </w:rPr>
        <w:t>Finanzamt Koln-Altstadt v Schumacker</w:t>
      </w:r>
      <w:r>
        <w:rPr>
          <w:b w:val="0"/>
          <w:i w:val="0"/>
        </w:rPr>
        <w:t xml:space="preserve"> (Vụ án C-279/93) [1995] ECR I-00225, [1995] BTC 251, [1995] STC 306, đoạn 35. 31. Điều 73d (nay là 65 của TFEU).</w:t>
      </w:r>
    </w:p>
    <w:p>
      <w:pPr>
        <w:spacing w:after="80"/>
      </w:pPr>
      <w:r>
        <w:rPr>
          <w:b w:val="0"/>
          <w:i w:val="0"/>
        </w:rPr>
        <w:t>63</w:t>
      </w:r>
    </w:p>
    <w:p>
      <w:pPr>
        <w:spacing w:after="80"/>
      </w:pPr>
      <w:r>
        <w:rPr>
          <w:b w:val="0"/>
          <w:i w:val="0"/>
        </w:rPr>
        <w:t>Theo lập luận của Tòa án, có thể có phân biệt đối xử giữa người cư trú và người không cư trú nếu, bất chấp việc họ cư trú ở các Quốc gia Thành viên khác nhau, người ta xác định rằng, xét đến mục đích và nội dung của các quy định quốc gia đang được xem xét, hai loại người nộp thuế này ở trong tình huống có thể so sánh được.32</w:t>
      </w:r>
    </w:p>
    <w:p>
      <w:pPr>
        <w:spacing w:after="80"/>
      </w:pPr>
      <w:r>
        <w:rPr>
          <w:b/>
          <w:i w:val="0"/>
        </w:rPr>
        <w:t>[A] Lợi ích Hiệp ước Thuế đối với Người không cư trú</w:t>
      </w:r>
    </w:p>
    <w:p>
      <w:pPr>
        <w:spacing w:after="80"/>
      </w:pPr>
      <w:r>
        <w:rPr>
          <w:b w:val="0"/>
          <w:i w:val="0"/>
        </w:rPr>
        <w:t xml:space="preserve">Phạm vi của một hiệp ước thuế song phương dựa trên Mô hình OECD thường được giới hạn bởi các điều khoản của nó đối với các thể nhân hoặc pháp nhân được đề cập trong đó. Tuy nhiên, trong một số trường hợp nhất định, các Quốc gia Thành viên có thể được yêu cầu đơn phương cấp lợi ích cho người cư trú của các Quốc gia Thành viên khác mà họ mở rộng bằng hiệp ước cho người cư trú của chính mình. Trong </w:t>
      </w:r>
      <w:r>
        <w:rPr>
          <w:b w:val="0"/>
          <w:i/>
        </w:rPr>
        <w:t>Compagnie de Saint-Gobain v Finanzamt Aachen Innenstadt</w:t>
      </w:r>
      <w:r>
        <w:rPr>
          <w:b w:val="0"/>
          <w:i w:val="0"/>
        </w:rPr>
        <w:t xml:space="preserve">,33 ECJ đã xem xét </w:t>
      </w:r>
      <w:r>
        <w:rPr>
          <w:b w:val="0"/>
          <w:i/>
        </w:rPr>
        <w:t>inter alia</w:t>
      </w:r>
      <w:r>
        <w:rPr>
          <w:b w:val="0"/>
          <w:i w:val="0"/>
        </w:rPr>
        <w:t xml:space="preserve"> </w:t>
      </w:r>
      <w:r>
        <w:rPr>
          <w:b w:val="0"/>
          <w:i/>
        </w:rPr>
        <w:t>Schachtelprivileg</w:t>
      </w:r>
      <w:r>
        <w:rPr>
          <w:b w:val="0"/>
          <w:i w:val="0"/>
        </w:rPr>
        <w:t xml:space="preserve"> của Đức, một ưu đãi miễn trừ cổ phần được cấp bởi hiệp ước với một quốc gia không phải thành viên EC. Theo đó, các công ty nắm giữ một tỷ lệ cổ phần nhất định trong các công ty khác được thành lập ở các quốc gia không phải thành viên được quyền khấu trừ thuế cơ bản đối với cổ tức được trả, so với thuế thu nhập doanh nghiệp của người nhận. Nó cũng xem xét một ưu đãi tương tự đối với thuế vốn.</w:t>
      </w:r>
    </w:p>
    <w:p>
      <w:pPr>
        <w:spacing w:after="80"/>
      </w:pPr>
      <w:r>
        <w:rPr>
          <w:b w:val="0"/>
          <w:i w:val="0"/>
        </w:rPr>
        <w:t xml:space="preserve">Theo các quy tắc thuế nhóm của Đức, với một số điều kiện nhất định, một cơ sở thường trú của một công ty nước ngoài có thể được bao gồm trong </w:t>
      </w:r>
      <w:r>
        <w:rPr>
          <w:b w:val="0"/>
          <w:i/>
        </w:rPr>
        <w:t>Organschaft</w:t>
      </w:r>
      <w:r>
        <w:rPr>
          <w:b w:val="0"/>
          <w:i w:val="0"/>
        </w:rPr>
        <w:t>. Các công ty con của Đức do đó được đối xử như một thực thể duy nhất cùng với cơ sở thường trú cho mục đích thuế của Đức. Theo các quy tắc này, công ty mẹ (trong trường hợp này là cơ sở thường trú) chịu trách nhiệm về thuế đối với kết quả tổng hợp của nhóm. Lợi nhuận và thua lỗ của các công ty khác được bao gồm trong lợi nhuận và thua lỗ của công ty chính. Saint-Gobain, một công ty cư trú và được thành lập tại Pháp, hoạt động thông qua một cơ sở thường trú tại Đức. Nó nắm giữ, như một phần tài sản của cơ sở thường trú, 10,2% của một công ty Hoa Kỳ và thực tế là tất cả cổ phần của hai công ty con được thành lập và cư trú tại Đức. Trong trường hợp này, cơ sở thường trú là công ty chính. Các công ty Đức có cổ phần đáng kể trong các công ty được thành lập tại Áo, Thụy Sĩ và Ý. Cổ tức đã được nhận từ các công ty đó và, theo các thỏa thuận chuyển nhượng lợi nhuận của nhóm, được bao gồm trong thu nhập của cơ sở thường trú.</w:t>
      </w:r>
    </w:p>
    <w:p>
      <w:pPr>
        <w:spacing w:after="80"/>
      </w:pPr>
      <w:r>
        <w:rPr>
          <w:b w:val="0"/>
          <w:i w:val="0"/>
        </w:rPr>
        <w:t>Theo luật Đức, cổ tức được quy cho cơ sở thường trú tại Đức và do đó phải chịu thuế Đức. Theo nguyên tắc chung, các công ty cư trú tại Đức phải chịu trách nhiệm thuế vô hạn (toàn cầu) và các cơ sở thường trú phải chịu trách nhiệm thuế hạn chế (nguồn tại Đức).</w:t>
      </w:r>
    </w:p>
    <w:p>
      <w:pPr>
        <w:spacing w:after="80"/>
      </w:pPr>
      <w:r>
        <w:rPr>
          <w:b w:val="0"/>
          <w:i w:val="0"/>
        </w:rPr>
        <w:t>Các cơ quan thuế Đức đã từ chối cho phép hưởng lợi ích của các hiệp ước giữa Đức và Hoa Kỳ và Thụy Sĩ tương ứng. Trong mỗi trường hợp, cổ tức được trả bởi các công ty Hoa Kỳ hoặc Thụy Sĩ, với một số điều kiện nhất định, được miễn thuế Đức đối với cổ tức đó trong tay của người cư trú Đức. Các ưu đãi hiệp ước này đã bị từ chối</w:t>
      </w:r>
    </w:p>
    <w:p>
      <w:pPr>
        <w:spacing w:after="80"/>
      </w:pPr>
      <w:r>
        <w:rPr>
          <w:b w:val="0"/>
          <w:i w:val="0"/>
        </w:rPr>
        <w:t xml:space="preserve">32. </w:t>
      </w:r>
      <w:r>
        <w:rPr>
          <w:b w:val="0"/>
          <w:i/>
        </w:rPr>
        <w:t>Amurta SGPS v Inspecteur van de Belastingdienst</w:t>
      </w:r>
      <w:r>
        <w:rPr>
          <w:b w:val="0"/>
          <w:i w:val="0"/>
        </w:rPr>
        <w:t xml:space="preserve"> (Vụ án C-379/05) [2007] ECR I-09569 [2010] BTC 568, [2008] STC 2851, đoạn 35-37. 33. </w:t>
      </w:r>
      <w:r>
        <w:rPr>
          <w:b w:val="0"/>
          <w:i/>
        </w:rPr>
        <w:t>Compagnie de Saint-Gobain v Finanzamt Aachen Innenstadt</w:t>
      </w:r>
      <w:r>
        <w:rPr>
          <w:b w:val="0"/>
          <w:i w:val="0"/>
        </w:rPr>
        <w:t xml:space="preserve"> (Vụ án C-307/97) [1999] ECR I-06161 [2000] STC 854, ECJ.</w:t>
      </w:r>
    </w:p>
    <w:p>
      <w:pPr>
        <w:spacing w:after="80"/>
      </w:pPr>
      <w:r>
        <w:rPr>
          <w:b w:val="0"/>
          <w:i w:val="0"/>
        </w:rPr>
        <w:t>64</w:t>
      </w:r>
    </w:p>
    <w:p>
      <w:pPr>
        <w:spacing w:after="80"/>
      </w:pPr>
      <w:r>
        <w:rPr>
          <w:b w:val="0"/>
          <w:i w:val="0"/>
        </w:rPr>
        <w:t>cho cơ sở thường trú (permanent establishment) bất chấp việc cổ tức đã được tính vào thu nhập của cơ sở thường trú.</w:t>
      </w:r>
    </w:p>
    <w:p>
      <w:pPr>
        <w:spacing w:after="80"/>
      </w:pPr>
      <w:r>
        <w:rPr>
          <w:b w:val="0"/>
          <w:i w:val="0"/>
        </w:rPr>
        <w:t>Cơ quan thuế Đức cho phép khấu trừ (tín dụng trực tiếp) đối với thuế khấu trừ tại nguồn trên cổ tức từ các quốc gia khác nhau. Tuy nhiên, cơ quan này từ chối khoản tín dụng cơ sở đối với thuế doanh nghiệp mà các công ty con nước ngoài đã nộp. Theo luật nội địa Đức, khoản tín dụng cơ sở chỉ được cấp cho các công ty cư trú tại Đức. Không có tranh cãi rằng các ưu đãi dành cho các tập đoàn Đức trong nước đã dẫn đến gánh nặng thuế nhẹ hơn.</w:t>
      </w:r>
    </w:p>
    <w:p>
      <w:pPr>
        <w:spacing w:after="80"/>
      </w:pPr>
      <w:r>
        <w:rPr>
          <w:b w:val="0"/>
          <w:i w:val="0"/>
        </w:rPr>
        <w:t>ECJ (Tòa án Công lý Châu Âu) phán quyết rằng tất cả các quy định của Đức đang bị xem xét đều trái với điều khoản hiện nay là Điều 49 và Điều 54 TFEU, bởi vì theo các quy định này, cơ sở thường trú kém hấp dẫn hơn so với công ty con. Điều này là do theo luật nội địa Đức và các hiệp định song phương, các ưu đãi thuế chỉ được cấp cho các công ty con của Đức. Điều này hạn chế quyền tự do lựa chọn hình thức pháp lý phù hợp nhất để theo đuổi hoạt động tại một Quốc gia Thành viên khác.</w:t>
      </w:r>
    </w:p>
    <w:p>
      <w:pPr>
        <w:spacing w:after="80"/>
      </w:pPr>
      <w:r>
        <w:rPr>
          <w:b w:val="0"/>
          <w:i w:val="0"/>
        </w:rPr>
        <w:t>Chính phủ Đức tìm cách biện minh cho việc đối xử phân biệt trên cơ sở rằng tình huống của các công ty cư trú và không cư trú nói chung không thể so sánh được. Điều này đặc biệt đúng vì người không cư trú chỉ chịu trách nhiệm thuế hạn chế trong khi người cư trú phải chịu trách nhiệm thuế vô hạn. ECJ bác bỏ lập luận này trên cơ sở rằng cổ tức phải chịu thuế trong tay cơ sở thường trú, bất kể các công ty trả cổ tức được đặt ở đâu; do đó, việc giới hạn đối với thu nhập từ nguồn địa phương chỉ là lý thuyết. Trên thực tế, sự khác biệt duy nhất là cơ sở thường trú không được hưởng tín dụng hoặc miễn thuế đối với cổ tức từ các khoản nắm giữ nước ngoài. Chính phủ Đức lập luận rằng các biện pháp này được biện minh bởi nhu cầu ngăn chặn việc giảm doanh thu thuế, do không thể cho các cơ quan chức năng Đức bù đắp cho việc giảm doanh thu nếu việc đối xử bình đẳng được đưa ra bằng cách đánh thuế cổ tức do các công ty không cư trú phân phối.</w:t>
      </w:r>
    </w:p>
    <w:p>
      <w:pPr>
        <w:spacing w:after="80"/>
      </w:pPr>
      <w:r>
        <w:rPr>
          <w:b w:val="0"/>
          <w:i w:val="0"/>
        </w:rPr>
        <w:t>ECJ bác bỏ lập luận này, đơn giản trên cơ sở rằng đây không phải là một trong những căn cứ được liệt kê trong điều khoản hiện nay là Điều 52 hoặc 65 TFEU và không thể được coi là vấn đề lợi ích chung cao hơn có thể được viện dẫn để biện minh cho việc đối xử không bình đẳng.</w:t>
      </w:r>
    </w:p>
    <w:p>
      <w:pPr>
        <w:spacing w:after="80"/>
      </w:pPr>
      <w:r>
        <w:rPr>
          <w:b w:val="0"/>
          <w:i w:val="0"/>
        </w:rPr>
        <w:t>Người ta còn lập luận thêm rằng sự phân biệt này được biện minh vì không có thuế đối với việc chuyển lợi nhuận về trụ sở chính bởi một chi nhánh so với việc đánh thuế các khoản phân phối của một công ty con cho công ty mẹ. ECJ không chấp nhận rằng những lợi thế như vậy tồn tại đối với cơ sở thường trú, và ngay cả khi chúng tồn tại, chúng cũng không thể biện minh cho việc vi phạm nguyên tắc đối xử bình đẳng mà điều khoản hiện nay là Điều 49 yêu cầu.</w:t>
      </w:r>
    </w:p>
    <w:p>
      <w:pPr>
        <w:spacing w:after="80"/>
      </w:pPr>
      <w:r>
        <w:rPr>
          <w:b/>
          <w:i w:val="0"/>
        </w:rPr>
        <w:t>[B]Đối xử Tối huệ quốc (Most-Favoured-Nation Treatment)</w:t>
      </w:r>
    </w:p>
    <w:p>
      <w:pPr>
        <w:spacing w:after="80"/>
      </w:pPr>
      <w:r>
        <w:rPr>
          <w:b w:val="0"/>
          <w:i w:val="0"/>
        </w:rPr>
        <w:t>Liệu các quyền tự do cơ bản của luật Liên minh có buộc một Quốc gia Thành viên phải cung cấp các lợi ích của một hiệp định thuế đã đàm phán với một Quốc gia Thành viên cho cư dân của một quốc gia khác không? Ủy ban từ lâu đã giữ quan điểm rằng câu trả lời là không. Trong trả lời một câu hỏi của nghị viện, Ủy ban chỉ ra rằng luật Cộng đồng không yêu cầu một Quốc gia Thành viên phải tự động cấp mức thuế khấu trừ tại nguồn theo hiệp định song phương được ưu đãi nhất của mình</w:t>
      </w:r>
    </w:p>
    <w:p>
      <w:pPr>
        <w:spacing w:after="80"/>
      </w:pPr>
      <w:r>
        <w:rPr>
          <w:b w:val="0"/>
          <w:i w:val="0"/>
        </w:rPr>
        <w:t>65</w:t>
      </w:r>
    </w:p>
    <w:p>
      <w:pPr>
        <w:spacing w:after="80"/>
      </w:pPr>
      <w:r>
        <w:rPr>
          <w:b w:val="0"/>
          <w:i w:val="0"/>
        </w:rPr>
        <w:t>cho người nộp thuế của một Quốc gia Thành viên khác không được bao phủ bởi hiệp định đó.34 Trên cơ sở này, người nộp thuế của các Quốc gia Thành viên chỉ được giới hạn trong việc yêu cầu các hiệp định do Quốc gia Thành viên nơi họ cư trú ký kết. Do đó, mặc dù họ có thể tiếp cận các hiệp định một cách gián tiếp thông qua việc thành lập công ty tại các Quốc gia Thành viên khác, họ không có quyền được áp dụng các hiệp định có lợi hơn do các Quốc gia Thành viên ký kết một cách trực tiếp.</w:t>
      </w:r>
    </w:p>
    <w:p>
      <w:pPr>
        <w:spacing w:after="80"/>
      </w:pPr>
      <w:r>
        <w:rPr>
          <w:b w:val="0"/>
          <w:i w:val="0"/>
        </w:rPr>
        <w:t xml:space="preserve">Vấn đề này đã được ECJ xem xét trong </w:t>
      </w:r>
      <w:r>
        <w:rPr>
          <w:b w:val="0"/>
          <w:i/>
        </w:rPr>
        <w:t>D v Inspecteur van de Belastingdienst/Particulieren/Ondernemingen Buitenland te Heerlen.</w:t>
      </w:r>
      <w:r>
        <w:rPr>
          <w:b w:val="0"/>
          <w:i w:val="0"/>
        </w:rPr>
        <w:t>35 Tài sản của ông D, một cư dân Đức, bao gồm 10% là bất động sản nằm ở Hà Lan, trong khi phần còn lại được giữ ở Đức. Ông phải chịu thuế tài sản của Hà Lan, với tư cách là người nộp thuế không cư trú, và do đó, không đủ điều kiện để được hưởng các khoản miễn trừ cá nhân tại đó. Ông lập luận rằng ông được hưởng các khoản miễn trừ đó theo Điều 25(3) của Hiệp định Thuế Bỉ-Hà Lan, điều khoản này cho phép một cư dân Bỉ được hưởng các khoản miễn trừ tại Hà Lan. Ông cho rằng sự khác biệt, phát sinh từ việc áp dụng Hiệp định Bỉ-Hà Lan, giữa tình huống của ông và tình huống của một cư dân Bỉ trong tình huống tương đương cấu thành sự phân biệt đối xử bị cấm bởi điều khoản hiện nay là Điều 63 TFEU (Tự do di chuyển vốn). Tòa án phán quyết rằng so sánh đúng đắn nên là giữa tình huống của một người cư trú tại một quốc gia không phải là thành viên của hiệp định đó và tình huống của một người được hiệp định bao phủ. Phạm vi của một công ước thuế song phương được giới hạn cho những người được đề cập trong đó. Theo quan điểm của tòa án, các lợi ích liên quan đến thuế tài sản không thể được xem xét một cách riêng lẻ. Việc các quyền và nghĩa vụ có đi có lại trong một hiệp định song phương chỉ áp dụng cho những người cư trú tại một trong các quốc gia ký kết là hệ quả cố hữu của các công ước thuế song phương. Điều 25(3) không thể được coi là một lợi ích tách rời khỏi phần còn lại của hiệp định, mà là một phần không thể tách rời và góp phần vào sự cân bằng tổng thể của nó. Do đó, tòa án phán quyết rằng một cư dân Bỉ và một người không cư trú tại Bỉ không ở trong cùng một tình huống liên quan đến thuế tài sản đối với bất động sản nằm ở Hà Lan.</w:t>
      </w:r>
    </w:p>
    <w:p>
      <w:pPr>
        <w:spacing w:after="80"/>
      </w:pPr>
      <w:r>
        <w:rPr>
          <w:b w:val="0"/>
          <w:i w:val="0"/>
        </w:rPr>
        <w:t>Trong trường hợp ngoại lệ, một người không cư trú có cơ sở thường trú tại một Quốc gia Thành viên được coi là ở trong tình huống tương đương với tình huống của một cư dân của quốc gia đó. Do đó, việc tiếp cận các lợi ích hiệp định này không phải là không giới hạn. Nó áp dụng khi công dân hoặc cư dân của một Quốc gia Thành viên thực hiện một quyền tự do cơ bản như quyền thành lập và trong bối cảnh thực hiện quyền đó được đặt vào cùng vị trí như một cư dân hoặc công dân của quốc gia ký kết được đề cập.</w:t>
      </w:r>
    </w:p>
    <w:p>
      <w:pPr>
        <w:spacing w:after="80"/>
      </w:pPr>
      <w:r>
        <w:rPr>
          <w:b w:val="0"/>
          <w:i w:val="0"/>
        </w:rPr>
        <w:t xml:space="preserve">Một vấn đề tương tự đã phát sinh trong </w:t>
      </w:r>
      <w:r>
        <w:rPr>
          <w:b w:val="0"/>
          <w:i/>
        </w:rPr>
        <w:t>Test Claimants in Class IV of the ACT Group Litigation v IRC</w:t>
      </w:r>
      <w:r>
        <w:rPr>
          <w:b w:val="0"/>
          <w:i w:val="0"/>
        </w:rPr>
        <w:t>.36 Một số hiệp định giữa Vương quốc Anh và các quốc gia khác trao quyền được thanh toán các khoản tín dụng thuế cho các cá nhân và công ty không cư trú đủ điều kiện cư trú tại các quốc gia ký kết khác. Ví dụ, Hiệp định Vương quốc Anh-Hà Lan cấp một khoản tín dụng thuế một phần cho một cổ đông doanh nghiệp cư trú tại Hà Lan khi nhận cổ tức từ một công ty con của Vương quốc Anh, nếu cổ đông đó một mình hoặc cùng với một hoặc nhiều</w:t>
      </w:r>
    </w:p>
    <w:p>
      <w:pPr>
        <w:spacing w:after="80"/>
      </w:pPr>
      <w:r>
        <w:rPr>
          <w:b w:val="0"/>
          <w:i w:val="0"/>
        </w:rPr>
        <w:t>34.[1993] OJ C40/93.35.</w:t>
      </w:r>
      <w:r>
        <w:rPr>
          <w:b w:val="0"/>
          <w:i/>
        </w:rPr>
        <w:t>D v Inspecteur van de Belastingdienst/Particulieren/Ondernemingen Buitenland te Heerlen</w:t>
      </w:r>
      <w:r>
        <w:rPr>
          <w:b w:val="0"/>
          <w:i w:val="0"/>
        </w:rPr>
        <w:t xml:space="preserve"> (Case C-376/03) [2005] ECR I-5821; [2005] STC 1211.36.</w:t>
      </w:r>
      <w:r>
        <w:rPr>
          <w:b w:val="0"/>
          <w:i/>
        </w:rPr>
        <w:t>Test Claimants in Class IV of the ACT Group Litigation v Inland Revenue Commissioners</w:t>
      </w:r>
      <w:r>
        <w:rPr>
          <w:b w:val="0"/>
          <w:i w:val="0"/>
        </w:rPr>
        <w:t xml:space="preserve"> (Case C-374/04) [2006] ECR I-11673 [2008] BTC 305; [2007] STC 404.</w:t>
      </w:r>
    </w:p>
    <w:p>
      <w:pPr>
        <w:spacing w:after="80"/>
      </w:pPr>
      <w:r>
        <w:rPr>
          <w:b w:val="0"/>
          <w:i w:val="0"/>
        </w:rPr>
        <w:t>66</w:t>
      </w:r>
    </w:p>
    <w:p>
      <w:pPr>
        <w:spacing w:after="80"/>
      </w:pPr>
      <w:r>
        <w:rPr>
          <w:b w:val="0"/>
          <w:i w:val="0"/>
        </w:rPr>
        <w:t>các công ty liên kết được kiểm soát trực tiếp hoặc gián tiếp 10% hoặc hơn quyền biểu quyết trong công ty Vương quốc Anh phải chịu mức thuế thu nhập Vương quốc Anh hạn chế.37 Các nhà đầu tư 'danh mục' cư trú tại Hà Lan được hưởng tín dụng thuế đầy đủ đối với cổ tức. Cách đối xử này hào phóng hơn so với các hiệp ước với các Quốc gia Thành viên khác: Hiệp ước Vương quốc Anh-Pháp chỉ cấp tín dụng thuế nếu người nhận cổ tức nắm giữ ít hơn 10% quyền biểu quyết trong công ty cư trú tại Vương quốc Anh, trong khi những hiệp ước khác, chẳng hạn như Hiệp ước Vương quốc Anh-Đức, không cấp quyền đó.</w:t>
      </w:r>
    </w:p>
    <w:p>
      <w:pPr>
        <w:spacing w:after="80"/>
      </w:pPr>
      <w:r>
        <w:rPr>
          <w:b w:val="0"/>
          <w:i w:val="0"/>
        </w:rPr>
        <w:t xml:space="preserve">Áp dụng lập luận của mình trong vụ án </w:t>
      </w:r>
      <w:r>
        <w:rPr>
          <w:b w:val="0"/>
          <w:i/>
        </w:rPr>
        <w:t xml:space="preserve"> D</w:t>
      </w:r>
      <w:r>
        <w:rPr>
          <w:b w:val="0"/>
          <w:i w:val="0"/>
        </w:rPr>
        <w:t>, tòa án kết luận rằng các điều khoản hiện nay là Điều 49 và 63 TFEU không ngăn cản một Quốc gia Thành viên (quốc gia nguồn) cấp tín dụng thuế cổ tức cho các cổ đông doanh nghiệp cư trú tại quốc gia nguồn được trả bởi một công ty cũng cư trú tại quốc gia nguồn khi quốc gia đó không cấp cùng tín dụng đó cho các cổ đông doanh nghiệp cư trú tại một Quốc gia Thành viên khác (quốc gia cư trú) mà không bị đánh thuế đối với cổ tức tại quốc gia nguồn. Tòa cũng phán quyết rằng các điều khoản này không ngăn cản việc đồng ý bằng hiệp ước với một Quốc gia Thành viên khác để các công ty cư trú tại quốc gia thứ hai (quốc gia cư trú) nhận cổ tức từ một công ty cư trú tại quốc gia nguồn được hưởng tín dụng thuế, mà không yêu cầu quốc gia nguồn mở rộng tín dụng đó cho các công ty cư trú tại một Quốc gia Thành viên thứ ba mà quốc gia nguồn chưa ký kết hiệp ước quy định quyền đó.38 Trong mỗi trường hợp, Tòa nhận xét rằng việc các quyền và nghĩa vụ có đi có lại đó chỉ áp dụng cho những người cư trú tại một trong hai Quốc gia Thành viên ký kết là hệ quả cố hữu của các hiệp ước thuế hai bên.39</w:t>
      </w:r>
    </w:p>
    <w:p>
      <w:pPr>
        <w:spacing w:after="80"/>
      </w:pPr>
      <w:r>
        <w:rPr>
          <w:b/>
          <w:i w:val="0"/>
        </w:rPr>
        <w:t>§3.04 CÁC HIỆP ƯỚC GIỮA CÁC QUỐC GIA THÀNH VIÊN</w:t>
      </w:r>
    </w:p>
    <w:p>
      <w:pPr>
        <w:spacing w:after="80"/>
      </w:pPr>
      <w:r>
        <w:rPr>
          <w:b w:val="0"/>
          <w:i w:val="0"/>
        </w:rPr>
        <w:t>Có thể phân biệt giữa các hiệp ước được ký kết giữa các Quốc gia Thành viên và những hiệp ước được ký kết với các quốc gia thứ ba. Cho đến khi bị bãi bỏ bởi Hiệp ước Lisbon, việc đánh thuế hai lần giữa các Quốc gia Thành viên được đề cập cụ thể trong Điều 293 (trước đây là Điều 220) của Hiệp ước Cộng đồng Châu Âu. Điều này quy định rằng:</w:t>
      </w:r>
    </w:p>
    <w:p>
      <w:pPr>
        <w:spacing w:after="80"/>
      </w:pPr>
      <w:r>
        <w:rPr>
          <w:b/>
          <w:i w:val="0"/>
        </w:rPr>
        <w:t>Điều 293 (trước đây là Điều 220)</w:t>
      </w:r>
    </w:p>
    <w:p>
      <w:pPr>
        <w:spacing w:after="80"/>
      </w:pPr>
      <w:r>
        <w:rPr>
          <w:b w:val="0"/>
          <w:i w:val="0"/>
        </w:rPr>
        <w:t>Các Quốc gia Thành viên, trong chừng mực cần thiết, phải tiến hành đàm phán với nhau nhằm đảm bảo lợi ích cho công dân của mình: … việc xóa bỏ đánh thuế hai lần trong phạm vi Cộng đồng.</w:t>
      </w:r>
    </w:p>
    <w:p>
      <w:pPr>
        <w:spacing w:after="80"/>
      </w:pPr>
      <w:r>
        <w:rPr>
          <w:b w:val="0"/>
          <w:i w:val="0"/>
        </w:rPr>
        <w:t>Như vậy, các Quốc gia Thành viên được yêu cầu tiến hành đàm phán với nhau khi cần thiết nhằm đảm bảo việc xóa bỏ đánh thuế hai lần trong phạm vi Cộng đồng vì lợi ích của công dân mình. Phạm vi và ý nghĩa của điều khoản này đã là đối tượng của nhiều phân tích học thuật40 và tranh luận nhưng ít được tòa án xem xét.</w:t>
      </w:r>
    </w:p>
    <w:p>
      <w:pPr>
        <w:spacing w:after="80"/>
      </w:pPr>
      <w:r>
        <w:rPr>
          <w:b w:val="0"/>
          <w:i w:val="0"/>
        </w:rPr>
        <w:t xml:space="preserve">37. Công ước giữa Chính phủ Vương quốc Liên hiệp Anh và Bắc Ireland và Chính phủ Vương quốc Hà Lan về việc Tránh Đánh thuế Hai lần và Ngăn ngừa Trốn thuế Tài chính đối với Thuế Thu nhập và Lợi nhuận Vốn, Công ước ngày 7 tháng 11 năm 1980 (SI 1980/1961), Điều 10(3)(c).38. Tại các đoạn 92 và 93.39. D, đoạn 61, và Test Claimants in Class IV of the ACT Group Litigation, đoạn 91.40. Xem, ví dụ, Gassner, W. Lang, M. và Lechner, E. (biên tập) </w:t>
      </w:r>
      <w:r>
        <w:rPr>
          <w:b w:val="0"/>
          <w:i/>
        </w:rPr>
        <w:t xml:space="preserve"> Tax Treaties and EC Law</w:t>
      </w:r>
      <w:r>
        <w:rPr>
          <w:b w:val="0"/>
          <w:i w:val="0"/>
        </w:rPr>
        <w:t xml:space="preserve"> (1996).</w:t>
      </w:r>
    </w:p>
    <w:p>
      <w:pPr>
        <w:spacing w:after="80"/>
      </w:pPr>
      <w:r>
        <w:rPr>
          <w:b w:val="0"/>
          <w:i w:val="0"/>
        </w:rPr>
        <w:t>67</w:t>
      </w:r>
    </w:p>
    <w:p>
      <w:pPr>
        <w:spacing w:after="80"/>
      </w:pPr>
      <w:r>
        <w:rPr>
          <w:b w:val="0"/>
          <w:i w:val="0"/>
        </w:rPr>
        <w:t>Người ta đã lập luận rằng cụm từ 'trong chừng mực cần thiết' giới hạn nghĩa vụ trong phạm vi các biện pháp Châu Âu chưa thực hiện điều đó. Do đó, trong chừng mực luật Châu Âu đã chiếm lĩnh lĩnh vực này, các Quốc gia Thành viên riêng lẻ dường như không có nghĩa vụ. Cần lưu ý rằng nghĩa vụ là tiến hành đàm phán nhằm xóa bỏ đánh thuế hai lần, chứ không phải là nghĩa vụ pháp lý phải xóa bỏ đánh thuế hai lần. Do đó, hiệu lực của điều này là bảo toàn quyền của các Quốc gia Thành viên ký kết hiệp ước với nhau. Ngoài ra, nguyên tắc bổ trợ (subsidiarity) được đưa ra trong Hiệp ước Maastricht41 yêu cầu Cộng đồng phải hành động trong phạm vi quyền hạn được Hiệp ước EC trao cho. Tuy nhiên, các lĩnh vực không thuộc thẩm quyền độc quyền của Cộng đồng chỉ có thể được Cộng đồng hành động nếu và trong chừng mực các mục tiêu của hành động đề xuất không thể đạt được một cách thỏa đáng bởi các Quốc gia Thành viên.</w:t>
      </w:r>
    </w:p>
    <w:p>
      <w:pPr>
        <w:spacing w:after="80"/>
      </w:pPr>
      <w:r>
        <w:rPr>
          <w:b w:val="0"/>
          <w:i w:val="0"/>
        </w:rPr>
        <w:t xml:space="preserve">Bản thân điều khoản này không cấm đánh thuế hai lần. Việc áp dụng và phạm vi của điều khoản đã được ECJ xem xét trong </w:t>
      </w:r>
      <w:r>
        <w:rPr>
          <w:b w:val="0"/>
          <w:i/>
        </w:rPr>
        <w:t xml:space="preserve"> Gilly v Directeur des Services Fiscaux du Bas-Rhin</w:t>
      </w:r>
      <w:r>
        <w:rPr>
          <w:b w:val="0"/>
          <w:i w:val="0"/>
        </w:rPr>
        <w:t>.42 Câu hỏi đặt ra cho tòa là liệu mục tiêu xóa bỏ đánh thuế hai lần có phải được coi là có vị thế của một quy tắc áp dụng trực tiếp mà theo đó việc đánh thuế hai lần không còn có thể xảy ra hay không, xét đến thời gian mà các Quốc gia Thành viên đã có để thực hiện. Người nộp thuế trong vụ án đó lập luận rằng điều khoản này tạo ra các quy tắc ràng buộc pháp lý áp dụng trực tiếp mà họ có thể dựa vào. Một số Quốc gia Thành viên xuất hiện trước ECJ lập luận rằng điều khoản này không có hiệu lực trực tiếp vì nó không đủ rõ ràng và vô điều kiện và không trao cho cá nhân quyền xóa bỏ mọi đánh thuế hai lần trong phạm vi Cộng đồng. Ủy ban lập luận rằng điều khoản này áp đặt lên các Quốc gia Thành viên nghĩa vụ tiến hành đàm phán, nếu cần thiết. Nó không buộc họ phải đạt được một kết quả cụ thể. Theo quan điểm của Ủy ban, Hiệp ước Pháp-Đức đã đáp ứng mục tiêu của Điều 293. Tổng Chưởng lý coi các quy định này là không đặt ra nghĩa vụ tuyệt đối mà để lại cho các Quốc gia Thành viên quyền tự quyết rộng rãi để quyết định có tiến hành đàm phán hay không. Quyền tự quyết đó đã được các quốc gia ký kết thực hiện khi hiệp ước được ký năm 1959 và khi được sửa đổi bởi các nghị định thư liên tiếp năm 1969 và 1989. Người nộp thuế lập luận rằng việc chỉ giảm đánh thuế hai lần thay vì xóa bỏ nó không đáp ứng mục tiêu của Điều 293.</w:t>
      </w:r>
    </w:p>
    <w:p>
      <w:pPr>
        <w:spacing w:after="80"/>
      </w:pPr>
      <w:r>
        <w:rPr>
          <w:b w:val="0"/>
          <w:i w:val="0"/>
        </w:rPr>
        <w:t xml:space="preserve">ECJ đã tuân theo quyết định trước đó của mình trong </w:t>
      </w:r>
      <w:r>
        <w:rPr>
          <w:b w:val="0"/>
          <w:i/>
        </w:rPr>
        <w:t xml:space="preserve"> Ministere Public v Mutsch</w:t>
      </w:r>
      <w:r>
        <w:rPr>
          <w:b w:val="0"/>
          <w:i w:val="0"/>
        </w:rPr>
        <w:t>43 về một khía cạnh khác của Điều 293 rằng điều khoản này không nhằm đặt ra một quy tắc pháp lý áp dụng trực tiếp như vậy. Nó chỉ xác định một số vấn đề mà các Quốc gia Thành viên phải tiến hành đàm phán với nhau 'trong chừng mực cần thiết'. Gạch đầu dòng thứ hai của điều khoản được cho là chỉ rõ rằng việc xóa bỏ đánh thuế hai lần trong phạm vi Cộng đồng là mục tiêu của bất kỳ cuộc đàm phán nào như vậy. Do đó, mặc dù việc xóa bỏ đánh thuế hai lần trong phạm vi Cộng đồng nằm trong số các mục tiêu của Hiệp ước EC, rõ ràng từ cách diễn đạt của quy định đó rằng bản thân nó không thể trao bất kỳ quyền nào cho cá nhân mà họ có thể dựa vào trước tòa án quốc gia của mình. Tình hình dường như cũng như vậy sau khi Điều 293 bị bãi bỏ.</w:t>
      </w:r>
    </w:p>
    <w:p>
      <w:pPr>
        <w:spacing w:after="80"/>
      </w:pPr>
      <w:r>
        <w:rPr>
          <w:b w:val="0"/>
          <w:i w:val="0"/>
        </w:rPr>
        <w:t xml:space="preserve">41. Xem Điều 3b.42. </w:t>
      </w:r>
      <w:r>
        <w:rPr>
          <w:b w:val="0"/>
          <w:i/>
        </w:rPr>
        <w:t xml:space="preserve"> Gilly v Directeur des Services Fiscaux du Bas-Rhin</w:t>
      </w:r>
      <w:r>
        <w:rPr>
          <w:b w:val="0"/>
          <w:i w:val="0"/>
        </w:rPr>
        <w:t xml:space="preserve"> (Vụ C-336/96) [1998] BTC 335; [1998] ECRI-2793; [1998] STC 1014, ECJ.43. </w:t>
      </w:r>
      <w:r>
        <w:rPr>
          <w:b w:val="0"/>
          <w:i/>
        </w:rPr>
        <w:t xml:space="preserve"> Ministere Public v Mutsch</w:t>
      </w:r>
      <w:r>
        <w:rPr>
          <w:b w:val="0"/>
          <w:i w:val="0"/>
        </w:rPr>
        <w:t xml:space="preserve"> (Vụ C-137/84) [1985] ECR 2681 tại 2694-2695, đoạn 11.</w:t>
      </w:r>
    </w:p>
    <w:p>
      <w:pPr>
        <w:spacing w:after="80"/>
      </w:pPr>
      <w:r>
        <w:rPr>
          <w:b w:val="0"/>
          <w:i w:val="0"/>
        </w:rPr>
        <w:t>68</w:t>
      </w:r>
    </w:p>
    <w:p>
      <w:pPr>
        <w:spacing w:after="80"/>
      </w:pPr>
      <w:r>
        <w:rPr>
          <w:b w:val="0"/>
          <w:i w:val="0"/>
        </w:rPr>
        <w:t xml:space="preserve">Án lệ đã nhấn mạnh rằng không có lệnh cấm chung đối với đánh thuế hai lần trong Hiệp ước EC. Trong </w:t>
      </w:r>
      <w:r>
        <w:rPr>
          <w:b w:val="0"/>
          <w:i/>
        </w:rPr>
        <w:t xml:space="preserve"> Kerckhaert &amp; Morres v Belgium</w:t>
      </w:r>
      <w:r>
        <w:rPr>
          <w:b w:val="0"/>
          <w:i w:val="0"/>
        </w:rPr>
        <w:t>,44 Tòa phán quyết rằng những hậu quả bất lợi phát sinh từ việc áp dụng một hệ thống thuế thu nhập, chẳng hạn như hệ thống của Bỉ, áp đặt thuế thu nhập đối với cổ tức được trả bởi một công ty Pháp mà không cấp tín dụng cho thuế khấu trừ của Pháp, là kết quả của việc hai Quốc gia Thành viên thực hiện song song chủ quyền tài chính của mình.45 Kết luận này thật đáng ngạc nhiên trong thị trường đơn nhất mà Hiệp ước EC dự kiến, vì toàn bộ lý do tồn tại của các hiệp ước thuế là để loại bỏ những tác động có hại của đánh thuế hai lần đối với việc trao đổi hàng hóa và dịch vụ cũng như sự di chuyển của vốn, công nghệ và con người, được OECD coi là nổi tiếng đến mức 'hầu như không cần phải nhấn mạnh tầm quan trọng của chúng'.46</w:t>
      </w:r>
    </w:p>
    <w:p>
      <w:pPr>
        <w:spacing w:after="80"/>
      </w:pPr>
      <w:r>
        <w:rPr>
          <w:b w:val="0"/>
          <w:i w:val="0"/>
        </w:rPr>
        <w:t xml:space="preserve">Hiện nay đã là án lệ ổn định của tòa rằng, trong trường hợp không có các biện pháp thống nhất hoặc hài hòa hóa để xóa bỏ đánh thuế hai lần ở cấp EU, các Quốc gia Thành viên được tự do xác định các yếu tố kết nối nhằm phân bổ quyền đánh thuế thông qua các hiệp ước song phương nhằm xóa bỏ đánh thuế hai lần.47 Trong </w:t>
      </w:r>
      <w:r>
        <w:rPr>
          <w:b w:val="0"/>
          <w:i/>
        </w:rPr>
        <w:t xml:space="preserve"> Sauvage &amp; Lejeune v État belge</w:t>
      </w:r>
      <w:r>
        <w:rPr>
          <w:b w:val="0"/>
          <w:i w:val="0"/>
        </w:rPr>
        <w:t>, tòa phán quyết rằng việc lựa chọn các yếu tố kết nối khác nhau cho người lao động nói chung trong Điều 15(1) của hiệp ước thuế hai lần Bỉ-Luxembourg so với những yếu tố được áp dụng cho người lao động vận tải có tính di động cao trong Điều 15(3) không liên quan đến bất kỳ sự phân biệt đối xử nào bị cấm bởi quyền tự do di chuyển của người lao động vì những loại người lao động đó không ở trong hoàn cảnh khách quan có thể so sánh được.48</w:t>
      </w:r>
    </w:p>
    <w:p>
      <w:pPr>
        <w:spacing w:after="80"/>
      </w:pPr>
      <w:r>
        <w:rPr>
          <w:b/>
          <w:i w:val="0"/>
        </w:rPr>
        <w:t>[A]Giới hạn về hiệu lực của các hiệp định thuế</w:t>
      </w:r>
    </w:p>
    <w:p>
      <w:pPr>
        <w:spacing w:after="80"/>
      </w:pPr>
      <w:r>
        <w:rPr>
          <w:b w:val="0"/>
          <w:i w:val="0"/>
        </w:rPr>
        <w:t>Trong trường hợp không có các biện pháp thống nhất hoặc hài hòa hóa để loại bỏ đánh thuế hai lần, các Quốc gia Thành viên có thẩm quyền xác định các tiêu chí để đánh thuế thu nhập và loại bỏ đánh thuế hai lần. Các phương tiện để đạt được điều này bao gồm các hiệp định song phương.49</w:t>
      </w:r>
    </w:p>
    <w:p>
      <w:pPr>
        <w:spacing w:after="80"/>
      </w:pPr>
      <w:r>
        <w:rPr>
          <w:b w:val="0"/>
          <w:i w:val="0"/>
        </w:rPr>
        <w:t>Các lợi ích cụ thể được cấp bởi các hiệp định như vậy là một phần không thể tách rời của toàn bộ các quy tắc theo hiệp định đang được đề cập và góp phần vào việc phân bổ quyền đánh thuế một cách cân bằng tổng thể giữa hai quốc gia ký kết.50 Do đó, sự cân bằng tổng thể và tính có đi có lại của một hiệp định thuế song phương là trung tâm trong vị trí của nó trong luật EU.51 Mặc dù các Quốc gia Thành viên vẫn giữ thẩm quyền ký kết các hiệp định nhằm loại bỏ đánh thuế hai lần, thẩm quyền này phải được thực hiện theo cách phù hợp với luật châu Âu.</w:t>
      </w:r>
    </w:p>
    <w:p>
      <w:pPr>
        <w:spacing w:after="80"/>
      </w:pPr>
      <w:r>
        <w:rPr>
          <w:b w:val="0"/>
          <w:i w:val="0"/>
        </w:rPr>
        <w:t>44.</w:t>
      </w:r>
      <w:r>
        <w:rPr>
          <w:b w:val="0"/>
          <w:i/>
        </w:rPr>
        <w:t>Kerckhaert &amp; Morres v Belgium</w:t>
      </w:r>
      <w:r>
        <w:rPr>
          <w:b w:val="0"/>
          <w:i w:val="0"/>
        </w:rPr>
        <w:t xml:space="preserve"> (Case C-513/04) [2008] BTC 292; [2007] STC 1349; [2006] ECRI-10967;</w:t>
      </w:r>
      <w:r>
        <w:rPr>
          <w:b w:val="0"/>
          <w:i/>
        </w:rPr>
        <w:t>BaudinetvAgenziadelleEntrate–DirezioneProvincialeIdiTorino</w:t>
      </w:r>
      <w:r>
        <w:rPr>
          <w:b w:val="0"/>
          <w:i w:val="0"/>
        </w:rPr>
        <w:t>(CaseC-194/15)ECLI:EU:C:2016:81.45.At para. 20.46.OECD Model 2017, Introduction, para. 1.47.</w:t>
      </w:r>
      <w:r>
        <w:rPr>
          <w:b w:val="0"/>
          <w:i/>
        </w:rPr>
        <w:t>Sauvage &amp; Lejeune v État belge</w:t>
      </w:r>
      <w:r>
        <w:rPr>
          <w:b w:val="0"/>
          <w:i w:val="0"/>
        </w:rPr>
        <w:t xml:space="preserve"> (Case C-602/17) ECLI:EU:C:2018:856, at para. 22.48.At para. 32.49.</w:t>
      </w:r>
      <w:r>
        <w:rPr>
          <w:b w:val="0"/>
          <w:i/>
        </w:rPr>
        <w:t>Gilly v Directeur des Services Fiscaux du Bas-Rhin</w:t>
      </w:r>
      <w:r>
        <w:rPr>
          <w:b w:val="0"/>
          <w:i w:val="0"/>
        </w:rPr>
        <w:t xml:space="preserve"> (Case C-336/96) [1998] BTC 335; [1998] ECRI-2793;[1998]STC1014,ECJ,at1038,para.24.Thecourtreferredparticularlytotreatiesinaccordance with the OECD Model.50.</w:t>
      </w:r>
      <w:r>
        <w:rPr>
          <w:b w:val="0"/>
          <w:i/>
        </w:rPr>
        <w:t>Riskin and Timmermans v État Belge</w:t>
      </w:r>
      <w:r>
        <w:rPr>
          <w:b w:val="0"/>
          <w:i w:val="0"/>
        </w:rPr>
        <w:t xml:space="preserve"> (Case C-176/15) ECLI:EU:C:2016:488.51.</w:t>
      </w:r>
      <w:r>
        <w:rPr>
          <w:b w:val="0"/>
          <w:i/>
        </w:rPr>
        <w:t>ElideGottardovIstitutonazionaledellaprevidenzasociale</w:t>
      </w:r>
      <w:r>
        <w:rPr>
          <w:b w:val="0"/>
          <w:i w:val="0"/>
        </w:rPr>
        <w:t>(CaseC-55/00)ECLI:EU:C:2002:16,para. 36.</w:t>
      </w:r>
    </w:p>
    <w:p>
      <w:pPr>
        <w:spacing w:after="80"/>
      </w:pPr>
      <w:r>
        <w:rPr>
          <w:b w:val="0"/>
          <w:i w:val="0"/>
        </w:rPr>
        <w:t>69</w:t>
      </w:r>
    </w:p>
    <w:p>
      <w:pPr>
        <w:spacing w:after="80"/>
      </w:pPr>
      <w:r>
        <w:rPr>
          <w:b w:val="0"/>
          <w:i w:val="0"/>
        </w:rPr>
        <w:t xml:space="preserve">Trong </w:t>
      </w:r>
      <w:r>
        <w:rPr>
          <w:b w:val="0"/>
          <w:i/>
        </w:rPr>
        <w:t>EC Commission v France</w:t>
      </w:r>
      <w:r>
        <w:rPr>
          <w:b w:val="0"/>
          <w:i w:val="0"/>
        </w:rPr>
        <w:t>,52 ECJ đã xem xét liệu Pháp có vi phạm các nghĩa vụ của mình theo Hiệp ước EC hay không, cụ thể là, điều hiện nay là art. 49 TFEU, bằng cách không cấp lợi ích của các khoản tín dụng thuế cho cổ đông cho các chi nhánh và đại lý tại Pháp của các công ty bảo hiểm được thành lập ở các Quốc gia Thành viên khác. Tòa án đã phán quyết rằng theo art. 49, quyền tự do thành lập cho công dân của một Quốc gia Thành viên trên lãnh thổ của một Quốc gia Thành viên khác bao gồm quyền tham gia và theo đuổi các hoạt động và thành lập và quản lý các doanh nghiệp theo các điều kiện được đặt ra cho công dân của chính mình.</w:t>
      </w:r>
    </w:p>
    <w:p>
      <w:pPr>
        <w:spacing w:after="80"/>
      </w:pPr>
      <w:r>
        <w:rPr>
          <w:b w:val="0"/>
          <w:i w:val="0"/>
        </w:rPr>
        <w:t>Chính phủ Pháp lập luận rằng sự khác biệt trong đối xử phát sinh do sự khác biệt giữa các hệ thống thuế của các Quốc gia Thành viên và sự tồn tại của các hiệp định thuế. Họ lập luận rằng các biện pháp khác nhau là cần thiết trong mỗi trường hợp để tính đến sự khác biệt giữa các hệ thống thuế, điều này nên được biện minh theo art. 49. Các quy tắc thuế đang được đề cập được điều chỉnh bởi các hiệp định thuế song phương giữa các Quốc gia Thành viên liên quan mà sự tồn tại của chúng được công nhận rõ ràng trong art. 293 của Hiệp ước EC. Hơn nữa, các quy tắc bị phản đối là cần thiết, đặc biệt, để ngăn chặn việc trốn thuế.</w:t>
      </w:r>
    </w:p>
    <w:p>
      <w:pPr>
        <w:spacing w:after="80"/>
      </w:pPr>
      <w:r>
        <w:rPr>
          <w:b w:val="0"/>
          <w:i w:val="0"/>
        </w:rPr>
        <w:t>Về vai trò của các hiệp định thuế, ECJ đã phán quyết rằng các quyền được trao bởi điều hiện nay là art. 49 là vô điều kiện, và một Quốc gia Thành viên không thể đặt chúng phụ thuộc vào nội dung của một thỏa thuận được ký kết với một Quốc gia Thành viên khác. Tuyên bố rõ ràng này đã được tái khẳng định trong các vụ án tiếp theo.53 Cụ thể, art. 49 không cho phép các quyền đó bị đặt dưới điều kiện có đi có lại được áp đặt nhằm mục đích đạt được các lợi ích tương ứng ở các Quốc gia Thành viên khác. Do đó, các quy định trong các hiệp định giữa các Quốc gia Thành viên không tuân thủ luật Liên minh là không có hiệu lực.</w:t>
      </w:r>
    </w:p>
    <w:p>
      <w:pPr>
        <w:spacing w:after="80"/>
      </w:pPr>
      <w:r>
        <w:rPr>
          <w:b/>
          <w:i w:val="0"/>
        </w:rPr>
        <w:t>§3.05 HIỆU LỰC CỦA HIỆP ĐỊNH ĐỐI VỚI CÁC HẠN CHẾ</w:t>
      </w:r>
    </w:p>
    <w:p>
      <w:pPr>
        <w:spacing w:after="80"/>
      </w:pPr>
      <w:r>
        <w:rPr>
          <w:b w:val="0"/>
          <w:i w:val="0"/>
        </w:rPr>
        <w:t>Khi thừa nhận rằng việc phân bổ quyền tài phán thuế là vấn đề thuộc thẩm quyền của các Quốc gia Thành viên, Tòa án công nhận thẩm quyền của các Quốc gia Thành viên để thỏa thuận với nhau thông qua một hiệp định song phương về việc phân bổ đó giữa họ.54 Tuy nhiên, hiệu lực của việc phân bổ đã thỏa thuận như vậy phải phù hợp với luật Liên minh.</w:t>
      </w:r>
    </w:p>
    <w:p>
      <w:pPr>
        <w:spacing w:after="80"/>
      </w:pPr>
      <w:r>
        <w:rPr>
          <w:b w:val="0"/>
          <w:i w:val="0"/>
        </w:rPr>
        <w:t xml:space="preserve">Trong trường hợp bản thân hiệp định không mang tính phân biệt đối xử nhưng cho phép một quốc gia ký kết đánh thuế phân biệt đối xử, thì bản thân hiệp định có thể thoát khỏi sự tấn công. Trong </w:t>
      </w:r>
      <w:r>
        <w:rPr>
          <w:b w:val="0"/>
          <w:i/>
        </w:rPr>
        <w:t>Finanzamt-Koln-AltstadtvSchumacker</w:t>
      </w:r>
      <w:r>
        <w:rPr>
          <w:b w:val="0"/>
          <w:i w:val="0"/>
        </w:rPr>
        <w:t>,55 một trong những câu hỏi được đặt ra cho ECJ là liệu có sự khác biệt nào không nếu thu nhập đang được đề cập bị đánh thuế ở một Quốc gia Thành viên theo hiệp định giữa các Quốc gia Thành viên liên quan. Điểm chính đang được tranh luận là liệu điều hiện nay là art. 45 TFEU có cho phép một cư dân Bỉ, người trong các hoàn cảnh tương tự như cư dân Đức, bị từ chối đối xử thuế bình đẳng ở Đức hay không. Trong trường hợp đó, không có thảo luận nào về hiệp định đang được đề cập bởi Advocate-General hoặc bởi chính ECJ, ngoài việc chỉ ra rằng sự đối xử không bình đẳng đang được đề cập –</w:t>
      </w:r>
    </w:p>
    <w:p>
      <w:pPr>
        <w:spacing w:after="80"/>
      </w:pPr>
      <w:r>
        <w:rPr>
          <w:b w:val="0"/>
          <w:i w:val="0"/>
        </w:rPr>
        <w:t>52.</w:t>
      </w:r>
      <w:r>
        <w:rPr>
          <w:b w:val="0"/>
          <w:i/>
        </w:rPr>
        <w:t>EC Commission v France</w:t>
      </w:r>
      <w:r>
        <w:rPr>
          <w:b w:val="0"/>
          <w:i w:val="0"/>
        </w:rPr>
        <w:t xml:space="preserve"> (Case C-270/83) [1986] ECR 273.53.At para. 26. See also, for example,</w:t>
      </w:r>
      <w:r>
        <w:rPr>
          <w:b w:val="0"/>
          <w:i/>
        </w:rPr>
        <w:t xml:space="preserve"> R v IRC, ex parte Commerzbank AG</w:t>
      </w:r>
      <w:r>
        <w:rPr>
          <w:b w:val="0"/>
          <w:i w:val="0"/>
        </w:rPr>
        <w:t xml:space="preserve"> (Case C-330/91) [1993]ECR I-0401 [1993] BTC 299; [1993] STC 605, Advocate-General’s opinion.54.</w:t>
      </w:r>
      <w:r>
        <w:rPr>
          <w:b w:val="0"/>
          <w:i/>
        </w:rPr>
        <w:t>BouanichvDirecteurdesservicesfiscauxdelaDrôme</w:t>
      </w:r>
      <w:r>
        <w:rPr>
          <w:b w:val="0"/>
          <w:i w:val="0"/>
        </w:rPr>
        <w:t>(CaseC-375/12)ECLI:EU:C:2014:138;[2014] BTC 9 at para. 82.55.Case C-279/93 [1995] ECR I-00225</w:t>
      </w:r>
      <w:r>
        <w:rPr>
          <w:b w:val="0"/>
          <w:i/>
        </w:rPr>
        <w:t>;</w:t>
      </w:r>
      <w:r>
        <w:rPr>
          <w:b w:val="0"/>
          <w:i w:val="0"/>
        </w:rPr>
        <w:t xml:space="preserve"> [1995] BTC 251; [1995] STC 306, ECJ.</w:t>
      </w:r>
    </w:p>
    <w:p>
      <w:pPr>
        <w:spacing w:after="80"/>
      </w:pPr>
      <w:r>
        <w:rPr>
          <w:b w:val="0"/>
          <w:i w:val="0"/>
        </w:rPr>
        <w:t>70</w:t>
      </w:r>
    </w:p>
    <w:p>
      <w:pPr>
        <w:spacing w:after="80"/>
      </w:pPr>
      <w:r>
        <w:rPr>
          <w:b w:val="0"/>
          <w:i w:val="0"/>
        </w:rPr>
        <w:t xml:space="preserve">cụ thể là, từ chối một cư dân Bỉ đã kết hôn các lợi ích của việc đánh thuế bằng cách tham chiếu đến việc đối xử với cư dân đã kết hôn và đánh thuế anh ta như một người độc thân thay vào đó – được cho phép ở quốc gia làm việc theo hiệp định hiện hành. Giả định cơ bản dường như là art. 15(1) của Hiệp định Bỉ-Đức chỉ đơn thuần cho phép các yếu tố vi phạm của luật thuế Đức. Các quy định của hiệp định tự chúng không được phân tích hoặc thực sự có liên quan chặt chẽ và do đó sự phân biệt đối xử nằm trong luật nội địa Đức, không phải trong hiệp định. Không giống như chính quyền Pháp trong </w:t>
      </w:r>
      <w:r>
        <w:rPr>
          <w:b w:val="0"/>
          <w:i/>
        </w:rPr>
        <w:t>Commission v France</w:t>
      </w:r>
      <w:r>
        <w:rPr>
          <w:b w:val="0"/>
          <w:i w:val="0"/>
        </w:rPr>
        <w:t>,56 chính quyền thuế Đức đã không dựa vào hiệp định để biện minh cho sự phân biệt đối xử đang được đề cập.</w:t>
      </w:r>
    </w:p>
    <w:p>
      <w:pPr>
        <w:spacing w:after="80"/>
      </w:pPr>
      <w:r>
        <w:rPr>
          <w:b w:val="0"/>
          <w:i w:val="0"/>
        </w:rPr>
        <w:t xml:space="preserve">Trong </w:t>
      </w:r>
      <w:r>
        <w:rPr>
          <w:b w:val="0"/>
          <w:i/>
        </w:rPr>
        <w:t>SGIvBelgium,</w:t>
      </w:r>
      <w:r>
        <w:rPr>
          <w:b w:val="0"/>
          <w:i w:val="0"/>
        </w:rPr>
        <w:t>57 luật chống lạm dụng của Bỉ tương tự như chuyển giá đã bị thách thức vì xâm phạm quyền tự do thành lập. Advocate-General Kokott đã quan sát rằng mặc dù art. 9 của OECD Model58 và art. 4 của Công ước Trọng tài59 cung cấp một cơ chế để loại bỏ đánh thuế hai lần, thủ tục này là một gánh nặng hành chính và tài chính tốn thời gian bổ sung không có trong các quy định liên quan đến các giao dịch trong nước. Luật nội địa đã không được cứu khỏi việc tạo thành một hạn chế bởi các hiệp định này.60</w:t>
      </w:r>
    </w:p>
    <w:p>
      <w:pPr>
        <w:spacing w:after="80"/>
      </w:pPr>
      <w:r>
        <w:rPr>
          <w:b w:val="0"/>
          <w:i w:val="0"/>
        </w:rPr>
        <w:t xml:space="preserve">Một hiệp định có thể tạo ra các hoàn cảnh mà trong đó các hạn chế phát sinh. Trong </w:t>
      </w:r>
      <w:r>
        <w:rPr>
          <w:b w:val="0"/>
          <w:i/>
        </w:rPr>
        <w:t>DeutscheShell v Finanzamt für Großunternehmen in Hamburg</w:t>
      </w:r>
      <w:r>
        <w:rPr>
          <w:b w:val="0"/>
          <w:i w:val="0"/>
        </w:rPr>
        <w:t>,61 art. 3(1) của hiệp định giữa Đức và Ý quy định rằng 'thu nhập thu được thông qua hoạt động của' một cơ sở Ý của một công ty Đức chỉ phải chịu thuế ở Ý. Theo luật Đức, không được phép khấu trừ lỗ tiền tệ phát sinh từ việc hồi hương vốn khởi nghiệp được đưa vào cơ sở thường trú nếu lợi nhuận của cơ sở thường trú được miễn thuế theo một hiệp định. Không có khấu trừ nào phát sinh ở Ý vì tiền tệ được đưa vào là tiền Ý. ECJ đã bác bỏ lập luận rằng hạn chế được biện minh vì nó chỉ đơn thuần phát sinh từ việc thực hiện quyền thỏa thuận về việc phân bổ quyền tài phán thuế bằng hiệp định. Khi một Quốc gia Thành viên đã từ bỏ quyền đánh thuế của mình bằng một hiệp định, nó không thể dựa vào việc thiếu quyền đánh thuế đó để biện minh cho việc từ chối khấu trừ chi phí mà, về bản chất, không thể được tính đến ở Quốc gia Thành viên nơi cơ sở đó tọa lạc.62 Advocate-General Sharpston có quan điểm rằng đây là 'không phải là một việc áp dụng tương xứng quyền hạn của các Quốc gia Thành viên để phân bổ thẩm quyền tài chính giữa họ với nhau'.63</w:t>
      </w:r>
    </w:p>
    <w:p>
      <w:pPr>
        <w:spacing w:after="80"/>
      </w:pPr>
      <w:r>
        <w:rPr>
          <w:b w:val="0"/>
          <w:i w:val="0"/>
        </w:rPr>
        <w:t xml:space="preserve">Mặt khác, sự tương tác giữa các điều khoản phân chia lợi ích của một hiệp định và các điều khoản về xóa bỏ đánh thuế hai lần đã không làm phát sinh hạn chế đối với việc tự do di chuyển vốn trong </w:t>
      </w:r>
      <w:r>
        <w:rPr>
          <w:b w:val="0"/>
          <w:i/>
        </w:rPr>
        <w:t>Banco Bilbao Vizcaya Argentaria SA v</w:t>
      </w:r>
    </w:p>
    <w:p>
      <w:pPr>
        <w:spacing w:after="80"/>
      </w:pPr>
      <w:r>
        <w:rPr>
          <w:b w:val="0"/>
          <w:i w:val="0"/>
        </w:rPr>
        <w:t>56.</w:t>
      </w:r>
      <w:r>
        <w:rPr>
          <w:b w:val="0"/>
          <w:i/>
        </w:rPr>
        <w:t>Commission v France</w:t>
      </w:r>
      <w:r>
        <w:rPr>
          <w:b w:val="0"/>
          <w:i w:val="0"/>
        </w:rPr>
        <w:t xml:space="preserve"> (Vụ án C-270/83) [1986] ECR 273.57.</w:t>
      </w:r>
      <w:r>
        <w:rPr>
          <w:b w:val="0"/>
          <w:i/>
        </w:rPr>
        <w:t>Société de Gestion Industrielle (SGI) v Belgium</w:t>
      </w:r>
      <w:r>
        <w:rPr>
          <w:b w:val="0"/>
          <w:i w:val="0"/>
        </w:rPr>
        <w:t xml:space="preserve"> (Vụ án C-311/08) [2008] ECR I-01129; [2011] BTC 123; [2010] ECR I-487; [2010] 2 CMLR 1017.58.Xem Chương 9, §9.17.59.Xem Chương 21.60.Ý kiến tại các đoạn 48-52.61.</w:t>
      </w:r>
      <w:r>
        <w:rPr>
          <w:b w:val="0"/>
          <w:i/>
        </w:rPr>
        <w:t>Deutsche Shell v Finanzamt für Großunternehmen in Hamburg</w:t>
      </w:r>
      <w:r>
        <w:rPr>
          <w:b w:val="0"/>
          <w:i w:val="0"/>
        </w:rPr>
        <w:t xml:space="preserve"> (Vụ án C-293/06) [2008] ECR I-01129</w:t>
      </w:r>
      <w:r>
        <w:rPr>
          <w:b w:val="0"/>
          <w:i/>
        </w:rPr>
        <w:t>,</w:t>
      </w:r>
      <w:r>
        <w:rPr>
          <w:b w:val="0"/>
          <w:i w:val="0"/>
        </w:rPr>
        <w:t xml:space="preserve"> ECLI:EU:C:2008:129, [2010] BTC 595; [2008] STC 1721.62.Phán quyết đoạn 51.63.Ý kiến đoạn 51.</w:t>
      </w:r>
    </w:p>
    <w:p>
      <w:pPr>
        <w:spacing w:after="80"/>
      </w:pPr>
      <w:r>
        <w:rPr>
          <w:b w:val="0"/>
          <w:i w:val="0"/>
        </w:rPr>
        <w:t>71</w:t>
      </w:r>
    </w:p>
    <w:p>
      <w:pPr>
        <w:spacing w:after="80"/>
      </w:pPr>
      <w:r>
        <w:rPr>
          <w:b w:val="0"/>
          <w:i/>
        </w:rPr>
        <w:t>Administración General del Estado</w:t>
      </w:r>
      <w:r>
        <w:rPr>
          <w:b w:val="0"/>
          <w:i w:val="0"/>
        </w:rPr>
        <w:t>.64 Hiệp định giữa Bỉ và Tây Ban Nha giới hạn thuế đối với tiền lãi tại quốc gia nguồn ở mức 15% tổng khoản thanh toán. Đánh thuế hai lần được giảm nhẹ tại quốc gia cư trú bằng cách miễn thuế đối với thu nhập mà quốc gia nguồn được quyền đánh thuế theo các điều khoản của hiệp định. Tòa án đã bác bỏ lập luận rằng hiệu lực của hiệp định kết hợp với luật trong nước, vốn hạn chế việc khấu trừ tiền lãi nếu người nhận được hưởng miễn thuế, đã xâm phạm quyền tự do di chuyển vốn. Không phát sinh đánh thuế hai lần và bất lợi được cho là do không được khấu trừ chỉ phát sinh từ việc các Quốc gia Thành viên khác nhau thực thi song song các thẩm quyền thuế của mình. Quyền tự do di chuyển vốn không đòi hỏi các quy tắc thuế phải được điều chỉnh để đảm bảo rằng người nộp thuế được hưởng lợi từ một ưu đãi thuế do một Quốc gia Thành viên khác cấp.</w:t>
      </w:r>
    </w:p>
    <w:p>
      <w:pPr>
        <w:spacing w:after="80"/>
      </w:pPr>
      <w:r>
        <w:rPr>
          <w:b/>
          <w:i w:val="0"/>
        </w:rPr>
        <w:t>§3.06 CÁC HIỆP ĐỊNH PHÂN BIỆT ĐỐI XỬ</w:t>
      </w:r>
    </w:p>
    <w:p>
      <w:pPr>
        <w:spacing w:after="80"/>
      </w:pPr>
      <w:r>
        <w:rPr>
          <w:b w:val="0"/>
          <w:i w:val="0"/>
        </w:rPr>
        <w:t xml:space="preserve">Bản thân các hiệp định có thể làm phát sinh sự phân biệt đối xử. Trong </w:t>
      </w:r>
      <w:r>
        <w:rPr>
          <w:b w:val="0"/>
          <w:i/>
        </w:rPr>
        <w:t>Saint-Gobain</w:t>
      </w:r>
      <w:r>
        <w:rPr>
          <w:b w:val="0"/>
          <w:i w:val="0"/>
        </w:rPr>
        <w:t>, cơ quan thuế Đức đã đưa phần vốn góp trong công ty con tại Mỹ vào tài sản trong nước của cơ sở thường trú nhằm mục đích thuế vốn của Đức. Đức không cho phép miễn thuế đối với các tập đoàn quốc tế nhưng có dành một nhượng bộ, chỉ giới hạn cho các công ty trong nước.</w:t>
      </w:r>
    </w:p>
    <w:p>
      <w:pPr>
        <w:spacing w:after="80"/>
      </w:pPr>
      <w:r>
        <w:rPr>
          <w:b w:val="0"/>
          <w:i w:val="0"/>
        </w:rPr>
        <w:t>Tuy nhiên, theo Điều 19 của Hiệp định Pháp-Đức, phần vốn góp của một công ty con Đức trong một công ty con nước ngoài của một công ty Pháp không cư trú tại Đức được loại trừ khỏi thuế vốn của Đức. Kết quả là, việc miễn thuế vốn liên quan đến các tập đoàn quốc tế cũng tạo ra gánh nặng thuế đối với cơ sở thường trú của một công ty nước ngoài khác với gánh nặng thuế đối với công ty con của một công ty nước ngoài. Ban đầu Chính phủ Đức lập luận rằng tình trạng của một cơ sở thường trú khác với một công ty con, nhưng tại phiên điều trần họ đã thừa nhận sự phân biệt đối xử này. Như vậy, các hiệp định có thể làm phát sinh sự phân biệt đối xử bất hợp pháp nếu, do các điều khoản của chúng, những người nộp thuế trong hoàn cảnh tương tự không được đánh thuế như nhau.</w:t>
      </w:r>
    </w:p>
    <w:p>
      <w:pPr>
        <w:spacing w:after="80"/>
      </w:pPr>
      <w:r>
        <w:rPr>
          <w:b w:val="0"/>
          <w:i w:val="0"/>
        </w:rPr>
        <w:t xml:space="preserve">Một hiệp định dành nhượng bộ cho các công ty con của một quốc gia ký kết nhưng không mở rộng các nhượng bộ tương tự cho các cơ sở thường trú của một quốc gia ký kết là một nguồn gốc của sự phân biệt đối xử. Trong </w:t>
      </w:r>
      <w:r>
        <w:rPr>
          <w:b w:val="0"/>
          <w:i/>
        </w:rPr>
        <w:t>Saint-Gobain</w:t>
      </w:r>
      <w:r>
        <w:rPr>
          <w:b w:val="0"/>
          <w:i w:val="0"/>
        </w:rPr>
        <w:t>,65 kết quả không phải là sự vô hiệu của hiệp định, mà là luật trong nước của quốc gia ký kết có các quy tắc đã trở nên phân biệt đối xử do việc áp dụng hiệp định. Việc người cư trú hoặc công dân của một Quốc gia Thành viên khác được đối xử thuận lợi hơn ở một số khía cạnh không khắc phục hay bù đắp cho sự bất bình đẳng mang tính phân biệt đối xử khi nó tồn tại.</w:t>
      </w:r>
    </w:p>
    <w:p>
      <w:pPr>
        <w:spacing w:after="80"/>
      </w:pPr>
      <w:r>
        <w:rPr>
          <w:b w:val="0"/>
          <w:i w:val="0"/>
        </w:rPr>
        <w:t xml:space="preserve">Một hình thức phân biệt đối xử bất thường phát sinh từ các điều khoản không phân biệt đối xử trong các hiệp định đánh thuế hai lần đã xuất hiện trong </w:t>
      </w:r>
      <w:r>
        <w:rPr>
          <w:b w:val="0"/>
          <w:i/>
        </w:rPr>
        <w:t>XAB &amp; YAB v Riksskatteverket</w:t>
      </w:r>
      <w:r>
        <w:rPr>
          <w:b w:val="0"/>
          <w:i w:val="0"/>
        </w:rPr>
        <w:t>.66 Các khoản giảm thuế thu nhập doanh nghiệp của Thụy Điển được áp dụng khi chuyển nhượng tài sản trong nội bộ tập đoàn. Theo luật Thụy Điển, chúng được áp dụng cho các công ty trong cùng một tập đoàn – nghĩa là khi công ty mẹ sở hữu ít nhất 90% công ty con. Các khoản giảm thuế này được áp dụng với điều kiện tất cả các công ty đều</w:t>
      </w:r>
    </w:p>
    <w:p>
      <w:pPr>
        <w:spacing w:after="80"/>
      </w:pPr>
      <w:r>
        <w:rPr>
          <w:b w:val="0"/>
          <w:i w:val="0"/>
        </w:rPr>
        <w:t>64.</w:t>
      </w:r>
      <w:r>
        <w:rPr>
          <w:b w:val="0"/>
          <w:i/>
        </w:rPr>
        <w:t>Banco Bilbao Vizcaya Argentaria SA v Administración General del Estado</w:t>
      </w:r>
      <w:r>
        <w:rPr>
          <w:b w:val="0"/>
          <w:i w:val="0"/>
        </w:rPr>
        <w:t xml:space="preserve"> (Vụ án C-157/10) [2011] ECR I-13023; [2012] STC 1300; [2012] All ER (EC) 747.65.</w:t>
      </w:r>
      <w:r>
        <w:rPr>
          <w:b w:val="0"/>
          <w:i/>
        </w:rPr>
        <w:t>Compagnie de Saint-Gobain v Finanzamt Aachen Innenstadt</w:t>
      </w:r>
      <w:r>
        <w:rPr>
          <w:b w:val="0"/>
          <w:i w:val="0"/>
        </w:rPr>
        <w:t xml:space="preserve"> (Vụ án C-307/97) [1999] ECR I-06161 [2000] STC 854, ECJ. Xem ở trên, §3.03[A].66.</w:t>
      </w:r>
      <w:r>
        <w:rPr>
          <w:b w:val="0"/>
          <w:i/>
        </w:rPr>
        <w:t>XAB &amp; YAB v Riksskatteverket</w:t>
      </w:r>
      <w:r>
        <w:rPr>
          <w:b w:val="0"/>
          <w:i w:val="0"/>
        </w:rPr>
        <w:t xml:space="preserve"> (Vụ án C-200/98) [1999] ECR 1-8261.</w:t>
      </w:r>
    </w:p>
    <w:p>
      <w:pPr>
        <w:spacing w:after="80"/>
      </w:pPr>
      <w:r>
        <w:rPr>
          <w:b w:val="0"/>
          <w:i w:val="0"/>
        </w:rPr>
        <w:t>72</w:t>
      </w:r>
    </w:p>
    <w:p>
      <w:pPr>
        <w:spacing w:after="80"/>
      </w:pPr>
      <w:r>
        <w:rPr>
          <w:b w:val="0"/>
          <w:i w:val="0"/>
        </w:rPr>
        <w:t>được thành lập tại Thụy Điển hoặc tại một quốc gia duy nhất khác mà Thụy Điển có hiệp định chứa điều khoản không phân biệt đối xử. Điều này bị công kích là phân biệt đối xử chống lại các công ty trong các tập đoàn được thành lập tại nhiều hơn một Quốc gia Thành viên theo các điều khoản hiện nay là Điều 49 và 63 TFEU.</w:t>
      </w:r>
    </w:p>
    <w:p>
      <w:pPr>
        <w:spacing w:after="80"/>
      </w:pPr>
      <w:r>
        <w:rPr>
          <w:b w:val="0"/>
          <w:i w:val="0"/>
        </w:rPr>
        <w:t>Trong trường hợp này, 99,8% cổ phần của YAB cuối cùng thuộc sở hữu của XAB. Khoảng 58% số cổ phần đó do XAB sở hữu trực tiếp. Phần còn lại do các công ty con khác của XAB sở hữu. Một phán quyết đã được yêu cầu từ cơ quan thuế Thụy Điển về việc được hưởng giảm thuế đối với chuyển nhượng tài sản trong nội bộ tập đoàn trong ba tình huống:</w:t>
      </w:r>
    </w:p>
    <w:p>
      <w:pPr>
        <w:spacing w:after="80"/>
      </w:pPr>
      <w:r>
        <w:rPr>
          <w:b w:val="0"/>
          <w:i w:val="0"/>
        </w:rPr>
        <w:t>–XAB sở hữu toàn bộ cổ phần của YAB trực tiếp hoặc thông qua các công ty con Thụy Điển;–15% cổ phần của YAB do ZBV, một công ty Hà Lan thuộc sở hữu hoàn toàn</w:t>
      </w:r>
    </w:p>
    <w:p>
      <w:pPr>
        <w:spacing w:after="80"/>
      </w:pPr>
      <w:r>
        <w:rPr>
          <w:b w:val="0"/>
          <w:i w:val="0"/>
        </w:rPr>
        <w:t>của XAB; hoặc–ZBV và Y GmbH, một công ty Đức thuộc sở hữu hoàn toàn của XAB, mỗi bên</w:t>
      </w:r>
    </w:p>
    <w:p>
      <w:pPr>
        <w:spacing w:after="80"/>
      </w:pPr>
      <w:r>
        <w:rPr>
          <w:b w:val="0"/>
          <w:i w:val="0"/>
        </w:rPr>
        <w:t>sẽ mua 15% cổ phần của YAB.</w:t>
      </w:r>
    </w:p>
    <w:p>
      <w:pPr>
        <w:spacing w:after="80"/>
      </w:pPr>
      <w:r>
        <w:rPr>
          <w:b w:val="0"/>
          <w:i w:val="0"/>
        </w:rPr>
        <w:t>Theo luật nội địa của Thụy Điển, biện pháp khắc phục sẽ được đưa ra trong trường hợp thứ nhất. Biện pháp khắc phục cũng sẽ được đưa ra trong trường hợp thứ hai với lý do rằng việc từ chối khắc phục có thể trái với điều khoản không phân biệt đối xử của một hiệp ước hiện hành – ví dụ, hiệp ước giữa Thụy Điển và Hà Lan. Tuy nhiên, án lệ Thụy Điển cấm việc áp dụng tích lũy hai hiệp ước, chẳng hạn như hiệp ước giữa Thụy Điển và Đức một bên, và giữa Thụy Điển và Hà Lan một bên. Điều này là bởi vì việc áp dụng đồng thời hai hoặc nhiều hiệp ước bị loại trừ trên cơ sở rằng các điều khoản của mỗi hiệp ước đó chỉ áp dụng cho các cam kết của các quốc gia ký kết chứ không áp dụng cho các cam kết của quốc gia thứ ba.</w:t>
      </w:r>
    </w:p>
    <w:p>
      <w:pPr>
        <w:spacing w:after="80"/>
      </w:pPr>
      <w:r>
        <w:rPr>
          <w:b w:val="0"/>
          <w:i w:val="0"/>
        </w:rPr>
        <w:t>Khi giữ nguyên khiếu nại về phân biệt đối xử bất hợp pháp, ECJ lưu ý rằng quyền tự do thành lập áp dụng cả để đảm bảo rằng người nước ngoài và công ty nước ngoài được đối xử tại Quốc gia thành viên tiếp nhận giống như công dân của quốc gia đó, cũng như cấm Quốc gia thành viên gốc cản trở việc thành lập tại một Quốc gia thành viên khác.</w:t>
      </w:r>
    </w:p>
    <w:p>
      <w:pPr>
        <w:spacing w:after="80"/>
      </w:pPr>
      <w:r>
        <w:rPr>
          <w:b w:val="0"/>
          <w:i w:val="0"/>
        </w:rPr>
        <w:t>Các quy tắc này được cho là mang tính phân biệt đối xử.67 Mặc dù mỗi hiệp ước được đề cập không mang tính phân biệt đối xử, nhưng khi đặt trong bối cảnh luật nội địa, sự hiện diện của một hiệp ước chứa các điều khoản cần thiết đã tạo nên sự phân biệt đối xử khi có sự tham gia của một quốc gia thứ ba.</w:t>
      </w:r>
    </w:p>
    <w:p>
      <w:pPr>
        <w:spacing w:after="80"/>
      </w:pPr>
      <w:r>
        <w:rPr>
          <w:b w:val="0"/>
          <w:i w:val="0"/>
        </w:rPr>
        <w:t xml:space="preserve">Trong </w:t>
      </w:r>
      <w:r>
        <w:rPr>
          <w:b w:val="0"/>
          <w:i/>
        </w:rPr>
        <w:t xml:space="preserve"> Percival v Commissioners for Her Majesty’s Revenue &amp; Customs</w:t>
      </w:r>
      <w:r>
        <w:rPr>
          <w:b w:val="0"/>
          <w:i w:val="0"/>
        </w:rPr>
        <w:t xml:space="preserve">,68 Tòa án sơ thẩm (First-tier Tribunal) kết luận, chủ yếu dựa trên </w:t>
      </w:r>
      <w:r>
        <w:rPr>
          <w:b w:val="0"/>
          <w:i/>
        </w:rPr>
        <w:t xml:space="preserve"> Gilly v Directeur des Services Fiscaux du Bas-Rhin</w:t>
      </w:r>
      <w:r>
        <w:rPr>
          <w:b w:val="0"/>
          <w:i w:val="0"/>
        </w:rPr>
        <w:t>,69 rằng sự phân biệt giữa cách xử lý lương hưu đối với dịch vụ chính phủ và các loại lương hưu khác trong Điều 18 của Hiệp ước Thuế Thu nhập Ireland-UK không vi phạm lệnh cấm phân biệt đối xử trên cơ sở quốc tịch trong Điều 18 TFEU cũng như quyền tự do di chuyển của công dân EU trong Điều 21 TFEU. Ông Percival, người</w:t>
      </w:r>
    </w:p>
    <w:p>
      <w:pPr>
        <w:spacing w:after="80"/>
      </w:pPr>
      <w:r>
        <w:rPr>
          <w:b w:val="0"/>
          <w:i w:val="0"/>
        </w:rPr>
        <w:t xml:space="preserve">67. Chính phủ Thụy Điển thừa nhận rằng quy tắc được đề cập trái với Điều 43 (trước đây là 52) và không đưa ra biện minh nào, và tòa án đã phán quyết trên cơ sở này. Theo đó, tòa từ chối xem xét các căn cứ tiếp theo.68. </w:t>
      </w:r>
      <w:r>
        <w:rPr>
          <w:b w:val="0"/>
          <w:i/>
        </w:rPr>
        <w:t>Percival v Commissioners for Her Majesty’s Revenue &amp; Customs</w:t>
      </w:r>
      <w:r>
        <w:rPr>
          <w:b w:val="0"/>
          <w:i w:val="0"/>
        </w:rPr>
        <w:t xml:space="preserve"> [2013] TC 02654 [2013] UKFTT 240.69. </w:t>
      </w:r>
      <w:r>
        <w:rPr>
          <w:b w:val="0"/>
          <w:i/>
        </w:rPr>
        <w:t>Gilly v Directeur des Services Fiscaux du Bas-Rhin</w:t>
      </w:r>
      <w:r>
        <w:rPr>
          <w:b w:val="0"/>
          <w:i w:val="0"/>
        </w:rPr>
        <w:t xml:space="preserve"> (Case C-336/96) [1998] BTC 335; [1998] ECR I-2793; [1998] STC 1014, ECJ. Xem §3.04.</w:t>
      </w:r>
    </w:p>
    <w:p>
      <w:pPr>
        <w:spacing w:after="80"/>
      </w:pPr>
      <w:r>
        <w:rPr>
          <w:b w:val="0"/>
          <w:i w:val="0"/>
        </w:rPr>
        <w:t>73</w:t>
      </w:r>
    </w:p>
    <w:p>
      <w:pPr>
        <w:spacing w:after="80"/>
      </w:pPr>
      <w:r>
        <w:rPr>
          <w:b w:val="0"/>
          <w:i w:val="0"/>
        </w:rPr>
        <w:t>nhận lương hưu dịch vụ chính phủ, lẽ ra được miễn thuế theo Điều 18 của Hiệp ước Thuế Thu nhập Ireland-UK nếu ông là công dân Ireland nhưng không được miễn vì ông là người Anh.</w:t>
      </w:r>
    </w:p>
    <w:p>
      <w:pPr>
        <w:spacing w:after="80"/>
      </w:pPr>
      <w:r>
        <w:rPr>
          <w:b/>
          <w:i w:val="0"/>
        </w:rPr>
        <w:t>§3.07 CÁC HIỆP ƯỚC VÔ HIỆU HÓA SỰ PHÂN BIỆT ĐỐI XỬ</w:t>
      </w:r>
    </w:p>
    <w:p>
      <w:pPr>
        <w:spacing w:after="80"/>
      </w:pPr>
      <w:r>
        <w:rPr>
          <w:b w:val="0"/>
          <w:i w:val="0"/>
        </w:rPr>
        <w:t xml:space="preserve">Ngược lại, việc phân bổ hợp lý quyền đánh thuế giữa các Quốc gia thành viên thông qua một công ước đánh thuế hai lần quốc tế có thể đạt được việc vô hiệu hóa các tác động phân biệt đối xử của pháp luật quốc gia. Trong </w:t>
      </w:r>
      <w:r>
        <w:rPr>
          <w:b w:val="0"/>
          <w:i/>
        </w:rPr>
        <w:t xml:space="preserve"> Bouanich v Skatteverket</w:t>
      </w:r>
      <w:r>
        <w:rPr>
          <w:b w:val="0"/>
          <w:i w:val="0"/>
        </w:rPr>
        <w:t>,70 tòa án đã xem xét cách xử lý thuế của Thụy Điển đối với các quy tắc liên quan đến khoản thanh toán cho việc mua lại cổ phần. Khi việc mua lại được thực hiện bởi một cổ đông không cư trú liên quan đến việc giảm vốn cổ phần, khoản đó bị đánh thuế như cổ tức mà không có quyền khấu trừ chi phí mua lại những cổ phần đó, trong khi khoản thanh toán tương tự cho một cổ đông cư trú được đánh thuế như lãi vốn với quyền khấu trừ chi phí mua lại khi tính lãi. Tòa phán quyết rằng sự khác biệt trong cách xử lý này vi phạm điều hiện nay là Điều 63 TFEU (Tự do di chuyển vốn). Tuy nhiên, Chính phủ Thụy Điển lập luận rằng lập trường nên khác khi hệ thống thuế bắt nguồn từ một hiệp ước (chẳng hạn như Hiệp ước Pháp-Thụy Điển) quy định mức thuế tối đa thấp hơn đối với cổ tức cho cổ đông không cư trú so với cổ đông cư trú (đối với họ, khoản đó được xử lý như lãi vốn). Chính phủ còn lập luận rằng theo cách giải thích hiệp ước đó dưới ánh sáng của Bình luận OECD về Mẫu, chỉ giá trị danh nghĩa của những cổ phần đó mới được khấu trừ khỏi khoản thanh toán mua lại cổ phần.</w:t>
      </w:r>
    </w:p>
    <w:p>
      <w:pPr>
        <w:spacing w:after="80"/>
      </w:pPr>
      <w:r>
        <w:rPr>
          <w:b w:val="0"/>
          <w:i w:val="0"/>
        </w:rPr>
        <w:t>Do đó, theo hiệp ước, bà Bouanich được phép khấu trừ giá trị danh nghĩa của cổ phần khỏi số tiền chịu thuế phải trả khi mua lại những cổ phần đó, với phần còn lại bị đánh thuế ở mức thuế suất theo hiệp ước là 15%. So sánh, cổ đông cư trú bị đánh thuế ở mức 30% trên các khoản thanh toán mua lại cổ phần sau khi khấu trừ chi phí mua lại cổ phần.</w:t>
      </w:r>
    </w:p>
    <w:p>
      <w:pPr>
        <w:spacing w:after="80"/>
      </w:pPr>
      <w:r>
        <w:rPr>
          <w:b w:val="0"/>
          <w:i w:val="0"/>
        </w:rPr>
        <w:t>Tòa án kết luận rằng mặc dù các Quốc gia thành viên vẫn được tự do xác định các yếu tố kết nối để phân bổ quyền tài phán về thuế bằng hiệp ước, điều này không cho phép các Quốc gia thành viên đưa ra các biện pháp phân biệt đối xử. Điều 63 TFEU (Tự do di chuyển vốn) loại trừ các quy tắc như vậy trừ khi, trên cơ sở từng trường hợp cụ thể, cổ đông không cư trú không bị đối xử kém thuận lợi hơn cổ đông cư trú. Việc tính toán từng trường hợp cụ thể này là vấn đề thuộc thẩm quyền của các Quốc gia thành viên.</w:t>
      </w:r>
    </w:p>
    <w:p>
      <w:pPr>
        <w:spacing w:after="80"/>
      </w:pPr>
      <w:r>
        <w:rPr>
          <w:b w:val="0"/>
          <w:i w:val="0"/>
        </w:rPr>
        <w:t xml:space="preserve">Trong </w:t>
      </w:r>
      <w:r>
        <w:rPr>
          <w:b w:val="0"/>
          <w:i/>
        </w:rPr>
        <w:t>Denkavit và Amurta</w:t>
      </w:r>
      <w:r>
        <w:rPr>
          <w:b w:val="0"/>
          <w:i w:val="0"/>
        </w:rPr>
        <w:t>,71 sự khác biệt trong việc đánh thuế tại quốc gia nguồn đối với cổ tức do các công ty trả cho cổ đông cư trú và không cư trú đã vi phạm luật cộng đồng. Trong mỗi trường hợp, quốc gia nguồn là một bên của hiệp ước cho phép quốc gia nguồn đánh thuế những cổ tức đó (tùy thuộc vào mức thuế tối đa) trong khi quốc gia cư trú được yêu cầu cấp tín dụng cho thuế quốc gia nguồn (bị khấu trừ) đối với thuế đánh trên cổ tức tại quốc gia cư trú. Trong cả hai trường hợp, các quốc gia cư trú đã áp dụng</w:t>
      </w:r>
    </w:p>
    <w:p>
      <w:pPr>
        <w:spacing w:after="80"/>
      </w:pPr>
      <w:r>
        <w:rPr>
          <w:b w:val="0"/>
          <w:i w:val="0"/>
        </w:rPr>
        <w:t xml:space="preserve">70. </w:t>
      </w:r>
      <w:r>
        <w:rPr>
          <w:b w:val="0"/>
          <w:i/>
        </w:rPr>
        <w:t>Bouanich v Skatteverket</w:t>
      </w:r>
      <w:r>
        <w:rPr>
          <w:b w:val="0"/>
          <w:i w:val="0"/>
        </w:rPr>
        <w:t xml:space="preserve"> (Case C-265/04) [2006] ECR I-11949; [2010] BTC 714; [2006] ECR I-923 (ECJ).71. </w:t>
      </w:r>
      <w:r>
        <w:rPr>
          <w:b w:val="0"/>
          <w:i/>
        </w:rPr>
        <w:t>Denkavit International BV &amp; Anor v Ministre de l’Économie, des Finances et de l’Industrie</w:t>
      </w:r>
      <w:r>
        <w:rPr>
          <w:b w:val="0"/>
          <w:i w:val="0"/>
        </w:rPr>
        <w:t xml:space="preserve"> (Case C-170/05) [2006] ECR I-11949; [2008] BTC 418; [2007] STC 452 và </w:t>
      </w:r>
      <w:r>
        <w:rPr>
          <w:b w:val="0"/>
          <w:i/>
        </w:rPr>
        <w:t xml:space="preserve"> Amurta SGPS v Inspecteur van de Belastingdienst</w:t>
      </w:r>
      <w:r>
        <w:rPr>
          <w:b w:val="0"/>
          <w:i w:val="0"/>
        </w:rPr>
        <w:t xml:space="preserve"> (Case C-379/05) [2007] ECR I-09569</w:t>
      </w:r>
      <w:r>
        <w:rPr>
          <w:b w:val="0"/>
          <w:i/>
        </w:rPr>
        <w:t>;</w:t>
      </w:r>
      <w:r>
        <w:rPr>
          <w:b w:val="0"/>
          <w:i w:val="0"/>
        </w:rPr>
        <w:t xml:space="preserve"> [2010] BTC 568.</w:t>
      </w:r>
    </w:p>
    <w:p>
      <w:pPr>
        <w:spacing w:after="80"/>
      </w:pPr>
      <w:r>
        <w:rPr>
          <w:b w:val="0"/>
          <w:i w:val="0"/>
        </w:rPr>
        <w:t>74</w:t>
      </w:r>
    </w:p>
    <w:p>
      <w:pPr>
        <w:spacing w:after="80"/>
      </w:pPr>
      <w:r>
        <w:rPr>
          <w:b w:val="0"/>
          <w:i w:val="0"/>
        </w:rPr>
        <w:t>phương pháp miễn thuế để loại bỏ việc đánh thuế hai lần. Trong mỗi trường hợp, ECJ phán quyết rằng việc không loại bỏ việc đánh thuế hai lần về mặt kinh tế giữa công ty trả cổ tức và các cổ đông không cư trú của nó, trong khi lại loại bỏ việc đánh thuế hai lần đó trong các hoàn cảnh tương đương liên quan đến cổ đông cư trú, đã vi phạm quyền tự do thành lập và tự do di chuyển vốn.</w:t>
      </w:r>
    </w:p>
    <w:p>
      <w:pPr>
        <w:spacing w:after="80"/>
      </w:pPr>
      <w:r>
        <w:rPr>
          <w:b w:val="0"/>
          <w:i w:val="0"/>
        </w:rPr>
        <w:t xml:space="preserve">Giới hạn do các hiệp ước đặt ra đối với mức thuế suất tại các quốc gia nguồn về nguyên tắc không loại bỏ việc đánh thuế hai lần về mặt kinh tế phát sinh từ thuế ở cấp công ty và cấp cổ đông tại quốc gia nguồn.72 Trong khi trong </w:t>
      </w:r>
      <w:r>
        <w:rPr>
          <w:b w:val="0"/>
          <w:i/>
        </w:rPr>
        <w:t>Denkavit</w:t>
      </w:r>
      <w:r>
        <w:rPr>
          <w:b w:val="0"/>
          <w:i w:val="0"/>
        </w:rPr>
        <w:t xml:space="preserve">, tòa án bác bỏ lập luận rằng việc áp dụng kết hợp hiệp ước và luật nội địa của quốc gia nguồn đã khắc phục được tác động của hạn chế,73 thì trong </w:t>
      </w:r>
      <w:r>
        <w:rPr>
          <w:b w:val="0"/>
          <w:i/>
        </w:rPr>
        <w:t xml:space="preserve"> Amurta</w:t>
      </w:r>
      <w:r>
        <w:rPr>
          <w:b w:val="0"/>
          <w:i w:val="0"/>
        </w:rPr>
        <w:t xml:space="preserve">, tòa xem xét rằng luật nội địa của quốc gia cư trú của cổ đông không thể đưa ra biện minh cho hạn chế đó. Tòa án trong </w:t>
      </w:r>
      <w:r>
        <w:rPr>
          <w:b w:val="0"/>
          <w:i/>
        </w:rPr>
        <w:t>Amurta</w:t>
      </w:r>
      <w:r>
        <w:rPr>
          <w:b w:val="0"/>
          <w:i w:val="0"/>
        </w:rPr>
        <w:t xml:space="preserve"> để ngỏ khả năng một Quốc gia thành viên dựa vào một hiệp ước với một Quốc gia thành viên khác, khi quốc gia đó có thể chứng minh rằng hiệp ước cho phép vô hiệu hóa các tác động của hạn chế đối với tự do di chuyển vốn.74</w:t>
      </w:r>
    </w:p>
    <w:p>
      <w:pPr>
        <w:spacing w:after="80"/>
      </w:pPr>
      <w:r>
        <w:rPr>
          <w:b w:val="0"/>
          <w:i w:val="0"/>
        </w:rPr>
        <w:t>Trong cả hai trường hợp, quốc gia cư trú đều không thực thi nghĩa vụ theo hiệp định là phải khấu trừ thuế cho quốc gia nguồn, bởi vì họ đã áp dụng phương pháp miễn thuế.</w:t>
      </w:r>
    </w:p>
    <w:p>
      <w:pPr>
        <w:spacing w:after="80"/>
      </w:pPr>
      <w:r>
        <w:rPr>
          <w:b w:val="0"/>
          <w:i w:val="0"/>
        </w:rPr>
        <w:t xml:space="preserve">Tiêu chuẩn thích hợp để dựa vào một hiệp định trong bối cảnh này được Tổng Chưởng lý Mengozzi mô tả trong </w:t>
      </w:r>
      <w:r>
        <w:rPr>
          <w:b w:val="0"/>
          <w:i/>
        </w:rPr>
        <w:t>Amurta</w:t>
      </w:r>
      <w:r>
        <w:rPr>
          <w:b w:val="0"/>
          <w:i w:val="0"/>
        </w:rPr>
        <w:t xml:space="preserve"> là đòi hỏi thứ nhất, việc đối xử tổng thể với một người nộp thuế theo hiệp định phải phù hợp trên thực tế với các nguyên tắc của Cộng đồng, và thứ hai, quốc gia có pháp luật tự nó trái với các nguyên tắc của Cộng đồng phải tiếp tục có nghĩa vụ vô hiệu hóa những tác động bóp méo đó, mà không thể thoát khỏi nghĩa vụ của mình bằng cách viện dẫn việc bên ký kết kia không thực hiện các biện pháp quy định trong hiệp định.75 Đây là trường hợp mà các quốc gia ký kết phải kiên quyết yêu cầu tuân thủ đúng đắn một hiệp định và không thể làm ngơ trước việc không thực thi hoặc gạt bỏ một hiệp định.</w:t>
      </w:r>
    </w:p>
    <w:p>
      <w:pPr>
        <w:spacing w:after="80"/>
      </w:pPr>
      <w:r>
        <w:rPr>
          <w:b/>
          <w:i w:val="0"/>
        </w:rPr>
        <w:t>[A] Giới hạn về quyền lợi</w:t>
      </w:r>
    </w:p>
    <w:p>
      <w:pPr>
        <w:spacing w:after="80"/>
      </w:pPr>
      <w:r>
        <w:rPr>
          <w:b w:val="0"/>
          <w:i w:val="0"/>
        </w:rPr>
        <w:t>Trong bối cảnh mua bán hiệp định (treaty shopping), các câu hỏi đặt ra là liệu luật Liên minh có thể vô hiệu hóa các quy định chống mua bán hiệp định trong pháp luật quốc gia của các Quốc gia Thành viên hoặc trong các hiệp định hay không. Câu hỏi quan trọng nhất là liệu các quy định được đưa vào hiệp định nhằm hạn chế quyền hưởng lợi của cư dân của một quốc gia ký kết là Quốc gia Thành viên EU có thể được duy trì hay không. Ở giai đoạn hình thành của thị trường đơn nhất, Ủy ban dường như cho rằng chúng nên được duy trì. Báo cáo của Ủy ban Ruding, khi xem xét các khía cạnh hiệp định của việc hài hòa thuế châu Âu, đã đặc biệt chú ý đến các quy định hạn chế quyền lợi. Báo cáo lưu ý rằng những quy định như vậy, dù được thiết kế để giảm thiểu việc mua bán hiệp định, có thể phân biệt đối xử với các doanh nghiệp của các Quốc gia Thành viên khác. Báo cáo cũng nhận xét rằng bất chấp điều này, các Quốc gia Thành viên vẫn tiếp tục ký kết các hiệp định có những quy định như vậy. Quan điểm tương tự đã được Ủy ban bày tỏ nhiều lần. Trong thông báo của Ủy ban gửi Hội đồng và</w:t>
      </w:r>
    </w:p>
    <w:p>
      <w:pPr>
        <w:spacing w:after="80"/>
      </w:pPr>
      <w:r>
        <w:rPr>
          <w:b w:val="0"/>
          <w:i w:val="0"/>
        </w:rPr>
        <w:t>72.</w:t>
      </w:r>
      <w:r>
        <w:rPr>
          <w:b w:val="0"/>
          <w:i/>
        </w:rPr>
        <w:t>Denkavit</w:t>
      </w:r>
      <w:r>
        <w:rPr>
          <w:b w:val="0"/>
          <w:i w:val="0"/>
        </w:rPr>
        <w:t>, bản án đoạn 48 và 49;</w:t>
      </w:r>
      <w:r>
        <w:rPr>
          <w:b w:val="0"/>
          <w:i/>
        </w:rPr>
        <w:t xml:space="preserve"> Amurta</w:t>
      </w:r>
      <w:r>
        <w:rPr>
          <w:b w:val="0"/>
          <w:i w:val="0"/>
        </w:rPr>
        <w:t>, bản án đoạn 78.73.Bản án đoạn 47.74.</w:t>
      </w:r>
      <w:r>
        <w:rPr>
          <w:b w:val="0"/>
          <w:i/>
        </w:rPr>
        <w:t>Amurta</w:t>
      </w:r>
      <w:r>
        <w:rPr>
          <w:b w:val="0"/>
          <w:i w:val="0"/>
        </w:rPr>
        <w:t>, bản án đoạn 84.75.</w:t>
      </w:r>
      <w:r>
        <w:rPr>
          <w:b w:val="0"/>
          <w:i/>
        </w:rPr>
        <w:t>Amurta</w:t>
      </w:r>
      <w:r>
        <w:rPr>
          <w:b w:val="0"/>
          <w:i w:val="0"/>
        </w:rPr>
        <w:t>, ý kiến đoạn 82.</w:t>
      </w:r>
    </w:p>
    <w:p>
      <w:pPr>
        <w:spacing w:after="80"/>
      </w:pPr>
      <w:r>
        <w:rPr>
          <w:b w:val="0"/>
          <w:i w:val="0"/>
        </w:rPr>
        <w:t>75</w:t>
      </w:r>
    </w:p>
    <w:p>
      <w:pPr>
        <w:spacing w:after="80"/>
      </w:pPr>
      <w:r>
        <w:rPr>
          <w:b w:val="0"/>
          <w:i w:val="0"/>
        </w:rPr>
        <w:t>Nghị viện châu Âu ngày 26 tháng 6 năm 1992, báo cáo kết luận của mình về Ủy ban Ruding,76 Ủy ban cam kết đảm bảo rằng các hiệp định mà các Quốc gia Thành viên ký kết với nhau và với các quốc gia không phải thành viên phải hoàn toàn phù hợp với nguyên tắc không phân biệt đối xử.</w:t>
      </w:r>
    </w:p>
    <w:p>
      <w:pPr>
        <w:spacing w:after="80"/>
      </w:pPr>
      <w:r>
        <w:rPr>
          <w:b w:val="0"/>
          <w:i w:val="0"/>
        </w:rPr>
        <w:t>Báo cáo của Ủy ban Ruding bày tỏ quan điểm rằng điều 16 của Hiệp định Mẫu Hoa Kỳ năm 1981 (một dạng của điều này xuất hiện trong các hiệp định giữa các Quốc gia Thành viên và Hoa Kỳ77 cũng như điều 26 của Hiệp định Hoa Kỳ - Vương quốc Anh), một quy định xuyên suốt (look-through provision), có thể mang tính phân biệt đối xử theo các nguyên tắc châu Âu. Vào thời điểm đó, Ủy ban nói rằng các hiệp định được ký kết với các quốc gia không phải thành viên phải hoàn toàn phù hợp với luật EC và Ủy ban phải đảm bảo rằng quan điểm này được tuân thủ.78 Trong một thông cáo thông tin vào thời điểm đó, Ủy ban nói rằng các hiệp định được ký kết với các quốc gia không phải thành viên phải hoàn toàn phù hợp với luật EC, và Ủy ban phải đảm bảo rằng quan điểm này được tuân thủ. Phát biểu vào thời điểm đó, Ủy viên Thuế vụ, bà Scrivener, nói rằng Ủy ban đang nghiên cứu các hiệp định để xem xét liệu chúng có gây bất lợi cho các công ty ở các Quốc gia Thành viên khác hay không. Một nghị định thư bổ sung cho Hiệp định Vương quốc Anh - Đan Mạch được ký ngày 16 tháng 10 năm 1996 loại bỏ một quy tắc xuyên suốt chắc chắn là một phản hồi cho những lo ngại này.</w:t>
      </w:r>
    </w:p>
    <w:p>
      <w:pPr>
        <w:spacing w:after="80"/>
      </w:pPr>
      <w:r>
        <w:rPr>
          <w:b w:val="0"/>
          <w:i w:val="0"/>
        </w:rPr>
        <w:t>Tuy nhiên, vấn đề vẫn nằm im cho đến ngày 19 tháng 11 năm 2015 khi Ủy ban ban hành một ý kiến có lý do theo điều 258 TFEU gửi Hà Lan yêu cầu sửa đổi điều khoản Giới hạn về quyền lợi (Limitation on Benefits - LOB) trong hiệp định tránh đánh thuế hai lần giữa Nhật Bản và Hà Lan.79 Hiệu lực của điều khoản LOB là một số thực thể nhất định bị loại khỏi các quyền lợi theo hiệp định.80 Do đó, chúng phải chịu thuế khấu trừ cao hơn đối với cổ tức, tiền lãi và tiền bản quyền có nguồn gốc Nhật Bản so với các công ty tương tự có cổ đông Hà Lan theo điều 21(3) của hiệp định đó, hoặc so với các công ty tương tự có cổ phiếu được niêm yết và giao dịch trên 'các sở giao dịch chứng khoán được công nhận', bao gồm một số sở giao dịch chứng khoán EU theo điều 21(2)(c). Ủy ban lập luận, dựa trên các vụ án phi thuế,81 rằng một Quốc gia Thành viên không thể ký kết một hiệp định với một quốc gia thứ ba cung cấp sự đối xử tốt hơn cho các công ty được nắm giữ bởi các cổ đông cư trú trên lãnh thổ của mình, so với các công ty tương đương được nắm giữ bởi các cổ đông cư trú ở nơi khác trong EU hoặc EEA. Một Quốc gia Thành viên cũng không thể đồng ý các điều kiện tốt hơn cho các công ty được giao dịch trên sở giao dịch chứng khoán của chính mình so với các công ty được giao dịch trên các sở giao dịch chứng khoán ở nơi khác trong EU hoặc EEA. Ủy ban đã đóng thủ tục vi phạm đối với Hà Lan vào ngày 30 tháng 10 năm 2020 mà không có điều khoản LOB nào được sửa đổi.</w:t>
      </w:r>
    </w:p>
    <w:p>
      <w:pPr>
        <w:spacing w:after="80"/>
      </w:pPr>
      <w:r>
        <w:rPr>
          <w:b w:val="0"/>
          <w:i w:val="0"/>
        </w:rPr>
        <w:t>76.(SECTION 92)/118 Final.77.Ví dụ, điều 23 của</w:t>
      </w:r>
      <w:r>
        <w:rPr>
          <w:b w:val="0"/>
          <w:i/>
        </w:rPr>
        <w:t xml:space="preserve"> Công ước giữa chính phủ Ireland và chính phủ Hợp chủng quốc Hoa Kỳ về việc tránh đánh thuế hai lần và ngăn ngừa trốn thuế tài chính đối với thuế thu nhập và lợi tức vốn</w:t>
      </w:r>
      <w:r>
        <w:rPr>
          <w:b w:val="0"/>
          <w:i w:val="0"/>
        </w:rPr>
        <w:t xml:space="preserve"> ngày 28 tháng 7 năm 1977.78.Thông cáo Thông tin của Ủy ban ngày 24 tháng 6 năm 1992.79.Commission MEMO/15/6006 ngày 19 tháng 11 năm 2015; Vi phạm (Vụ số 2014-4233).80.Xem Chương 9, §9.13.81.</w:t>
      </w:r>
      <w:r>
        <w:rPr>
          <w:b w:val="0"/>
          <w:i/>
        </w:rPr>
        <w:t>CommissionvUnitedKingdom</w:t>
      </w:r>
      <w:r>
        <w:rPr>
          <w:b w:val="0"/>
          <w:i w:val="0"/>
        </w:rPr>
        <w:t>(VụC-466/98)(OpenSkies)ECLI:EU:C:2002:624và</w:t>
      </w:r>
      <w:r>
        <w:rPr>
          <w:b w:val="0"/>
          <w:i/>
        </w:rPr>
        <w:t>ElideGottardo v Istituto nazionale della previdenza sociale</w:t>
      </w:r>
      <w:r>
        <w:rPr>
          <w:b w:val="0"/>
          <w:i w:val="0"/>
        </w:rPr>
        <w:t xml:space="preserve"> (Vụ C-55/00) ECLI:EU:C:2002:16.</w:t>
      </w:r>
    </w:p>
    <w:p>
      <w:pPr>
        <w:spacing w:after="80"/>
      </w:pPr>
      <w:r>
        <w:rPr>
          <w:b w:val="0"/>
          <w:i w:val="0"/>
        </w:rPr>
        <w:t>76</w:t>
      </w:r>
    </w:p>
    <w:p>
      <w:pPr>
        <w:spacing w:after="80"/>
      </w:pPr>
      <w:r>
        <w:rPr>
          <w:b w:val="0"/>
          <w:i w:val="0"/>
        </w:rPr>
        <w:t>Tuy nhiên, trong</w:t>
      </w:r>
      <w:r>
        <w:rPr>
          <w:b w:val="0"/>
          <w:i/>
        </w:rPr>
        <w:t>TestClaimantsinClassIVoftheACTGroupLitigationvIRC</w:t>
      </w:r>
      <w:r>
        <w:rPr>
          <w:b w:val="0"/>
          <w:i w:val="0"/>
        </w:rPr>
        <w:t>,82 tòa án được yêu cầu đưa ra ý kiến về các giới hạn quyền lợi trong Hiệp định Vương quốc Anh - Hà Lan, vốn từ chối quyền hưởng tín dụng thuế (mà nếu không sẽ tồn tại) nếu công ty cư trú tại Hà Lan tự nó bị kiểm soát bởi một công ty ở bất kỳ đâu trong chuỗi sở hữu cư trú tại một quốc gia mà hiệp định với Vương quốc Anh không trao tín dụng thuế cho các công ty nhận cổ tức có nguồn gốc Vương quốc Anh.83</w:t>
      </w:r>
    </w:p>
    <w:p>
      <w:pPr>
        <w:spacing w:after="80"/>
      </w:pPr>
      <w:r>
        <w:rPr>
          <w:b w:val="0"/>
          <w:i w:val="0"/>
        </w:rPr>
        <w:t xml:space="preserve">Mở rộng lập luận của mình trong vụ </w:t>
      </w:r>
      <w:r>
        <w:rPr>
          <w:b w:val="0"/>
          <w:i/>
        </w:rPr>
        <w:t>D</w:t>
      </w:r>
      <w:r>
        <w:rPr>
          <w:b w:val="0"/>
          <w:i w:val="0"/>
        </w:rPr>
        <w:t xml:space="preserve">,84 tòa án kết luận rằng các điều 49 và 63 TFEU hiện nay không ngăn cản hoạt động của các quy định này. Do đó, việc cấp tín dụng thuế, tòa án phán quyết, không thể được coi là một quyền lợi tách rời khỏi phần còn lại của hiệp định, mà là một phần không thể tách rời của nó và góp phần vào sự cân bằng tổng thể của hiệp định.85 Lập luận về vấn đề này không thuyết phục. Các tình huống mà những giới hạn quyền lợi này áp dụng không tương tự với các tình huống trong vụ </w:t>
      </w:r>
      <w:r>
        <w:rPr>
          <w:b w:val="0"/>
          <w:i/>
        </w:rPr>
        <w:t>D</w:t>
      </w:r>
      <w:r>
        <w:rPr>
          <w:b w:val="0"/>
          <w:i w:val="0"/>
        </w:rPr>
        <w:t>. Đây không phải là những tình huống mà một cư dân của quốc gia thứ ba đang tìm kiếm các quyền lợi theo hiệp định. Cư dân quốc gia thứ ba trong những tình huống này chỉ đang tìm cách để hiệp định giữa quốc gia nguồn và quốc gia cư trú không hạn chế các quyền lợi của mình vì lý do đầu tư của một cư dân quốc gia thứ ba vào quốc gia cư trú.</w:t>
      </w:r>
    </w:p>
    <w:p>
      <w:pPr>
        <w:spacing w:after="80"/>
      </w:pPr>
      <w:r>
        <w:rPr>
          <w:b w:val="0"/>
          <w:i w:val="0"/>
        </w:rPr>
        <w:t>Tòa án đã không xem xét vị trí tương tự của các hiệp định phân biệt đối xử – được minh họa bởi phán quyết của mình trong các quyết định '</w:t>
      </w:r>
      <w:r>
        <w:rPr>
          <w:b w:val="0"/>
          <w:i/>
        </w:rPr>
        <w:t>OpenSkies</w:t>
      </w:r>
      <w:r>
        <w:rPr>
          <w:b w:val="0"/>
          <w:i w:val="0"/>
        </w:rPr>
        <w:t xml:space="preserve">'.86 Tất cả những vụ án này về cơ bản là giống hệt nhau. Ví dụ, trong vụ </w:t>
      </w:r>
      <w:r>
        <w:rPr>
          <w:b w:val="0"/>
          <w:i/>
        </w:rPr>
        <w:t>Open Skies</w:t>
      </w:r>
      <w:r>
        <w:rPr>
          <w:b w:val="0"/>
          <w:i w:val="0"/>
        </w:rPr>
        <w:t xml:space="preserve"> của Vương quốc Anh87 một tuyên bố rằng việc ký kết và áp dụng một Hiệp định Dịch vụ Hàng không với Hoa Kỳ, trong đó quy định việc thu hồi, đình chỉ hoặc hạn chế các quyền vận chuyển trong trường hợp các hãng hàng không được Vương quốc Anh chỉ định không thuộc sở hữu của Vương quốc Anh hoặc công dân Vương quốc Anh, đã vi phạm điều 49 TFEU hiện nay. Phân tích liên quan đến các quy tắc xuyên suốt trong </w:t>
      </w:r>
      <w:r>
        <w:rPr>
          <w:b w:val="0"/>
          <w:i/>
        </w:rPr>
        <w:t>ACT Class IV</w:t>
      </w:r>
      <w:r>
        <w:rPr>
          <w:b w:val="0"/>
          <w:i w:val="0"/>
        </w:rPr>
        <w:t xml:space="preserve"> bỏ qua bất lợi do việc sở hữu các công ty bởi cư dân của các Quốc gia Thành viên khác gây ra.</w:t>
      </w:r>
    </w:p>
    <w:p>
      <w:pPr>
        <w:spacing w:after="80"/>
      </w:pPr>
      <w:r>
        <w:rPr>
          <w:b w:val="0"/>
          <w:i w:val="0"/>
        </w:rPr>
        <w:t xml:space="preserve">Một khái niệm tương tự khác (không được thảo luận trong ACT Class IV) đã được ECJ xem xét trong </w:t>
      </w:r>
      <w:r>
        <w:rPr>
          <w:b w:val="0"/>
          <w:i/>
        </w:rPr>
        <w:t>R. v Secretary of State for Transport, ex parte Factortame Ltd.</w:t>
      </w:r>
      <w:r>
        <w:rPr>
          <w:b w:val="0"/>
          <w:i w:val="0"/>
        </w:rPr>
        <w:t>88 Vụ án liên quan đến 'quota hopping' - một khái niệm có thể được coi là tương tự với mua bán hiệp định. Điều này liên quan đến việc thành lập các công ty tại Vương quốc Anh bởi công dân Tây Ban Nha. Các giám đốc và cổ đông của các công ty hầu hết là công dân Tây Ban Nha. Các tàu đánh cá mà</w:t>
      </w:r>
    </w:p>
    <w:p>
      <w:pPr>
        <w:spacing w:after="80"/>
      </w:pPr>
      <w:r>
        <w:rPr>
          <w:b w:val="0"/>
          <w:i w:val="0"/>
        </w:rPr>
        <w:t>82.</w:t>
      </w:r>
      <w:r>
        <w:rPr>
          <w:b w:val="0"/>
          <w:i/>
        </w:rPr>
        <w:t>TestClaimantsinClassIVoftheACTGroupLitigationvInlandRevenueCommissioners</w:t>
      </w:r>
      <w:r>
        <w:rPr>
          <w:b w:val="0"/>
          <w:i w:val="0"/>
        </w:rPr>
        <w:t>(VụC-374/04) [2006] ECR I-11673, ECLI:EU:C:2006:773, [2008] BTC 305, [2007] STC 404. Xem §3.03.83.Điều 10(3)(d)(i) của Hiệp định Vương quốc Anh - Hà Lan vào thời điểm đó quy định rằng:Không có tín dụng thuế nào được trả khi chủ sở hữu hưởng lợi của cổ tức là một công ty, ngoài một công ty có cổ phiếu được niêm yết chính thức trên một sở giao dịch chứng khoán Hà Lan … trừ khi công ty chứng minh rằng nó không bị kiểm soát bởi một người hoặc hai hay nhiều người có liên kết hoặc kết nối với nhau, mà người đó hoặc bất kỳ ai trong số họ sẽ không được hưởng tín dụng thuế nếu họ là chủ sở hữu hưởng lợi của cổ tức.84.</w:t>
      </w:r>
      <w:r>
        <w:rPr>
          <w:b w:val="0"/>
          <w:i/>
        </w:rPr>
        <w:t>D v Inspecteur van de Belastingdienst/Particulieren/Ondernemingen Buitenland te Heerlen</w:t>
      </w:r>
      <w:r>
        <w:rPr>
          <w:b w:val="0"/>
          <w:i w:val="0"/>
        </w:rPr>
        <w:t xml:space="preserve"> (VụC-376/03) [2005] ECR I-5821; [2005] STC 1211, tại đoạn 62.85.Tại đoạn 89.86.</w:t>
      </w:r>
      <w:r>
        <w:rPr>
          <w:b w:val="0"/>
          <w:i/>
        </w:rPr>
        <w:t>EC Commission v UK, Denmark, Sweden, Finland, Belgium, Luxembourg, Austria and Germany</w:t>
      </w:r>
      <w:r>
        <w:rPr>
          <w:b w:val="0"/>
          <w:i w:val="0"/>
        </w:rPr>
        <w:t>(Các vụ C-466/98, C-467/98, C-468/98, C-469/98, C-471/98, C-472/98, C-475/98 và C-476/98)[2002] ECR I-09427 ECLI:EU:C:2002:624.87.</w:t>
      </w:r>
      <w:r>
        <w:rPr>
          <w:b w:val="0"/>
          <w:i/>
        </w:rPr>
        <w:t>EC Commission v UK</w:t>
      </w:r>
      <w:r>
        <w:rPr>
          <w:b w:val="0"/>
          <w:i w:val="0"/>
        </w:rPr>
        <w:t xml:space="preserve"> (Vụ C-466/98).88.</w:t>
      </w:r>
      <w:r>
        <w:rPr>
          <w:b w:val="0"/>
          <w:i/>
        </w:rPr>
        <w:t>R. v Secretary of State for Transport, ex parte Factortame Ltd</w:t>
      </w:r>
      <w:r>
        <w:rPr>
          <w:b w:val="0"/>
          <w:i w:val="0"/>
        </w:rPr>
        <w:t xml:space="preserve"> (Vụ C-221/89) [1991] ECR I-03905[1991] 3 All ER 769.</w:t>
      </w:r>
    </w:p>
    <w:p>
      <w:pPr>
        <w:spacing w:after="80"/>
      </w:pPr>
      <w:r>
        <w:rPr>
          <w:b w:val="0"/>
          <w:i w:val="0"/>
        </w:rPr>
        <w:t>77</w:t>
      </w:r>
    </w:p>
    <w:p>
      <w:pPr>
        <w:spacing w:after="80"/>
      </w:pPr>
      <w:r>
        <w:rPr>
          <w:b w:val="0"/>
          <w:i w:val="0"/>
        </w:rPr>
        <w:t xml:space="preserve">trước đây đã được đăng ký ở Tây Ban Nha đã được đăng ký lại thành tàu của Anh theo </w:t>
      </w:r>
      <w:r>
        <w:rPr>
          <w:b w:val="0"/>
          <w:i/>
        </w:rPr>
        <w:t>Merchant Shipping Act</w:t>
      </w:r>
      <w:r>
        <w:rPr>
          <w:b w:val="0"/>
          <w:i w:val="0"/>
        </w:rPr>
        <w:t xml:space="preserve"> 1894. Mục đích của việc này là để cho phép ngư dân Tây Ban Nha tiếp cận hạn ngạch đánh cá của Anh.</w:t>
      </w:r>
    </w:p>
    <w:p>
      <w:pPr>
        <w:spacing w:after="80"/>
      </w:pPr>
      <w:r>
        <w:rPr>
          <w:b w:val="0"/>
          <w:i w:val="0"/>
        </w:rPr>
        <w:t>Theo Chính phủ Anh, những công ty này không có bất kỳ mối liên hệ thực sự nào với Vương quốc Anh. Kết quả là, luật mới đã được ban hành vào năm 1988 nhằm hạn chế điều kiện đăng ký trên một sổ đăng ký mới dành cho tàu đánh cá của Anh. Tàu đánh cá chỉ đủ điều kiện được đăng ký lại nếu tàu thuộc sở hữu của người Anh, được quản lý và hoạt động của tàu được chỉ đạo và kiểm soát từ trong Vương quốc Anh. Tương tự, bất kỳ người thuê tàu, người quản lý hoặc người điều hành tàu nào cũng phải là một cá nhân hoặc công ty đủ điều kiện. Cả quyền sở hữu hợp pháp lẫn quyền sở hữu hưởng lợi đối với tàu đều phải thuộc về một cá nhân hoặc các công ty đủ điều kiện.</w:t>
      </w:r>
    </w:p>
    <w:p>
      <w:pPr>
        <w:spacing w:after="80"/>
      </w:pPr>
      <w:r>
        <w:rPr>
          <w:b w:val="0"/>
          <w:i w:val="0"/>
        </w:rPr>
        <w:t>Một công ty đủ điều kiện là công ty được thành lập tại Vương quốc Anh với trụ sở chính đặt tại đó và có tối thiểu 75% quyền sở hữu hợp pháp và hưởng lợi thuộc về các cá nhân đủ điều kiện. Ít nhất 75% số giám đốc cũng phải là những cá nhân đủ điều kiện.</w:t>
      </w:r>
    </w:p>
    <w:p>
      <w:pPr>
        <w:spacing w:after="80"/>
      </w:pPr>
      <w:r>
        <w:rPr>
          <w:b w:val="0"/>
          <w:i w:val="0"/>
        </w:rPr>
        <w:t>Một cá nhân đủ điều kiện là công dân Anh, cư trú và thường trú tại Vương quốc Anh, hoặc một chính quyền địa phương của Vương quốc Anh. Quyền tùy nghi hành chính được trao để miễn trừ yêu cầu về quốc tịch trong trường hợp những người cư trú dài hạn đã tham gia lâu dài vào ngành đánh cá của Vương quốc Anh. ECJ (Tòa án Công lý Châu Âu) đã phán quyết rằng việc áp đặt các điều kiện yêu cầu chủ sở hữu hợp pháp và hưởng lợi, người thuê tàu, người quản lý và người điều hành phải là công dân cư trú và thường trú tại Vương quốc Anh là trái với luật Cộng đồng và cụ thể là trái với Điều 49 TFEU hiện hành. Trong trường hợp của một công ty, các yêu cầu rằng cổ đông và giám đốc phải cư trú và thường trú là sự phân biệt đối xử không thể biện minh dựa trên quốc tịch.</w:t>
      </w:r>
    </w:p>
    <w:p>
      <w:pPr>
        <w:spacing w:after="80"/>
      </w:pPr>
      <w:r>
        <w:rPr>
          <w:b/>
          <w:i w:val="0"/>
        </w:rPr>
        <w:t>§3.08 ẢNH HƯỞNG CỦA HIỆP ƯỚC ĐỐI VỚI CÁC BIỆN PHÁP BÀO CHỮA CHỐNG LẠI CÁC HẠN CHẾ</w:t>
      </w:r>
    </w:p>
    <w:p>
      <w:pPr>
        <w:spacing w:after="80"/>
      </w:pPr>
      <w:r>
        <w:rPr>
          <w:b w:val="0"/>
          <w:i w:val="0"/>
        </w:rPr>
        <w:t xml:space="preserve">Theo cách tương tự, cũng như các hiệp ước có thể ràng buộc các quyền tự do cơ bản, chúng cũng có thể tác động đến các biện pháp bào chữa mà các Quốc gia Thành viên có sẵn để đối phó với những hành vi mà nếu không thì </w:t>
      </w:r>
      <w:r>
        <w:rPr>
          <w:b w:val="0"/>
          <w:i/>
        </w:rPr>
        <w:t>primafacie</w:t>
      </w:r>
      <w:r>
        <w:rPr>
          <w:b w:val="0"/>
          <w:i w:val="0"/>
        </w:rPr>
        <w:t xml:space="preserve"> (xét bề ngoài) là vi phạm luật EU. Khi tồn tại một hạn chế đối với một quyền tự do cơ bản, nó vẫn có thể phù hợp với luật EU nếu nó được biện minh và nếu cách thức đạt được sự biện minh cho hạn chế đó là tương xứng. Án lệ ban đầu không phải lúc nào cũng phân biệt rõ ràng giữa sự tồn tại của một hạn chế và liệu, nếu một hạn chế tồn tại, nó có được biện minh hay không. Để một hạn chế đối với quyền tự do thành lập được biện minh bởi một lý do cấp bách vì lợi ích chung, biện pháp được đề cập phải phù hợp để đảm bảo đạt được mục tiêu đó và không được vượt quá mức cần thiết để đạt được mục tiêu đó.89 Trong bối cảnh này, việc bảo toàn sự phân chia quyền đánh thuế giữa các Quốc gia Thành viên là một mục tiêu chính đáng được tòa án công nhận.90</w:t>
      </w:r>
    </w:p>
    <w:p>
      <w:pPr>
        <w:spacing w:after="80"/>
      </w:pPr>
      <w:r>
        <w:rPr>
          <w:b w:val="0"/>
          <w:i w:val="0"/>
        </w:rPr>
        <w:t xml:space="preserve">Các điều khoản của chính hiệp ước đã được tìm cách phản đối trong </w:t>
      </w:r>
      <w:r>
        <w:rPr>
          <w:b w:val="0"/>
          <w:i/>
        </w:rPr>
        <w:t>Gilly v Directeur des Services Fiscaux du Bas-Rhin</w:t>
      </w:r>
      <w:r>
        <w:rPr>
          <w:b w:val="0"/>
          <w:i w:val="0"/>
        </w:rPr>
        <w:t>.91 Vụ án này có ý nghĩa quan trọng ở nhiều khía cạnh. Quan trọng nhất là vì nó xem xét tác động của luật Châu Âu đối với các khía cạnh quan trọng của hiệp ước thuế. Ông và bà Gilly cư trú tại Pháp gần biên giới Đức. Ông Gilly,</w:t>
      </w:r>
    </w:p>
    <w:p>
      <w:pPr>
        <w:spacing w:after="80"/>
      </w:pPr>
      <w:r>
        <w:rPr>
          <w:b w:val="0"/>
          <w:i w:val="0"/>
        </w:rPr>
        <w:t>89.</w:t>
      </w:r>
      <w:r>
        <w:rPr>
          <w:b w:val="0"/>
          <w:i/>
        </w:rPr>
        <w:t>National Grid Indus BV v Inspecteur van de Belastingdienst Rijnmond/kantoor Rotterdam</w:t>
      </w:r>
      <w:r>
        <w:rPr>
          <w:b w:val="0"/>
          <w:i w:val="0"/>
        </w:rPr>
        <w:t xml:space="preserve"> (Case C-371/10) [2011] ECR I-12273</w:t>
      </w:r>
      <w:r>
        <w:rPr>
          <w:b w:val="0"/>
          <w:i/>
        </w:rPr>
        <w:t>;</w:t>
      </w:r>
      <w:r>
        <w:rPr>
          <w:b w:val="0"/>
          <w:i w:val="0"/>
        </w:rPr>
        <w:t xml:space="preserve"> [2012] BTC 385 tại đoạn 42; [2012] 1 CMLR 1409; [2012] STC 114.90. Tại đoạn 45.91.</w:t>
      </w:r>
      <w:r>
        <w:rPr>
          <w:b w:val="0"/>
          <w:i/>
        </w:rPr>
        <w:t>Gilly v Directeur des Services Fiscaux du Bas-Rhin</w:t>
      </w:r>
      <w:r>
        <w:rPr>
          <w:b w:val="0"/>
          <w:i w:val="0"/>
        </w:rPr>
        <w:t xml:space="preserve"> (Case C-336/96) [1998] BTC 335; [1998] ECR I-2793; [1998] STC 1014, ECJ.</w:t>
      </w:r>
    </w:p>
    <w:p>
      <w:pPr>
        <w:spacing w:after="80"/>
      </w:pPr>
      <w:r>
        <w:rPr>
          <w:b w:val="0"/>
          <w:i w:val="0"/>
        </w:rPr>
        <w:t>78</w:t>
      </w:r>
    </w:p>
    <w:p>
      <w:pPr>
        <w:spacing w:after="80"/>
      </w:pPr>
      <w:r>
        <w:rPr>
          <w:b w:val="0"/>
          <w:i w:val="0"/>
        </w:rPr>
        <w:t>một công dân Pháp, dạy tại một trường công của Pháp. Bà Gilly, mang hai quốc tịch Pháp-Đức, dạy tại một trường công ở Đức, trong khu vực biên giới.</w:t>
      </w:r>
    </w:p>
    <w:p>
      <w:pPr>
        <w:spacing w:after="80"/>
      </w:pPr>
      <w:r>
        <w:rPr>
          <w:b w:val="0"/>
          <w:i w:val="0"/>
        </w:rPr>
        <w:t>Theo luật nội địa của Pháp, thuế thu nhập phải nộp trên tổng thu nhập của hai vợ chồng bất kể thu nhập được nhận từ đâu. Các mức thuế lũy tiến của Pháp được áp dụng và hai vợ chồng không thể chọn được đánh thuế riêng. Khi tính các khoản trợ cấp và khấu trừ cho các cam kết gia đình, thu nhập chịu thuế tại Pháp được tính đến. Trong trường hợp cụ thể của họ, vì thu nhập từ các nguồn ở Pháp ít hơn một nửa tổng thu nhập (phần thu nhập của ông Gilly là 45%), họ bị đánh giá là phải nộp thuế thu nhập nhiều hơn so với nếu họ được đánh thuế riêng.</w:t>
      </w:r>
    </w:p>
    <w:p>
      <w:pPr>
        <w:spacing w:after="80"/>
      </w:pPr>
      <w:r>
        <w:rPr>
          <w:b w:val="0"/>
          <w:i w:val="0"/>
        </w:rPr>
        <w:t>Ở Đức, bà Gilly không được hưởng mức thuế ưu đãi dành cho các cặp vợ chồng, được gọi là splitting (chia đôi thu nhập). Bà tự động bị coi là độc thân vì chồng bà không phải là người cư trú tại Đức. Trong trường hợp của bà, việc áp dụng splitting sẽ dẫn đến việc giảm nghĩa vụ thuế của bà ở Đức. Do đó, mặc dù bị coi là một người nộp thuế độc thân không có con, bà thực tế đã kết hôn và có hai con phụ thuộc. Một khoản tín dụng thuế đã được cấp ở Pháp cho thuế đã nộp ở nước ngoài, điều này làm giảm nhẹ việc đánh thuế hai lần nhưng không loại bỏ nó.</w:t>
      </w:r>
    </w:p>
    <w:p>
      <w:pPr>
        <w:spacing w:after="80"/>
      </w:pPr>
      <w:r>
        <w:rPr>
          <w:b w:val="0"/>
          <w:i w:val="0"/>
        </w:rPr>
        <w:t>Trong bài trình bày của mình, Ủy ban Châu Âu lập luận rằng việc áp dụng luật Pháp đối với tổng thu nhập của hai vợ chồng và luật Đức đối với thu nhập của bà Gilly từ Đức tạo thành, do cách thức tình trạng hôn nhân của bà được tính đến, một trở ngại không tương thích với các nguyên tắc chi phối quyền tự do di chuyển của người lao động. Những người nộp thuế lập luận rằng các quy định của Hiệp ước Pháp-Đức là phân biệt đối xử và bất hợp pháp theo luật Châu Âu.</w:t>
      </w:r>
    </w:p>
    <w:p>
      <w:pPr>
        <w:spacing w:after="80"/>
      </w:pPr>
      <w:r>
        <w:rPr>
          <w:b w:val="0"/>
          <w:i w:val="0"/>
        </w:rPr>
        <w:t>Các Điều 13, 14 và 16 của Hiệp ước Pháp-Đức chứa đựng nhiều quy tắc khác nhau xác định liệu thu nhập từ việc làm có bị đánh thuế ở quốc gia cư trú hay quốc gia nguồn. Điều 13(1) của hiệp ước đặt ra nguyên tắc liên quan đến việc đánh thuế thu nhập từ việc làm. Nó không phù hợp với OECD Model (Mẫu của OECD) ở chỗ nó trao quyền đánh thuế độc quyền cho nơi thực hiện công việc. Nó viết:</w:t>
      </w:r>
    </w:p>
    <w:p>
      <w:pPr>
        <w:spacing w:after="80"/>
      </w:pPr>
      <w:r>
        <w:rPr>
          <w:b w:val="0"/>
          <w:i w:val="0"/>
        </w:rPr>
        <w:t>Theo các quy định của các đoạn sau đây, thu nhập từ công việc phụ thuộc chỉ được đánh thuế tại Quốc gia Ký kết nơi hoạt động cá nhân mà vì nó mà thu nhập được nhận được thực hiện. Cụ thể, tiền lương, tiền công, thù lao, tiền thưởng hoặc các khoản thù lao khác được coi là tạo thành thu nhập từ công việc phụ thuộc, cùng với tất cả các lợi ích tương tự được trả hoặc trao bởi những người khác ngoài những người được đề cập trong Điều 14.</w:t>
      </w:r>
    </w:p>
    <w:p>
      <w:pPr>
        <w:spacing w:after="80"/>
      </w:pPr>
      <w:r>
        <w:rPr>
          <w:b w:val="0"/>
          <w:i w:val="0"/>
        </w:rPr>
        <w:t>Điều 13(5)(a) có một ngoại lệ đối với nguyên tắc chung rằng thu nhập phải bị đánh thuế tại nơi công việc được thực hiện, áp dụng cho người lao động biên giới (frontier workers). Họ phải bị đánh thuế tại quốc gia cư trú của mình. Điều khoản này quy định rằng:</w:t>
      </w:r>
    </w:p>
    <w:p>
      <w:pPr>
        <w:spacing w:after="80"/>
      </w:pPr>
      <w:r>
        <w:rPr>
          <w:b w:val="0"/>
          <w:i w:val="0"/>
        </w:rPr>
        <w:t>Như một ngoại lệ đối với các khoản 1, 3 và 4, thu nhập từ công việc phụ thuộc (dependent work) kiếm được bởi những người làm việc trong khu vực biên giới của một Quốc gia Ký kết (Contracting State) và có nhà ở thường trú tại Quốc gia Ký kết kia, nơi họ thường trở về mỗi ngày, sẽ chỉ bị đánh thuế tại Quốc gia kia.</w:t>
      </w:r>
    </w:p>
    <w:p>
      <w:pPr>
        <w:spacing w:after="80"/>
      </w:pPr>
      <w:r>
        <w:rPr>
          <w:b w:val="0"/>
          <w:i w:val="0"/>
        </w:rPr>
        <w:t>Hiện tại Vương quốc Anh không có quy định liên quan cụ thể đến người lao động biên giới trong các hiệp ước của mình và vấn đề này cũng không được đề cập trong OECD Model. Điều 14(1)</w:t>
      </w:r>
    </w:p>
    <w:p>
      <w:pPr>
        <w:spacing w:after="80"/>
      </w:pPr>
      <w:r>
        <w:rPr>
          <w:b w:val="0"/>
          <w:i w:val="0"/>
        </w:rPr>
        <w:t>79</w:t>
      </w:r>
    </w:p>
    <w:p>
      <w:pPr>
        <w:spacing w:after="80"/>
      </w:pPr>
      <w:r>
        <w:rPr>
          <w:b w:val="0"/>
          <w:i w:val="0"/>
        </w:rPr>
        <w:t>của Hiệp ước Pháp-Đức đã thiết lập một quy tắc đặc biệt khác liên quan đến thù lao và lương hưu từ khu vực công. Về nguyên tắc, chúng bị đánh thuế tại quốc gia chi trả. Điều khoản này quy định cụ thể rằng:</w:t>
      </w:r>
    </w:p>
    <w:p>
      <w:pPr>
        <w:spacing w:after="80"/>
      </w:pPr>
      <w:r>
        <w:rPr>
          <w:b w:val="0"/>
          <w:i w:val="0"/>
        </w:rPr>
        <w:t>Tiền lương, tiền công và thù lao tương tự, cùng lương hưu hưu trí, do một trong các Quốc gia Ký kết, do một bang (Land) hoặc do một pháp nhân của quốc gia đó hoặc bang đó chịu sự điều chỉnh của luật công chi trả cho thể nhân cư trú tại quốc gia kia để đền đáp cho các dịch vụ hành chính hoặc quân sự hiện tại hoặc trong quá khứ, sẽ chỉ bị đánh thuế tại Quốc gia thứ nhất. Tuy nhiên, quy định đó sẽ không được áp dụng khi thù lao được chi trả cho những người có quốc tịch của Quốc gia kia mà đồng thời không phải là công dân của Quốc gia thứ nhất; trong những trường hợp như vậy, thù lao sẽ chỉ bị đánh thuế tại Quốc gia nơi những người đó cư trú.</w:t>
      </w:r>
    </w:p>
    <w:p>
      <w:pPr>
        <w:spacing w:after="80"/>
      </w:pPr>
      <w:r>
        <w:rPr>
          <w:b w:val="0"/>
          <w:i w:val="0"/>
        </w:rPr>
        <w:t>Điều này phần nào phù hợp với Điều 19(1)(a) của OECD Model. Nó khác biệt đáng kể so với OECD Model ở chỗ phân biệt giữa công dân của một quốc gia ký kết và người có hai quốc tịch.</w:t>
      </w:r>
    </w:p>
    <w:p>
      <w:pPr>
        <w:spacing w:after="80"/>
      </w:pPr>
      <w:r>
        <w:rPr>
          <w:b w:val="0"/>
          <w:i w:val="0"/>
        </w:rPr>
        <w:t>Điều 16 của Hiệp ước Pháp-Đức đã đặt ra một quy tắc đặc biệt áp dụng cho giáo viên tạm trú tại quốc gia ký kết khác với quốc gia nơi họ thường trú. Theo các quy tắc này, thẩm quyền đánh thuế vẫn thuộc về quốc gia nơi họ thường trú. Do đó, điều khoản này yêu cầu rằng:</w:t>
      </w:r>
    </w:p>
    <w:p>
      <w:pPr>
        <w:spacing w:after="80"/>
      </w:pPr>
      <w:r>
        <w:rPr>
          <w:b w:val="0"/>
          <w:i w:val="0"/>
        </w:rPr>
        <w:t>'Giáo viên cư trú tại một trong các Quốc gia Ký kết mà, trong khoảng thời gian tạm trú không quá hai năm, nhận thù lao cho việc giảng dạy tại một trường đại học, cao đẳng, trường học hoặc cơ sở giảng dạy khác tại quốc gia kia, sẽ chỉ bị đánh thuế đối với thù lao đó tại Quốc gia thứ nhất.'</w:t>
      </w:r>
    </w:p>
    <w:p>
      <w:pPr>
        <w:spacing w:after="80"/>
      </w:pPr>
      <w:r>
        <w:rPr>
          <w:b w:val="0"/>
          <w:i w:val="0"/>
        </w:rPr>
        <w:t>OECD Model không chứa quy định cụ thể cho giáo viên xuyên biên giới mặc dù nhiều hiệp ước, bao gồm cả các hiệp ước của Vương quốc Anh, có chứa những quy định như vậy. Bình luận của OECD (OECD Commentary) không khuyến khích loại bỏ những quy định này. Hiệu ứng tích lũy của các điều khoản hiệp ước này là làm thay đổi hậu quả thuế đối với các cá nhân làm công ăn lương tùy thuộc vào việc họ:</w:t>
      </w:r>
    </w:p>
    <w:p>
      <w:pPr>
        <w:spacing w:after="80"/>
      </w:pPr>
      <w:r>
        <w:rPr>
          <w:b w:val="0"/>
          <w:i w:val="0"/>
        </w:rPr>
        <w:t>– có phải là giáo viên hay không;– có phải là người lao động biên giới hay không;– thuộc khu vực công hay khu vực tư;– có quốc tịch của quốc gia đang áp dụng các quy định đó hay không;– có hai quốc tịch hay không; hoặc– có phải là giáo viên thỉnh giảng ngắn hạn hay không.</w:t>
      </w:r>
    </w:p>
    <w:p>
      <w:pPr>
        <w:spacing w:after="80"/>
      </w:pPr>
      <w:r>
        <w:rPr>
          <w:b w:val="0"/>
          <w:i w:val="0"/>
        </w:rPr>
        <w:t>Câu hỏi đặt ra cho ECJ là liệu điều hiện nay là Điều 45 TFEU, vốn bảo đảm quyền tự do di chuyển của người lao động, có ngăn cấm việc áp dụng các quy định hiệp ước này hay không. Tòa án lưu ý92 rằng mặc dù việc xóa bỏ đánh thuế hai lần trong Cộng đồng là một trong những mục tiêu của Hiệp ước EC, nhưng chưa có biện pháp thống nhất hoặc hài hòa hóa nào để loại bỏ đánh thuế hai lần được thông qua ở cấp Cộng đồng, và các Quốc gia Thành viên cũng chưa ký kết bất kỳ công ước đa phương nào nhằm mục đích đó</w:t>
      </w:r>
    </w:p>
    <w:p>
      <w:pPr>
        <w:spacing w:after="80"/>
      </w:pPr>
      <w:r>
        <w:rPr>
          <w:b w:val="0"/>
          <w:i w:val="0"/>
        </w:rPr>
        <w:t>92. Tại đoạn 23, tr. 1038.</w:t>
      </w:r>
    </w:p>
    <w:p>
      <w:pPr>
        <w:spacing w:after="80"/>
      </w:pPr>
      <w:r>
        <w:rPr>
          <w:b w:val="0"/>
          <w:i w:val="0"/>
        </w:rPr>
        <w:t>80</w:t>
      </w:r>
    </w:p>
    <w:p>
      <w:pPr>
        <w:spacing w:after="80"/>
      </w:pPr>
      <w:r>
        <w:rPr>
          <w:b w:val="0"/>
          <w:i w:val="0"/>
        </w:rPr>
        <w:t>đó.93 Trong trường hợp không có các biện pháp như vậy, các Quốc gia Thành viên có thẩm quyền xác định các tiêu chí đánh thuế thu nhập và tài sản nhằm loại bỏ đánh thuế hai lần.</w:t>
      </w:r>
    </w:p>
    <w:p>
      <w:pPr>
        <w:spacing w:after="80"/>
      </w:pPr>
      <w:r>
        <w:rPr>
          <w:b w:val="0"/>
          <w:i w:val="0"/>
        </w:rPr>
        <w:t>Có một số khả năng với các quy tắc đặc biệt dành cho người lao động biên giới, nhân viên nhà nước và giáo viên tạm trú tại một quốc gia ký kết. Do đó, các yếu tố kết nối khác nhau phân bổ thẩm quyền đánh thuế trong các hoàn cảnh khác nhau. Quốc tịch là một trong những yếu tố liên quan đến nhân viên nhà nước. ECJ không coi việc sử dụng quốc tịch làm tiêu chí để phân bổ thẩm quyền tài chính là phân biệt đối xử. Điều này là bởi vì, trong trường hợp không có các biện pháp thống nhất hoặc hài hòa hóa được thông qua trong bối cảnh Cộng đồng, các quốc gia ký kết có thẩm quyền xác định các tiêu chí phân bổ quyền đánh thuế của mình giữa các quốc gia với nhau nhằm loại bỏ đánh thuế hai lần.</w:t>
      </w:r>
    </w:p>
    <w:p>
      <w:pPr>
        <w:spacing w:after="80"/>
      </w:pPr>
      <w:r>
        <w:rPr>
          <w:b w:val="0"/>
          <w:i w:val="0"/>
        </w:rPr>
        <w:t>Quy định liên quan đến nhân viên khu vực công được dựa trên OECD Model. Tòa án chấp nhận OECD Commentary về điều khoản đó rằng nguyên tắc này được biện minh bởi ‘các quy tắc lịch sự quốc tế và tôn trọng lẫn nhau giữa các quốc gia có chủ quyền’ và ‘được chứa trong rất nhiều công ước hiện hành giữa các thành viên OECD đến mức có thể nói rằng nó đã được quốc tế chấp nhận’.94 Đặc biệt, tòa án nói rằng ‘không bị coi là bất hợp lý đối với các quốc gia thành viên khi đặt nền tảng các hiệp ước của họ trên OECD Model Convention’. Do đó, ECJ dường như nói rằng nếu một hiệp ước dựa trên một điều khoản của OECD Model và nếu OECD Model phản ánh thực tiễn được quốc tế chấp nhận, thì tính chính đáng của nó có thể được ủng hộ vì lý do đó. Nhận xét này không thực sự cần thiết cho phán quyết dựa trên thẩm quyền của các quốc gia ký kết. Tòa án lưu ý rằng phần thứ hai của điều 14(1) của Hiệp ước Pháp-Đức đã từ bỏ nguyên tắc quốc gia trả tiền, khi có liên quan đến công dân của quốc gia ký kết kia. Tòa án lưu ý rằng xuyên suốt các quy định của OECD về nhân viên nhà nước, quốc tịch lại là một tiêu chí có liên quan. Trong mọi trường hợp, ngay cả khi toàn bộ điều khoản không có hiệu lực, bà Gilly vẫn sẽ phải chịu thuế ở Đức theo các quy định khác. Tòa án cũng nhận thấy rằng người nộp thuế đã không chứng minh được rằng họ bị thiệt thòi do việc chọn quốc gia trả tiền làm quốc gia có thẩm quyền đánh thuế thu nhập kiếm được trong khu vực công. Những bất lợi nằm trong các quy định nội địa của hai quốc gia ký kết tương ứng và đặc biệt là liên quan đến biểu thuế lũy tiến của họ.</w:t>
      </w:r>
    </w:p>
    <w:p>
      <w:pPr>
        <w:spacing w:after="80"/>
      </w:pPr>
      <w:r>
        <w:rPr>
          <w:b w:val="0"/>
          <w:i w:val="0"/>
        </w:rPr>
        <w:t xml:space="preserve">Tuy nhiên, tòa án nhắc lại các tuyên bố của mình về vai trò của OECD Model và Commentary của nó trong </w:t>
      </w:r>
      <w:r>
        <w:rPr>
          <w:b w:val="0"/>
          <w:i/>
        </w:rPr>
        <w:t>van Hilten-van der Heijden v Inspecteur van de Belastingdienst/Particulieren/Ondernemingen buitenland te Heerlen</w:t>
      </w:r>
      <w:r>
        <w:rPr>
          <w:b w:val="0"/>
          <w:i w:val="0"/>
        </w:rPr>
        <w:t>95 nơi tòa nói:</w:t>
      </w:r>
    </w:p>
    <w:p>
      <w:pPr>
        <w:spacing w:after="80"/>
      </w:pPr>
      <w:r>
        <w:rPr>
          <w:b w:val="0"/>
          <w:i w:val="0"/>
        </w:rPr>
        <w:t xml:space="preserve">Hơn nữa, tòa án đã có dịp phán quyết rằng, nhằm mục đích phân bổ quyền đánh thuế, không bất hợp lý đối với các quốc gia thành viên khi tìm cảm hứng từ thực tiễn quốc tế và đặc biệt là các công ước mẫu do OECD soạn thảo (xem </w:t>
      </w:r>
      <w:r>
        <w:rPr>
          <w:b w:val="0"/>
          <w:i/>
        </w:rPr>
        <w:t>Gilly</w:t>
      </w:r>
      <w:r>
        <w:rPr>
          <w:b w:val="0"/>
          <w:i w:val="0"/>
        </w:rPr>
        <w:t xml:space="preserve"> (đoạn 31)). Như Chính phủ Hà Lan đã nhận xét, luật đang được xem xét trong thủ tục chính tuân thủ</w:t>
      </w:r>
    </w:p>
    <w:p>
      <w:pPr>
        <w:spacing w:after="80"/>
      </w:pPr>
      <w:r>
        <w:rPr>
          <w:b w:val="0"/>
          <w:i w:val="0"/>
        </w:rPr>
        <w:t xml:space="preserve">93. Ngoại trừ công ước ngày 23 tháng 7 năm 1990 về việc loại bỏ đánh thuế hai lần liên quan đến việc điều chỉnh lợi nhuận của các doanh nghiệp liên kết [1990] OJ L225/10. 94. Tại đoạn 32, tại 1039. 95. </w:t>
      </w:r>
      <w:r>
        <w:rPr>
          <w:b w:val="0"/>
          <w:i/>
        </w:rPr>
        <w:t>van Hilten-van der Heijden v Inspecteur van de Belastingdienst/Particulieren/Ondernemingen buitenland te Heerlen</w:t>
      </w:r>
      <w:r>
        <w:rPr>
          <w:b w:val="0"/>
          <w:i w:val="0"/>
        </w:rPr>
        <w:t xml:space="preserve"> (Vụ án C-513/03) [2006] ECR I-1957; [2008] STC 1245.</w:t>
      </w:r>
    </w:p>
    <w:p>
      <w:pPr>
        <w:spacing w:after="80"/>
      </w:pPr>
      <w:r>
        <w:rPr>
          <w:b w:val="0"/>
          <w:i w:val="0"/>
        </w:rPr>
        <w:t>81</w:t>
      </w:r>
    </w:p>
    <w:p>
      <w:pPr>
        <w:spacing w:after="80"/>
      </w:pPr>
      <w:r>
        <w:rPr>
          <w:b w:val="0"/>
          <w:i w:val="0"/>
        </w:rPr>
        <w:t>các bình luận trong Model Double Taxation Convention concerning Inheritances and Gifts (Báo cáo của Ủy ban Các vấn đề Tài chính của OECD, 1982). Rõ ràng từ các bình luận về điều 4, 7, 9A và 9B của mô hình đó rằng loại luật đó được biện minh bởi mối quan ngại nhằm ngăn chặn một hình thức trốn thuế, theo đó một công dân của một quốc gia, với ý định trước về cái chết của mình, chuyển nơi cư trú của mình sang một quốc gia khác nơi thuế thấp hơn. Các bình luận nêu rằng việc đánh thuế hai lần được tránh bằng một hệ thống tín dụng thuế và rằng, vì việc ngăn chặn trốn thuế chỉ được biện minh nếu cái chết xảy ra chỉ một thời gian ngắn sau khi chuyển nơi cư trú, thời hạn tối đa được phép là mười năm. Các bình luận tương tự cũng nêu rằng phạm vi có thể được mở rộng để bao gồm không chỉ công dân của quốc gia liên quan mà còn cả những cư dân không phải là công dân của quốc gia đó.96</w:t>
      </w:r>
    </w:p>
    <w:p>
      <w:pPr>
        <w:spacing w:after="80"/>
      </w:pPr>
      <w:r>
        <w:rPr>
          <w:b w:val="0"/>
          <w:i w:val="0"/>
        </w:rPr>
        <w:t>Ngôn ngữ này đặt sự phụ thuộc vào OECD Model và Commentary một cách rõ ràng trong bối cảnh biện minh. Quan điểm tốt hơn về sự biện minh này là tòa án đã bị thuyết phục bởi lập luận trong Commentary hơn là chỉ sự tồn tại đơn thuần của một hiệp ước được mô phỏng theo mô hình OECD. Vì hiệp ước đang được xem xét giữa Hà Lan và Thụy Sĩ được ký kết vào năm 1951, không hiển nhiên rằng Commentary của mô hình năm 1982 sẽ được áp dụng theo các nguyên tắc thông thường về giải thích hiệp ước.97</w:t>
      </w:r>
    </w:p>
    <w:p>
      <w:pPr>
        <w:spacing w:after="80"/>
      </w:pPr>
      <w:r>
        <w:rPr>
          <w:b w:val="0"/>
          <w:i w:val="0"/>
        </w:rPr>
        <w:t>Nếu chỉ sự tồn tại của một hiệp ước dựa trên OECD Model tự nó biện minh cho một hạn chế, thì nguyên tắc rằng việc phân bổ quyền đánh thuế theo hiệp ước phải được thực hiện phù hợp với luật EU trở thành lời nói suông rỗng tuếch.98</w:t>
      </w:r>
    </w:p>
    <w:p>
      <w:pPr>
        <w:spacing w:after="80"/>
      </w:pPr>
      <w:r>
        <w:rPr>
          <w:b w:val="0"/>
          <w:i w:val="0"/>
        </w:rPr>
        <w:t xml:space="preserve">Việc dựa vào hướng dẫn từ thực tiễn quốc tế và các công ước mẫu do OECD soạn thảo trong bối cảnh luật chống lạm dụng nội địa một lần nữa được nói là không bất hợp lý trong </w:t>
      </w:r>
      <w:r>
        <w:rPr>
          <w:b w:val="0"/>
          <w:i/>
        </w:rPr>
        <w:t>SGI v Belgium</w:t>
      </w:r>
      <w:r>
        <w:rPr>
          <w:b w:val="0"/>
          <w:i w:val="0"/>
        </w:rPr>
        <w:t xml:space="preserve">.99 Ngược lại, trong </w:t>
      </w:r>
      <w:r>
        <w:rPr>
          <w:b w:val="0"/>
          <w:i/>
        </w:rPr>
        <w:t>Argenta Spaarbank NV v Belgische Staat</w:t>
      </w:r>
      <w:r>
        <w:rPr>
          <w:b w:val="0"/>
          <w:i w:val="0"/>
        </w:rPr>
        <w:t>100 tòa án phán quyết rằng các quy tắc phân bổ lợi nhuận cho một cơ sở thường trú trong điều 7 của Hiệp ước Thuế Bỉ-Hà Lan, vốn tuân theo OECD Model, và điều 23 yêu cầu Bỉ miễn thuế đối với lợi nhuận đó, không biện minh cho các hạn chế trong việc tính đến tài sản của một cơ sở thường trú ở Hà Lan khi tính khấu trừ cho vốn rủi ro.</w:t>
      </w:r>
    </w:p>
    <w:p>
      <w:pPr>
        <w:spacing w:after="80"/>
      </w:pPr>
      <w:r>
        <w:rPr>
          <w:b w:val="0"/>
          <w:i w:val="0"/>
        </w:rPr>
        <w:t xml:space="preserve">96. Tại đoạn 48. 97. Tuy nhiên, lập luận này không hoàn toàn thỏa đáng. Trốn thuế thay vì lẩn tránh thuế sẽ là vấn đề khi thay đổi nơi cư trú trong tiến trình bình thường và tòa án đã phát triển án lệ đầy đủ về vai trò của việc ngăn chặn lẩn tránh và lạm dụng trong việc thực hiện các quyền tự do cơ bản. Xem §3.08. 98. Cả </w:t>
      </w:r>
      <w:r>
        <w:rPr>
          <w:b w:val="0"/>
          <w:i/>
        </w:rPr>
        <w:t>Gilly</w:t>
      </w:r>
      <w:r>
        <w:rPr>
          <w:b w:val="0"/>
          <w:i w:val="0"/>
        </w:rPr>
        <w:t xml:space="preserve"> và </w:t>
      </w:r>
      <w:r>
        <w:rPr>
          <w:b w:val="0"/>
          <w:i/>
        </w:rPr>
        <w:t>van Hilten</w:t>
      </w:r>
      <w:r>
        <w:rPr>
          <w:b w:val="0"/>
          <w:i w:val="0"/>
        </w:rPr>
        <w:t xml:space="preserve"> vẫn không thỏa đáng vì, trong mỗi trường hợp, ECJ cũng bác bỏ lập luận rằng điều hiện nay là điều 18 TFEU (lệnh cấm chung về phân biệt đối xử dựa trên quốc tịch) cấm quốc tịch làm tiêu chí phân bổ quyền đánh thuế. Không giống như án lệ sau này, trong hai phán quyết này, tòa án tìm cách giải thích và áp dụng các hiệp ước liên quan bất chấp việc thiếu thẩm quyền của mình. Xem §3.02. Tuy nhiên, tòa án đã tiếp tục phán quyết các phân biệt dựa trên quốc tịch trong một hiệp ước là tương thích với luật EU trong trường hợp này. </w:t>
      </w:r>
      <w:r>
        <w:rPr>
          <w:b w:val="0"/>
          <w:i/>
        </w:rPr>
        <w:t>HB and IC v Istituto nazionale della previdenza sociale (INPS)</w:t>
      </w:r>
      <w:r>
        <w:rPr>
          <w:b w:val="0"/>
          <w:i w:val="0"/>
        </w:rPr>
        <w:t xml:space="preserve"> (Các vụ án hợp nhất C-168/19 và C-169/19) ECLI:EU:C:2020:338, liên quan đến sự phân biệt giữa quy tắc chung về đánh thuế lương hưu trong điều 18 của hiệp ước thuế hai lần Ý-Bồ Đào Nha và quy tắc đặc biệt cho dịch vụ chính phủ trong điều 19. Ở đây, công dân Ý làm việc trong khu vực công của Ý đã nghỉ hưu sang Bồ Đào Nha. Tòa án cho rằng không có sự phân biệt đối xử bị cấm trong việc phân bổ quyền đánh thuế giữa các quốc gia ký kết và rằng bất kỳ sự khác biệt nào trong đối xử đều phát sinh từ sự chênh lệch về thuế suất do các quốc gia đó áp đặt. 99. </w:t>
      </w:r>
      <w:r>
        <w:rPr>
          <w:b w:val="0"/>
          <w:i/>
        </w:rPr>
        <w:t>Société de Gestion Industrielle (SGI) v Belgium</w:t>
      </w:r>
      <w:r>
        <w:rPr>
          <w:b w:val="0"/>
          <w:i w:val="0"/>
        </w:rPr>
        <w:t xml:space="preserve"> (Vụ án C-311/08) [2011] BTC 123; [2010] ECR I-487; [2010] 2 CMLR 1017, Ý kiến đoạn 57, Phán quyết đoạn 54. 100. </w:t>
      </w:r>
      <w:r>
        <w:rPr>
          <w:b w:val="0"/>
          <w:i/>
        </w:rPr>
        <w:t>Argenta Spaarbank NV v Belgische Staat</w:t>
      </w:r>
      <w:r>
        <w:rPr>
          <w:b w:val="0"/>
          <w:i w:val="0"/>
        </w:rPr>
        <w:t xml:space="preserve"> (Vụ án C-350/11) [2013] ECR 0000, [2013] STC 2097 tại đoạn 57.</w:t>
      </w:r>
    </w:p>
    <w:p>
      <w:pPr>
        <w:spacing w:after="80"/>
      </w:pPr>
      <w:r>
        <w:rPr>
          <w:b w:val="0"/>
          <w:i w:val="0"/>
        </w:rPr>
        <w:t>82</w:t>
      </w:r>
    </w:p>
    <w:p>
      <w:pPr>
        <w:spacing w:after="80"/>
      </w:pPr>
      <w:r>
        <w:rPr>
          <w:b w:val="0"/>
          <w:i w:val="0"/>
        </w:rPr>
        <w:t xml:space="preserve">Trong </w:t>
      </w:r>
      <w:r>
        <w:rPr>
          <w:b w:val="0"/>
          <w:i/>
        </w:rPr>
        <w:t>Gilly,</w:t>
      </w:r>
      <w:r>
        <w:rPr>
          <w:b w:val="0"/>
          <w:i w:val="0"/>
        </w:rPr>
        <w:t xml:space="preserve"> tòa án kết luận rằng điều hiện nay là điều 45 TFEU không ngăn cản việc áp dụng các quy định như những quy định trong điều 13(5)(a), 14(1) và 16 của Hiệp ước Pháp-Đức, theo đó chế độ thuế áp dụng cho người lao động biên giới khác nhau tùy thuộc vào việc họ làm việc trong khu vực tư nhân hay khu vực công (và nơi họ làm việc trong khu vực công). Nó cũng phụ thuộc vào việc, khi làm việc trong khu vực công, họ chỉ có quốc tịch của quốc gia của cơ quan sử dụng họ và liệu chế độ áp dụng cho giáo viên có khác nhau tùy thuộc vào việc họ cư trú ở quốc gia nơi họ đang giảng dạy là trong một thời gian ngắn hay không. Kết luận này dẫn đến một thẩm quyền rộng rãi cho các Quốc gia Thành viên để phân bổ quyền đánh thuế giữa họ bằng hiệp ước.</w:t>
      </w:r>
    </w:p>
    <w:p>
      <w:pPr>
        <w:spacing w:after="80"/>
      </w:pPr>
      <w:r>
        <w:rPr>
          <w:b/>
          <w:i w:val="0"/>
        </w:rPr>
        <w:t>[A]Loại bỏ Đánh thuế Hai lần: Tín dụng Thuế Nước ngoài</w:t>
      </w:r>
    </w:p>
    <w:p>
      <w:pPr>
        <w:spacing w:after="80"/>
      </w:pPr>
      <w:r>
        <w:rPr>
          <w:b w:val="0"/>
          <w:i w:val="0"/>
        </w:rPr>
        <w:t xml:space="preserve">Vụ án </w:t>
      </w:r>
      <w:r>
        <w:rPr>
          <w:b w:val="0"/>
          <w:i/>
        </w:rPr>
        <w:t>Gilly</w:t>
      </w:r>
      <w:r>
        <w:rPr>
          <w:b w:val="0"/>
          <w:i w:val="0"/>
        </w:rPr>
        <w:t xml:space="preserve"> cũng xem xét liệu các quy tắc hiệp ước để loại bỏ đánh thuế hai lần contained trong Hiệp ước Pháp-Đức có tương thích với điều hiện nay là điều 45 TFEU hay không. Điều 20(2)(a)(cc) của Hiệp ước Pháp-Đức, được sửa đổi bởi nghị định thư ký ngày 28 tháng 9 năm 1989, có nội dung như sau:</w:t>
      </w:r>
    </w:p>
    <w:p>
      <w:pPr>
        <w:spacing w:after="80"/>
      </w:pPr>
      <w:r>
        <w:rPr>
          <w:b w:val="0"/>
          <w:i w:val="0"/>
        </w:rPr>
        <w:t>2. Đánh thuế hai lần đối với người cư trú tại Pháp sẽ được tránh theo cách sau:</w:t>
      </w:r>
    </w:p>
    <w:p>
      <w:pPr>
        <w:spacing w:after="80"/>
      </w:pPr>
      <w:r>
        <w:rPr>
          <w:b w:val="0"/>
          <w:i w:val="0"/>
        </w:rPr>
        <w:t>(a) Lợi nhuận và thu nhập dương khác phát sinh tại Cộng hòa Liên bang và chịu thuế</w:t>
      </w:r>
    </w:p>
    <w:p>
      <w:pPr>
        <w:spacing w:after="80"/>
      </w:pPr>
      <w:r>
        <w:rPr>
          <w:b w:val="0"/>
          <w:i w:val="0"/>
        </w:rPr>
        <w:t>các khoản đó theo quy định của Hiệp định này cũng sẽ bị đánh thuế tại Pháp khi chúng phát sinh cho một người cư trú tại Pháp. Thuế Đức sẽ không được khấu trừ khi tính thu nhập chịu thuế tại Pháp. Tuy nhiên, người nhận sẽ được hưởng một khoản tín dụng thuế để bù trừ vào thuế Pháp đánh trên khoản chịu thuế bao gồm thu nhập đó. Khoản tín dụng thuế đó sẽ bằng …(b) đối với tất cả các khoản thu nhập khác, bằng số thuế Pháp trên khoản thu nhập tương ứng.</w:t>
      </w:r>
    </w:p>
    <w:p>
      <w:pPr>
        <w:spacing w:after="80"/>
      </w:pPr>
      <w:r>
        <w:rPr>
          <w:b w:val="0"/>
          <w:i w:val="0"/>
        </w:rPr>
        <w:t>Quy định này sẽ áp dụng đặc biệt cho các khoản thu nhập được nêu tại các Điều …13(1) và (2) và 14.</w:t>
      </w:r>
    </w:p>
    <w:p>
      <w:pPr>
        <w:spacing w:after="80"/>
      </w:pPr>
      <w:r>
        <w:rPr>
          <w:b w:val="0"/>
          <w:i w:val="0"/>
        </w:rPr>
        <w:t>Các quy tắc này dựa trên Điều 23B của Mẫu OECD theo ‘phương pháp tín dụng thông thường’ (ordinary credit method). Một cách tiếp cận tương tự cũng được áp dụng trong các hiệp định của Vương quốc Anh.</w:t>
      </w:r>
    </w:p>
    <w:p>
      <w:pPr>
        <w:spacing w:after="80"/>
      </w:pPr>
      <w:r>
        <w:rPr>
          <w:b w:val="0"/>
          <w:i w:val="0"/>
        </w:rPr>
        <w:t>Cơ chế tín dụng thuế được Hiệp định Pháp-Đức áp dụng không xung đột với luật châu Âu. ECJ đã công nhận sự khác biệt giữa phương pháp tín dụng toàn phần (full credit method) và tín dụng thông thường (ordinary credit), ở chỗ, đánh thuế hai lần chỉ có thể được loại bỏ hoàn toàn bằng một khoản tín dụng bằng số thuế đánh tại Đức. Tòa nhấn mạnh rằng mục tiêu của một hiệp định không phải là đảm bảo thuế ở một quốc gia không cao hơn mức mà người nộp thuế phải chịu ở quốc gia kia. Mục tiêu chỉ đơn giản là ngăn chặn cùng một khoản thu nhập bị đánh thuế ở cả hai quốc gia. Tòa chấp nhận lập luận của một số Quốc gia Thành viên rằng nếu quốc gia cư trú buộc phải dành một khoản tín dụng thuế lớn hơn phần thuế quốc gia của mình tương ứng với thu nhập từ nước ngoài, thì quốc gia đó sẽ phải giảm thuế đối với phần thu nhập còn lại. Điều này sẽ dẫn đến thất thu ngân sách cho quốc gia đó và do đó xâm phạm chủ quyền của quốc gia trong các vấn đề thuế trực thu. Việc thuế ở quốc gia nguồn vượt quá thuế ở quốc gia cư trú đối với thu nhập từ quốc gia nguồn, kết hợp với các quy định phân chia</w:t>
      </w:r>
    </w:p>
    <w:p>
      <w:pPr>
        <w:spacing w:after="80"/>
      </w:pPr>
      <w:r>
        <w:rPr>
          <w:b w:val="0"/>
          <w:i w:val="0"/>
        </w:rPr>
        <w:t>83</w:t>
      </w:r>
    </w:p>
    <w:p>
      <w:pPr>
        <w:spacing w:after="80"/>
      </w:pPr>
      <w:r>
        <w:rPr>
          <w:b w:val="0"/>
          <w:i w:val="0"/>
        </w:rPr>
        <w:t>của hiệp định cho phép đánh thuế tại quốc gia nguồn, do đó cho phép thuế nước ngoài vượt mức, cũng không trái với Điều 45.101</w:t>
      </w:r>
    </w:p>
    <w:p>
      <w:pPr>
        <w:spacing w:after="80"/>
      </w:pPr>
      <w:r>
        <w:rPr>
          <w:b w:val="0"/>
          <w:i w:val="0"/>
        </w:rPr>
        <w:t xml:space="preserve">Ngược lại, các lập luận viện dẫn Mẫu OECD và Bình luận của nó đã thất bại trong </w:t>
      </w:r>
      <w:r>
        <w:rPr>
          <w:b w:val="0"/>
          <w:i/>
        </w:rPr>
        <w:t>Futura Participations SA and another v Administrations des Contributions</w:t>
      </w:r>
      <w:r>
        <w:rPr>
          <w:b w:val="0"/>
          <w:i w:val="0"/>
        </w:rPr>
        <w:t>.102 Ở đó, câu hỏi đặt ra là liệu việc khấu trừ lỗ có thể bị đặt điều kiện phải duy trì sổ sách kế toán trong một Quốc gia Thành viên hay không. Chính phủ Luxembourg một phần dựa vào Hiệp định Luxembourg-Pháp để biện minh cho việc yêu cầu sổ sách của chi nhánh phải được lưu giữ tại đó. Họ lập luận rằng theo Điều 4(2) của hiệp định, chỉ thu nhập phát sinh từ hoạt động kinh tế được tiến hành trong lãnh thổ thông qua cơ sở thường trú (permanent establishment) mới có thể bị đánh thuế. Họ cũng lập luận rằng Điều 4(4) quy định rằng các cơ quan có thẩm quyền của cả hai quốc gia ký kết, khi cần thiết, sẽ thỏa thuận đặt ra các quy tắc phân bổ nếu không có sổ sách phù hợp thể hiện rõ ràng và chính xác lợi nhuận quy cho các cơ sở trong lãnh thổ tương ứng của mình. Từ đó, chính quyền Luxembourg lập luận rằng lợi nhuận thực tế của cơ sở thường trú phải bị đánh thuế và các quy tắc phân bổ chỉ áp dụng khi không có sổ sách phù hợp thể hiện rõ ràng và chính xác lợi nhuận quy cho cơ sở cụ thể đó. Điều 21(2) của Hiệp định Luxembourg-Pháp quy định rằng khi một người nộp thuế cư trú tại Pháp có cơ sở thường trú tại Luxembourg, các quy định liên quan đến chuyển lỗ sang kỳ sau sẽ được áp dụng với các điều kiện giống như đối với người nộp thuế cư trú tại Luxembourg. Điều này có nghĩa là sổ sách phải được lưu giữ tại Luxembourg. Người ta lập luận rằng không có sự phân biệt đối xử vì các công ty Luxembourg cũng được yêu cầu lưu giữ sổ sách tại trụ sở chính của họ, mà trụ sở chính cũng ở Luxembourg.</w:t>
      </w:r>
    </w:p>
    <w:p>
      <w:pPr>
        <w:spacing w:after="80"/>
      </w:pPr>
      <w:r>
        <w:rPr>
          <w:b w:val="0"/>
          <w:i w:val="0"/>
        </w:rPr>
        <w:t>Khi ủng hộ Chính phủ Luxembourg, Vương quốc Anh đã viện dẫn Mẫu OECD và Bình luận.103 Theo các tài liệu này, người ta lập luận rằng mặc dù các quốc gia ký kết không bắt buộc phải yêu cầu người nộp thuế lưu giữ sổ sách riêng, nhưng bình luận cho rằng đây là phương pháp chính xác và đáng tin cậy nhất để xác định lỗ. Vì các Quốc gia Thành viên ký kết có quyền tự quyết trong việc quyết định cách phù hợp nhất để xác định lỗ, nên không thể ngăn cản một quốc gia lựa chọn phương pháp tốt nhất và chính xác nhất. Theo lập luận này, việc kiểm soát thuế hiệu quả chỉ có thể thực hiện được nếu lỗ được xác định trên cơ sở sổ sách phù hợp.</w:t>
      </w:r>
    </w:p>
    <w:p>
      <w:pPr>
        <w:spacing w:after="80"/>
      </w:pPr>
      <w:r>
        <w:rPr>
          <w:b w:val="0"/>
          <w:i w:val="0"/>
        </w:rPr>
        <w:t>Tổng Chưởng lý (Advocate-General) đã thừa nhận104 rằng Công ước Mẫu không yêu cầu một cách rõ ràng việc lưu giữ sổ sách riêng. Tuy nhiên, theo ý kiến của ông, Bình luận chỉ ra rằng các con số chính xác liên quan đến lợi nhuận và lỗ chỉ có thể có được trên cơ sở sổ sách phù hợp và do đó phương pháp này nên được sử dụng trong các trường hợp thông thường. Điều này không có nghĩa là sổ sách phải được lưu giữ tại chi nhánh. Ông cũng chỉ ra rằng Mẫu OECD không thể áp dụng một cách quyết định đối với luật Cộng đồng liên quan đến câu hỏi được đặt ra trong vụ án này.</w:t>
      </w:r>
    </w:p>
    <w:p>
      <w:pPr>
        <w:spacing w:after="80"/>
      </w:pPr>
      <w:r>
        <w:rPr>
          <w:b w:val="0"/>
          <w:i w:val="0"/>
        </w:rPr>
        <w:t xml:space="preserve">101. Xem thêm </w:t>
      </w:r>
      <w:r>
        <w:rPr>
          <w:b w:val="0"/>
          <w:i/>
        </w:rPr>
        <w:t>Damseaux v Belgium</w:t>
      </w:r>
      <w:r>
        <w:rPr>
          <w:b w:val="0"/>
          <w:i w:val="0"/>
        </w:rPr>
        <w:t xml:space="preserve"> (Vụ C-128/08) [2009] ECR I-06823; [2009] BTC 746 tại đoạn 27.102.</w:t>
      </w:r>
      <w:r>
        <w:rPr>
          <w:b w:val="0"/>
          <w:i/>
        </w:rPr>
        <w:t>Futura Participations SA and another v Administrations des Contributions</w:t>
      </w:r>
      <w:r>
        <w:rPr>
          <w:b w:val="0"/>
          <w:i w:val="0"/>
        </w:rPr>
        <w:t xml:space="preserve"> (Vụ C-250/95) [1997] ECR I-02471; [1997] STC 1301, ECJ.103. Tại đoạn 42, tại 1309.104. Tại đoạn 47, tại 1310.</w:t>
      </w:r>
    </w:p>
    <w:p>
      <w:pPr>
        <w:spacing w:after="80"/>
      </w:pPr>
      <w:r>
        <w:rPr>
          <w:b w:val="0"/>
          <w:i w:val="0"/>
        </w:rPr>
        <w:t>84</w:t>
      </w:r>
    </w:p>
    <w:p>
      <w:pPr>
        <w:spacing w:after="80"/>
      </w:pPr>
      <w:r>
        <w:rPr>
          <w:b w:val="0"/>
          <w:i w:val="0"/>
        </w:rPr>
        <w:t>Vương quốc Anh tiếp tục lập luận105 rằng với tham chiếu đến Bình luận, việc các doanh nghiệp được điều hành tốt tạo ra sổ sách chi nhánh riêng là điều khá bình thường. Tổng Chưởng lý lập luận rằng điều này không có nghĩa là sổ sách riêng phải được lưu giữ tại chi nhánh. Tổng Chưởng lý lưu ý rằng quy tắc cơ sở thường trú được nêu trong Điều 4 và các quy định liên quan đến việc loại bỏ đánh thuế hai lần trong Điều 24(2), vốn duy trì nguyên tắc lãnh thổ (territoriality), không trái với luật Cộng đồng, ngay cả liên quan đến việc chuyển lỗ sang kỳ sau. Quy định liên quan ở đây, đúng hơn, là Điều 21(2), quy định rằng khi một người cư trú tại Pháp có cơ sở thường trú tại Luxembourg, các quy định liên quan đến lỗ ở đó phải tuân theo các điều kiện giống như áp dụng cho người cư trú Luxembourg. Điều này chỉ đơn giản đề cập đến luật thuế của các Quốc gia Thành viên, vốn yêu cầu người nộp thuế lưu giữ sổ sách phù hợp. Tuy nhiên, việc mở rộng điều kiện này cho các chi nhánh của một công ty không cư trú là không tương thích với luật Cộng đồng theo quan điểm của Tổng Chưởng lý Lenz. Tòa đã đồng ý106 rằng nguyên tắc lãnh thổ tự nó không dẫn đến bất kỳ sự phân biệt đối xử bị cấm nào. Khi phát hiện quy tắc này mang tính phân biệt đối xử, ECJ đã không giải quyết cụ thể lập luận mà Vương quốc Anh đưa ra về việc giải thích hiệp định.</w:t>
      </w:r>
    </w:p>
    <w:p>
      <w:pPr>
        <w:spacing w:after="80"/>
      </w:pPr>
      <w:r>
        <w:rPr>
          <w:b/>
          <w:i w:val="0"/>
        </w:rPr>
        <w:t>[B]Từ bỏ tính gắn kết</w:t>
      </w:r>
    </w:p>
    <w:p>
      <w:pPr>
        <w:spacing w:after="80"/>
      </w:pPr>
      <w:r>
        <w:rPr>
          <w:b w:val="0"/>
          <w:i w:val="0"/>
        </w:rPr>
        <w:t xml:space="preserve">Lý do biện minh ban đầu cho việc đánh thuế phân biệt đối xử được ECJ chấp nhận là khi sự phân biệt đối xử là cần thiết để duy trì tính gắn kết (cohesion) của hệ thống thuế. Trong </w:t>
      </w:r>
      <w:r>
        <w:rPr>
          <w:b w:val="0"/>
          <w:i/>
        </w:rPr>
        <w:t>Wielockx v Inspecteur der Directe Belastingen</w:t>
      </w:r>
      <w:r>
        <w:rPr>
          <w:b w:val="0"/>
          <w:i w:val="0"/>
        </w:rPr>
        <w:t>,107 câu hỏi về tác động của Điều 18108 của Mẫu OECD đối với phân biệt đối xử đã được xem xét. ECJ đã phán quyết rằng một người nộp thuế không cư trú, người nhận gần như toàn bộ thu nhập của mình tại quốc gia nơi người đó làm việc như một nhà vật lý trị liệu và có một cơ sở cố định theo Điều 14(1) của Hiệp định Bỉ-Hà Lan109 nhưng không được quyền lập một quỹ dự phòng hưu trí đủ điều kiện để được khấu trừ theo các điều kiện thuế giống như một người nộp thuế tự kinh doanh cư trú, đã bị phân biệt đối xử. Chính phủ Hà Lan lập luận rằng sự phân biệt đối xử là chính đáng trên cơ sở rằng nó cần thiết để duy trì tính gắn kết của hệ thống thuế.110 Tuy nhiên, tòa kết luận rằng mặc dù một quốc gia có thể xây dựng tính gắn kết của hệ thống thuế dựa trên nguyên tắc tương quan giữa việc khấu trừ các khoản đóng góp và việc đánh thuế lương hưu, quốc gia đó cũng có thể từ chối nguyên tắc đó. Tòa đã viện dẫn Điều 18 của Mẫu OECD, trong đó quy định như sau:</w:t>
      </w:r>
    </w:p>
    <w:p>
      <w:pPr>
        <w:spacing w:after="80"/>
      </w:pPr>
      <w:r>
        <w:rPr>
          <w:b w:val="0"/>
          <w:i w:val="0"/>
        </w:rPr>
        <w:t xml:space="preserve">Theo các quy định của khoản 2 Điều 19 [liên quan đến </w:t>
      </w:r>
      <w:r>
        <w:rPr>
          <w:b w:val="0"/>
          <w:i/>
        </w:rPr>
        <w:t>inter alia</w:t>
      </w:r>
      <w:r>
        <w:rPr>
          <w:b w:val="0"/>
          <w:i w:val="0"/>
        </w:rPr>
        <w:t xml:space="preserve"> lương hưu của công chức], lương hưu và các khoản thù lao tương tự khác được trả cho một người cư trú của một quốc gia ký kết để đền đáp cho việc làm trong quá khứ sẽ chỉ bị đánh thuế tại quốc gia đó.</w:t>
      </w:r>
    </w:p>
    <w:p>
      <w:pPr>
        <w:spacing w:after="80"/>
      </w:pPr>
      <w:r>
        <w:rPr>
          <w:b w:val="0"/>
          <w:i w:val="0"/>
        </w:rPr>
        <w:t>105. Tại đoạn 48, tại 1310.106. Tại đoạn 22, tại 1317.107.</w:t>
      </w:r>
      <w:r>
        <w:rPr>
          <w:b w:val="0"/>
          <w:i/>
        </w:rPr>
        <w:t>Wielockx v Inspecteur der Directe Belastingen</w:t>
      </w:r>
      <w:r>
        <w:rPr>
          <w:b w:val="0"/>
          <w:i w:val="0"/>
        </w:rPr>
        <w:t xml:space="preserve"> (Vụ C-80/94) [1995] ECR I-02493; [1995] BTC 415; [1995] STC 876, ECJ.108. Lương hưu và các khoản thanh toán tương tự.109. Dịch vụ cá nhân độc lập.110.</w:t>
      </w:r>
      <w:r>
        <w:rPr>
          <w:b w:val="0"/>
          <w:i/>
        </w:rPr>
        <w:t>Bachman v Belgium</w:t>
      </w:r>
      <w:r>
        <w:rPr>
          <w:b w:val="0"/>
          <w:i w:val="0"/>
        </w:rPr>
        <w:t xml:space="preserve"> (Vụ C-204/90) [1992] ECR I-00249; [1994] STC 855, ECJ.</w:t>
      </w:r>
    </w:p>
    <w:p>
      <w:pPr>
        <w:spacing w:after="80"/>
      </w:pPr>
      <w:r>
        <w:rPr>
          <w:b w:val="0"/>
          <w:i w:val="0"/>
        </w:rPr>
        <w:t>85</w:t>
      </w:r>
    </w:p>
    <w:p>
      <w:pPr>
        <w:spacing w:after="80"/>
      </w:pPr>
      <w:r>
        <w:rPr>
          <w:b w:val="0"/>
          <w:i w:val="0"/>
        </w:rPr>
        <w:t xml:space="preserve">Hiệp định Bỉ-Hà Lan có các điều khoản giống hệt Điều 18 của Mô hình OECD. Tổng biện lý Leger cũng đã viện dẫn trong ý kiến của mình111 Điều 22 của Hiệp định Bỉ-Hà Lan112 và lưu ý rằng thu nhập của một cư dân của một quốc gia ký kết mà hiệp định không đề cập đến theo cách khác thì chỉ bị đánh thuế tại quốc gia cư trú. Hiệu lực của các hiệp định vốn là một phần không thể tách rời của luật thuế quốc gia và có hiệu lực cao hơn các quy tắc thuế nội địa là ở chỗ sự gắn kết được áp dụng ở một cấp độ khác. Do đó, ông lập luận, sự gắn kết nội địa bị từ bỏ và sự gắn kết được thiết lập ở cấp độ hiệp định. Trong trường hợp đó, ông kết luận, kết quả là các khoản đóng góp lương hưu được khấu trừ tại quốc gia thanh toán ngay cả khi quyền nhận lương hưu nằm trong tay một người không cư trú. Do đó, không có yêu cầu về mối tương quan chặt chẽ giữa việc khấu trừ các khoản đóng góp và việc đánh thuế lương hưu để đảm bảo sự gắn kết của hệ thống thuế nội địa. Như vậy, khi sự gắn kết của các quy tắc thuế nội địa bị từ bỏ bởi hiệp định, nó không thể được viện dẫn như một biện minh cho sự phân biệt đối xử. Kết luận tương tự cũng đạt được trong </w:t>
      </w:r>
      <w:r>
        <w:rPr>
          <w:b w:val="0"/>
          <w:i/>
        </w:rPr>
        <w:t>Danner</w:t>
      </w:r>
      <w:r>
        <w:rPr>
          <w:b w:val="0"/>
          <w:i w:val="0"/>
        </w:rPr>
        <w:t>.113</w:t>
      </w:r>
    </w:p>
    <w:p>
      <w:pPr>
        <w:spacing w:after="80"/>
      </w:pPr>
      <w:r>
        <w:rPr>
          <w:rFonts w:ascii="Consolas" w:hAnsi="Consolas"/>
          <w:b/>
          <w:i w:val="0"/>
          <w:sz w:val="19"/>
        </w:rPr>
        <w:t>Sự gắn kết xuyên biên giới của các hệ thống thuế</w:t>
      </w:r>
    </w:p>
    <w:p>
      <w:pPr>
        <w:spacing w:after="80"/>
      </w:pPr>
      <w:r>
        <w:rPr>
          <w:b w:val="0"/>
          <w:i w:val="0"/>
        </w:rPr>
        <w:t xml:space="preserve">Sau đó, tòa án đã bác bỏ quan điểm rằng sự gắn kết có thể được thiết lập xuyên biên giới thông qua hoạt động của nguyên tắc giao dịch độc lập theo Điều 9 của Mô hình OECD trong </w:t>
      </w:r>
      <w:r>
        <w:rPr>
          <w:b w:val="0"/>
          <w:i/>
        </w:rPr>
        <w:t>Lankhorst-Hohorst GmbH v Finanzamt Steinfurt</w:t>
      </w:r>
      <w:r>
        <w:rPr>
          <w:b w:val="0"/>
          <w:i w:val="0"/>
        </w:rPr>
        <w:t>.114 Lankhorst-Hohorst GmbH, một công ty được thành lập và cư trú tại Đức, được sở hữu toàn bộ bởi một công ty mẹ cư trú tại Hà Lan. Công ty mẹ Hà Lan cuối cùng đã cho Lankhorst-Hohorst vay tiền có lãi, phải trả trong mười năm bằng các khoản trả góp hàng năm. Khoản vay này nhằm thay thế cho vốn và đi kèm với một thư bảo lãnh, theo đó bên cho vay sẽ từ bỏ việc hoàn trả nếu các chủ nợ bên thứ ba đưa ra khiếu nại chống lại Lankhorst-Hohorst.</w:t>
      </w:r>
    </w:p>
    <w:p>
      <w:pPr>
        <w:spacing w:after="80"/>
      </w:pPr>
      <w:r>
        <w:rPr>
          <w:b w:val="0"/>
          <w:i w:val="0"/>
        </w:rPr>
        <w:t>Cơ quan thuế Đức đã xử lý khoản lãi trả cho công ty mẹ Hà Lan như một khoản phân phối lợi nhuận và đánh thuế nó như vậy theo các quy tắc về vốn mỏng của Đức vì do tình trạng nợ quá mức của Lankhorst-Hohorst và việc không có khả năng cung cấp bảo đảm, trên thực tế nó không thể có được một khoản vay tương tự từ bất kỳ bên thứ ba nào.</w:t>
      </w:r>
    </w:p>
    <w:p>
      <w:pPr>
        <w:spacing w:after="80"/>
      </w:pPr>
      <w:r>
        <w:rPr>
          <w:b w:val="0"/>
          <w:i w:val="0"/>
        </w:rPr>
        <w:t>Chính phủ các Quốc gia Thành viên lập luận rằng vì các quy tắc về vốn mỏng nhằm ngăn chặn việc chuyển nghĩa vụ thuế một cách tùy tiện từ quốc gia này sang quốc gia khác và để đảm bảo rằng thuế được đánh tại nơi lợi nhuận thực sự được tạo ra, nên không thể có phát hiện về sự phân biệt đối xử giữa các thỏa thuận thuế áp dụng cho các hoạt động xuyên biên giới và những thỏa thuận áp dụng cho các hoạt động nội địa.</w:t>
      </w:r>
    </w:p>
    <w:p>
      <w:pPr>
        <w:spacing w:after="80"/>
      </w:pPr>
      <w:r>
        <w:rPr>
          <w:b w:val="0"/>
          <w:i w:val="0"/>
        </w:rPr>
        <w:t>Ủy ban ủng hộ quan điểm này nhưng đề cập đến rủi ro đánh thuế hai lần khi công ty Đức phải chịu thuế doanh nghiệp Đức đối với khoản phân phối được coi là như vậy trong khi cổ đông nước ngoài vẫn khai báo khoản lãi họ nhận được trong thu nhập của mình tại Hà Lan. Ủy ban lập luận rằng một Quốc gia Thành viên</w:t>
      </w:r>
    </w:p>
    <w:p>
      <w:pPr>
        <w:spacing w:after="80"/>
      </w:pPr>
      <w:r>
        <w:rPr>
          <w:b w:val="0"/>
          <w:i w:val="0"/>
        </w:rPr>
        <w:t xml:space="preserve">111. Tại đoạn 53, tại 884.112. Thu nhập khác.113. </w:t>
      </w:r>
      <w:r>
        <w:rPr>
          <w:b w:val="0"/>
          <w:i/>
        </w:rPr>
        <w:t>Rolf Dieter Danner</w:t>
      </w:r>
      <w:r>
        <w:rPr>
          <w:b w:val="0"/>
          <w:i w:val="0"/>
        </w:rPr>
        <w:t xml:space="preserve"> (Vụ C-136/00) [2002] ECR I-08147, đoạn 41.114. </w:t>
      </w:r>
      <w:r>
        <w:rPr>
          <w:b w:val="0"/>
          <w:i/>
        </w:rPr>
        <w:t>Lankhorst-Hohorst GmbH v Finanzamt Steinfurt</w:t>
      </w:r>
      <w:r>
        <w:rPr>
          <w:b w:val="0"/>
          <w:i w:val="0"/>
        </w:rPr>
        <w:t xml:space="preserve"> (Vụ C-324/00) [2002] ECR I-11779; [2003] BTC 254, [2003] STC 607.</w:t>
      </w:r>
    </w:p>
    <w:p>
      <w:pPr>
        <w:spacing w:after="80"/>
      </w:pPr>
      <w:r>
        <w:rPr>
          <w:b w:val="0"/>
          <w:i w:val="0"/>
        </w:rPr>
        <w:t>86</w:t>
      </w:r>
    </w:p>
    <w:p>
      <w:pPr>
        <w:spacing w:after="80"/>
      </w:pPr>
      <w:r>
        <w:rPr>
          <w:b w:val="0"/>
          <w:i w:val="0"/>
        </w:rPr>
        <w:t>phân loại lãi như một khoản phân phối lợi nhuận trá hình cũng phải đảm bảo rằng có một mối liên hệ về vấn đề này với quốc gia nơi công ty mẹ được đăng ký để có thể thực hiện một điều chỉnh tương ứng. Nếu không có bất kỳ điều chỉnh nào như vậy, rủi ro đánh thuế hai lần không thể được loại trừ. Điều 9(2) của Mô hình OECD115 giải quyết vấn đề này, vì nó phù hợp với nguyên tắc tương xứng, và đảm bảo việc chia sẻ đúng đắn quyền đánh thuế, một mặt, và doanh thu thuế của các Quốc gia Thành viên liên quan, mặt khác.</w:t>
      </w:r>
    </w:p>
    <w:p>
      <w:pPr>
        <w:spacing w:after="80"/>
      </w:pPr>
      <w:r>
        <w:rPr>
          <w:b w:val="0"/>
          <w:i w:val="0"/>
        </w:rPr>
        <w:t xml:space="preserve">Tòa án đã bác bỏ việc áp dụng nhu cầu đảm bảo sự gắn kết của các hệ thống thuế hiện hành bằng cách tham chiếu đến nguyên tắc giao dịch độc lập. Tòa án phán quyết rằng phải có một mối liên hệ trực tiếp giữa việc khấu trừ, một mặt, và việc đánh thuế các khoản tiền nhận được, mặt khác. Trong trường hợp </w:t>
      </w:r>
      <w:r>
        <w:rPr>
          <w:b w:val="0"/>
          <w:i/>
        </w:rPr>
        <w:t>Bachman</w:t>
      </w:r>
      <w:r>
        <w:rPr>
          <w:b w:val="0"/>
          <w:i w:val="0"/>
        </w:rPr>
        <w:t xml:space="preserve">,116 mối liên hệ này được duy trì vì cả hai đều liên quan đến cùng một người nộp thuế. Trong </w:t>
      </w:r>
      <w:r>
        <w:rPr>
          <w:b w:val="0"/>
          <w:i/>
        </w:rPr>
        <w:t>Lankhorst-Hohorst</w:t>
      </w:r>
      <w:r>
        <w:rPr>
          <w:b w:val="0"/>
          <w:i w:val="0"/>
        </w:rPr>
        <w:t>, tòa án không tìm thấy mối liên hệ trực tiếp nào như vậy khi công ty con của một công ty mẹ không cư trú phải chịu sự đối xử thuế kém thuận lợi hơn và không có lợi ích thuế nào để bù đắp cho sự đối xử đó có thể được xác định.117</w:t>
      </w:r>
    </w:p>
    <w:p>
      <w:pPr>
        <w:spacing w:after="80"/>
      </w:pPr>
      <w:r>
        <w:rPr>
          <w:b w:val="0"/>
          <w:i w:val="0"/>
        </w:rPr>
        <w:t xml:space="preserve">Tuy nhiên, trong các vụ án gần đây hơn, tòa án đã dựa vào nguyên tắc phân bổ cân bằng quyền đánh thuế giữa các Quốc gia Thành viên để biện minh cho các hạn chế trong các tình huống tương tự. Đáng chú ý, trong </w:t>
      </w:r>
      <w:r>
        <w:rPr>
          <w:b w:val="0"/>
          <w:i/>
        </w:rPr>
        <w:t>SGI v Bỉ</w:t>
      </w:r>
      <w:r>
        <w:rPr>
          <w:b w:val="0"/>
          <w:i w:val="0"/>
        </w:rPr>
        <w:t>,118 tòa án phán quyết rằng việc cho phép các công ty cư trú chuyển lợi nhuận của họ dưới hình thức các lợi ích bất thường hoặc miễn phí cho các công ty được thành lập ở các Quốc gia Thành viên khác mà họ có mối quan hệ phụ thuộc lẫn nhau có thể làm suy yếu sự phân bổ cân bằng quyền đánh thuế giữa các Quốc gia Thành viên.119 Khi làm như vậy, tòa án đã thực sự phá vỡ yêu cầu rằng mối liên hệ trực tiếp giữa việc khấu trừ ở một Quốc gia Thành viên và thu nhập nhận được ở quốc gia kia phải nằm trong tay cùng một người nộp thuế.</w:t>
      </w:r>
    </w:p>
    <w:p>
      <w:pPr>
        <w:spacing w:after="80"/>
      </w:pPr>
      <w:r>
        <w:rPr>
          <w:b/>
          <w:i w:val="0"/>
        </w:rPr>
        <w:t>§3.09 TRÁNH VÀ LẠM DỤNG PHÁP LUẬT</w:t>
      </w:r>
    </w:p>
    <w:p>
      <w:pPr>
        <w:spacing w:after="80"/>
      </w:pPr>
      <w:r>
        <w:rPr>
          <w:b w:val="0"/>
          <w:i w:val="0"/>
        </w:rPr>
        <w:t xml:space="preserve">Án lệ ban đầu về tránh thuế như một biện minh cho việc hạn chế các quyền cơ bản theo Hiệp ước EC cho thấy rằng ECJ đặt việc thiết lập thị trường đơn nhất lên trên việc ngăn chặn tránh thuế. Trong </w:t>
      </w:r>
      <w:r>
        <w:rPr>
          <w:b w:val="0"/>
          <w:i/>
        </w:rPr>
        <w:t>EC Commission v Pháp</w:t>
      </w:r>
      <w:r>
        <w:rPr>
          <w:b w:val="0"/>
          <w:i w:val="0"/>
        </w:rPr>
        <w:t>,120 ECJ đã xem xét liệu Pháp có vi phạm các nghĩa vụ của mình theo Hiệp ước EC – cụ thể là, những gì hiện nay là Điều 49 TFEU – bằng cách không cấp lợi ích tín dụng thuế cho cổ đông cho các chi nhánh và đại lý tại Pháp của các công ty bảo hiểm được thành lập ở các Quốc gia Thành viên khác hay không. ECJ phán quyết rằng theo Điều 49, quyền tự do thành lập đối với công dân của một Quốc gia Thành viên trên lãnh thổ của một quốc gia khác bao gồm quyền đảm nhận và theo đuổi các hoạt động và thành lập và quản lý các doanh nghiệp theo các điều kiện được đặt ra cho công dân của chính mình.</w:t>
      </w:r>
    </w:p>
    <w:p>
      <w:pPr>
        <w:spacing w:after="80"/>
      </w:pPr>
      <w:r>
        <w:rPr>
          <w:b w:val="0"/>
          <w:i w:val="0"/>
        </w:rPr>
        <w:t xml:space="preserve">115. Xem Chương 9, §9.17.116. §3.09.117. Tại đoạn 42.118. </w:t>
      </w:r>
      <w:r>
        <w:rPr>
          <w:b w:val="0"/>
          <w:i/>
        </w:rPr>
        <w:t>Société de Gestion Industrielle (SGI) v Bỉ</w:t>
      </w:r>
      <w:r>
        <w:rPr>
          <w:b w:val="0"/>
          <w:i w:val="0"/>
        </w:rPr>
        <w:t xml:space="preserve"> (Vụ C-311/08) [2011] BTC 123; [2010] ECR I-487; [2010] 2 CMLR 1017.119. Tại các đoạn 60-63.120. </w:t>
      </w:r>
      <w:r>
        <w:rPr>
          <w:b w:val="0"/>
          <w:i/>
        </w:rPr>
        <w:t>EC Commission v Pháp</w:t>
      </w:r>
      <w:r>
        <w:rPr>
          <w:b w:val="0"/>
          <w:i w:val="0"/>
        </w:rPr>
        <w:t xml:space="preserve"> (Vụ C-270/83) [1986] ECR 273.</w:t>
      </w:r>
    </w:p>
    <w:p>
      <w:pPr>
        <w:spacing w:after="80"/>
      </w:pPr>
      <w:r>
        <w:rPr>
          <w:b w:val="0"/>
          <w:i w:val="0"/>
        </w:rPr>
        <w:t>87</w:t>
      </w:r>
    </w:p>
    <w:p>
      <w:pPr>
        <w:spacing w:after="80"/>
      </w:pPr>
      <w:r>
        <w:rPr>
          <w:b w:val="0"/>
          <w:i w:val="0"/>
        </w:rPr>
        <w:t>Chính phủ Pháp lập luận rằng sự khác biệt trong đối xử phát sinh do sự khác biệt giữa các hệ thống thuế của các Quốc gia Thành viên và sự tồn tại của các hiệp định thuế. Họ lập luận rằng các biện pháp khác nhau là cần thiết trong từng trường hợp để tính đến sự khác biệt giữa các hệ thống thuế, điều đáng lẽ phải được biện minh theo Điều 9. Các quy tắc thuế được đề cập được điều chỉnh bởi các hiệp định đánh thuế hai lần giữa các Quốc gia Thành viên liên quan, mà sự tồn tại của chúng được công nhận rõ ràng trong Điều 293 (trước đây là 220) của Hiệp ước EC. Hơn nữa, các quy tắc bị tranh chấp là cần thiết đặc biệt để ngăn chặn việc tránh thuế.</w:t>
      </w:r>
    </w:p>
    <w:p>
      <w:pPr>
        <w:spacing w:after="80"/>
      </w:pPr>
      <w:r>
        <w:rPr>
          <w:b w:val="0"/>
          <w:i w:val="0"/>
        </w:rPr>
        <w:t>Về vai trò của các hiệp định thuế, ECJ (Tòa án Công lý Châu Âu) phán quyết rằng các quyền được trao bởi Điều 49 là vô điều kiện và một Quốc gia Thành viên không thể đặt chúng phụ thuộc vào nội dung của một thỏa thuận được ký kết với một Quốc gia Thành viên khác. Tuyên bố rõ ràng này đã được tái khẳng định trong các vụ án tiếp theo.121 Cụ thể, Điều 49 không cho phép các quyền đó bị đặt dưới điều kiện có đi có lại được áp đặt nhằm mục đích đạt được các lợi ích tương ứng ở các Quốc gia Thành viên khác. Do đó, các quy định trong các hiệp định giữa các Quốc gia Thành viên không tuân thủ luật Cộng đồng không thể đứng vững. Tòa án cũng bác bỏ rủi ro tránh thuế như một lý do biện minh trong bối cảnh này. Tòa án phán quyết rằng Điều 49 không cho phép bất kỳ sự sai lệch nào khỏi nguyên tắc cơ bản về tự do thành lập vì lý do đó. Tòa án chưa có dịp xem xét câu hỏi về lạm dụng và các hiệp định kể từ quyết định đó. Tuy nhiên, án lệ trong lĩnh vực này đã tiến bộ đáng kể.</w:t>
      </w:r>
    </w:p>
    <w:p>
      <w:pPr>
        <w:spacing w:after="80"/>
      </w:pPr>
      <w:r>
        <w:rPr>
          <w:b/>
          <w:i w:val="0"/>
        </w:rPr>
        <w:t>[A] Xói mòn cơ sở thuế</w:t>
      </w:r>
    </w:p>
    <w:p>
      <w:pPr>
        <w:spacing w:after="80"/>
      </w:pPr>
      <w:r>
        <w:rPr>
          <w:b w:val="0"/>
          <w:i w:val="0"/>
        </w:rPr>
        <w:t xml:space="preserve">Khái niệm liên quan về xói mòn cơ sở thuế như một lý do biện minh cho việc hạn chế các quyền cơ bản theo Hiệp ước EC cũng đã bị ECJ bác bỏ trong </w:t>
      </w:r>
      <w:r>
        <w:rPr>
          <w:b w:val="0"/>
          <w:i/>
        </w:rPr>
        <w:t>ICI v Colmer</w:t>
      </w:r>
      <w:r>
        <w:rPr>
          <w:b w:val="0"/>
          <w:i w:val="0"/>
        </w:rPr>
        <w:t xml:space="preserve">.122 Điều này đã được khẳng định chắc chắn trong </w:t>
      </w:r>
      <w:r>
        <w:rPr>
          <w:b w:val="0"/>
          <w:i/>
        </w:rPr>
        <w:t>Metallgesellschaft Ltd &amp; Ors; Hoechst AG &amp; Hoechst UK Ltd v Commissioners of Inland Revenue &amp; Attorney-General</w:t>
      </w:r>
      <w:r>
        <w:rPr>
          <w:b w:val="0"/>
          <w:i w:val="0"/>
        </w:rPr>
        <w:t>, khi người ta nói rằng:123</w:t>
      </w:r>
    </w:p>
    <w:p>
      <w:pPr>
        <w:spacing w:after="80"/>
      </w:pPr>
      <w:r>
        <w:rPr>
          <w:b w:val="0"/>
          <w:i w:val="0"/>
        </w:rPr>
        <w:t>Đó là án lệ đã được xác lập rằng việc giảm thu nhập từ thuế không thể được coi là một vấn đề lợi ích chung chủ đạo có thể được viện dẫn để biện minh cho một biện pháp mà về nguyên tắc đi ngược lại một quyền tự do cơ bản.</w:t>
      </w:r>
    </w:p>
    <w:p>
      <w:pPr>
        <w:spacing w:after="80"/>
      </w:pPr>
      <w:r>
        <w:rPr>
          <w:b/>
          <w:i w:val="0"/>
        </w:rPr>
        <w:t>[B] Ý nghĩa của việc tránh thuế</w:t>
      </w:r>
    </w:p>
    <w:p>
      <w:pPr>
        <w:spacing w:after="80"/>
      </w:pPr>
      <w:r>
        <w:rPr>
          <w:b w:val="0"/>
          <w:i w:val="0"/>
        </w:rPr>
        <w:t xml:space="preserve">Một dấu hiệu ban đầu về thái độ của tòa án trong lĩnh vực này là trong </w:t>
      </w:r>
      <w:r>
        <w:rPr>
          <w:b w:val="0"/>
          <w:i/>
        </w:rPr>
        <w:t>Imperial Chemical Industries plc (ICI) v Colmer (HM Inspector of Taxes)</w:t>
      </w:r>
      <w:r>
        <w:rPr>
          <w:b w:val="0"/>
          <w:i w:val="0"/>
        </w:rPr>
        <w:t>.124 Ở đó, việc giảm thuế cho tập đoàn vào thời điểm đó</w:t>
      </w:r>
    </w:p>
    <w:p>
      <w:pPr>
        <w:spacing w:after="80"/>
      </w:pPr>
      <w:r>
        <w:rPr>
          <w:b w:val="0"/>
          <w:i w:val="0"/>
        </w:rPr>
        <w:t xml:space="preserve">121. Ví dụ, </w:t>
      </w:r>
      <w:r>
        <w:rPr>
          <w:b w:val="0"/>
          <w:i/>
        </w:rPr>
        <w:t>R v IRC, ex parte Commerzbank AG</w:t>
      </w:r>
      <w:r>
        <w:rPr>
          <w:b w:val="0"/>
          <w:i w:val="0"/>
        </w:rPr>
        <w:t xml:space="preserve"> (Vụ án C-330/91) [1993] BTC 299; [1993] ECRI-04017; [1993] STC 605, ý kiến của Tổng Chưởng lý. 122. </w:t>
      </w:r>
      <w:r>
        <w:rPr>
          <w:b w:val="0"/>
          <w:i/>
        </w:rPr>
        <w:t>Imperial Chemical Industries plc (ICI) v Colmer (HM Inspector of Taxes)</w:t>
      </w:r>
      <w:r>
        <w:rPr>
          <w:b w:val="0"/>
          <w:i w:val="0"/>
        </w:rPr>
        <w:t xml:space="preserve"> (Vụ án C-264/96) [1998] ECR I-04695; [1998] BTC 304; [1998] STC 874. 123. </w:t>
      </w:r>
      <w:r>
        <w:rPr>
          <w:b w:val="0"/>
          <w:i/>
        </w:rPr>
        <w:t>Metallgesellschaft Ltd &amp; Ors; Hoechst AG &amp; Hoechst UK Ltd v Commissioners of Inland Revenue &amp; Attorney-General</w:t>
      </w:r>
      <w:r>
        <w:rPr>
          <w:b w:val="0"/>
          <w:i w:val="0"/>
        </w:rPr>
        <w:t xml:space="preserve"> (Vụ án C-397/98; Vụ án C-410/98), [2001] ECRI-01727; [2001] BTC 99, [2001] STC 452, tại đoạn 59. 124. </w:t>
      </w:r>
      <w:r>
        <w:rPr>
          <w:b w:val="0"/>
          <w:i/>
        </w:rPr>
        <w:t>Imperial Chemical Industries plc (ICI) v Colmer (HM Inspector of Taxes)</w:t>
      </w:r>
      <w:r>
        <w:rPr>
          <w:b w:val="0"/>
          <w:i w:val="0"/>
        </w:rPr>
        <w:t xml:space="preserve"> (Vụ án C-264/96) [2004] ECR I-02409; [1998] BTC 304, [1999] STC 1089.</w:t>
      </w:r>
    </w:p>
    <w:p>
      <w:pPr>
        <w:spacing w:after="80"/>
      </w:pPr>
      <w:r>
        <w:rPr>
          <w:b w:val="0"/>
          <w:i w:val="0"/>
        </w:rPr>
        <w:t>88</w:t>
      </w:r>
    </w:p>
    <w:p>
      <w:pPr>
        <w:spacing w:after="80"/>
      </w:pPr>
      <w:r>
        <w:rPr>
          <w:b w:val="0"/>
          <w:i w:val="0"/>
        </w:rPr>
        <w:t>phải chịu yêu cầu rằng hoạt động kinh doanh của công ty mẹ phải bao gồm toàn bộ hoặc chủ yếu là việc nắm giữ cổ phần trong các công ty ở Vương quốc Anh. ECJ phán quyết rằng yêu cầu này tạo thành một hạn chế đối với quyền tự do thành lập của các công ty và do đó vi phạm điều hiện nay là Điều 49 TFEU. Biện pháp bảo vệ chống tránh thuế của Vương quốc Anh đã nhanh chóng bị bác bỏ như sau:</w:t>
      </w:r>
    </w:p>
    <w:p>
      <w:pPr>
        <w:spacing w:after="80"/>
      </w:pPr>
      <w:r>
        <w:rPr>
          <w:b w:val="0"/>
          <w:i w:val="0"/>
        </w:rPr>
        <w:t>Về lý do biện minh dựa trên rủi ro tránh thuế, chỉ cần lưu ý rằng luật được đề cập trong thủ tục chính không có mục đích cụ thể là ngăn chặn các thỏa thuận hoàn toàn nhân tạo, được thiết lập để lách luật thuế của Vương quốc Anh, khỏi việc được hưởng các lợi ích thuế, mà áp dụng chung cho tất cả các trường hợp trong đó phần lớn các công ty con của một tập đoàn được thành lập, vì bất kỳ lý do gì, bên ngoài Vương quốc Anh. Tuy nhiên, việc thành lập một công ty bên ngoài Vương quốc Anh không tự nó nhất thiết kéo theo việc tránh thuế, vì công ty đó trong mọi trường hợp sẽ phải chịu luật thuế của quốc gia nơi thành lập.125</w:t>
      </w:r>
    </w:p>
    <w:p>
      <w:pPr>
        <w:spacing w:after="80"/>
      </w:pPr>
      <w:r>
        <w:rPr>
          <w:b w:val="0"/>
          <w:i w:val="0"/>
        </w:rPr>
        <w:t xml:space="preserve">Tòa án đã tuân theo cách tiếp cận này trong các quyết định tiếp theo trong lĩnh vực này. Tuyên bố ngắn gọn này trình bày công thức của tòa án về ý nghĩa của 'tránh thuế', cụ thể là 'các thỏa thuận hoàn toàn nhân tạo, được thiết lập để lách luật thuế của Vương quốc Anh' mà tòa án đã tuân thủ một cách nhất quán.126 Thứ hai, luật của Quốc gia Thành viên (và mở rộng ra là các quy định của hiệp định thuế) chỉ có thể được biện minh trên cơ sở này nếu mục đích cụ thể của nó là làm như vậy. Các quy tắc thuế chung áp dụng cho tất cả các trường hợp đáp ứng mô tả trong quy tắc không thể được biện minh như vậy. Thứ ba, một số giao dịch nhất định không cấu thành việc tránh thuế theo nghĩa này. Trong </w:t>
      </w:r>
      <w:r>
        <w:rPr>
          <w:b w:val="0"/>
          <w:i/>
        </w:rPr>
        <w:t>ICI v Colmer</w:t>
      </w:r>
      <w:r>
        <w:rPr>
          <w:b w:val="0"/>
          <w:i w:val="0"/>
        </w:rPr>
        <w:t xml:space="preserve">, việc thành lập một công ty con ở một Quốc gia Thành viên khác tự nó không cấu thành việc tránh thuế. Tương tự, trong </w:t>
      </w:r>
      <w:r>
        <w:rPr>
          <w:b w:val="0"/>
          <w:i/>
        </w:rPr>
        <w:t>Hughes de Lasteyrie du Saillant v Ministère de l'Économie, des Finances et de l'Industrie</w:t>
      </w:r>
      <w:r>
        <w:rPr>
          <w:b w:val="0"/>
          <w:i w:val="0"/>
        </w:rPr>
        <w:t>,127 việc chuyển nơi cư trú từ Quốc gia Thành viên này sang Quốc gia Thành viên khác để thành lập doanh nghiệp tự nó không ngụ ý việc tránh thuế.</w:t>
      </w:r>
    </w:p>
    <w:p>
      <w:pPr>
        <w:spacing w:after="80"/>
      </w:pPr>
      <w:r>
        <w:rPr>
          <w:b w:val="0"/>
          <w:i w:val="0"/>
        </w:rPr>
        <w:t xml:space="preserve">Công thức này đã được tinh chỉnh đáng kể trong </w:t>
      </w:r>
      <w:r>
        <w:rPr>
          <w:b w:val="0"/>
          <w:i/>
        </w:rPr>
        <w:t>Cadbury Schweppes plc &amp; Anor v Inland Revenue Commrs</w:t>
      </w:r>
      <w:r>
        <w:rPr>
          <w:b w:val="0"/>
          <w:i w:val="0"/>
        </w:rPr>
        <w:t>.128 Một lần nữa tòa án phán quyết, lần này trong bối cảnh luật về Các Công ty Nước ngoài được Kiểm soát của Vương quốc Anh, rằng chỉ riêng việc một công ty cư trú thành lập một công ty con ở một Quốc gia Thành viên khác không thể tạo ra một giả định chung về việc trốn thuế (tránh thuế) và biện minh cho một biện pháp gây tổn hại đến việc thực hiện một quyền tự do cơ bản được hiệp ước bảo đảm.129 Ở đây quy tắc được diễn đạt:</w:t>
      </w:r>
    </w:p>
    <w:p>
      <w:pPr>
        <w:spacing w:after="80"/>
      </w:pPr>
      <w:r>
        <w:rPr>
          <w:b w:val="0"/>
          <w:i w:val="0"/>
        </w:rPr>
        <w:t xml:space="preserve">Theo đó, để một hạn chế đối với quyền tự do thành lập được biện minh trên cơ sở ngăn chặn các hành vi lạm dụng, mục tiêu cụ thể của hạn chế đó phải là ngăn chặn hành vi liên quan đến việc tạo ra </w:t>
      </w:r>
      <w:r>
        <w:rPr>
          <w:b w:val="0"/>
          <w:i/>
        </w:rPr>
        <w:t>các thỏa thuận hoàn toàn nhân tạo không phản ánh thực tế kinh tế, nhằm mục đích</w:t>
      </w:r>
    </w:p>
    <w:p>
      <w:pPr>
        <w:spacing w:after="80"/>
      </w:pPr>
      <w:r>
        <w:rPr>
          <w:b w:val="0"/>
          <w:i w:val="0"/>
        </w:rPr>
        <w:t xml:space="preserve">125. Tại đoạn 26. 126. Xem, ví dụ, </w:t>
      </w:r>
      <w:r>
        <w:rPr>
          <w:b w:val="0"/>
          <w:i/>
        </w:rPr>
        <w:t>Cadbury Schweppes plc và Cadbury Schweppes Overseas Ltd v Commissioners of Inland Revenue</w:t>
      </w:r>
      <w:r>
        <w:rPr>
          <w:b w:val="0"/>
          <w:i w:val="0"/>
        </w:rPr>
        <w:t xml:space="preserve"> (Vụ án C-196/04) [2006] ECR I-07995, đoạn 55, và </w:t>
      </w:r>
      <w:r>
        <w:rPr>
          <w:b w:val="0"/>
          <w:i/>
        </w:rPr>
        <w:t>Test Claimants in the Thin Cap Group Litigation v Commissioners of Inland Revenue</w:t>
      </w:r>
      <w:r>
        <w:rPr>
          <w:b w:val="0"/>
          <w:i w:val="0"/>
        </w:rPr>
        <w:t xml:space="preserve"> [2007] ECRI-02107, ECLI:EU:C:2007:161, đoạn 74. 127. </w:t>
      </w:r>
      <w:r>
        <w:rPr>
          <w:b w:val="0"/>
          <w:i/>
        </w:rPr>
        <w:t>Hughes de Lasteyrie du Saillant v Ministère de l'Économie, des Finances et de l'Industrie</w:t>
      </w:r>
      <w:r>
        <w:rPr>
          <w:b w:val="0"/>
          <w:i w:val="0"/>
        </w:rPr>
        <w:t xml:space="preserve"> (Vụ án C-9/02) [2006] ECR I-07995; [2006] BTC 105, [2005] STC 1722. 128. </w:t>
      </w:r>
      <w:r>
        <w:rPr>
          <w:b w:val="0"/>
          <w:i/>
        </w:rPr>
        <w:t>Cadbury Schweppes plc &amp; Anor v Inland Revenue Commrs</w:t>
      </w:r>
      <w:r>
        <w:rPr>
          <w:b w:val="0"/>
          <w:i w:val="0"/>
        </w:rPr>
        <w:t xml:space="preserve"> (Vụ án C-196/04) [2006] ECR I-07995, ECLI:EU:C:2006:544 [2008] BTC 52, [2006] STC 1908. 129. Tại đoạn 50.</w:t>
      </w:r>
    </w:p>
    <w:p>
      <w:pPr>
        <w:spacing w:after="80"/>
      </w:pPr>
      <w:r>
        <w:rPr>
          <w:b w:val="0"/>
          <w:i w:val="0"/>
        </w:rPr>
        <w:t>89</w:t>
      </w:r>
    </w:p>
    <w:p>
      <w:pPr>
        <w:spacing w:after="80"/>
      </w:pPr>
      <w:r>
        <w:rPr>
          <w:b w:val="0"/>
          <w:i/>
        </w:rPr>
        <w:t>trốn thuế thông thường phải nộp trên lợi nhuận phát sinh từ các hoạt động được thực hiện trên lãnh thổ quốc gia.</w:t>
      </w:r>
      <w:r>
        <w:rPr>
          <w:b w:val="0"/>
          <w:i w:val="0"/>
        </w:rPr>
        <w:t>130</w:t>
      </w:r>
    </w:p>
    <w:p>
      <w:pPr>
        <w:spacing w:after="80"/>
      </w:pPr>
      <w:r>
        <w:rPr>
          <w:b w:val="0"/>
          <w:i w:val="0"/>
        </w:rPr>
        <w:t>Tính nhân tạo mà tòa án dường như đang xem xét nằm ở việc thực thi quyền tự do cơ bản (trong trường hợp đó là quyền tự do thành lập theo Điều 49). Điều này được xác định bằng cách tham chiếu đến các tình huống khách quan cho thấy rằng, bất chấp việc tuân thủ hình thức các điều kiện do luật Cộng đồng quy định, mục tiêu theo đuổi của quyền tự do thành lập vẫn chưa đạt được. Mục tiêu đó là cho phép công dân các nước thành lập tại một Quốc gia Thành viên khác để tiến hành các hoạt động tại đó, và do đó hỗ trợ sự thâm nhập kinh tế và xã hội trong Cộng đồng trong lĩnh vực hoạt động với tư cách là người tự doanh.131 Quyền tự do thành lập nhằm cho phép một công dân Cộng đồng tham gia, trên cơ sở ổn định và liên tục, vào đời sống kinh tế của một Quốc gia Thành viên khác với quốc gia gốc của họ và thu lợi từ đó.132 Điều đó liên quan đến một sự thành lập thực sự nhằm tiến hành hoạt động kinh tế chính đáng và có thể được xác định bởi các bên thứ ba, đặc biệt là về mức độ mà cơ sở đó tồn tại về mặt vật chất như cơ sở hạ tầng, nhân sự và thiết bị.133</w:t>
      </w:r>
    </w:p>
    <w:p>
      <w:pPr>
        <w:spacing w:after="80"/>
      </w:pPr>
      <w:r>
        <w:rPr>
          <w:b w:val="0"/>
          <w:i w:val="0"/>
        </w:rPr>
        <w:t>Để xác định rằng có một thỏa thuận nhân tạo như vậy, cũng phải có một yếu tố chủ quan bao gồm ý định đạt được lợi thế về thuế. Điều này phải vượt ra ngoài bất kỳ lợi thế nào từ việc đánh thuế thấp do thành lập tại một Quốc gia Thành viên cụ thể,134 và nhằm trốn thuế thông thường phải nộp trên lợi nhuận phát sinh từ các hoạt động được thực hiện trên lãnh thổ quốc gia của Quốc gia Thành viên gốc.</w:t>
      </w:r>
    </w:p>
    <w:p>
      <w:pPr>
        <w:spacing w:after="80"/>
      </w:pPr>
      <w:r>
        <w:rPr>
          <w:b w:val="0"/>
          <w:i w:val="0"/>
        </w:rPr>
        <w:t>Đầu thế kỷ này, Tòa án Công lý đã phán quyết rằng, mặc dù các quốc gia thành viên có quyền ban hành luật để ngăn chặn việc trốn thuế, không có nguyên tắc chung nào tồn tại trong luật EU có thể dẫn đến nghĩa vụ của các Quốc gia Thành viên phải chống lại các hành vi lạm dụng trong lĩnh vực thuế trực thu, dù theo nguyên tắc cấm lạm dụng quyền, hay Điều 4(3) TFEU yêu cầu các Quốc gia Thành viên thực hiện mọi biện pháp thích hợp để đảm bảo hoàn thành các nghĩa vụ phát sinh từ các hiệp ước EU và kiềm chế mọi biện pháp có thể gây nguy hiểm cho việc đạt được các mục tiêu của EU.135 Đề xuất này hiện có thể đáng nghi ngờ hơn dưới ánh sáng của cách tiếp cận giải thích và áp dụng các chỉ thị thuế trực thu được thảo luận trong Chương 14, §14.10. Cuộc điều tra của Ủy ban về cáo buộc viện trợ nhà nước cho McDonald's tại Luxembourg, được thảo luận trong §3.02, cũng có thể gợi ý những thách thức đối với đề xuất này theo các quy tắc viện trợ nhà nước.</w:t>
      </w:r>
    </w:p>
    <w:p>
      <w:pPr>
        <w:spacing w:after="80"/>
      </w:pPr>
      <w:r>
        <w:rPr>
          <w:b/>
          <w:i w:val="0"/>
        </w:rPr>
        <w:t>[C]Tính tương xứng</w:t>
      </w:r>
    </w:p>
    <w:p>
      <w:pPr>
        <w:spacing w:after="80"/>
      </w:pPr>
      <w:r>
        <w:rPr>
          <w:b w:val="0"/>
          <w:i w:val="0"/>
        </w:rPr>
        <w:t xml:space="preserve">Ngưỡng cao này đã được lặp lại trong </w:t>
      </w:r>
      <w:r>
        <w:rPr>
          <w:b w:val="0"/>
          <w:i/>
        </w:rPr>
        <w:t>Test Claimants trong Thin Cap Group Litigation v IRC</w:t>
      </w:r>
      <w:r>
        <w:rPr>
          <w:b w:val="0"/>
          <w:i w:val="0"/>
        </w:rPr>
        <w:t>.136 Ở đó, người ta lập luận rằng các quy tắc về vốn mỏng của Vương quốc Anh lúc bấy giờ đã tuân thủ</w:t>
      </w:r>
    </w:p>
    <w:p>
      <w:pPr>
        <w:spacing w:after="80"/>
      </w:pPr>
      <w:r>
        <w:rPr>
          <w:b w:val="0"/>
          <w:i w:val="0"/>
        </w:rPr>
        <w:t xml:space="preserve">130. Tại đoạn 55. Nhấn mạnh được thêm.131. Xem </w:t>
      </w:r>
      <w:r>
        <w:rPr>
          <w:b w:val="0"/>
          <w:i/>
        </w:rPr>
        <w:t>Reyners v Belgium</w:t>
      </w:r>
      <w:r>
        <w:rPr>
          <w:b w:val="0"/>
          <w:i w:val="0"/>
        </w:rPr>
        <w:t xml:space="preserve"> (Vụ án C-2/74) [1974] ECR 631, đoạn 21.132. </w:t>
      </w:r>
      <w:r>
        <w:rPr>
          <w:b w:val="0"/>
          <w:i/>
        </w:rPr>
        <w:t>Cadbury Schweppes</w:t>
      </w:r>
      <w:r>
        <w:rPr>
          <w:b w:val="0"/>
          <w:i w:val="0"/>
        </w:rPr>
        <w:t xml:space="preserve">, đoạn 54.133. </w:t>
      </w:r>
      <w:r>
        <w:rPr>
          <w:b w:val="0"/>
          <w:i/>
        </w:rPr>
        <w:t>Cadbury Schweppes</w:t>
      </w:r>
      <w:r>
        <w:rPr>
          <w:b w:val="0"/>
          <w:i w:val="0"/>
        </w:rPr>
        <w:t xml:space="preserve">, đoạn 66 và 67.134. </w:t>
      </w:r>
      <w:r>
        <w:rPr>
          <w:b w:val="0"/>
          <w:i/>
        </w:rPr>
        <w:t>Cadbury Schweppes</w:t>
      </w:r>
      <w:r>
        <w:rPr>
          <w:b w:val="0"/>
          <w:i w:val="0"/>
        </w:rPr>
        <w:t xml:space="preserve">, đoạn 49.135. </w:t>
      </w:r>
      <w:r>
        <w:rPr>
          <w:b w:val="0"/>
          <w:i/>
        </w:rPr>
        <w:t>Ministero dell'Economia e delle Finanze v 3M Italia SpA</w:t>
      </w:r>
      <w:r>
        <w:rPr>
          <w:b w:val="0"/>
          <w:i w:val="0"/>
        </w:rPr>
        <w:t xml:space="preserve"> (Vụ án C-417/10) ECLI:EU:C:2012:184;[2012] STC 1495.136. </w:t>
      </w:r>
      <w:r>
        <w:rPr>
          <w:b w:val="0"/>
          <w:i/>
        </w:rPr>
        <w:t>Test Claimants trong Thin Cap Group Litigation v Inland Revenue Commrs</w:t>
      </w:r>
      <w:r>
        <w:rPr>
          <w:b w:val="0"/>
          <w:i w:val="0"/>
        </w:rPr>
        <w:t xml:space="preserve"> (Vụ án C-524/04) [2007] ECR I-02107; [2008] BTC 348, [2007] STC 906.</w:t>
      </w:r>
    </w:p>
    <w:p>
      <w:pPr>
        <w:spacing w:after="80"/>
      </w:pPr>
      <w:r>
        <w:rPr>
          <w:b w:val="0"/>
          <w:i w:val="0"/>
        </w:rPr>
        <w:t>90</w:t>
      </w:r>
    </w:p>
    <w:p>
      <w:pPr>
        <w:spacing w:after="80"/>
      </w:pPr>
      <w:r>
        <w:rPr>
          <w:b w:val="0"/>
          <w:i w:val="0"/>
        </w:rPr>
        <w:t>nguyên tắc độ dài cánh tay trong Điều 9 của Mô hình OECD. Thêm vào đó, hầu hết các hiệp ước của Vương quốc Anh đều chứa một điều khoản cho phép các cơ quan có thẩm quyền tương ứng đồng ý về một điều chỉnh bù trừ, theo đó bất kỳ sự gia tăng lợi nhuận chịu thuế ở quốc gia của công ty đi vay đều được khớp với một sự giảm tương ứng trong lợi nhuận chịu thuế ở quốc gia nơi công ty cho vay được thành lập. Tòa án đã phán quyết rằng các quy tắc về vốn mỏng không dựa trên việc phân bổ lại quyền đánh thuế giữa Vương quốc Anh và các đối tác hiệp ước của mình, điều này sẽ xảy ra nếu chúng nhằm mục đích giảm bớt đánh thuế hai lần mà là một biện pháp đơn phương để ngăn chặn lợi nhuận không bị đánh thuế.137 Do đó, các điều khoản này tạo thành một hạn chế đối với quyền tự do thành lập. Tuy nhiên, các quy tắc về vốn mỏng như vậy có mục đích chính đáng trong việc ngăn chặn việc giảm lợi nhuận của một công ty con được tài trợ bằng các khoản vay, thay vì vốn cổ phần – qua đó cho phép công ty con đó chuyển lợi nhuận cho công ty mẹ dưới hình thức lãi suất được khấu trừ thay vì cổ tức không được khấu trừ. Một biện pháp như vậy phải là một phản hồi tương xứng, chỉ được thỏa mãn nếu luật pháp quy định:</w:t>
      </w:r>
    </w:p>
    <w:p>
      <w:pPr>
        <w:spacing w:after="80"/>
      </w:pPr>
      <w:r>
        <w:rPr>
          <w:b w:val="0"/>
          <w:i w:val="0"/>
        </w:rPr>
        <w:t>Đối với việc xem xét các yếu tố khách quan và có thể kiểm chứng giúp có thể xác định sự tồn tại của một thỏa thuận hoàn toàn nhân tạo, được thực hiện chỉ vì lý do thuế, và cho phép người nộp thuế đưa ra, nếu thích hợp và không bị ràng buộc bởi các hạn chế hành chính không chính đáng, bằng chứng về sự biện minh thương mại cho giao dịch được đề cập và, thứ hai, khi đã xác định rằng một thỏa thuận như vậy tồn tại, luật pháp như vậy coi khoản lãi đó là một khoản phân phối chỉ trong phạm vi nó vượt quá mức mà lẽ ra đã được đồng ý theo nguyên tắc độ dài cánh tay.138</w:t>
      </w:r>
    </w:p>
    <w:p>
      <w:pPr>
        <w:spacing w:after="80"/>
      </w:pPr>
      <w:r>
        <w:rPr>
          <w:b w:val="0"/>
          <w:i w:val="0"/>
        </w:rPr>
        <w:t xml:space="preserve">Các tiêu chuẩn này cũng áp dụng tương tự cho các biện pháp chống trốn thuế trong các hiệp ước thuế cũng như chúng áp dụng cho các quy định trong nước. Mức độ mà các biện pháp được bao gồm đáp ứng tiêu chuẩn này trong các hiệp ước của Vương quốc Anh139 vẫn phần lớn chưa được kiểm chứng. Nó đã được kiểm chứng trong </w:t>
      </w:r>
      <w:r>
        <w:rPr>
          <w:b w:val="0"/>
          <w:i/>
        </w:rPr>
        <w:t>Eqiom SAS và Enka SA v Ministre des finances et des comptes publics</w:t>
      </w:r>
      <w:r>
        <w:rPr>
          <w:b w:val="0"/>
          <w:i w:val="0"/>
        </w:rPr>
        <w:t>,140</w:t>
      </w:r>
    </w:p>
    <w:p>
      <w:pPr>
        <w:spacing w:after="80"/>
      </w:pPr>
      <w:r>
        <w:rPr>
          <w:b w:val="0"/>
          <w:i w:val="0"/>
        </w:rPr>
        <w:t xml:space="preserve">nơi việc ngăn chặn mua sắm hiệp ước được đưa ra như là sự biện minh cho Điều 119b(3) của Code général des impôts (Bộ luật Thuế chung) của Pháp. Điều khoản đó loại trừ khỏi việc miễn thuế khấu trừ đối với cổ tức được trả bởi một công ty con của Pháp cho một công ty mẹ ở một Quốc gia Thành viên khác, như được yêu cầu bởi Chỉ thị Công ty Mẹ-Công ty Con, các cổ tức thuộc lợi ích của một pháp nhân được kiểm soát bởi cư dân của các Quốc gia không thuộc EU trừ khi mục đích chính hoặc một trong những mục đích chính của chuỗi lợi ích không phải là để tận dụng việc miễn thuế. Mặc dù việc ngăn chặn trốn thuế là một sự biện minh chính đáng cho một hạn chế đối với quyền tự do cơ bản, quy tắc của Pháp là không tương xứng và do đó đã vi phạm quyền tự do thành lập. Yêu cầu rằng công ty mẹ có trụ sở tại EU phải chứng minh rằng mục đích chính hoặc một trong những mục đích chính của chuỗi lợi ích không phải là để tận dụng việc miễn thuế đó, mà không yêu cầu cơ quan thuế cung cấp ngay cả bằng chứng </w:t>
      </w:r>
      <w:r>
        <w:rPr>
          <w:b w:val="0"/>
          <w:i/>
        </w:rPr>
        <w:t>prima facie</w:t>
      </w:r>
      <w:r>
        <w:rPr>
          <w:b w:val="0"/>
          <w:i w:val="0"/>
        </w:rPr>
        <w:t xml:space="preserve"> về sự lạm dụng, đã tạo thành một giả định chung làm suy yếu mục đích của</w:t>
      </w:r>
    </w:p>
    <w:p>
      <w:pPr>
        <w:spacing w:after="80"/>
      </w:pPr>
      <w:r>
        <w:rPr>
          <w:b w:val="0"/>
          <w:i w:val="0"/>
        </w:rPr>
        <w:t xml:space="preserve">137. </w:t>
      </w:r>
      <w:r>
        <w:rPr>
          <w:b w:val="0"/>
          <w:i/>
        </w:rPr>
        <w:t>Thin Cap</w:t>
      </w:r>
      <w:r>
        <w:rPr>
          <w:b w:val="0"/>
          <w:i w:val="0"/>
        </w:rPr>
        <w:t xml:space="preserve">, đoạn 50-52.138. </w:t>
      </w:r>
      <w:r>
        <w:rPr>
          <w:b w:val="0"/>
          <w:i/>
        </w:rPr>
        <w:t>Thin Cap</w:t>
      </w:r>
      <w:r>
        <w:rPr>
          <w:b w:val="0"/>
          <w:i w:val="0"/>
        </w:rPr>
        <w:t xml:space="preserve">, đoạn 92.139. Xem Chương 17, §§17.01ff.140. </w:t>
      </w:r>
      <w:r>
        <w:rPr>
          <w:b w:val="0"/>
          <w:i/>
        </w:rPr>
        <w:t>Eqiom SAS, trước đây là Holcim France SAS và Enka SA v Ministre des finances et des comptes publics</w:t>
      </w:r>
      <w:r>
        <w:rPr>
          <w:b w:val="0"/>
          <w:i w:val="0"/>
        </w:rPr>
        <w:t xml:space="preserve"> (Vụ án C-6/16) ECLI:EU:C:2017:641.</w:t>
      </w:r>
    </w:p>
    <w:p>
      <w:pPr>
        <w:spacing w:after="80"/>
      </w:pPr>
      <w:r>
        <w:rPr>
          <w:b w:val="0"/>
          <w:i w:val="0"/>
        </w:rPr>
        <w:t>91</w:t>
      </w:r>
    </w:p>
    <w:p>
      <w:pPr>
        <w:spacing w:after="80"/>
      </w:pPr>
      <w:r>
        <w:rPr>
          <w:b w:val="0"/>
          <w:i w:val="0"/>
        </w:rPr>
        <w:t>Chỉ thị Công ty Mẹ-Công ty Con, nhằm ngăn chặn việc đánh thuế hai lần đối với lợi nhuận được phân phối bởi một công ty con cho công ty mẹ của nó.141</w:t>
      </w:r>
    </w:p>
    <w:p>
      <w:pPr>
        <w:spacing w:after="80"/>
      </w:pPr>
      <w:r>
        <w:rPr>
          <w:b w:val="0"/>
          <w:i w:val="0"/>
        </w:rPr>
        <w:t>Ngoài ra, luật pháp quốc gia không được thiết kế cụ thể để giải quyết các thỏa thuận hoàn toàn nhân tạo như vậy vẫn có thể được coi là chính đáng bởi mục tiêu ngăn chặn trốn thuế, cùng với mục tiêu bảo tồn việc phân bổ cân bằng quyền đánh thuế giữa các Quốc gia Thành viên.142 Sự kết hợp này sẽ, trong nhiều trường hợp, hỗ trợ các hạn chế về lợi ích dựa trên hiệp ước.</w:t>
      </w:r>
    </w:p>
    <w:p>
      <w:pPr>
        <w:spacing w:after="80"/>
      </w:pPr>
      <w:r>
        <w:rPr>
          <w:b/>
          <w:i w:val="0"/>
        </w:rPr>
        <w:t>[D]Các yêu cầu về thủ tục</w:t>
      </w:r>
    </w:p>
    <w:p>
      <w:pPr>
        <w:spacing w:after="80"/>
      </w:pPr>
      <w:r>
        <w:rPr>
          <w:b w:val="0"/>
          <w:i w:val="0"/>
        </w:rPr>
        <w:t xml:space="preserve">Các nghĩa vụ tuân thủ thông thường liên quan đến việc yêu cầu các quyền lợi theo hiệp định sẽ không dẫn đến việc xâm phạm các quyền của cộng đồng. Trong vụ </w:t>
      </w:r>
      <w:r>
        <w:rPr>
          <w:b w:val="0"/>
          <w:i/>
        </w:rPr>
        <w:t>FKP Scorpio Konzertproductionen GmbH v Fiananzamt Hamburg-Eimsbu</w:t>
      </w:r>
      <w:r>
        <w:rPr>
          <w:b w:val="0"/>
          <w:i w:val="0"/>
        </w:rPr>
        <w:t>″</w:t>
      </w:r>
      <w:r>
        <w:rPr>
          <w:b w:val="0"/>
          <w:i/>
        </w:rPr>
        <w:t>ttel</w:t>
      </w:r>
      <w:r>
        <w:rPr>
          <w:b w:val="0"/>
          <w:i w:val="0"/>
        </w:rPr>
        <w:t>, 143 các nghĩa vụ tuân thủ của Đức yêu cầu một chứng nhận xác nhận việc miễn thuế theo một hiệp định phải được người yêu cầu quyền lợi theo hiệp định xuất trình như một điều kiện tiên quyết để không khấu trừ thuế tại nguồn đối với một nhà cung cấp dịch vụ không cư trú. Thu nhập được đề cập được miễn thuế Đức theo Hiệp định Hà Lan - Đức. Tòa án đã bác bỏ lập luận rằng các bước hành chính này tạo thành một hạn chế đối với quyền tự do cung cấp dịch vụ theo điều khoản hiện nay là Điều 56 TFEU. Mặc dù các yêu cầu này tạo thành một trở ngại đối với quyền tự do cung cấp dịch vụ, bằng cách khiến cho một người không cư trú gặp khó khăn hơn, trở ngại đó đã được biện minh để đảm bảo hoạt động đúng đắn của thủ tục đánh thuế tại nguồn.144</w:t>
      </w:r>
    </w:p>
    <w:p>
      <w:pPr>
        <w:spacing w:after="80"/>
      </w:pPr>
      <w:r>
        <w:rPr>
          <w:b w:val="0"/>
          <w:i w:val="0"/>
        </w:rPr>
        <w:t>Mặt khác, luật pháp cấm việc hoàn trả lãi chậm nộp đối với thuế khấu trừ khi việc giảm thuế theo hiệp định được áp dụng sau đó lại xâm phạm quyền tự do cung cấp dịch vụ. Việc không hoàn trả không thể được biện minh bởi nhu cầu đảm bảo việc thu thuế hoặc giám sát tài chính hiệu quả.145</w:t>
      </w:r>
    </w:p>
    <w:p>
      <w:pPr>
        <w:spacing w:after="80"/>
      </w:pPr>
      <w:r>
        <w:rPr>
          <w:b/>
          <w:i w:val="0"/>
        </w:rPr>
        <w:t>§3.10 CÁC HIỆP ĐỊNH VỚI CÁC QUỐC GIA THỨ BA</w:t>
      </w:r>
    </w:p>
    <w:p>
      <w:pPr>
        <w:spacing w:after="80"/>
      </w:pPr>
      <w:r>
        <w:rPr>
          <w:b w:val="0"/>
          <w:i w:val="0"/>
        </w:rPr>
        <w:t xml:space="preserve">Lập trường liên quan đến các hiệp định giữa một Quốc gia Thành viên và một quốc gia ngoài EU thì phức tạp hơn. Điều 351 của Hiệp ước EC quy định rằng các quyền và nghĩa vụ phát sinh từ các thỏa thuận giữa các Quốc gia Thành viên và các quốc gia thứ ba được ký kết trước khi Hiệp ước EC có hiệu lực không bị ảnh hưởng bởi các quy định của hiệp ước đó. Trong vụ </w:t>
      </w:r>
      <w:r>
        <w:rPr>
          <w:b w:val="0"/>
          <w:i/>
        </w:rPr>
        <w:t>EC Commission v Italy</w:t>
      </w:r>
      <w:r>
        <w:rPr>
          <w:b w:val="0"/>
          <w:i w:val="0"/>
        </w:rPr>
        <w:t>,146 ECJ đã phán quyết rằng Điều 351 chỉ giới hạn ở việc đảm bảo các quyền của</w:t>
      </w:r>
    </w:p>
    <w:p>
      <w:pPr>
        <w:spacing w:after="80"/>
      </w:pPr>
      <w:r>
        <w:rPr>
          <w:b w:val="0"/>
          <w:i w:val="0"/>
        </w:rPr>
        <w:t xml:space="preserve">141. Xem Chương 14, §14.10 về lạm dụng và Chỉ thị về Công ty Mẹ - Công ty Con. 142. </w:t>
      </w:r>
      <w:r>
        <w:rPr>
          <w:b w:val="0"/>
          <w:i/>
        </w:rPr>
        <w:t>Oy AA</w:t>
      </w:r>
      <w:r>
        <w:rPr>
          <w:b w:val="0"/>
          <w:i w:val="0"/>
        </w:rPr>
        <w:t xml:space="preserve"> (Vụ C-231/05) [2011] BTC 150; [2007] ECR I 6373, đoạn phán quyết 63; </w:t>
      </w:r>
      <w:r>
        <w:rPr>
          <w:b w:val="0"/>
          <w:i/>
        </w:rPr>
        <w:t>Société de Gestion Industrielle (SGI) v Belgium</w:t>
      </w:r>
      <w:r>
        <w:rPr>
          <w:b w:val="0"/>
          <w:i w:val="0"/>
        </w:rPr>
        <w:t xml:space="preserve"> (Vụ C-311/08) [2010] ECR I-00487; [2011] BTC 123, đoạn phán quyết 66. 143. </w:t>
      </w:r>
      <w:r>
        <w:rPr>
          <w:b w:val="0"/>
          <w:i/>
        </w:rPr>
        <w:t>FKP Scorpio Konzertproductionen GmbH v Fiananzamt Hamburg-Eimsbu</w:t>
      </w:r>
      <w:r>
        <w:rPr>
          <w:b w:val="0"/>
          <w:i w:val="0"/>
        </w:rPr>
        <w:t>″</w:t>
      </w:r>
      <w:r>
        <w:rPr>
          <w:b w:val="0"/>
          <w:i/>
        </w:rPr>
        <w:t>ttel</w:t>
      </w:r>
      <w:r>
        <w:rPr>
          <w:b w:val="0"/>
          <w:i w:val="0"/>
        </w:rPr>
        <w:t xml:space="preserve"> (Vụ C-290/04) [2006] ECR I-09461; [2007] STC 1069 ECJ. 144. Tại các đoạn 58 và 59. 145. </w:t>
      </w:r>
      <w:r>
        <w:rPr>
          <w:b w:val="0"/>
          <w:i/>
        </w:rPr>
        <w:t>‘TTL’ EOOD v Direktorna Direktsia ‘Obzhalvane i danachno-osiguritelna praktika’ – Sofia</w:t>
      </w:r>
      <w:r>
        <w:rPr>
          <w:b w:val="0"/>
          <w:i w:val="0"/>
        </w:rPr>
        <w:t xml:space="preserve"> (Vụ C-553/16) ECLI:EU:C:2018:604. Xem Chương 19, §19.06 về luật của Vương quốc Anh, điều mà dường như cũng đã xâm phạm tương tự, trước Brexit. 146. </w:t>
      </w:r>
      <w:r>
        <w:rPr>
          <w:b w:val="0"/>
          <w:i/>
        </w:rPr>
        <w:t>EC Commission v Italy</w:t>
      </w:r>
      <w:r>
        <w:rPr>
          <w:b w:val="0"/>
          <w:i w:val="0"/>
        </w:rPr>
        <w:t xml:space="preserve"> (Vụ 10/61) [1962] ECR 1.</w:t>
      </w:r>
    </w:p>
    <w:p>
      <w:pPr>
        <w:spacing w:after="80"/>
      </w:pPr>
      <w:r>
        <w:rPr>
          <w:b w:val="0"/>
          <w:i w:val="0"/>
        </w:rPr>
        <w:t>92</w:t>
      </w:r>
    </w:p>
    <w:p>
      <w:pPr>
        <w:spacing w:after="80"/>
      </w:pPr>
      <w:r>
        <w:rPr>
          <w:b w:val="0"/>
          <w:i w:val="0"/>
        </w:rPr>
        <w:t>các quốc gia thứ ba phát sinh từ các thỏa thuận đã có từ trước. Trong bối cảnh Vương quốc Anh là một quốc gia thứ ba, có vẻ như Điều 351 sẽ không áp dụng cho các hiệp định được các Quốc gia Thành viên ký kết với Vương quốc Anh khi nước này còn là một Quốc gia Thành viên. Chỉ có các hiệp định thuế thu nhập được ký kết giữa Vương quốc Anh với Hy Lạp, Phần Lan và Bồ Đào Nha cùng các hiệp định thuế di sản và quà tặng giữa Vương quốc Anh với Pháp, Ý và Hà Lan là có trước thời điểm Vương quốc Anh gia nhập Cộng đồng Kinh tế Châu Âu (EEC).</w:t>
      </w:r>
    </w:p>
    <w:p>
      <w:pPr>
        <w:spacing w:after="80"/>
      </w:pPr>
      <w:r>
        <w:rPr>
          <w:b w:val="0"/>
          <w:i w:val="0"/>
        </w:rPr>
        <w:t xml:space="preserve">Trong vụ </w:t>
      </w:r>
      <w:r>
        <w:rPr>
          <w:b w:val="0"/>
          <w:i/>
        </w:rPr>
        <w:t>R v Secretary of State for Transport, ex parte Factortame Ltd</w:t>
      </w:r>
      <w:r>
        <w:rPr>
          <w:b w:val="0"/>
          <w:i w:val="0"/>
        </w:rPr>
        <w:t>,147 Tổng Biện lý Mischon đã lưu ý rằng miễn là các quyền của các quốc gia không phải thành viên không bị ảnh hưởng, một Quốc gia Thành viên không thể viện dẫn các quy định của một hiệp định đã có từ trước với các quốc gia thứ ba liên quan đến các vấn đề nội bộ Cộng đồng.148</w:t>
      </w:r>
    </w:p>
    <w:p>
      <w:pPr>
        <w:spacing w:after="80"/>
      </w:pPr>
      <w:r>
        <w:rPr>
          <w:b w:val="0"/>
          <w:i w:val="0"/>
        </w:rPr>
        <w:t>Do đó, một quy định mang tính phân biệt đối xử được quốc gia thứ ba áp đặt trong một hiệp định thuộc phạm vi Điều 351 có thể không bị tấn công. Tuy nhiên, Điều 351 thực sự yêu cầu các Quốc gia Thành viên thực hiện tất cả các bước thích hợp để khắc phục sự không nhất quán với luật Liên minh. Điều này áp đặt một nghĩa vụ cao hơn so với nghĩa vụ trước đây của các Quốc gia Thành viên là ‘trong chừng mực cần thiết, tiến hành đàm phán … nhằm mục đích xóa bỏ việc đánh thuế hai lần’ được áp đặt đối với các hiệp định nội bộ Cộng đồng. Các thành viên gia nhập EU gần đây nhất đã gia nhập vào năm 2007; nếu có những điểm không tương thích với luật Liên minh trong các hiệp định cũ đó, thì khó có khả năng các Quốc gia Thành viên đã hoàn thành nghĩa vụ thực hiện tất cả các bước thích hợp, vì điều này tất yếu sẽ liên quan đến việc tìm cách đàm phán lại hiệp định được đề cập.</w:t>
      </w:r>
    </w:p>
    <w:p>
      <w:pPr>
        <w:spacing w:after="80"/>
      </w:pPr>
      <w:r>
        <w:rPr>
          <w:b w:val="0"/>
          <w:i w:val="0"/>
        </w:rPr>
        <w:t>Các hiệp định được ký kết kể từ khi thành lập EEC hoặc khi các Quốc gia Thành viên gần đây hơn gia nhập sẽ không được hưởng sự bảo vệ của Điều 351. Do đó, ngay cả khi các quy định hạn chế chỉ nhằm mang lại lợi ích cho một quốc gia không phải thành viên EU, chúng vẫn phải được kiểm tra theo cùng cách như các hiệp định giữa các Quốc gia Thành viên.</w:t>
      </w:r>
    </w:p>
    <w:p>
      <w:pPr>
        <w:spacing w:after="80"/>
      </w:pPr>
      <w:r>
        <w:rPr>
          <w:b w:val="0"/>
          <w:i w:val="0"/>
        </w:rPr>
        <w:t>Trong vụ ‘</w:t>
      </w:r>
      <w:r>
        <w:rPr>
          <w:b w:val="0"/>
          <w:i/>
        </w:rPr>
        <w:t>Open Skies</w:t>
      </w:r>
      <w:r>
        <w:rPr>
          <w:b w:val="0"/>
          <w:i w:val="0"/>
        </w:rPr>
        <w:t>’ của Vương quốc Anh,149 một hiệp định song phương đã được ký kết giữa Vương quốc Anh và Hoa Kỳ vào năm 1946. Một thỏa thuận khác đã thay thế nó có hiệu lực từ ngày 23 tháng 7 năm 1977, ngày mà nó được ký kết và có hiệu lực.</w:t>
      </w:r>
    </w:p>
    <w:p>
      <w:pPr>
        <w:spacing w:after="80"/>
      </w:pPr>
      <w:r>
        <w:rPr>
          <w:b w:val="0"/>
          <w:i w:val="0"/>
        </w:rPr>
        <w:t>Vương quốc Anh lập luận rằng sự bảo vệ mà Điều 351 mang lại mở rộng đến các quyền và nghĩa vụ phát sinh từ các hiệp định như vậy; theo đó, câu hỏi liệu một thỏa thuận trước khi gia nhập có bị sửa đổi hoặc thậm chí bị thay thế kể từ khi Quốc gia Thành viên liên quan gia nhập Cộng đồng hay không chỉ có tầm quan trọng thứ yếu. Hơn nữa, Vương quốc Anh cho rằng quyền được cấp bởi thỏa thuận sau này ban đầu được trao bởi hiệp định đầu tiên và không thay đổi về bản chất. Mặc dù cách diễn đạt của chúng không hoàn toàn giống nhau ở mọi khía cạnh, phản ánh cấu trúc khác nhau của hai hiệp định, nhưng về bản chất, chúng giống hệt nhau.</w:t>
      </w:r>
    </w:p>
    <w:p>
      <w:pPr>
        <w:spacing w:after="80"/>
      </w:pPr>
      <w:r>
        <w:rPr>
          <w:b w:val="0"/>
          <w:i w:val="0"/>
        </w:rPr>
        <w:t>ECJ nhận xét rằng Điều 351 có phạm vi chung và áp dụng cho bất kỳ hiệp định quốc tế nào, bất kể chủ đề, mà có khả năng ảnh hưởng đến việc áp dụng Hiệp ước EC.150 Mục đích của Điều 351 là làm rõ, phù hợp với các nguyên tắc của luật quốc tế,151 rằng việc áp dụng Hiệp ước EC không ảnh hưởng đến nghĩa vụ của Quốc gia Thành viên liên quan trong việc tôn trọng các quyền của các quốc gia không phải thành viên theo một hiệp định trước đó</w:t>
      </w:r>
    </w:p>
    <w:p>
      <w:pPr>
        <w:spacing w:after="80"/>
      </w:pPr>
      <w:r>
        <w:rPr>
          <w:b w:val="0"/>
          <w:i w:val="0"/>
        </w:rPr>
        <w:t xml:space="preserve">147. </w:t>
      </w:r>
      <w:r>
        <w:rPr>
          <w:b w:val="0"/>
          <w:i/>
        </w:rPr>
        <w:t>R v Secretary of State for Transport, ex parte Factortame Ltd</w:t>
      </w:r>
      <w:r>
        <w:rPr>
          <w:b w:val="0"/>
          <w:i w:val="0"/>
        </w:rPr>
        <w:t xml:space="preserve"> (Vụ C-221/89) [1991] ECR I-03905; [1991] 3 All ER 769. 148. Xem </w:t>
      </w:r>
      <w:r>
        <w:rPr>
          <w:b w:val="0"/>
          <w:i/>
        </w:rPr>
        <w:t>Ministere Public v Deserbais</w:t>
      </w:r>
      <w:r>
        <w:rPr>
          <w:b w:val="0"/>
          <w:i w:val="0"/>
        </w:rPr>
        <w:t xml:space="preserve"> (Vụ 286/86) [1988] ECR 4907 tại 4926. 149. </w:t>
      </w:r>
      <w:r>
        <w:rPr>
          <w:b w:val="0"/>
          <w:i/>
        </w:rPr>
        <w:t>EC Commission v UK</w:t>
      </w:r>
      <w:r>
        <w:rPr>
          <w:b w:val="0"/>
          <w:i w:val="0"/>
        </w:rPr>
        <w:t xml:space="preserve"> (Vụ C-466/98) [2002] ECR I-09427. 150. Tại đoạn 23. 151. Điều 30(4)(b) của Công ước Vienna về Luật Hiệp định.</w:t>
      </w:r>
    </w:p>
    <w:p>
      <w:pPr>
        <w:spacing w:after="80"/>
      </w:pPr>
      <w:r>
        <w:rPr>
          <w:b w:val="0"/>
          <w:i w:val="0"/>
        </w:rPr>
        <w:t>93</w:t>
      </w:r>
    </w:p>
    <w:p>
      <w:pPr>
        <w:spacing w:after="80"/>
      </w:pPr>
      <w:r>
        <w:rPr>
          <w:b w:val="0"/>
          <w:i w:val="0"/>
        </w:rPr>
        <w:t>thỏathuậnvàthựchiệncác nghĩa vụ của mình theo đó. Khi phán quyết rằng biện pháp cứu trợ chuyển tiếp không được áp dụng, tòa án nhận thấy rằng các quyền và nghĩa vụ của Hoa Kỳ và Vương quốc Anh không xuất phát từ một thỏa thuận trước đó mà từ một thỏa thuận sau khi Vương quốc Anh gia nhập Cộng đồng Châu Âu.152 Phần mở đầu của hiệp ước thứ hai ghi rằng nó được ký kết 'nhằm mục đích thay thế' hiệp ước thứ nhất, đặc biệt là để tính đến sự phát triển của các quyền vận tải giữa các bên ký kết. Do đó, nó làm phát sinh các quyền và nghĩa vụ mới giữa các bên đó. Không thể gắn các quyền và nghĩa vụ phát sinh từ hiệp ước thứ hai vào hiệp ước thứ nhất.153 Ngược lại, các hiệp ước thuế được sửa đổi bằng nghị định thư vẫn giữ nguyên các điều khoản không bị sửa đổi.</w:t>
      </w:r>
    </w:p>
    <w:p>
      <w:pPr>
        <w:spacing w:after="80"/>
      </w:pPr>
      <w:r>
        <w:rPr>
          <w:b w:val="0"/>
          <w:i w:val="0"/>
        </w:rPr>
        <w:t xml:space="preserve">Người không phải là công dân hoặc cư dân EU sẽ không thể yêu cầu các lợi ích của luật EU ngoài những gì hiện là Điều 63 TFEU (tự do di chuyển vốn).154 Trong </w:t>
      </w:r>
      <w:r>
        <w:rPr>
          <w:b w:val="0"/>
          <w:i/>
        </w:rPr>
        <w:t>RvIRC,exparteCommerzbankAG</w:t>
      </w:r>
      <w:r>
        <w:rPr>
          <w:b w:val="0"/>
          <w:i w:val="0"/>
        </w:rPr>
        <w:t xml:space="preserve">,155 Vương quốc Anh lập luận rằng việc từ chối khoản bổ sung hoàn thuế cho một người không cư trú theo ICTA 1988, s. 825, như lúc đó, một phần được biện minh bởi sự tồn tại của Hiệp ước Hoa Kỳ. Vương quốc Anh lập luận, </w:t>
      </w:r>
      <w:r>
        <w:rPr>
          <w:b w:val="0"/>
          <w:i/>
        </w:rPr>
        <w:t>inter alia</w:t>
      </w:r>
      <w:r>
        <w:rPr>
          <w:b w:val="0"/>
          <w:i w:val="0"/>
        </w:rPr>
        <w:t>, rằng hiệp ước đã loại bỏ khả năng phân biệt đối xử đối với các công ty không cư trú vì họ được miễn thuế mà chỉ các công ty cư trú phải nộp. Do đó, chính nhờ việc áp dụng hiệp ước mà không có sự phân biệt đối xử liên quan đến các điều kiện về việc thu hồi thuế nộp thừa.</w:t>
      </w:r>
    </w:p>
    <w:p>
      <w:pPr>
        <w:spacing w:after="80"/>
      </w:pPr>
      <w:r>
        <w:rPr>
          <w:b w:val="0"/>
          <w:i w:val="0"/>
        </w:rPr>
        <w:t>Tuy nhiên, khi ủng hộ lập luận của người nộp thuế rằng họ đã bị phân biệt đối xử, ECJ không giải quyết các vấn đề của Hiệp ước Hoa Kỳ - Vương quốc Anh. Tuy nhiên, phán quyết đã xác lập rõ ràng rằng sự phân biệt đối xử dựa trên cơ sở cư trú thuế trong lãnh thổ quốc gia phải được đối xử theo cùng cách như sự phân biệt đối xử công khai vì lý do quốc tịch.</w:t>
      </w:r>
    </w:p>
    <w:p>
      <w:pPr>
        <w:spacing w:after="80"/>
      </w:pPr>
      <w:r>
        <w:rPr>
          <w:b w:val="0"/>
          <w:i w:val="0"/>
        </w:rPr>
        <w:t>Các tình tiết của vụ án là bất thường vì một công dân và cư dân của một Quốc gia Thành viên (Đức) có thể yêu cầu lợi ích của Hiệp ước Hoa Kỳ - Vương quốc Anh. Trong hầu hết các khiếu nại hiệp ước liên quan đến các nước thứ ba, người yêu cầu lợi ích hiệp ước từ một Quốc gia Thành viên sẽ là công dân ngoài EU, người không có khả năng có tư cách để được hưởng sự bảo vệ của luật Cộng đồng.</w:t>
      </w:r>
    </w:p>
    <w:p>
      <w:pPr>
        <w:spacing w:after="80"/>
      </w:pPr>
      <w:r>
        <w:rPr>
          <w:b w:val="0"/>
          <w:i w:val="0"/>
        </w:rPr>
        <w:t xml:space="preserve">Trường hợp đầu tiên đến ECJ về các hiệp ước thuế với các quốc gia không phải thành viên là </w:t>
      </w:r>
      <w:r>
        <w:rPr>
          <w:b w:val="0"/>
          <w:i/>
        </w:rPr>
        <w:t>Saint-Gobain</w:t>
      </w:r>
      <w:r>
        <w:rPr>
          <w:b w:val="0"/>
          <w:i w:val="0"/>
        </w:rPr>
        <w:t>.156 Chính phủ Đức lập luận rằng các hiệp ước với các quốc gia không phải thành viên không thuộc phạm vi thẩm quyền của Cộng đồng. Điều này, họ lập luận, là vấn đề của các Quốc gia Thành viên, những quốc gia được tự do ký kết các hiệp ước song phương với các quốc gia không phải thành viên. Trên cơ sở rằng các hiệp ước song phương dựa trên nguyên tắc có đi có lại, sự cân bằng vốn có trong các hiệp ước như vậy sẽ bị xáo trộn nếu lợi ích của các điều khoản của chúng được mở rộng cho các công ty được thành lập tại các Quốc gia Thành viên không phải là bên tham gia. Tuy nhiên, tòa án nói rằng đã được giải quyết rằng quyền đánh thuế</w:t>
      </w:r>
    </w:p>
    <w:p>
      <w:pPr>
        <w:spacing w:after="80"/>
      </w:pPr>
      <w:r>
        <w:rPr>
          <w:b w:val="0"/>
          <w:i w:val="0"/>
        </w:rPr>
        <w:t>152. Tại đoạn 26.153. Tại đoạn 26.154.</w:t>
      </w:r>
      <w:r>
        <w:rPr>
          <w:b w:val="0"/>
          <w:i/>
        </w:rPr>
        <w:t>Test Claimants in the FII Group Litigation</w:t>
      </w:r>
      <w:r>
        <w:rPr>
          <w:b w:val="0"/>
          <w:i w:val="0"/>
        </w:rPr>
        <w:t xml:space="preserve"> (Vụ án C-446/04) [2006] ECR I-11753; [2008] BTC 222, đoạn 179-181;</w:t>
      </w:r>
      <w:r>
        <w:rPr>
          <w:b w:val="0"/>
          <w:i/>
        </w:rPr>
        <w:t>HolböckvFinanzamtSalzburg-Land</w:t>
      </w:r>
      <w:r>
        <w:rPr>
          <w:b w:val="0"/>
          <w:i w:val="0"/>
        </w:rPr>
        <w:t>(Vụ án C-157/05)[2007]ECRI-04051;[2010] BTC 683; [2007] ECR I-4051, đoạn 33 và 34;</w:t>
      </w:r>
      <w:r>
        <w:rPr>
          <w:b w:val="0"/>
          <w:i/>
        </w:rPr>
        <w:t xml:space="preserve"> Commission v Germany</w:t>
      </w:r>
      <w:r>
        <w:rPr>
          <w:b w:val="0"/>
          <w:i w:val="0"/>
        </w:rPr>
        <w:t xml:space="preserve"> (Vụ án C-112/05)[2007] ECR I-8995, đoạn 18; và</w:t>
      </w:r>
      <w:r>
        <w:rPr>
          <w:b w:val="0"/>
          <w:i/>
        </w:rPr>
        <w:t xml:space="preserve"> Skatteverket v A</w:t>
      </w:r>
      <w:r>
        <w:rPr>
          <w:b w:val="0"/>
          <w:i w:val="0"/>
        </w:rPr>
        <w:t xml:space="preserve"> (Vụ án C-101/05) [2007] ECR I-11531; [2010]BTC 906.155.</w:t>
      </w:r>
      <w:r>
        <w:rPr>
          <w:b w:val="0"/>
          <w:i/>
        </w:rPr>
        <w:t>RvInlandRevenueCommissioners,exparteCommerzbankAG</w:t>
      </w:r>
      <w:r>
        <w:rPr>
          <w:b w:val="0"/>
          <w:i w:val="0"/>
        </w:rPr>
        <w:t>(Vụ án C-330/91)[1993]ECRI-04017; [1993] BTC 299; [1993] STC 605 ECJ.156.</w:t>
      </w:r>
      <w:r>
        <w:rPr>
          <w:b w:val="0"/>
          <w:i/>
        </w:rPr>
        <w:t>Compagnie de Saint-Gobain, Zweiqniederlassung Deutschland v Finanzamt Aachen -Innenstadt</w:t>
      </w:r>
      <w:r>
        <w:rPr>
          <w:b w:val="0"/>
          <w:i w:val="0"/>
        </w:rPr>
        <w:t>(Vụ án C-307/97) [1999] ECR I-6161; [2000] STC 854, ECJ.</w:t>
      </w:r>
    </w:p>
    <w:p>
      <w:pPr>
        <w:spacing w:after="80"/>
      </w:pPr>
      <w:r>
        <w:rPr>
          <w:b w:val="0"/>
          <w:i w:val="0"/>
        </w:rPr>
        <w:t>94</w:t>
      </w:r>
    </w:p>
    <w:p>
      <w:pPr>
        <w:spacing w:after="80"/>
      </w:pPr>
      <w:r>
        <w:rPr>
          <w:b w:val="0"/>
          <w:i w:val="0"/>
        </w:rPr>
        <w:t>quyền hạn phải được thực hiện phù hợp với luật Cộng đồng. Sự cân bằng và có đi có lại của các hiệp ước được ký kết với các quốc gia không phải thành viên được đề cập sẽ không bị tổn hại bởi việc mở rộng đơn phương danh mục người nhận ở Đức các lợi ích thuế được cung cấp bởi các hiệp ước đó. Nó sẽ không ảnh hưởng đến quyền của các quốc gia không phải thành viên là bên tham gia hiệp ước và sẽ không áp đặt bất kỳ nghĩa vụ mới nào lên họ. Tòa án lưu ý, trong mọi trường hợp, rằng luật trong nước của Đức đã được sửa đổi về mặt này, mở rộng các khoản tín dụng và miễn trừ cho các cơ sở thường trú của các công ty không cư trú. Chính phủ Thụy Điển lập luận rằng trong các tình huống cực đoan, việc mở rộng phạm vi của các hiệp ước song phương có thể dẫn đến không có thuế nào được tạo ra cả. Điều này đã bị bác bỏ trong trường hợp cụ thể vì người ta không lập luận rằng có nguy cơ không đánh thuế ở bất kỳ quốc gia nào.</w:t>
      </w:r>
    </w:p>
    <w:p>
      <w:pPr>
        <w:spacing w:after="80"/>
      </w:pPr>
      <w:r>
        <w:rPr>
          <w:b w:val="0"/>
          <w:i w:val="0"/>
        </w:rPr>
        <w:t>Luật Cộng đồng có thể được viện dẫn liên quan đến một hiệp ước với một quốc gia thứ ba khi một công ty cư trú tại một Quốc gia Thành viên mua lại hoặc thành lập một công ty cư trú tại một Quốc gia Thành viên khác. Nếu quyền được hưởng lợi ích của công ty thứ hai theo một hiệp ước với một quốc gia thứ ba bị từ chối, công ty thứ hai dường như có tư cách để phản đối điều khoản hiệp ước.157 Khiếu nại sẽ chống lại quốc gia cư trú chứ không phải quốc gia thứ ba đã từ chối lợi ích hiệp ước.</w:t>
      </w:r>
    </w:p>
    <w:p>
      <w:pPr>
        <w:spacing w:after="80"/>
      </w:pPr>
      <w:r>
        <w:rPr>
          <w:b w:val="0"/>
          <w:i w:val="0"/>
        </w:rPr>
        <w:t>Một khả năng khác có thể tồn tại khi một công dân EU cư trú tại một quốc gia hiệp ước ngoài EU bị từ chối lợi ích. Trừ khi một quyền theo TFEU được thực hiện, sự đối xử bình đẳng được đảm bảo bởi nó có thể không được viện dẫn.158</w:t>
      </w:r>
    </w:p>
    <w:p>
      <w:pPr>
        <w:spacing w:after="80"/>
      </w:pPr>
      <w:r>
        <w:rPr>
          <w:b w:val="0"/>
          <w:i w:val="0"/>
        </w:rPr>
        <w:t xml:space="preserve">Một cư dân của một quốc gia thứ ba có thể dựa vào tự do di chuyển vốn và có tư cách trong trường hợp như vậy. Trong </w:t>
      </w:r>
      <w:r>
        <w:rPr>
          <w:b w:val="0"/>
          <w:i/>
        </w:rPr>
        <w:t>CollegePensionPlanofBritishColumbiavFinanzamtMünchen</w:t>
      </w:r>
      <w:r>
        <w:rPr>
          <w:b w:val="0"/>
          <w:i w:val="0"/>
        </w:rPr>
        <w:t>,159</w:t>
      </w:r>
    </w:p>
    <w:p>
      <w:pPr>
        <w:spacing w:after="80"/>
      </w:pPr>
      <w:r>
        <w:rPr>
          <w:b w:val="0"/>
          <w:i w:val="0"/>
        </w:rPr>
        <w:t>hiệp ước thuế hai lần Canada-Đức đã giảm thuế suất khấu trừ đối với cổ tức do một công ty Đức trả cho một cư dân Canada xuống 15%. Thuế khấu trừ 25% đối với cổ tức cho một cư dân Đức được hoàn lại đầy đủ trong trường hợp một quỹ hưu trí Đức được miễn thuế. Kế hoạch hưu trí Canada được miễn thuế ở Canada và hiệp ước yêu cầu Canada cấp tín dụng cho thuế Đức phải nộp. CJEU phán quyết rằng, cũng như với các hiệp ước giữa các Quốc gia Thành viên, việc giảm thuế suất khấu trừ không hoàn lại theo yêu cầu của một hiệp ước không loại bỏ hạn chế đối với tự do di chuyển vốn khi thuế suất khấu trừ tại quốc gia nguồn đối với cổ tức trả cho một cư dân của quốc gia đó vượt quá thuế suất hiệp ước đó nhưng được hoàn lại đầy đủ trong trường hợp một cổ đông cư trú được miễn thuế.</w:t>
      </w:r>
    </w:p>
    <w:p>
      <w:pPr>
        <w:spacing w:after="80"/>
      </w:pPr>
      <w:r>
        <w:rPr>
          <w:b/>
          <w:i w:val="0"/>
        </w:rPr>
        <w:t>[A]Giám sát tài chính và các quốc gia thứ ba</w:t>
      </w:r>
    </w:p>
    <w:p>
      <w:pPr>
        <w:spacing w:after="80"/>
      </w:pPr>
      <w:r>
        <w:rPr>
          <w:b w:val="0"/>
          <w:i w:val="0"/>
        </w:rPr>
        <w:t>ECJ đã liên tục giữ rằng Chỉ thị 77/799160 có thể được một Quốc gia Thành viên viện dẫn để có được từ các cơ quan có thẩm quyền của một Quốc gia Thành viên khác tất cả các</w:t>
      </w:r>
    </w:p>
    <w:p>
      <w:pPr>
        <w:spacing w:after="80"/>
      </w:pPr>
      <w:r>
        <w:rPr>
          <w:b w:val="0"/>
          <w:i w:val="0"/>
        </w:rPr>
        <w:t>157.</w:t>
      </w:r>
      <w:r>
        <w:rPr>
          <w:b w:val="0"/>
          <w:i/>
        </w:rPr>
        <w:t>HalliburtonServicesBVvStaatssecretarisvanFinancien</w:t>
      </w:r>
      <w:r>
        <w:rPr>
          <w:b w:val="0"/>
          <w:i w:val="0"/>
        </w:rPr>
        <w:t>(Vụ án C-1/93)[1994]ECRI-01137;[1994] BTC 8069; [1994] STC 655.158.</w:t>
      </w:r>
      <w:r>
        <w:rPr>
          <w:b w:val="0"/>
          <w:i/>
        </w:rPr>
        <w:t>RvSecretaryofStateforTransport,exparteFactortameLtd</w:t>
      </w:r>
      <w:r>
        <w:rPr>
          <w:b w:val="0"/>
          <w:i w:val="0"/>
        </w:rPr>
        <w:t>(Vụ án C-221/89)[1991]ECRI-03905; [1991] All ER 769, tại đoạn 19.159.</w:t>
      </w:r>
      <w:r>
        <w:rPr>
          <w:b w:val="0"/>
          <w:i/>
        </w:rPr>
        <w:t>College Pension Plan of British Columbia v Finanzamt München Abteilung III</w:t>
      </w:r>
      <w:r>
        <w:rPr>
          <w:b w:val="0"/>
          <w:i w:val="0"/>
        </w:rPr>
        <w:t xml:space="preserve"> (Vụ án C-641/17)ECLI:EU:C:2019:960.160.Xem Chương 22, §22.06.</w:t>
      </w:r>
    </w:p>
    <w:p>
      <w:pPr>
        <w:spacing w:after="80"/>
      </w:pPr>
      <w:r>
        <w:rPr>
          <w:b w:val="0"/>
          <w:i w:val="0"/>
        </w:rPr>
        <w:t>95</w:t>
      </w:r>
    </w:p>
    <w:p>
      <w:pPr>
        <w:spacing w:after="80"/>
      </w:pPr>
      <w:r>
        <w:rPr>
          <w:b w:val="0"/>
          <w:i w:val="0"/>
        </w:rPr>
        <w:t>thông tin cho phép xác định đúng số thuế phải nộp.161 Do đó, việc thiếu thông tin từ một Quốc gia thành viên trong bối cảnh nội khối không bị coi là cản trở hiệu quả của công tác quản lý thuế đến mức biện minh cho một hạn chế đối với các quyền tự do cơ bản.</w:t>
      </w:r>
    </w:p>
    <w:p>
      <w:pPr>
        <w:spacing w:after="80"/>
      </w:pPr>
      <w:r>
        <w:rPr>
          <w:b w:val="0"/>
          <w:i w:val="0"/>
        </w:rPr>
        <w:t xml:space="preserve">Điều này không phải lúc nào cũng đúng trong quan hệ với các nước thứ ba; ví dụ, xem phán quyết trong </w:t>
      </w:r>
      <w:r>
        <w:rPr>
          <w:b w:val="0"/>
          <w:i/>
        </w:rPr>
        <w:t xml:space="preserve"> Skatteverket v A</w:t>
      </w:r>
      <w:r>
        <w:rPr>
          <w:b w:val="0"/>
          <w:i w:val="0"/>
        </w:rPr>
        <w:t>.162 Theo luật Thụy Điển, khi các khoản phân phối từ một công ty nước ngoài được thành lập tại một quốc gia trong EEA hoặc tại một quốc gia mà Thụy Điển đã ký kết hiệp định thuế, bao gồm điều khoản về trao đổi thông tin, thì các khoản phân phối đó được miễn thuế thu nhập doanh nghiệp. Hiệp định Thụy Điển-Thụy Sĩ không có điều khoản trao đổi thông tin nhưng lại bao gồm một thủ tục thỏa thuận song phương để, trong số những việc khác, giải quyết mọi khó khăn hoặc nghi ngờ phát sinh về việc giải thích hoặc áp dụng hiệp định. Vào thời điểm ký kết, rõ ràng là phái đoàn Thụy Sĩ coi thông tin duy nhất có thể trao đổi là thông tin cần thiết để đảm bảo việc áp dụng đúng đắn hiệp định và để ngăn chặn việc áp dụng không đúng đắn hiệp định. Cũng rõ ràng rằng Thụy Điển đã chính thức ghi nhận tuyên bố đó và không tìm cách đưa vào bất kỳ điều khoản rõ ràng nào về trao đổi thông tin. Tòa án đã phán quyết rằng một hạn chế đối với quyền tự do di chuyển vốn là chính đáng khi việc tuân thủ các yêu cầu để được hưởng một ưu đãi thuế chỉ có thể được xác minh bằng cách thu thập thông tin từ cơ quan có thẩm quyền của một nước thứ ba. Do đó, về nguyên tắc, một Quốc gia thành viên có thể từ chối cấp ưu đãi đó nếu việc thu thập thông tin như vậy từ quốc gia đó tỏ ra bất khả thi – đặc biệt là vì quốc gia đó không có nghĩa vụ theo hiệp định nào phải cung cấp thông tin.163</w:t>
      </w:r>
    </w:p>
    <w:p>
      <w:pPr>
        <w:spacing w:after="80"/>
      </w:pPr>
      <w:r>
        <w:rPr>
          <w:b w:val="0"/>
          <w:i w:val="0"/>
        </w:rPr>
        <w:t>Tuy nhiên, khi Quốc gia thành viên EU và quốc gia không phải thành viên liên quan bị ràng buộc bởi một hiệp định hỗ trợ hành chính song phương cho phép cơ quan thuế quốc gia xác minh mọi thông tin, thì một hạn chế đối với quyền tự do di chuyển vốn liên quan đến một quốc gia ngoài EU không thể được biện minh trên cơ sở giám sát tài chính. Tòa án chuyển vấn đề phải xem xét liệu cơ chế trao đổi thông tin trong hiệp định liên quan có thực sự có khả năng cho phép cơ quan thuế của Quốc gia thành viên EU xác minh thông tin liên quan hay không.164</w:t>
      </w:r>
    </w:p>
    <w:p>
      <w:pPr>
        <w:spacing w:after="80"/>
      </w:pPr>
      <w:r>
        <w:rPr>
          <w:b w:val="0"/>
          <w:i w:val="0"/>
        </w:rPr>
        <w:t>Ngược lại, tòa án đã phán quyết liên quan đến Điều 6 và Điều 31 của Hiệp định EEA,165 nhằm đưa quyền tự do thành lập vào hiệu lực đối với công dân của một Quốc gia thành viên EU hoặc của Hiệp hội Thương mại Tự do Châu Âu rằng nếu các cơ chế trao đổi thông tin trong Hiệp định Phần Lan-Na Uy tương đương với Chỉ thị EU</w:t>
      </w:r>
    </w:p>
    <w:p>
      <w:pPr>
        <w:spacing w:after="80"/>
      </w:pPr>
      <w:r>
        <w:rPr>
          <w:b w:val="0"/>
          <w:i w:val="0"/>
        </w:rPr>
        <w:t xml:space="preserve">161. Xem </w:t>
      </w:r>
      <w:r>
        <w:rPr>
          <w:b w:val="0"/>
          <w:i/>
        </w:rPr>
        <w:t xml:space="preserve"> Rolf Dieter Danner</w:t>
      </w:r>
      <w:r>
        <w:rPr>
          <w:b w:val="0"/>
          <w:i w:val="0"/>
        </w:rPr>
        <w:t xml:space="preserve"> (Vụ án C-136/00) [2002] ECR I-08147; [2002] STC 1361, ECJ tại đoạn 47 và các vụ án được viện dẫn trong đó.162. </w:t>
      </w:r>
      <w:r>
        <w:rPr>
          <w:b w:val="0"/>
          <w:i/>
        </w:rPr>
        <w:t>Skatteverket v A</w:t>
      </w:r>
      <w:r>
        <w:rPr>
          <w:b w:val="0"/>
          <w:i w:val="0"/>
        </w:rPr>
        <w:t xml:space="preserve"> (Vụ án C-101/05) [2007] ECR I-11531; [2010] BTC 906; [2009] STC 405, ECJ. Về tình trạng của các vùng lãnh thổ hải ngoại của các Quốc gia thành viên, xem </w:t>
      </w:r>
      <w:r>
        <w:rPr>
          <w:b w:val="0"/>
          <w:i/>
        </w:rPr>
        <w:t>Prunus SARL v Polonium SA</w:t>
      </w:r>
      <w:r>
        <w:rPr>
          <w:b w:val="0"/>
          <w:i w:val="0"/>
        </w:rPr>
        <w:t xml:space="preserve"> (Vụ án C-384/09) ECLI:EU:C:2014:1385; [2011] ECR I-3319 [2011] STC 1392 (Quần đảo Virgin thuộc Anh); </w:t>
      </w:r>
      <w:r>
        <w:rPr>
          <w:b w:val="0"/>
          <w:i/>
        </w:rPr>
        <w:t xml:space="preserve"> XBV và TBG Ltd v Staatssecretaris van Financiën</w:t>
      </w:r>
      <w:r>
        <w:rPr>
          <w:b w:val="0"/>
          <w:i w:val="0"/>
        </w:rPr>
        <w:t xml:space="preserve"> (Các vụ án hợp nhất C-24/12 và C-27/12) [2014] BTC 31; [2014] STC 2394 (Antilles thuộc Hà Lan); </w:t>
      </w:r>
      <w:r>
        <w:rPr>
          <w:b w:val="0"/>
          <w:i/>
        </w:rPr>
        <w:t xml:space="preserve"> The Gibraltar Betting and Gaming Association Ltd v HMRC và HM Treasury</w:t>
      </w:r>
      <w:r>
        <w:rPr>
          <w:b w:val="0"/>
          <w:i w:val="0"/>
        </w:rPr>
        <w:t xml:space="preserve"> (Vụ án C-591/15) ECLI:EU:C:2017:449; </w:t>
      </w:r>
      <w:r>
        <w:rPr>
          <w:b w:val="0"/>
          <w:i/>
        </w:rPr>
        <w:t xml:space="preserve"> Fisher</w:t>
      </w:r>
      <w:r>
        <w:rPr>
          <w:b w:val="0"/>
          <w:i w:val="0"/>
        </w:rPr>
        <w:t xml:space="preserve"> [2014] TC 03921; [2014] UKFTT 804 (TC) (Vụ án C-192/16) </w:t>
      </w:r>
      <w:r>
        <w:rPr>
          <w:b w:val="0"/>
          <w:i/>
        </w:rPr>
        <w:t>Peter Fisher, Stephen Fisher, Anne Fisher v Commissioners for Her Majesty's Revenue &amp; Customs</w:t>
      </w:r>
      <w:r>
        <w:rPr>
          <w:b w:val="0"/>
          <w:i w:val="0"/>
        </w:rPr>
        <w:t xml:space="preserve"> ECLI:EU:C:2017:762 (Gibraltar).163. Tại đoạn 63.164. </w:t>
      </w:r>
      <w:r>
        <w:rPr>
          <w:b w:val="0"/>
          <w:i/>
        </w:rPr>
        <w:t>Emerging Markets Series of DFA Investment Trust Company v Dyrektor Izby Skarbowej w Bydgoszczy</w:t>
      </w:r>
      <w:r>
        <w:rPr>
          <w:b w:val="0"/>
          <w:i w:val="0"/>
        </w:rPr>
        <w:t xml:space="preserve"> (Vụ án C-190/12) ECLI:EU:C:2014:249; [2014] BTC 18; [2014] STC 1660 tại đoạn 105.165. Hiệp định về Khu vực Kinh tế Châu Âu ngày 2 tháng 5 năm 1992 (OJ 1994 L 1, tr. 3).</w:t>
      </w:r>
    </w:p>
    <w:p>
      <w:pPr>
        <w:spacing w:after="80"/>
      </w:pPr>
      <w:r>
        <w:rPr>
          <w:b w:val="0"/>
          <w:i w:val="0"/>
        </w:rPr>
        <w:t>96</w:t>
      </w:r>
    </w:p>
    <w:p>
      <w:pPr>
        <w:spacing w:after="80"/>
      </w:pPr>
      <w:r>
        <w:rPr>
          <w:b w:val="0"/>
          <w:i w:val="0"/>
        </w:rPr>
        <w:t>Chỉ thị 2011/16,166 thì mọi hạn chế đối với quyền tự do thành lập đều không chính đáng. Việc giải thích hiệp định đó thuộc thẩm quyền của tòa án quốc gia.167</w:t>
      </w:r>
    </w:p>
    <w:p>
      <w:pPr>
        <w:spacing w:after="80"/>
      </w:pPr>
      <w:r>
        <w:rPr>
          <w:b/>
          <w:i w:val="0"/>
        </w:rPr>
        <w:t>§3.11 CÁC HIỆP ĐỊNH VÀ VIỆC BỒI THƯỜNG CHO HÀNH VI VI PHẠM LUẬT EU</w:t>
      </w:r>
    </w:p>
    <w:p>
      <w:pPr>
        <w:spacing w:after="80"/>
      </w:pPr>
      <w:r>
        <w:rPr>
          <w:b w:val="0"/>
          <w:i w:val="0"/>
        </w:rPr>
        <w:t>Vào tháng 3 năm 2001, ECJ đã phán quyết rằng việc trao cho các nhóm công ty quyền lựa chọn khai thuế theo nhóm khi họ cư trú tại Vương quốc Anh nhưng lại từ chối quyền đó khi các công ty mẹ không cư trú tại Vương quốc Anh đã xâm phạm quyền tự do thành lập theo điều hiện nay là art.49 TFEU.168 Tòa án cũng phán quyết rằng các công ty bị ảnh hưởng được quyền có một biện pháp pháp lý hiệu quả là hoàn trả hoặc bồi thường tổn thất tài chính mà họ đã phải gánh chịu và mà cơ quan thuế cùng Chính phủ được hưởng lợi nhờ việc nộp thuế trước của các công ty con tại Vương quốc Anh. Do đó, khoản bồi thường phải được trả cho việc mất quyền sử dụng số tiền đã nộp dưới dạng ACT trong khoảng thời gian từ ngày nộp đến ngày ACT được sử dụng bằng cách khấu trừ vào các khoản nợ thuế thu nhập doanh nghiệp chính của công ty con. Khoản bồi thường thích hợp được xác định dựa trên lãi suất kép.169</w:t>
      </w:r>
    </w:p>
    <w:p>
      <w:pPr>
        <w:spacing w:after="80"/>
      </w:pPr>
      <w:r>
        <w:rPr>
          <w:b w:val="0"/>
          <w:i w:val="0"/>
        </w:rPr>
        <w:t xml:space="preserve">Trong trường hợp các công ty con tại Vương quốc Anh có công ty mẹ cư trú tại các Quốc gia thành viên nơi hiệp định liên quan cho phép thanh toán các khoản tín dụng thuế, câu hỏi đặt ra là liệu khoản bồi thường này có phải được giảm trừ bằng số tiền của các khoản tín dụng thuế đó hay không. House of Lords170 đã nhất trí phán quyết rằng nó phải được giảm trừ như vậy, lật ngược quyết định nhất trí của Court of Appeal,171 vốn đã giữ nguyên phán quyết của High Court.172 Mặc dù mỗi vị thẩm phán trong số năm vị thẩm phán đưa ra những lý do khác nhau, nhưng sự khác biệt cốt yếu giữa quan điểm của họ và quan điểm của các tòa án liên quan đến việc liệu khoản bồi thường có nên được xác định dựa trên tổn thất mà các công ty con tại Vương quốc Anh phải gánh chịu (với tư cách là những người bị áp đặt </w:t>
      </w:r>
      <w:r>
        <w:rPr>
          <w:b w:val="0"/>
          <w:i/>
        </w:rPr>
        <w:t xml:space="preserve"> ACT</w:t>
      </w:r>
      <w:r>
        <w:rPr>
          <w:b w:val="0"/>
          <w:i w:val="0"/>
        </w:rPr>
        <w:t xml:space="preserve"> một cách không đúng đắn) hay dựa trên nhóm bao gồm các công ty con tại Vương quốc Anh và các công ty mẹ cư trú tại các Quốc gia thành viên khác. Các khoản tín dụng thuế đã được trả cho các công ty mẹ. Lords Hope và Scott đặc biệt viện dẫn phán quyết của ECJ trong </w:t>
      </w:r>
      <w:r>
        <w:rPr>
          <w:b w:val="0"/>
          <w:i/>
        </w:rPr>
        <w:t>Metallgesellschaft v IRC</w:t>
      </w:r>
      <w:r>
        <w:rPr>
          <w:b w:val="0"/>
          <w:i w:val="0"/>
        </w:rPr>
        <w:t>,173 nơi biện pháp khắc phục được cho là của cả công ty mẹ và công ty con.</w:t>
      </w:r>
    </w:p>
    <w:p>
      <w:pPr>
        <w:spacing w:after="80"/>
      </w:pPr>
      <w:r>
        <w:rPr>
          <w:b w:val="0"/>
          <w:i w:val="0"/>
        </w:rPr>
        <w:t xml:space="preserve">166. Xem Chương 22, §22.15.167. </w:t>
      </w:r>
      <w:r>
        <w:rPr>
          <w:b w:val="0"/>
          <w:i/>
        </w:rPr>
        <w:t>Veronsaajien oikeudenvalvontayksikkö v AOy</w:t>
      </w:r>
      <w:r>
        <w:rPr>
          <w:b w:val="0"/>
          <w:i w:val="0"/>
        </w:rPr>
        <w:t xml:space="preserve"> (Vụ án C-48/11) ECLI:EU:C:2012:485; [2012] STC 2338; [2012] 3 CMLR 1266.168. </w:t>
      </w:r>
      <w:r>
        <w:rPr>
          <w:b w:val="0"/>
          <w:i/>
        </w:rPr>
        <w:t>Metallgesellschaft Ltd &amp; Ors</w:t>
      </w:r>
      <w:r>
        <w:rPr>
          <w:b w:val="0"/>
          <w:i w:val="0"/>
        </w:rPr>
        <w:t xml:space="preserve"> (Vụ án C-397/98); </w:t>
      </w:r>
      <w:r>
        <w:rPr>
          <w:b w:val="0"/>
          <w:i/>
        </w:rPr>
        <w:t xml:space="preserve"> Hoechst AG &amp; Hoechst UK Ltd v Commissioners of Inland Revenue &amp; Attorney-General</w:t>
      </w:r>
      <w:r>
        <w:rPr>
          <w:b w:val="0"/>
          <w:i w:val="0"/>
        </w:rPr>
        <w:t xml:space="preserve"> (Vụ án C-410/98) [2001] ECR I-01727; [2001] STC 452; [2001] BTC 99.169. </w:t>
      </w:r>
      <w:r>
        <w:rPr>
          <w:b w:val="0"/>
          <w:i/>
        </w:rPr>
        <w:t>Sempra Metals Ltd (trước đây là Metallgesellschaft Ltd) v IRC &amp; Anor</w:t>
      </w:r>
      <w:r>
        <w:rPr>
          <w:b w:val="0"/>
          <w:i w:val="0"/>
        </w:rPr>
        <w:t xml:space="preserve"> [2007] STC 1559; [2007] BTC 509; [2007] UKHL 34.170. </w:t>
      </w:r>
      <w:r>
        <w:rPr>
          <w:b w:val="0"/>
          <w:i/>
        </w:rPr>
        <w:t>Pirelli Cable Holding NV &amp; Ors v Inland Revenue Commissioners</w:t>
      </w:r>
      <w:r>
        <w:rPr>
          <w:b w:val="0"/>
          <w:i w:val="0"/>
        </w:rPr>
        <w:t xml:space="preserve"> [2006] STC 548; [2006] BTC 181; [2006] UKHL 4.171. </w:t>
      </w:r>
      <w:r>
        <w:rPr>
          <w:b w:val="0"/>
          <w:i/>
        </w:rPr>
        <w:t>Pirelli Cable Holding NV &amp; Ors v Inland Revenue Commissioners</w:t>
      </w:r>
      <w:r>
        <w:rPr>
          <w:b w:val="0"/>
          <w:i w:val="0"/>
        </w:rPr>
        <w:t xml:space="preserve"> [2004] STC 130; [2004] BTC 50; [2003] EWCA Civ 1849.172. </w:t>
      </w:r>
      <w:r>
        <w:rPr>
          <w:b w:val="0"/>
          <w:i/>
        </w:rPr>
        <w:t>Pirelli Cable Holding NV &amp; Ors v Inland Revenue Commissioners</w:t>
      </w:r>
      <w:r>
        <w:rPr>
          <w:b w:val="0"/>
          <w:i w:val="0"/>
        </w:rPr>
        <w:t xml:space="preserve"> [2003] STC 250; [2003] BTC 218; [2003] EWHC 32 (Ch).173. </w:t>
      </w:r>
      <w:r>
        <w:rPr>
          <w:b w:val="0"/>
          <w:i/>
        </w:rPr>
        <w:t>Metallgesellschaft Ltd &amp; Ors</w:t>
      </w:r>
      <w:r>
        <w:rPr>
          <w:b w:val="0"/>
          <w:i w:val="0"/>
        </w:rPr>
        <w:t xml:space="preserve"> (Vụ án C-397/98); </w:t>
      </w:r>
      <w:r>
        <w:rPr>
          <w:b w:val="0"/>
          <w:i/>
        </w:rPr>
        <w:t xml:space="preserve"> Hoechst AG &amp; Hoechst UK Ltd v Commissioners of Inland Revenue &amp; Attorney-General</w:t>
      </w:r>
      <w:r>
        <w:rPr>
          <w:b w:val="0"/>
          <w:i w:val="0"/>
        </w:rPr>
        <w:t xml:space="preserve"> (Vụ án C-410/98) [2001] ECR I-01727; [2001] STC 452; [2001] BTC 99.</w:t>
      </w:r>
    </w:p>
    <w:p>
      <w:pPr>
        <w:spacing w:after="80"/>
      </w:pPr>
      <w:r>
        <w:rPr>
          <w:b w:val="0"/>
          <w:i w:val="0"/>
        </w:rPr>
        <w:t>97</w:t>
      </w:r>
    </w:p>
    <w:p>
      <w:pPr>
        <w:spacing w:after="80"/>
      </w:pPr>
      <w:r>
        <w:rPr>
          <w:b/>
          <w:i w:val="0"/>
        </w:rPr>
        <w:t>§3.12 CÁC HIỆP ĐỊNH CỦA EU VỚI CÁC NƯỚC THỨ BA</w:t>
      </w:r>
    </w:p>
    <w:p>
      <w:pPr>
        <w:spacing w:after="80"/>
      </w:pPr>
      <w:r>
        <w:rPr>
          <w:b w:val="0"/>
          <w:i w:val="0"/>
        </w:rPr>
        <w:t>Liên minh có quyền tự chủ riêng để ký kết các hiệp định với các nước thứ ba. Thủ tục đàm phán và ký kết các hiệp định như vậy được quy định tại art.218 TFEU. Quyền này tồn tại trong bốn trường hợp:</w:t>
      </w:r>
    </w:p>
    <w:p>
      <w:pPr>
        <w:spacing w:after="80"/>
      </w:pPr>
      <w:r>
        <w:rPr>
          <w:b w:val="0"/>
          <w:i w:val="0"/>
        </w:rPr>
        <w:t>(1) khi các hiệp định của Liên minh quy định như vậy;(2) khi hiệp định là cần thiết để đạt được một mục tiêu được đề cập trong các hiệp định</w:t>
      </w:r>
    </w:p>
    <w:p>
      <w:pPr>
        <w:spacing w:after="80"/>
      </w:pPr>
      <w:r>
        <w:rPr>
          <w:b w:val="0"/>
          <w:i w:val="0"/>
        </w:rPr>
        <w:t>của Liên minh trong khuôn khổ các chính sách của Liên minh;(3) khi quyền đó được quy định trong một văn bản ràng buộc pháp lý của Liên minh, hoặc(4) khi một hiệp định như vậy với một nước thứ ba có khả năng ảnh hưởng đến các quy tắc chung hoặc</w:t>
      </w:r>
    </w:p>
    <w:p>
      <w:pPr>
        <w:spacing w:after="80"/>
      </w:pPr>
      <w:r>
        <w:rPr>
          <w:b w:val="0"/>
          <w:i w:val="0"/>
        </w:rPr>
        <w:t>thay đổi phạm vi áp dụng các quy tắc chung trong Liên minh.174</w:t>
      </w:r>
    </w:p>
    <w:p>
      <w:pPr>
        <w:spacing w:after="80"/>
      </w:pPr>
      <w:r>
        <w:rPr>
          <w:b w:val="0"/>
          <w:i w:val="0"/>
        </w:rPr>
        <w:t>Quyền hạn này đã được thực thi liên quan đến thuế khi ký kết các hiệp ước với Andorra, Liechtenstein, Monaco, San Marino và Thụy Sĩ175 để cung cấp các biện pháp tương đương với những biện pháp được quy định trong Chỉ thị Tiết kiệm.176 Mỗi hiệp ước đó đã được sửa đổi bằng nghị định thư sau khi Chỉ thị Tiết kiệm bị bãi bỏ và việc thay thế nó bằng</w:t>
      </w:r>
    </w:p>
    <w:p>
      <w:pPr>
        <w:spacing w:after="80"/>
      </w:pPr>
      <w:r>
        <w:rPr>
          <w:b w:val="0"/>
          <w:i w:val="0"/>
        </w:rPr>
        <w:t>174. Điều 216(1) TFEU. 175. Quyết định của Hội đồng (2004/911/EC) ngày 2 tháng 6 năm 2004 về việc ký kết và hoàn tất Hiệp định giữa Cộng đồng Châu Âu và Liên bang Thụy Sĩ quy định các biện pháp tương đương với những biện pháp được quy định trong Chỉ thị 2003/48/EC của Hội đồng về đánh thuế thu nhập tiết kiệm dưới hình thức thanh toán lãi và Bản ghi nhớ giải thích kèm theo (OJ L 385 ngày 29 tháng 12 năm 2004, tr. 28); Quyết định của Hội đồng (2004/912/EC) ngày 25 tháng 10 năm 2004 về việc hoàn tất Hiệp định dưới hình thức Trao đổi thư giữa Cộng đồng Châu Âu và Liên bang Thụy Sĩ về ngày áp dụng Hiệp định giữa Cộng đồng Châu Âu và Liên bang Thụy Sĩ quy định các biện pháp tương đương với những biện pháp được quy định trong Chỉ thị 2003/48/EC của Hội đồng ngày 3 tháng 6 năm 2003 về đánh thuế thu nhập tiết kiệm dưới hình thức thanh toán lãi (OJ L 385 ngày 29 tháng 12 năm 2004, tr. 50); Quyết định của Hội đồng (2004/828/EC) ngày 2 tháng 11 năm 2004 liên quan đến việc ký kết Hiệp định giữa Cộng đồng Châu Âu và Công quốc Andorra quy định các biện pháp tương đương với những biện pháp được quy định trong Chỉ thị 2003/48/EC của Hội đồng về đánh thuế thu nhập tiết kiệm dưới hình thức thanh toán lãi và việc phê duyệt và ký kết Bản ghi nhớ giải thích kèm theo (OJ L 359 ngày 4 tháng 12 năm 2004, tr. 32); Quyết định của Hội đồng (2004/897/EC) ngày 29 tháng 11 năm 2004 về việc ký kết Hiệp định giữa Cộng đồng Châu Âu và Công quốc Liechtenstein quy định các biện pháp tương đương với những biện pháp được quy định trong Chỉ thị 2003/48/EC của Hội đồng về đánh thuế thu nhập tiết kiệm dưới hình thức thanh toán lãi và việc phê duyệt và ký kết Bản ghi nhớ giải thích kèm theo (OJ L 379 ngày 24 tháng 12 năm 2004, tr. 83); Quyết định của Hội đồng (2004/903/EC) ngày 29 tháng 11 năm 2004 về việc ký kết Hiệp định giữa Cộng đồng Châu Âu và Cộng hòa San Marino quy định các biện pháp tương đương với những biện pháp được quy định trong Chỉ thị 2003/48/EC của Hội đồng về đánh thuế thu nhập tiết kiệm dưới hình thức thanh toán lãi và việc phê duyệt và ký kết Bản ghi nhớ giải thích kèm theo (OJ L 381 ngày 28 tháng 12 năm 2004, tr. 32); Quyết định của Hội đồng ngày 7 tháng 12 năm 2004 về việc ký kết Hiệp định giữa Cộng đồng Châu Âu và Công quốc Monaco quy định các biện pháp tương đương với những biện pháp được quy định trong Chỉ thị 2003/48/EC của Hội đồng về đánh thuế thu nhập tiết kiệm dưới hình thức thanh toán lãi và việc phê duyệt và ký kết Bản ghi nhớ giải thích kèm theo (OJ L 019 ngày 21 tháng 1 năm 2005, tr. 53). 176. Chỉ thị của Hội đồng về Đánh thuế Thu nhập Tiết kiệm dưới Hình thức Thanh toán Lãi 2003/48/EC.</w:t>
      </w:r>
    </w:p>
    <w:p>
      <w:pPr>
        <w:spacing w:after="80"/>
      </w:pPr>
      <w:r>
        <w:rPr>
          <w:b w:val="0"/>
          <w:i w:val="0"/>
        </w:rPr>
        <w:t>98</w:t>
      </w:r>
    </w:p>
    <w:p>
      <w:pPr>
        <w:spacing w:after="80"/>
      </w:pPr>
      <w:r>
        <w:rPr>
          <w:b w:val="0"/>
          <w:i w:val="0"/>
        </w:rPr>
        <w:t>việc thay thế bằng trao đổi tự động thông tin tài khoản tài chính phù hợp với Tiêu chuẩn Báo cáo Chung bằng Chỉ thị 2014/107/EU của Hội đồng.177</w:t>
      </w:r>
    </w:p>
    <w:p>
      <w:pPr>
        <w:spacing w:after="80"/>
      </w:pPr>
      <w:r>
        <w:rPr>
          <w:b w:val="0"/>
          <w:i w:val="0"/>
        </w:rPr>
        <w:t>Các hiệp ước do Liên minh ký kết có tính ràng buộc đối với các thể chế của Liên minh và đối với các Quốc gia Thành viên và do đó, có hiệu lực cao hơn luật pháp EU.178 Không giống như các hiệp ước do Vương quốc Anh ký kết, việc đưa các quy định của các hiệp ước do EU ký kết vào luật nội địa được xác định bằng cách tham chiếu đến luật của Liên minh. Mặc dù vấn đề này chưa phát sinh để xác định, có vẻ như luật nội địa tương đương với TIOPA 2010, Phần 2, Chương 1 là không cần thiết cho mục đích này. Tuy nhiên, ở Ireland, hiệu lực được trao cho các hiệp ước này bởi TCA 1997, s. 898P.</w:t>
      </w:r>
    </w:p>
    <w:p>
      <w:pPr>
        <w:spacing w:after="80"/>
      </w:pPr>
      <w:r>
        <w:rPr>
          <w:b w:val="0"/>
          <w:i w:val="0"/>
        </w:rPr>
        <w:t xml:space="preserve">EU và các thành viên của nó cũng là một bên của hiệp ước với Thụy Sĩ về tự do di chuyển của người.179 Không giống như các hiệp ước được thực hiện theo Chỉ thị Tiết kiệm, các Quốc gia Thành viên cũng là một bên riêng lẻ của hiệp ước này. ECJ có thẩm quyền giải thích hiệp ước này. Trong </w:t>
      </w:r>
      <w:r>
        <w:rPr>
          <w:b w:val="0"/>
          <w:i/>
        </w:rPr>
        <w:t>Fokus Invest AG v FIAG,</w:t>
      </w:r>
      <w:r>
        <w:rPr>
          <w:b w:val="0"/>
          <w:i w:val="0"/>
        </w:rPr>
        <w:t xml:space="preserve">180 tòa án đã giải thích Điều 25 của Phụ lục I của Hiệp định có nghĩa là yêu cầu đối xử bình đẳng với công dân liên quan đến việc mua bất động sản chỉ áp dụng đối với thể nhân. Trong </w:t>
      </w:r>
      <w:r>
        <w:rPr>
          <w:b w:val="0"/>
          <w:i/>
        </w:rPr>
        <w:t>Katja Ettwein v Finanzamt Konstanz,</w:t>
      </w:r>
      <w:r>
        <w:rPr>
          <w:b w:val="0"/>
          <w:i w:val="0"/>
        </w:rPr>
        <w:t xml:space="preserve">181 ECJ đã phán quyết rằng các nguyên tắc không phân biệt đối xử được quy định trong </w:t>
      </w:r>
      <w:r>
        <w:rPr>
          <w:b w:val="0"/>
          <w:i/>
        </w:rPr>
        <w:t>Finanzamt Koln-Altstadt v Schumacker</w:t>
      </w:r>
      <w:r>
        <w:rPr>
          <w:b w:val="0"/>
          <w:i w:val="0"/>
        </w:rPr>
        <w:t xml:space="preserve">182 đã được mở rộng cho cư dân Thụy Sĩ bởi Điều 1(a) và các Điều 9(2), 13(1) và 15(2) của Phụ lục I của Hiệp định đó. Tuy nhiên, Điều 21(1) của hiệp định tự do di chuyển bảo tồn hiệu lực của các hiệp ước thuế hai bên giữa Thụy Sĩ và từng Quốc gia Thành viên. Trong </w:t>
      </w:r>
      <w:r>
        <w:rPr>
          <w:b w:val="0"/>
          <w:i/>
        </w:rPr>
        <w:t>Roman Bukovansky v Finanzamt Lörrach</w:t>
      </w:r>
      <w:r>
        <w:rPr>
          <w:b w:val="0"/>
          <w:i w:val="0"/>
        </w:rPr>
        <w:t>,183 Tòa án đã phán quyết rằng quy định này bảo tồn các quy tắc trong hiệp ước thuế Đức-Thụy Sĩ năm 1971 cho phép một quốc gia đánh thuế công dân của mình, những người với tư cách là cư dân cũ đã chuyển đến quốc gia kia, bất chấp lệnh cấm phân biệt đối xử dựa trên quốc tịch trong Điều 2 của</w:t>
      </w:r>
    </w:p>
    <w:p>
      <w:pPr>
        <w:spacing w:after="80"/>
      </w:pPr>
      <w:r>
        <w:rPr>
          <w:b w:val="0"/>
          <w:i w:val="0"/>
        </w:rPr>
        <w:t xml:space="preserve">177. Nghị định thư sửa đổi Hiệp định giữa Cộng đồng Châu Âu và Liên bang Thụy Sĩ quy định các biện pháp tương đương với những biện pháp được quy định trong Chỉ thị 2003/48/EC của Hội đồng về đánh thuế thu nhập tiết kiệm dưới hình thức thanh toán lãi, OJ L 333, 19.12.2015, tr. 12-49; Nghị định thư sửa đổi Hiệp định giữa Cộng đồng Châu Âu và Công quốc Liechtenstein quy định các biện pháp tương đương với những biện pháp được quy định trong Chỉ thị 2003/48/EC của Hội đồng về đánh thuế thu nhập tiết kiệm dưới hình thức thanh toán lãi, OJ L 339, 24.12.2015, tr. 3-35; Nghị định thư sửa đổi Hiệp định giữa Cộng đồng Châu Âu và Cộng hòa San Marino quy định các biện pháp tương đương với những biện pháp được quy định trong Chỉ thị 2003/48/EC của Hội đồng về đánh thuế thu nhập tiết kiệm dưới hình thức thanh toán lãi, OJ L 346, 31.12.2015, tr. 3-41; Nghị định thư sửa đổi Hiệp định giữa Cộng đồng Châu Âu và Công quốc Andorra quy định các biện pháp tương đương với những biện pháp được quy định trong Chỉ thị 2003/48/EC của Hội đồng về đánh thuế thu nhập tiết kiệm dưới hình thức thanh toán lãi, OJ L 268, 1.10.2016, tr. 40-76. Xem Chương 22, §22.27. 178. Điều 216(2) TFEU. </w:t>
      </w:r>
      <w:r>
        <w:rPr>
          <w:b w:val="0"/>
          <w:i/>
        </w:rPr>
        <w:t>Intertanko and Others</w:t>
      </w:r>
      <w:r>
        <w:rPr>
          <w:b w:val="0"/>
          <w:i w:val="0"/>
        </w:rPr>
        <w:t xml:space="preserve"> (Vụ C-308/06) [2008] ECR I-4057, đoạn 42; </w:t>
      </w:r>
      <w:r>
        <w:rPr>
          <w:b w:val="0"/>
          <w:i/>
        </w:rPr>
        <w:t>P Kadi and Al Barakaat International Foundation v Council and Commission</w:t>
      </w:r>
      <w:r>
        <w:rPr>
          <w:b w:val="0"/>
          <w:i w:val="0"/>
        </w:rPr>
        <w:t xml:space="preserve"> (Các vụ hợp nhất C-402/05 P và C-415/05) [2008] ECR I-6351, đoạn 307. 179. Hiệp định giữa Cộng đồng Châu Âu và các Quốc gia Thành viên của nó, một bên, và Liên bang Thụy Sĩ, bên kia, về tự do di chuyển của người, được ký tại Luxembourg ngày 21 tháng 6 năm 1999 (OJ 2002 L 114) (AFMP). 180. </w:t>
      </w:r>
      <w:r>
        <w:rPr>
          <w:b w:val="0"/>
          <w:i/>
        </w:rPr>
        <w:t>Fokus Invest AG v Finanzierungsberatung-Immobilientreuhand und Anlageberatung GmbH</w:t>
      </w:r>
      <w:r>
        <w:rPr>
          <w:b w:val="0"/>
          <w:i w:val="0"/>
        </w:rPr>
        <w:t xml:space="preserve"> (Vụ C-541/08) [2010] ECR I-1025. 181. </w:t>
      </w:r>
      <w:r>
        <w:rPr>
          <w:b w:val="0"/>
          <w:i/>
        </w:rPr>
        <w:t>Katja Ettwein v Finanzamt Konstanz</w:t>
      </w:r>
      <w:r>
        <w:rPr>
          <w:b w:val="0"/>
          <w:i w:val="0"/>
        </w:rPr>
        <w:t xml:space="preserve"> (Vụ C-425/11) ECLI:EU:C:2013:121. 182. </w:t>
      </w:r>
      <w:r>
        <w:rPr>
          <w:b w:val="0"/>
          <w:i/>
        </w:rPr>
        <w:t>Finanzamt Koln-Altstadt v Schumacker</w:t>
      </w:r>
      <w:r>
        <w:rPr>
          <w:b w:val="0"/>
          <w:i w:val="0"/>
        </w:rPr>
        <w:t xml:space="preserve"> (Vụ C-279/93) [1995] BTC 251; [1995] ECR I-225; [1995] STC 306. Xem §3.04 ở trên. 183. </w:t>
      </w:r>
      <w:r>
        <w:rPr>
          <w:b w:val="0"/>
          <w:i/>
        </w:rPr>
        <w:t>Roman Bukovansky v Finanzamt Lörrach</w:t>
      </w:r>
      <w:r>
        <w:rPr>
          <w:b w:val="0"/>
          <w:i w:val="0"/>
        </w:rPr>
        <w:t xml:space="preserve"> (Vụ C-241/14) ECLI:EU:C:2015:766.</w:t>
      </w:r>
    </w:p>
    <w:p>
      <w:pPr>
        <w:spacing w:after="80"/>
      </w:pPr>
      <w:r>
        <w:rPr>
          <w:b w:val="0"/>
          <w:i w:val="0"/>
        </w:rPr>
        <w:t>99</w:t>
      </w:r>
    </w:p>
    <w:p>
      <w:pPr>
        <w:spacing w:after="80"/>
      </w:pPr>
      <w:r>
        <w:rPr>
          <w:b w:val="0"/>
          <w:i w:val="0"/>
        </w:rPr>
        <w:t>hiệp định tự do di chuyển. Tuy nhiên, Điều 9 của Phụ lục của hiệp ước EU-Thụy Sĩ về tự do di chuyển của người, trong đó trao đối xử bình đẳng cho công dân EU làm việc tại Thụy Sĩ và miễn trừ cho cư dân Đức đối với thu nhập từ công việc bán thời gian ở một Quốc gia Thành viên khác, yêu cầu việc miễn trừ cũng phải áp dụng cho công việc tại Thụy Sĩ.184</w:t>
      </w:r>
    </w:p>
    <w:p>
      <w:pPr>
        <w:spacing w:after="80"/>
      </w:pPr>
      <w:r>
        <w:rPr>
          <w:b w:val="0"/>
          <w:i w:val="0"/>
        </w:rPr>
        <w:t xml:space="preserve">Trong </w:t>
      </w:r>
      <w:r>
        <w:rPr>
          <w:b w:val="0"/>
          <w:i/>
        </w:rPr>
        <w:t>Picart v Ministre des finances et des comptes publics</w:t>
      </w:r>
      <w:r>
        <w:rPr>
          <w:b w:val="0"/>
          <w:i w:val="0"/>
        </w:rPr>
        <w:t>,185 Tổng Chưởng lý Mengozzi đã đưa ra ý kiến rằng quyền tự do thành lập đối với người tự làm chủ theo các Điều 13(1) và 15(2) của Phụ lục I của Hiệp định về Tự do Di chuyển của Người (AFMP) hạn chế hơn so với quyền tự do thành lập giữa các Quốc gia Thành viên vì nó cấm phân biệt đối xử dựa trên quốc tịch, nhưng không cấm các hạn chế đối với tự do di chuyển. Theo đó, theo quan điểm của ông, nó không áp dụng cho một công dân Pháp đã chuyển nơi cư trú đến Thụy Sĩ và chỉ quản lý cổ phần trong các công ty Pháp mà ông sở hữu từ đó. Tòa án đã quyết định chủ yếu dựa trên cơ sở thực tế rằng ông Picart không đủ điều kiện là 'người tự làm chủ', theo Điều 12(1) của AFMP. Ông đã thực hiện quyền chuyển đến Thụy Sĩ, Quốc gia cư trú của mình, nhưng vẫn ở đó và từ đó thực hiện hoạt động kinh tế tại Pháp, Quốc gia gốc của mình. Theo đó, ông không đáp ứng các yêu cầu của một 'người lao động biên giới tự làm chủ' trong Điều 13(1) của Phụ lục I của AFMP vì ông không thực hiện hành trình từ nơi hoạt động kinh tế của mình đến nơi cư trú ít nhất một lần một tuần. Tòa án cũng lưu ý rằng vì Thụy Sĩ không tham gia thị trường nội bộ EU, việc giải thích luật EU điều chỉnh thị trường đó (chẳng hạn như quyền tự do thành lập) không tự động áp dụng tương tự cho việc giải thích AFMP, trừ khi có các quy định rõ ràng về hiệu lực đó trong hiệp định đó.186</w:t>
      </w:r>
    </w:p>
    <w:p>
      <w:pPr>
        <w:spacing w:after="80"/>
      </w:pPr>
      <w:r>
        <w:rPr>
          <w:b w:val="0"/>
          <w:i w:val="0"/>
        </w:rPr>
        <w:t xml:space="preserve">Tuy nhiên, trong </w:t>
      </w:r>
      <w:r>
        <w:rPr>
          <w:b w:val="0"/>
          <w:i/>
        </w:rPr>
        <w:t>Wächtler v Finanzamt Konstanz</w:t>
      </w:r>
      <w:r>
        <w:rPr>
          <w:b w:val="0"/>
          <w:i w:val="0"/>
        </w:rPr>
        <w:t>, tòa án đã phán quyết rằng một nhà thầu IT cung cấp dịch vụ của mình thông qua một công ty và đã chuyển từ Đức đến Thụy Sĩ để thực hiện các hoạt động đó ở đó được AFMP bảo vệ khỏi thuế xuất cảnh của Đức, theo đó ông được coi là đã chuyển nhượng cổ phần của mình khi ông chuyển đi. Trong trường hợp đó, tòa án dựa vào các nguyên tắc quyền tự do thành lập bắt nguồn từ việc di chuyển trong nội bộ EU.187</w:t>
      </w:r>
    </w:p>
    <w:p>
      <w:pPr>
        <w:spacing w:after="80"/>
      </w:pPr>
      <w:r>
        <w:rPr>
          <w:b/>
          <w:i w:val="0"/>
        </w:rPr>
        <w:t>§3.13 BREXIT: MỐI QUAN HỆ CỦA VƯƠNG QUỐC ANH VỚI EU</w:t>
      </w:r>
    </w:p>
    <w:p>
      <w:pPr>
        <w:spacing w:after="80"/>
      </w:pPr>
      <w:r>
        <w:rPr>
          <w:b w:val="0"/>
          <w:i w:val="0"/>
        </w:rPr>
        <w:t>Vào ngày 29 tháng 3 năm 2017, Chính phủ Vương quốc Anh đã thông báo rút khỏi EU theo Điều 50(2) của TEU. Hội đồng Châu Âu đã nhất trí quyết định bằng thỏa thuận</w:t>
      </w:r>
    </w:p>
    <w:p>
      <w:pPr>
        <w:spacing w:after="80"/>
      </w:pPr>
      <w:r>
        <w:rPr>
          <w:b w:val="0"/>
          <w:i w:val="0"/>
        </w:rPr>
        <w:t xml:space="preserve">184. </w:t>
      </w:r>
      <w:r>
        <w:rPr>
          <w:b w:val="0"/>
          <w:i/>
        </w:rPr>
        <w:t>Peter Radgen, Lilian Radgen v Finanzamt Ettlingen</w:t>
      </w:r>
      <w:r>
        <w:rPr>
          <w:b w:val="0"/>
          <w:i w:val="0"/>
        </w:rPr>
        <w:t xml:space="preserve"> (Vụ C-478/15) ECLI:EU:C:2016:705. Xem thêm </w:t>
      </w:r>
      <w:r>
        <w:rPr>
          <w:b w:val="0"/>
          <w:i/>
        </w:rPr>
        <w:t>Elide Gottardo v Istituto nazionale della previdenza sociale</w:t>
      </w:r>
      <w:r>
        <w:rPr>
          <w:b w:val="0"/>
          <w:i w:val="0"/>
        </w:rPr>
        <w:t xml:space="preserve"> (Vụ C-55/00) [2002] ECR I-00413, liên quan đến các hiệp định an sinh xã hội với các quốc gia thứ ba. 185. </w:t>
      </w:r>
      <w:r>
        <w:rPr>
          <w:b w:val="0"/>
          <w:i/>
        </w:rPr>
        <w:t>Christian Picart v Ministre des finances et des comptes publics</w:t>
      </w:r>
      <w:r>
        <w:rPr>
          <w:b w:val="0"/>
          <w:i w:val="0"/>
        </w:rPr>
        <w:t xml:space="preserve"> (Vụ C-355/16) Ý kiến ECLI:EU:C:2017:610. 186. </w:t>
      </w:r>
      <w:r>
        <w:rPr>
          <w:b w:val="0"/>
          <w:i/>
        </w:rPr>
        <w:t>Picart v Ministre des Finances et des Comptes publics</w:t>
      </w:r>
      <w:r>
        <w:rPr>
          <w:b w:val="0"/>
          <w:i w:val="0"/>
        </w:rPr>
        <w:t xml:space="preserve"> (Vụ C-355/16) ECLI:EU:C:2018:184, tại các đoạn 27-29. 187. </w:t>
      </w:r>
      <w:r>
        <w:rPr>
          <w:b w:val="0"/>
          <w:i/>
        </w:rPr>
        <w:t>Martin Wächtler v Finanzamt Konstanz</w:t>
      </w:r>
      <w:r>
        <w:rPr>
          <w:b w:val="0"/>
          <w:i w:val="0"/>
        </w:rPr>
        <w:t xml:space="preserve"> (Vụ C-581/17) ECLI:EU:C:2019:138.</w:t>
      </w:r>
    </w:p>
    <w:p>
      <w:pPr>
        <w:spacing w:after="80"/>
      </w:pPr>
      <w:r>
        <w:rPr>
          <w:b w:val="0"/>
          <w:i w:val="0"/>
        </w:rPr>
        <w:t>100</w:t>
      </w:r>
    </w:p>
    <w:p>
      <w:pPr>
        <w:spacing w:after="80"/>
      </w:pPr>
      <w:r>
        <w:rPr>
          <w:b w:val="0"/>
          <w:i w:val="0"/>
        </w:rPr>
        <w:t>with the UK188 to extend this period pursuant to art. 50(3) until 31 January 2020 when the UK ceased to be a member of the EU. The Withdrawal Agreement had effect in UK law by the European Union (Withdrawal) Act 2018 as amended by the European Union (Withdrawal Agreement) Act 2020.</w:t>
      </w:r>
    </w:p>
    <w:p>
      <w:pPr>
        <w:spacing w:after="80"/>
      </w:pPr>
      <w:r>
        <w:rPr>
          <w:b w:val="0"/>
          <w:i w:val="0"/>
        </w:rPr>
        <w:t>EU law was applied in the UK during a transitional period that ended on 31 December 2020 under the terms of the Withdrawal Agreement, a treaty made under Article 50(2) of the TEU. As a result, EU law ceased to apply to the UK from 1 January 2020.</w:t>
      </w:r>
    </w:p>
    <w:p>
      <w:pPr>
        <w:spacing w:after="80"/>
      </w:pPr>
      <w:r>
        <w:rPr>
          <w:b/>
          <w:i w:val="0"/>
        </w:rPr>
        <w:t>[A]Giai đoạn chuyển tiếp</w:t>
      </w:r>
    </w:p>
    <w:p>
      <w:pPr>
        <w:spacing w:after="80"/>
      </w:pPr>
      <w:r>
        <w:rPr>
          <w:b w:val="0"/>
          <w:i w:val="0"/>
        </w:rPr>
        <w:t>Certain arrangements for withdrawal from the EU by the UK continued to apply after the end of the transition period. The jurisdiction of the CJEU is extended in respect of proceedings brought, or requests for preliminary rulings referred, before the end of the transition period.189 The court also has jurisdiction to hear cases brought within four years of the end of the transition period by the Commission against the UK for breaches of EU law during the transition period. In the case of EU decisions adopted during the transition period within four years of the decision date.190 UK courts and tribunals may request a preliminary ruling from the CJEU on the interpretation of Part Two of the Withdrawal Agreement (Citizens' Rights), generally where the case commenced at first instance within eight years from the end of the transition period and the UK is bound by such decisions.191</w:t>
      </w:r>
    </w:p>
    <w:p>
      <w:pPr>
        <w:spacing w:after="80"/>
      </w:pPr>
      <w:r>
        <w:rPr>
          <w:b/>
          <w:i w:val="0"/>
        </w:rPr>
        <w:t>[B]Quan hệ tương lai</w:t>
      </w:r>
    </w:p>
    <w:p>
      <w:pPr>
        <w:spacing w:after="80"/>
      </w:pPr>
      <w:r>
        <w:rPr>
          <w:b w:val="0"/>
          <w:i w:val="0"/>
        </w:rPr>
        <w:t>A Trade and Cooperation Agreement concluded between the EU and UK sets out a framework for a future relationship (the EU-UK TCA).192 In the UK, the European Union (Future Relations) Act 2020 contains the legislation to give effect to the TCA.193</w:t>
      </w:r>
    </w:p>
    <w:p>
      <w:pPr>
        <w:spacing w:after="80"/>
      </w:pPr>
      <w:r>
        <w:rPr>
          <w:b w:val="0"/>
          <w:i w:val="0"/>
        </w:rPr>
        <w:t>The EU-UK TCA does not replicate the rights which UK citizens and businesses had under EU law nor does it grant such rights to EU citizens in the UK. In particular,</w:t>
      </w:r>
    </w:p>
    <w:p>
      <w:pPr>
        <w:spacing w:after="80"/>
      </w:pPr>
      <w:r>
        <w:rPr>
          <w:b w:val="0"/>
          <w:i w:val="0"/>
        </w:rPr>
        <w:t>188. The Agreement on the withdrawal of the United Kingdom of Great Britain and Northern Ireland from the European Union and the European Atomic Energy Community, OJ L 29, 31.1.2020, pp. 7-187. 189. Withdrawal Agreement, art. 86. 190. Withdrawal Agreement, art. 87. 191. Withdrawal Agreement, art. 158. 192. Trade and Cooperation Agreement between the European Union and the European Atomic Energy Community, of The One Part, and the United Kingdom of Great Britain and Northern Ireland, of the Other Part, ST/5198/2021/INIT; OJ L149, 30.4.2021, p.10–2539 (the 'EU-UK TCA'). 193. European Union (Future Relations) Act 2020, s.29 set out the general approach the UK has adopted to giving domestic legal effect to the EU-UK TCA. Compare s.22 on administrative cooperation on VAT and mutual assistance on tax debts.</w:t>
      </w:r>
    </w:p>
    <w:p>
      <w:pPr>
        <w:spacing w:after="80"/>
      </w:pPr>
      <w:r>
        <w:rPr>
          <w:b w:val="0"/>
          <w:i w:val="0"/>
        </w:rPr>
        <w:t>101</w:t>
      </w:r>
    </w:p>
    <w:p>
      <w:pPr>
        <w:spacing w:after="80"/>
      </w:pPr>
      <w:r>
        <w:rPr>
          <w:b w:val="0"/>
          <w:i w:val="0"/>
        </w:rPr>
        <w:t>there is no general prohibition on discrimination. National treatment194 and most-favoured-nation treatment195 is provided for investors and enterprises. Double tax treaties are, however, expressly excluded from most-favoured-nation treatment.196</w:t>
      </w:r>
    </w:p>
    <w:p>
      <w:pPr>
        <w:spacing w:after="80"/>
      </w:pPr>
      <w:r>
        <w:rPr>
          <w:b w:val="0"/>
          <w:i w:val="0"/>
        </w:rPr>
        <w:t>Substantive direct taxation is not addressed except in two areas: First, administrative cooperation in combating Value-added tax (VAT) fraud and mutual assistance in recovering certain tax claims follows existing EU law instruments.197 Second, agreement on harmful tax competition does not, in terms, follow state aid rules but the parties commit to good tax governance minimum tax standards that follow the OECD Base Erosion and Profit Shifting (BEPS) project as it stood at the end of the transition period as follows:</w:t>
      </w:r>
    </w:p>
    <w:p>
      <w:pPr>
        <w:spacing w:after="80"/>
      </w:pPr>
      <w:r>
        <w:rPr>
          <w:b/>
          <w:i w:val="0"/>
        </w:rPr>
        <w:t>Điều 383: Quản trị tốt</w:t>
      </w:r>
    </w:p>
    <w:p>
      <w:pPr>
        <w:spacing w:after="80"/>
      </w:pPr>
      <w:r>
        <w:rPr>
          <w:b w:val="0"/>
          <w:i w:val="0"/>
        </w:rPr>
        <w:t>The Parties recognise and commit to implementing the principles of good governance in the area of taxation, in particular the global standards on tax transparency and exchange of information and fair tax competition. The Parties reiterate their support for the OECD Base Erosion and Profit Shifting (BEPS) Action Plan and affirm their commitment to implementing the OECD minimum standards against BEPS. The Parties will promote good governance in tax matters, improve international cooperation in the area of taxation and facilitate the collection of tax revenues.</w:t>
      </w:r>
    </w:p>
    <w:p>
      <w:pPr>
        <w:spacing w:after="80"/>
      </w:pPr>
      <w:r>
        <w:rPr>
          <w:b/>
          <w:i w:val="0"/>
        </w:rPr>
        <w:t>Điều 384: Các tiêu chuẩn thuế</w:t>
      </w:r>
    </w:p>
    <w:p>
      <w:pPr>
        <w:spacing w:after="80"/>
      </w:pPr>
      <w:r>
        <w:rPr>
          <w:b w:val="0"/>
          <w:i w:val="0"/>
        </w:rPr>
        <w:t>1. A Party shall not weaken or reduce the level of protection provided for in its legislation at the end of the transition period below the level provided for by the standards and rules which have been agreed in the OECD at the end of the transition period, in relation to:</w:t>
      </w:r>
    </w:p>
    <w:p>
      <w:pPr>
        <w:spacing w:after="80"/>
      </w:pPr>
      <w:r>
        <w:rPr>
          <w:b w:val="0"/>
          <w:i w:val="0"/>
        </w:rPr>
        <w:t>(a) the exchange of information, whether upon request, spontaneously or</w:t>
      </w:r>
    </w:p>
    <w:p>
      <w:pPr>
        <w:spacing w:after="80"/>
      </w:pPr>
      <w:r>
        <w:rPr>
          <w:b w:val="0"/>
          <w:i w:val="0"/>
        </w:rPr>
        <w:t>tự động, liên quan đến các tài khoản tài chính, các quyết định thuế xuyên biên giới, báo cáo theo từng quốc gia giữa các cơ quan thuế, và các thỏa thuận hoạch định thuế xuyên biên giới tiềm năng; (b) các quy định về giới hạn lãi suất, công ty nước ngoài được kiểm soát và các cấu trúc</w:t>
      </w:r>
    </w:p>
    <w:p>
      <w:pPr>
        <w:spacing w:after="80"/>
      </w:pPr>
      <w:r>
        <w:rPr>
          <w:b w:val="0"/>
          <w:i w:val="0"/>
        </w:rPr>
        <w:t>không khớp. 2. Một Bên không được làm suy yếu hoặc giảm mức độ bảo vệ được quy định trong pháp luật của mình vào cuối giai đoạn chuyển tiếp đối với báo cáo theo từng quốc gia công khai của các tổ chức tín dụng và công ty đầu tư, ngoại trừ các công ty đầu tư nhỏ và không liên kết với nhau.</w:t>
      </w:r>
    </w:p>
    <w:p>
      <w:pPr>
        <w:spacing w:after="80"/>
      </w:pPr>
      <w:r>
        <w:rPr>
          <w:b w:val="0"/>
          <w:i w:val="0"/>
        </w:rPr>
        <w:t>Một tuyên bố chính trị chung kèm theo EU-UK TCA khẳng định cam kết của Vương quốc Anh và EU trong việc áp dụng các nguyên tắc chống lại các chế độ thuế có hại như được trình bày chi tiết trong tuyên bố. Tuyên bố tóm tắt các đặc điểm chính để nhận diện các chế độ thuế kinh doanh có hại như được xây dựng trong Hành động 5 của Kế hoạch Hành động BEPS của OECD. Các</w:t>
      </w:r>
    </w:p>
    <w:p>
      <w:pPr>
        <w:spacing w:after="80"/>
      </w:pPr>
      <w:r>
        <w:rPr>
          <w:b w:val="0"/>
          <w:i w:val="0"/>
        </w:rPr>
        <w:t>194. EU-UK TCA, điều 129. 195. EU-UK TCA, điều 130. 196. EU-UK TCA, điều 139(3)(a). 197. Nghị định thư về Hợp tác Hành chính và Chống Gian lận trong Lĩnh vực Thuế Giá trị Gia tăng và về Hỗ trợ Tương hỗ để Thu hồi các Khoản nợ liên quan đến Thuế và Phí. Xem Chương 22.</w:t>
      </w:r>
    </w:p>
    <w:p>
      <w:pPr>
        <w:spacing w:after="80"/>
      </w:pPr>
      <w:r>
        <w:rPr>
          <w:b w:val="0"/>
          <w:i w:val="0"/>
        </w:rPr>
        <w:t>102</w:t>
      </w:r>
    </w:p>
    <w:p>
      <w:pPr>
        <w:spacing w:after="80"/>
      </w:pPr>
      <w:r>
        <w:rPr>
          <w:b w:val="0"/>
          <w:i w:val="0"/>
        </w:rPr>
        <w:t>các bên cũng cam kết khuyến khích các nguyên tắc này tại các vùng lãnh thổ mà họ có trách nhiệm đặc biệt hoặc đặc quyền về thuế. 198</w:t>
      </w:r>
    </w:p>
    <w:p>
      <w:pPr>
        <w:spacing w:after="80"/>
      </w:pPr>
      <w:r>
        <w:rPr>
          <w:b/>
          <w:i w:val="0"/>
        </w:rPr>
        <w:t>§3.14 QUYỀN MIỄN THUẾ CỦA EU</w:t>
      </w:r>
    </w:p>
    <w:p>
      <w:pPr>
        <w:spacing w:after="80"/>
      </w:pPr>
      <w:r>
        <w:rPr>
          <w:b w:val="0"/>
          <w:i w:val="0"/>
        </w:rPr>
        <w:t>Nghị định thư thứ 7 của Hiệp ước EU199 đặt ra một chế độ thuế đặc biệt cho EU và các nhân viên của EU. Bản thân EU được hưởng quyền miễn thuế tương tự như quyền miễn trừ chủ quyền và quyền miễn trừ dành cho các tổ chức quốc tế. Điều 3 của Nghị định thư thứ 7 quy định:</w:t>
      </w:r>
    </w:p>
    <w:p>
      <w:pPr>
        <w:spacing w:after="80"/>
      </w:pPr>
      <w:r>
        <w:rPr>
          <w:b w:val="0"/>
          <w:i w:val="0"/>
        </w:rPr>
        <w:t>Liên minh, tài sản, doanh thu và các tài sản khác của Liên minh được miễn mọi loại thuế trực thu.</w:t>
      </w:r>
    </w:p>
    <w:p>
      <w:pPr>
        <w:spacing w:after="80"/>
      </w:pPr>
      <w:r>
        <w:rPr>
          <w:b w:val="0"/>
          <w:i w:val="0"/>
        </w:rPr>
        <w:t>Chính phủ các Quốc gia Thành viên, bất cứ khi nào có thể, phải thực hiện các biện pháp thích hợp để miễn hoặc hoàn lại số thuế gián thu hoặc thuế bán hàng bao gồm trong giá của động sản hoặc bất động sản, khi Liên minh thực hiện, cho mục đích chính thức của mình, các giao dịch mua đáng kể mà giá của chúng bao gồm các loại thuế này. Tuy nhiên, các quy định này sẽ không được áp dụng theo cách gây ra tác động làm biến dạng cạnh tranh trong Liên minh.</w:t>
      </w:r>
    </w:p>
    <w:p>
      <w:pPr>
        <w:spacing w:after="80"/>
      </w:pPr>
      <w:r>
        <w:rPr>
          <w:b w:val="0"/>
          <w:i w:val="0"/>
        </w:rPr>
        <w:t>Không được cấp miễn trừ đối với các loại thuế và phí chỉ đơn thuần là phí cho các dịch vụ công ích.</w:t>
      </w:r>
    </w:p>
    <w:p>
      <w:pPr>
        <w:spacing w:after="80"/>
      </w:pPr>
      <w:r>
        <w:rPr>
          <w:b w:val="0"/>
          <w:i w:val="0"/>
        </w:rPr>
        <w:t>Quyền miễn thuế trực thu chỉ áp dụng cho bản thân Liên minh và không áp dụng cho các cá nhân ký kết hợp đồng với Liên minh.200 Việc miễn hoặc hoàn lại thuế gián thu áp dụng cho tất cả các loại giao dịch mua, bao gồm cả việc cung cấp dịch vụ, cần thiết để hoàn thành nhiệm vụ của Cộng đồng. Phí cho các dịch vụ công ích là những khoản phí nhằm đóng góp chung vào việc tài trợ cho các tổ chức vì lợi ích công cộng và không cấu thành khoản thanh toán cho một dịch vụ cụ thể.201</w:t>
      </w:r>
    </w:p>
    <w:p>
      <w:pPr>
        <w:spacing w:after="80"/>
      </w:pPr>
      <w:r>
        <w:rPr>
          <w:b/>
          <w:i w:val="0"/>
        </w:rPr>
        <w:t>[A] Các Quan chức và Nhân viên EU</w:t>
      </w:r>
    </w:p>
    <w:p>
      <w:pPr>
        <w:spacing w:after="80"/>
      </w:pPr>
      <w:r>
        <w:rPr>
          <w:b w:val="0"/>
          <w:i w:val="0"/>
        </w:rPr>
        <w:t>Các quan chức và nhân viên khác của Liên minh được miễn thuế quốc gia đối với tiền lương, tiền công và thù lao do Liên minh chi trả. Tuy nhiên, thu nhập từ việc làm của họ không được miễn thuế. Thay vào đó, những nhân viên này phải chịu một loại thuế vì lợi ích của Liên minh đối với tiền lương, tiền công và thù lao do Liên minh chi trả cho họ, theo các điều kiện và thủ tục do Nghị viện Châu Âu và Hội đồng quy định, thông qua các quy định theo thủ tục lập pháp thông thường và sau khi tham khảo ý kiến của các tổ chức liên quan.202 Việc miễn trừ chỉ bao gồm</w:t>
      </w:r>
    </w:p>
    <w:p>
      <w:pPr>
        <w:spacing w:after="80"/>
      </w:pPr>
      <w:r>
        <w:rPr>
          <w:b w:val="0"/>
          <w:i w:val="0"/>
        </w:rPr>
        <w:t xml:space="preserve">198. Tuyên bố Chính trị Chung EU-UK về Chống các Chế độ Thuế có Hại. 199. Nghị định thư (số 7) về Các Đặc quyền và Miễn trừ của Liên minh Châu Âu kèm theo Hiệp ước về Liên minh Châu Âu, Hiệp ước về Hoạt động của Liên minh Châu Âu và Hiệp ước thành lập Cộng đồng Năng lượng Nguyên tử Châu Âu [30 tháng 3 năm 2010] OJ C 83/266. 200. </w:t>
      </w:r>
      <w:r>
        <w:rPr>
          <w:b w:val="0"/>
          <w:i/>
        </w:rPr>
        <w:t>Commission of the European Communities v Kingdom of Belgium</w:t>
      </w:r>
      <w:r>
        <w:rPr>
          <w:b w:val="0"/>
          <w:i w:val="0"/>
        </w:rPr>
        <w:t xml:space="preserve"> (Vụ án C-437/04) [2007] ECR I–2513. 201. </w:t>
      </w:r>
      <w:r>
        <w:rPr>
          <w:b w:val="0"/>
          <w:i/>
        </w:rPr>
        <w:t>AGF Belgium SA v European Economic Community</w:t>
      </w:r>
      <w:r>
        <w:rPr>
          <w:b w:val="0"/>
          <w:i w:val="0"/>
        </w:rPr>
        <w:t xml:space="preserve"> (Vụ án C-191/94) [1996] ECR I-1859. 202. Nghị định thư thứ 7, điều 12; Quy định (EEC, Euratom, ECSC) số 259/68 của Hội đồng ngày 29 tháng 2 năm 1968 quy định Quy chế Nhân viên của Các Quan chức và Điều kiện Việc làm</w:t>
      </w:r>
    </w:p>
    <w:p>
      <w:pPr>
        <w:spacing w:after="80"/>
      </w:pPr>
      <w:r>
        <w:rPr>
          <w:b w:val="0"/>
          <w:i w:val="0"/>
        </w:rPr>
        <w:t>103</w:t>
      </w:r>
    </w:p>
    <w:p>
      <w:pPr>
        <w:spacing w:after="80"/>
      </w:pPr>
      <w:r>
        <w:rPr>
          <w:b w:val="0"/>
          <w:i w:val="0"/>
        </w:rPr>
        <w:t xml:space="preserve">các loại thuế quốc gia có tính chất tương tự như những loại thuế mà EU đánh trên cùng các nguồn thu nhập. Do đó, thuế thừa kế không được đề cập đến. Mặc dù có giới hạn đó, ECJ đã giải thích quy định miễn trừ này một cách rộng rãi. Ví dụ, nó áp dụng cho lương hưu của người sống sót được cấp cho vợ góa của một quan chức hoặc nhân viên khác.203 Quyền miễn trừ cấm bất kỳ biện pháp nào của một Quốc gia Thành viên áp đặt lên một quan chức bất kỳ loại thuế nào, dù trực tiếp hay gián tiếp, dựa toàn bộ hoặc một phần vào việc chi trả tiền lương và thù lao cho quan chức đó bởi Liên minh.204 Trong </w:t>
      </w:r>
      <w:r>
        <w:rPr>
          <w:b w:val="0"/>
          <w:i/>
        </w:rPr>
        <w:t>Bourges-Maunoury</w:t>
      </w:r>
      <w:r>
        <w:rPr>
          <w:b w:val="0"/>
          <w:i w:val="0"/>
        </w:rPr>
        <w:t xml:space="preserve">,205 tòa án đã làm rõ rằng có sự phân biệt rõ ràng giữa thu nhập có nguồn gốc quốc gia, thuộc thẩm quyền của các cơ quan thuế quốc gia của các Quốc gia Thành viên, và thu nhập do EU chi trả cho các quan chức và nhân viên khác của mình, vốn chỉ chịu sự điều chỉnh của luật EU về mặt thuế. Sự phân chia thẩm quyền tài khóa có đi có lại đó phải loại trừ mọi loại thuế, dù trực tiếp hay gián tiếp, đánh trên thu nhập không thuộc thẩm quyền của các Quốc gia Thành viên. Do đó, liên quan đến Thuế Tài sản của Pháp, việc bao gồm thu nhập do EU chi trả đã làm tăng số thu nhập của người nộp đơn, và do đó làm tăng số thuế phải nộp gây bất lợi cho quan chức hoặc nhân viên khác của EU, vi phạm quyền miễn trừ. Mặt khác, trong </w:t>
      </w:r>
      <w:r>
        <w:rPr>
          <w:b w:val="0"/>
          <w:i/>
        </w:rPr>
        <w:t>Minister delegate for the budget v Marlène Pazdziej</w:t>
      </w:r>
      <w:r>
        <w:rPr>
          <w:b w:val="0"/>
          <w:i w:val="0"/>
        </w:rPr>
        <w:t xml:space="preserve">,206 ECJ đã phán quyết rằng tiền lương của EU có thể được tính đến khi xác định giới hạn trên của nghĩa vụ nộp thuế cư trú của Pháp. Loại thuế này được áp đặt lên những người có quyền sử dụng độc quyền, hoặc có quyền định đoạt độc quyền, bất động sản nhà ở tại Pháp. Loại thuế này không tương đương với việc đánh thuế dựa trên tiền lương do EU chi trả, và các nhân viên EU có thể được hưởng các khoản giảm trừ dựa trên mức thu nhập của họ giống như những người nộp thuế khác. Tòa án đã phán quyết rằng, không giống như </w:t>
      </w:r>
      <w:r>
        <w:rPr>
          <w:b w:val="0"/>
          <w:i/>
        </w:rPr>
        <w:t>Bourges-Maunoury</w:t>
      </w:r>
      <w:r>
        <w:rPr>
          <w:b w:val="0"/>
          <w:i w:val="0"/>
        </w:rPr>
        <w:t>, tác động của loại thuế đó không phải là đánh thuế gián tiếp lên thu nhập của các quan chức EU.</w:t>
      </w:r>
    </w:p>
    <w:p>
      <w:pPr>
        <w:spacing w:after="80"/>
      </w:pPr>
      <w:r>
        <w:rPr>
          <w:b w:val="0"/>
          <w:i w:val="0"/>
        </w:rPr>
        <w:t>Động sản thuộc sở hữu của các quan chức và nhân viên như vậy và nằm ở quốc gia nơi họ đang lưu trú được miễn thuế thừa kế tại quốc gia đó. Những tài sản như vậy được coi là nằm ở quốc gia được coi là nơi cư trú thuế cho mục đích thuế thừa kế, tùy thuộc vào quyền của các quốc gia thứ ba và khả năng áp dụng các hiệp định thuế.207 Nghị viện Châu Âu và Hội đồng, hành động thông qua các quy định theo thủ tục lập pháp thông thường, và sau khi tham vấn các thể chế hữu quan khác, có quyền độc quyền xác định các loại quan chức và nhân viên khác của Liên minh được áp dụng quyền miễn trừ, toàn phần hoặc một phần.208</w:t>
      </w:r>
    </w:p>
    <w:p>
      <w:pPr>
        <w:spacing w:after="80"/>
      </w:pPr>
      <w:r>
        <w:rPr>
          <w:b w:val="0"/>
          <w:i w:val="0"/>
        </w:rPr>
        <w:t>Trong mọi trường hợp, quyền này áp dụng cho Chủ tịch Hội đồng Châu Âu và các Thành viên của</w:t>
      </w:r>
    </w:p>
    <w:p>
      <w:pPr>
        <w:spacing w:after="80"/>
      </w:pPr>
      <w:r>
        <w:rPr>
          <w:b w:val="0"/>
          <w:i w:val="0"/>
        </w:rPr>
        <w:t>của Các Nhân viên Khác của Cộng đồng Châu Âu và thiết lập các biện pháp đặc biệt tạm thời áp dụng cho các quan chức của Ủy ban (OJ L 56, 4.3.1968, tr. 1-7).203.</w:t>
      </w:r>
      <w:r>
        <w:rPr>
          <w:b w:val="0"/>
          <w:i/>
        </w:rPr>
        <w:t>VanNidekvInspecteurderRegistratieenSuccessie</w:t>
      </w:r>
      <w:r>
        <w:rPr>
          <w:b w:val="0"/>
          <w:i w:val="0"/>
        </w:rPr>
        <w:t>(Vụ án C-7/74)[1974]ECR757;[1975]1CMLR 192.204.</w:t>
      </w:r>
      <w:r>
        <w:rPr>
          <w:b w:val="0"/>
          <w:i/>
        </w:rPr>
        <w:t>Humblet v Belgium</w:t>
      </w:r>
      <w:r>
        <w:rPr>
          <w:b w:val="0"/>
          <w:i w:val="0"/>
        </w:rPr>
        <w:t xml:space="preserve"> (Vụ án C-6/60) [1960] ECR 559.205.</w:t>
      </w:r>
      <w:r>
        <w:rPr>
          <w:b w:val="0"/>
          <w:i/>
        </w:rPr>
        <w:t>Bourges-MaunouryvDirectiondesservicesfiscauxd’Eure-et-Loir</w:t>
      </w:r>
      <w:r>
        <w:rPr>
          <w:b w:val="0"/>
          <w:i w:val="0"/>
        </w:rPr>
        <w:t>(Vụ án C-558/10)ECLI:EU:C:2012:418; [2012] STC 2205.206.</w:t>
      </w:r>
      <w:r>
        <w:rPr>
          <w:b w:val="0"/>
          <w:i/>
        </w:rPr>
        <w:t>Minister delegate for the budget v Marlène Pazdziej</w:t>
      </w:r>
      <w:r>
        <w:rPr>
          <w:b w:val="0"/>
          <w:i w:val="0"/>
        </w:rPr>
        <w:t xml:space="preserve"> (Vụ án C-349/14) ECLI:EU:C:2015:338.207.Nghị định thư thứ 7, điều 12.208.Nghị định thư thứ 7, Điều 15;</w:t>
      </w:r>
      <w:r>
        <w:rPr>
          <w:b w:val="0"/>
          <w:i/>
        </w:rPr>
        <w:t xml:space="preserve"> AB v Finanzamt für den 6., 7. und 15. Bezirk</w:t>
      </w:r>
      <w:r>
        <w:rPr>
          <w:b w:val="0"/>
          <w:i w:val="0"/>
        </w:rPr>
        <w:t xml:space="preserve"> (Vụ án C-288/04) [2005] ECRI-7837.</w:t>
      </w:r>
    </w:p>
    <w:p>
      <w:pPr>
        <w:spacing w:after="80"/>
      </w:pPr>
      <w:r>
        <w:rPr>
          <w:b w:val="0"/>
          <w:i w:val="0"/>
        </w:rPr>
        <w:t>104</w:t>
      </w:r>
    </w:p>
    <w:p>
      <w:pPr>
        <w:spacing w:after="80"/>
      </w:pPr>
      <w:r>
        <w:rPr>
          <w:b w:val="0"/>
          <w:i w:val="0"/>
        </w:rPr>
        <w:t>Ủy ban209 và cho các Thẩm phán, các Tổng Biện lý, các Thư ký và các Trợ lý Báo cáo viên của Tòa án Công lý.210</w:t>
      </w:r>
    </w:p>
    <w:p>
      <w:pPr>
        <w:spacing w:after="80"/>
      </w:pPr>
      <w:r>
        <w:rPr>
          <w:b w:val="0"/>
          <w:i w:val="0"/>
        </w:rPr>
        <w:t>Các quan chức và nhân viên khác như vậy phải tuân theo các quy tắc cư trú được coi là áp dụng cho mục đích áp dụng thuế thu nhập, thuế tài sản và thuế thừa kế cũng như trong việc áp dụng các hiệp định thuế giữa các Quốc gia Thành viên EU. Các quan chức và nhân viên, chỉ vì lý do thực hiện nhiệm vụ của họ trong công vụ của Liên minh, thiết lập nơi cư trú của họ trên lãnh thổ của một Quốc gia Thành viên khác với quốc gia nơi họ có hộ khẩu thường trú cho mục đích thuế vào thời điểm bắt đầu phục vụ Liên minh, được coi là có hộ khẩu thường trú (tức là, cư trú thuế) tại Quốc gia Thành viên gốc của họ. Quy tắc cư trú được coi là này áp dụng cả ở quốc gia nơi họ thực sự cư trú và ở Quốc gia Thành viên gốc của họ. Vợ/chồng có cùng nơi cư trú thuế được coi là như vậy, trong phạm vi họ không hành nghề kiếm lợi riêng, cũng như con cái phụ thuộc.211</w:t>
      </w:r>
    </w:p>
    <w:p>
      <w:pPr>
        <w:spacing w:after="80"/>
      </w:pPr>
      <w:r>
        <w:rPr>
          <w:b w:val="0"/>
          <w:i w:val="0"/>
        </w:rPr>
        <w:t xml:space="preserve">Trong </w:t>
      </w:r>
      <w:r>
        <w:rPr>
          <w:b w:val="0"/>
          <w:i/>
        </w:rPr>
        <w:t xml:space="preserve"> van Rosendaal v Staatssecretaris van Financiën,</w:t>
      </w:r>
      <w:r>
        <w:rPr>
          <w:b w:val="0"/>
          <w:i w:val="0"/>
        </w:rPr>
        <w:t>212 người ta đã phán quyết rằng các quan chức không có quyền lựa chọn việc thiết lập nơi cư trú cho mục đích thuế. Trong trường hợp đó, tòa án đã phán quyết rằng ý định của một quan chức muốn chuyển hộ khẩu thường trú của mình đến Quốc gia Thành viên nơi thực hiện nhiệm vụ của mình không thể được xem xét khi xem xét liệu ông ta có thiết lập nơi cư trú của mình chỉ vì lý do thực hiện nhiệm vụ của mình hay không, trừ khi ông ta chứng minh rằng ông ta đã thực hiện các bước để chuyển hộ khẩu thường trú bất kể việc gia nhập công vụ EU.</w:t>
      </w:r>
    </w:p>
    <w:p>
      <w:pPr>
        <w:spacing w:after="80"/>
      </w:pPr>
      <w:r>
        <w:rPr>
          <w:b w:val="0"/>
          <w:i w:val="0"/>
        </w:rPr>
        <w:t xml:space="preserve">Trong </w:t>
      </w:r>
      <w:r>
        <w:rPr>
          <w:b w:val="0"/>
          <w:i/>
        </w:rPr>
        <w:t xml:space="preserve"> de Lobkowicz v Ministère des Finances et des Comptes publics</w:t>
      </w:r>
      <w:r>
        <w:rPr>
          <w:b w:val="0"/>
          <w:i w:val="0"/>
        </w:rPr>
        <w:t>, Tòa án đã phán quyết rằng các khoản đóng góp an sinh xã hội của Pháp không thể được áp đặt lên một công dân Pháp và cư dân là quan chức của Ủy ban, đối với thu nhập từ cho thuê tài sản tại Pháp. Các quan chức của Ủy ban chỉ thuộc chế độ an sinh xã hội chung của các thể chế EU. Điều này đúng bất chấp lập luận của Chính phủ Pháp rằng các khoản đóng góp là 'thuế' được đánh trên thu nhập từ bất động sản, không phải trên thu nhập từ lao động, và không trực tiếp tạo ra bất kỳ khoản trợ cấp nào để đáp lại hoặc bất kỳ lợi ích nào về mặt trợ cấp an sinh xã hội.213</w:t>
      </w:r>
    </w:p>
    <w:p>
      <w:pPr>
        <w:spacing w:after="80"/>
      </w:pPr>
      <w:r>
        <w:rPr>
          <w:b w:val="0"/>
          <w:i w:val="0"/>
        </w:rPr>
        <w:t>Vị thế thuế hậu Brexit của các cá nhân từng phục vụ trong các thể chế EU được đề cập trong Thỏa thuận Rút lui. Những cá nhân như vậy đã gia nhập công vụ của EU trước khi kết thúc giai đoạn chuyển tiếp với tư cách là thành viên của các thể chế EU, các quan chức và nhân viên khác thuộc bất kỳ quốc tịch nào, tiếp tục được hưởng một số đặc quyền thuế hạn chế nhất định, bất kể việc phục vụ của họ tại EU có tiếp tục sau đó hay không. Việc miễn thuế thừa kế đối với động sản theo Nghị định thư thứ 7, điều 12 sẽ tiếp tục sau khi kết thúc giai đoạn chuyển tiếp.214 Tương tự, hộ khẩu thường trú được coi là của họ cho mục đích này theo Nghị định thư thứ 7, điều 12 sẽ tiếp tục.215 Điều tương tự cũng áp dụng cho vợ/chồng của họ không hành nghề kiếm lợi riêng và con cái phụ thuộc.</w:t>
      </w:r>
    </w:p>
    <w:p>
      <w:pPr>
        <w:spacing w:after="80"/>
      </w:pPr>
      <w:r>
        <w:rPr>
          <w:b w:val="0"/>
          <w:i w:val="0"/>
        </w:rPr>
        <w:t>209.Nghị định thư thứ 7, Điều 19.210.Nghị định thư thứ 7, Điều 20.211.Nghị định thư thứ 7, Điều 13.212.</w:t>
      </w:r>
      <w:r>
        <w:rPr>
          <w:b w:val="0"/>
          <w:i/>
        </w:rPr>
        <w:t>M. Jansen van Rosendaal v Staatssecretaris van Financiën</w:t>
      </w:r>
      <w:r>
        <w:rPr>
          <w:b w:val="0"/>
          <w:i w:val="0"/>
        </w:rPr>
        <w:t xml:space="preserve"> (Vụ án C-88/92) [1993] ECR I-3315.213.</w:t>
      </w:r>
      <w:r>
        <w:rPr>
          <w:b w:val="0"/>
          <w:i/>
        </w:rPr>
        <w:t>WenceslasdeLobkowiczvMinistèredesFinancesetdesComptespublics</w:t>
      </w:r>
      <w:r>
        <w:rPr>
          <w:b w:val="0"/>
          <w:i w:val="0"/>
        </w:rPr>
        <w:t>(Vụ án C-690/15)ECLI:EU:C:2017:355.214.Thỏa thuận Rút lui, điều 111.215.Thỏa thuận Rút lui, điều 111.</w:t>
      </w:r>
    </w:p>
    <w:p>
      <w:pPr>
        <w:spacing w:after="80"/>
      </w:pPr>
      <w:r>
        <w:rPr>
          <w:b w:val="0"/>
          <w:i w:val="0"/>
        </w:rPr>
        <w:t>105</w:t>
      </w:r>
    </w:p>
    <w:p>
      <w:pPr>
        <w:spacing w:before="240" w:after="80"/>
      </w:pPr>
      <w:r>
        <w:rPr>
          <w:b/>
          <w:sz w:val="32"/>
        </w:rPr>
        <w:t>CHƯƠNG 4 Giải thích các Hiệp định Thuế</w:t>
      </w:r>
    </w:p>
    <w:p>
      <w:pPr>
        <w:spacing w:after="80"/>
      </w:pPr>
      <w:r>
        <w:rPr>
          <w:b/>
          <w:i w:val="0"/>
        </w:rPr>
        <w:t>§4.01 GIỚI THIỆU</w:t>
      </w:r>
    </w:p>
    <w:p>
      <w:pPr>
        <w:spacing w:after="80"/>
      </w:pPr>
      <w:r>
        <w:rPr>
          <w:b w:val="0"/>
          <w:i w:val="0"/>
        </w:rPr>
        <w:t>Việc giải thích các hiệp định thuế là một chủ đề đã nhận được sự quan tâm đáng kể trong nhiều năm qua. Điểm khởi đầu của hầu hết các phân tích là liệu các hiệp định về bản chất có phải là hợp đồng hay là một hình thức ban hành luật. Do đó, liệu chúng có nên tuân theo các quy tắc giải thích luật thông thường hay không, hay chúng nên được giải thích theo các quy tắc của luật quốc tế áp dụng cho việc giải thích các thỏa thuận quốc tế? Liệu chúng có nên được giải thích theo cùng cách như bất kỳ luật tài chính nào khác hay có các quy tắc cụ thể?</w:t>
      </w:r>
    </w:p>
    <w:p>
      <w:pPr>
        <w:spacing w:after="80"/>
      </w:pPr>
      <w:r>
        <w:rPr>
          <w:b w:val="0"/>
          <w:i w:val="0"/>
        </w:rPr>
        <w:t>Khó khăn trong việc đi đến bất kỳ kết luận nào là các hiệp định, trên thực tế, là cả hai. Chúng là các thỏa thuận giữa các quốc gia có chủ quyền, nhưng theo các quy tắc hiến pháp của Vương quốc Anh, để có hiệu lực theo luật trong nước, chúng cũng có được địa vị của các văn bản lập pháp. Tính hai mặt về địa vị này đã khiến một số người kết luận rằng các hiệp định phải được giải thích ở cả hai cấp độ và các quy tắc khác nhau có thể áp dụng ở mỗi cấp độ. Các hiệp định thuế được giải thích bởi các tòa án trong nước chứ không phải các tòa án siêu quốc gia (ngoại trừ Tòa án Công lý của Liên minh Châu Âu (CJEU), mà cho đến nay phần lớn đã kiềm chế không giải thích).</w:t>
      </w:r>
    </w:p>
    <w:p>
      <w:pPr>
        <w:spacing w:after="80"/>
      </w:pPr>
      <w:r>
        <w:rPr>
          <w:b w:val="0"/>
          <w:i w:val="0"/>
        </w:rPr>
        <w:t xml:space="preserve">Các quy tắc giải thích điều ước khác với các quy tắc giải thích luật nội địa như thế nào? Trong </w:t>
      </w:r>
      <w:r>
        <w:rPr>
          <w:b w:val="0"/>
          <w:i/>
        </w:rPr>
        <w:t>Steele v EVC International NV (trước đây là European Vinyls Corp (Holdings) BV)</w:t>
      </w:r>
      <w:r>
        <w:rPr>
          <w:b w:val="0"/>
          <w:i w:val="0"/>
        </w:rPr>
        <w:t xml:space="preserve">,1 Morritt LJ nhận xét2 rằng còn phải tranh luận liệu các nguyên tắc mà Mummery J đưa ra có khác với những nguyên tắc hiện được áp dụng khi giải thích luật nội địa hay không. Vì vụ </w:t>
      </w:r>
      <w:r>
        <w:rPr>
          <w:b w:val="0"/>
          <w:i/>
        </w:rPr>
        <w:t>EVC</w:t>
      </w:r>
      <w:r>
        <w:rPr>
          <w:b w:val="0"/>
          <w:i w:val="0"/>
        </w:rPr>
        <w:t xml:space="preserve"> liên quan đến việc giải thích các quy định của luật nội địa được đưa vào điều ước bằng cách dẫn chiếu, nên bình luận của Morritt LJ không làm sáng tỏ thêm vấn đề này.</w:t>
      </w:r>
    </w:p>
    <w:p>
      <w:pPr>
        <w:spacing w:after="80"/>
      </w:pPr>
      <w:r>
        <w:rPr>
          <w:b w:val="0"/>
          <w:i w:val="0"/>
        </w:rPr>
        <w:t xml:space="preserve">1. </w:t>
      </w:r>
      <w:r>
        <w:rPr>
          <w:b w:val="0"/>
          <w:i/>
        </w:rPr>
        <w:t>Steele v EVC International NV (trước đây là European Vinyls Corp (Holdings) BV)</w:t>
      </w:r>
      <w:r>
        <w:rPr>
          <w:b w:val="0"/>
          <w:i w:val="0"/>
        </w:rPr>
        <w:t xml:space="preserve"> [1996] BTC 425; [1996] STC 785, CA. 2. Tại 797g.</w:t>
      </w:r>
    </w:p>
    <w:p>
      <w:pPr>
        <w:spacing w:after="80"/>
      </w:pPr>
      <w:r>
        <w:rPr>
          <w:b w:val="0"/>
          <w:i w:val="0"/>
        </w:rPr>
        <w:t>107</w:t>
      </w:r>
    </w:p>
    <w:p>
      <w:pPr>
        <w:spacing w:after="80"/>
      </w:pPr>
      <w:r>
        <w:rPr>
          <w:b w:val="0"/>
          <w:i w:val="0"/>
        </w:rPr>
        <w:t>Một số tác giả đã nhanh chóng phát hiện ra những điểm không nhất quán trong cách tiếp cận của tòa án. Thực tế là có một hệ thống luật riêng liên quan đến việc giải thích các điều ước, và hệ thống này ít nhiều có trùng lặp với các quy tắc áp dụng cho việc giải thích các đạo luật thuế. Ở chỗ chúng trùng lặp, ít khi phát sinh khó khăn – ở chỗ chúng không trùng lặp, một hệ thống quy tắc riêng biệt sẽ được áp dụng.</w:t>
      </w:r>
    </w:p>
    <w:p>
      <w:pPr>
        <w:spacing w:after="80"/>
      </w:pPr>
      <w:r>
        <w:rPr>
          <w:b w:val="0"/>
          <w:i w:val="0"/>
        </w:rPr>
        <w:t xml:space="preserve">Các tòa án theo truyền thống đã nêu quan điểm rằng điều ước là những thỏa thuận và phải được giải thích theo những quy tắc cụ thể. Ví dụ, trong </w:t>
      </w:r>
      <w:r>
        <w:rPr>
          <w:b w:val="0"/>
          <w:i/>
        </w:rPr>
        <w:t>Belgium Government v Postlethwaite</w:t>
      </w:r>
      <w:r>
        <w:rPr>
          <w:b w:val="0"/>
          <w:i w:val="0"/>
        </w:rPr>
        <w:t>,3 Lord Bridge of Horwich nói rằng:4</w:t>
      </w:r>
    </w:p>
    <w:p>
      <w:pPr>
        <w:spacing w:after="80"/>
      </w:pPr>
      <w:r>
        <w:rPr>
          <w:b w:val="0"/>
          <w:i w:val="0"/>
        </w:rPr>
        <w:t>Một điều ước là ‘hợp đồng giữa hai quốc gia có chủ quyền và phải được giải thích như một hợp đồng như vậy. Sẽ là sai lầm nếu nghĩ rằng nó được giải thích như thể nó là một đạo luật nội địa’ [</w:t>
      </w:r>
      <w:r>
        <w:rPr>
          <w:b w:val="0"/>
          <w:i/>
        </w:rPr>
        <w:t>R v Governor of Ashford Remand Centre, ex parte Beese</w:t>
      </w:r>
      <w:r>
        <w:rPr>
          <w:b w:val="0"/>
          <w:i w:val="0"/>
        </w:rPr>
        <w:t xml:space="preserve"> [1973] 3 All ER 250 tại 254 theo Lord Widgery CJ] … Phải nhớ rằng các quyền và nghĩa vụ có đi có lại mà các bên ký kết cấp cao trao cho nhau và chấp nhận đều nhằm phục vụ … [một mục đích nhất định]. Nếu áp dụng … cho các điều ước những quy tắc nghiêm ngặt vốn phù hợp với việc giải thích luật nội địa thì thường sẽ làm thất bại mục đích này thay vì phục vụ nó.</w:t>
      </w:r>
    </w:p>
    <w:p>
      <w:pPr>
        <w:spacing w:after="80"/>
      </w:pPr>
      <w:r>
        <w:rPr>
          <w:b w:val="0"/>
          <w:i w:val="0"/>
        </w:rPr>
        <w:t xml:space="preserve">Tương tự, trong bối cảnh điều ước thuế, Harman J nói trong </w:t>
      </w:r>
      <w:r>
        <w:rPr>
          <w:b w:val="0"/>
          <w:i/>
        </w:rPr>
        <w:t>Union Texas Petroleum Corp. v Critchley</w:t>
      </w:r>
      <w:r>
        <w:rPr>
          <w:b w:val="0"/>
          <w:i w:val="0"/>
        </w:rPr>
        <w:t>:5</w:t>
      </w:r>
    </w:p>
    <w:p>
      <w:pPr>
        <w:spacing w:after="80"/>
      </w:pPr>
      <w:r>
        <w:rPr>
          <w:b w:val="0"/>
          <w:i w:val="0"/>
        </w:rPr>
        <w:t xml:space="preserve">Tôi cho rằng mình nên lưu tâm rằng hiệp định đánh thuế hai lần này là một thỏa thuận. Nó không phải là một đạo luật thuế, mặc dù nó là một thỏa thuận về cách thức đánh thuế. Trên cơ sở đó, theo phán quyết của tôi, thỏa thuận này nên được giải thích theo </w:t>
      </w:r>
      <w:r>
        <w:rPr>
          <w:b w:val="0"/>
          <w:i/>
        </w:rPr>
        <w:t>ut res magis valet quam pereat</w:t>
      </w:r>
      <w:r>
        <w:rPr>
          <w:b w:val="0"/>
          <w:i w:val="0"/>
        </w:rPr>
        <w:t>, như mọi thỏa thuận khác. Việc các bên là ‘các bên ký kết cấp cao’, theo cách gọi cũ, không làm thay đổi cách mà tòa án nên tiếp cận việc giải thích bất kỳ thỏa thuận nào.</w:t>
      </w:r>
    </w:p>
    <w:p>
      <w:pPr>
        <w:spacing w:after="80"/>
      </w:pPr>
      <w:r>
        <w:rPr>
          <w:b w:val="0"/>
          <w:i w:val="0"/>
        </w:rPr>
        <w:t xml:space="preserve">Bất chấp những bình luận này, chỉ một đoạn sau, Harman J lại dựa vào bình luận của Lord Dunedin trong </w:t>
      </w:r>
      <w:r>
        <w:rPr>
          <w:b w:val="0"/>
          <w:i/>
        </w:rPr>
        <w:t>Whitney v IRC</w:t>
      </w:r>
      <w:r>
        <w:rPr>
          <w:b w:val="0"/>
          <w:i w:val="0"/>
        </w:rPr>
        <w:t>,6 một vụ án liên quan đến việc giải thích luật nội địa, để lập luận rằng ‘một đạo luật được thiết kế để có thể vận hành được, và việc tòa án giải thích nó phải nhằm đảm bảo mục tiêu đó’.</w:t>
      </w:r>
    </w:p>
    <w:p>
      <w:pPr>
        <w:spacing w:after="80"/>
      </w:pPr>
      <w:r>
        <w:rPr>
          <w:b w:val="0"/>
          <w:i w:val="0"/>
        </w:rPr>
        <w:t xml:space="preserve">Những phát biểu này hữu ích đến mức nào và ý nghĩa chính xác của chúng ra sao thì còn lâu mới rõ ràng. Các tòa án đã áp dụng cách tiếp cận phóng khoáng trong việc giải thích các điều ước quốc tế từ khá lâu. Trong </w:t>
      </w:r>
      <w:r>
        <w:rPr>
          <w:b w:val="0"/>
          <w:i/>
        </w:rPr>
        <w:t>Re Arton (No. 2)</w:t>
      </w:r>
      <w:r>
        <w:rPr>
          <w:b w:val="0"/>
          <w:i w:val="0"/>
        </w:rPr>
        <w:t>,7 Lord Russell CJ nói:</w:t>
      </w:r>
    </w:p>
    <w:p>
      <w:pPr>
        <w:spacing w:after="80"/>
      </w:pPr>
      <w:r>
        <w:rPr>
          <w:b w:val="0"/>
          <w:i w:val="0"/>
        </w:rPr>
        <w:t>Theo phán quyết của tôi, những điều ước này nên được giải thích một cách phóng khoáng … điều đó không có nghĩa gì hơn là chúng phải được giải thích đúng theo ngôn từ, mục tiêu và ý định của chúng.</w:t>
      </w:r>
    </w:p>
    <w:p>
      <w:pPr>
        <w:spacing w:after="80"/>
      </w:pPr>
      <w:r>
        <w:rPr>
          <w:b w:val="0"/>
          <w:i w:val="0"/>
        </w:rPr>
        <w:t xml:space="preserve">Sau đó, khi giải thích </w:t>
      </w:r>
      <w:r>
        <w:rPr>
          <w:b w:val="0"/>
          <w:i/>
        </w:rPr>
        <w:t>Carriage of Goods by Sea Act</w:t>
      </w:r>
      <w:r>
        <w:rPr>
          <w:b w:val="0"/>
          <w:i w:val="0"/>
        </w:rPr>
        <w:t xml:space="preserve"> 1924, đạo luật đã thông qua các Quy tắc Hague, trong </w:t>
      </w:r>
      <w:r>
        <w:rPr>
          <w:b w:val="0"/>
          <w:i/>
        </w:rPr>
        <w:t>Stag Line Limited v Foscolo, Mango and Co.</w:t>
      </w:r>
      <w:r>
        <w:rPr>
          <w:b w:val="0"/>
          <w:i w:val="0"/>
        </w:rPr>
        <w:t>,8 Lord MacMillan nói:</w:t>
      </w:r>
    </w:p>
    <w:p>
      <w:pPr>
        <w:spacing w:after="80"/>
      </w:pPr>
      <w:r>
        <w:rPr>
          <w:b w:val="0"/>
          <w:i w:val="0"/>
        </w:rPr>
        <w:t xml:space="preserve">3. </w:t>
      </w:r>
      <w:r>
        <w:rPr>
          <w:b w:val="0"/>
          <w:i/>
        </w:rPr>
        <w:t>Belgium Government v Postlethwaite</w:t>
      </w:r>
      <w:r>
        <w:rPr>
          <w:b w:val="0"/>
          <w:i w:val="0"/>
        </w:rPr>
        <w:t xml:space="preserve"> [1987] 2 All ER 985, HL. 4. Tại 991. 5. </w:t>
      </w:r>
      <w:r>
        <w:rPr>
          <w:b w:val="0"/>
          <w:i/>
        </w:rPr>
        <w:t>Union Texas Petroleum Corp. v Critchley (Inspector of Taxes)</w:t>
      </w:r>
      <w:r>
        <w:rPr>
          <w:b w:val="0"/>
          <w:i w:val="0"/>
        </w:rPr>
        <w:t xml:space="preserve"> [1988] BTC 405; [1988] STC 691, tại 707, Ch. D. 6. </w:t>
      </w:r>
      <w:r>
        <w:rPr>
          <w:b w:val="0"/>
          <w:i/>
        </w:rPr>
        <w:t>Whitney v Inland Revenue Commissioners</w:t>
      </w:r>
      <w:r>
        <w:rPr>
          <w:b w:val="0"/>
          <w:i w:val="0"/>
        </w:rPr>
        <w:t xml:space="preserve"> (1924-26) 10 TC 88; [1926] AC 37. 7. </w:t>
      </w:r>
      <w:r>
        <w:rPr>
          <w:b w:val="0"/>
          <w:i/>
        </w:rPr>
        <w:t>Re Arton (No. 2)</w:t>
      </w:r>
      <w:r>
        <w:rPr>
          <w:b w:val="0"/>
          <w:i w:val="0"/>
        </w:rPr>
        <w:t xml:space="preserve"> [1896] 1 QB 509, tại 517. 8. </w:t>
      </w:r>
      <w:r>
        <w:rPr>
          <w:b w:val="0"/>
          <w:i/>
        </w:rPr>
        <w:t>Stag Line Limited v Foscolo, Mango and Co.</w:t>
      </w:r>
      <w:r>
        <w:rPr>
          <w:b w:val="0"/>
          <w:i w:val="0"/>
        </w:rPr>
        <w:t xml:space="preserve"> [1932] AC 328, HL.</w:t>
      </w:r>
    </w:p>
    <w:p>
      <w:pPr>
        <w:spacing w:after="80"/>
      </w:pPr>
      <w:r>
        <w:rPr>
          <w:b w:val="0"/>
          <w:i w:val="0"/>
        </w:rPr>
        <w:t>108</w:t>
      </w:r>
    </w:p>
    <w:p>
      <w:pPr>
        <w:spacing w:after="80"/>
      </w:pPr>
      <w:r>
        <w:rPr>
          <w:b w:val="0"/>
          <w:i w:val="0"/>
        </w:rPr>
        <w:t>Điều quan trọng cần nhớ là Act of 1924 là kết quả của một hội nghị quốc tế và các quy tắc trong Schedule có tính quốc tế. Vì những quy tắc này phải được các tòa án nước ngoài xem xét, nên vì lợi ích của sự thống nhất, việc giải thích chúng không nên bị kiểm soát một cách cứng nhắc bởi các án lệ nội địa có từ trước, mà thay vào đó ngôn ngữ của các quy tắc nên được giải thích theo những nguyên tắc chung được chấp nhận rộng rãi.</w:t>
      </w:r>
    </w:p>
    <w:p>
      <w:pPr>
        <w:spacing w:after="80"/>
      </w:pPr>
      <w:r>
        <w:rPr>
          <w:b w:val="0"/>
          <w:i w:val="0"/>
        </w:rPr>
        <w:t>Cách tiếp cận này đã được Lord Atkin áp dụng, ông nói:9</w:t>
      </w:r>
    </w:p>
    <w:p>
      <w:pPr>
        <w:spacing w:after="80"/>
      </w:pPr>
      <w:r>
        <w:rPr>
          <w:b w:val="0"/>
          <w:i w:val="0"/>
        </w:rPr>
        <w:t>Đểđảmbảotínhnhấtquán,dođó,điềuquantrọnglàcácTòaánchỉnênxemxétcác từngữđượcsửdụngmàkhôngcóthiênvịgìđốivớiluật(Anh)trướcđây,luôngiữquyền nóirằngcáctừngữđượcsửdụngtrongtiếngAnhđãđượcdiễngiảitưpháp trongngữcảnhcụthểcóthểđượcgiảđịnhlàsửdụngtheonghĩađãđượctưphápquyđịnh.</w:t>
      </w:r>
    </w:p>
    <w:p>
      <w:pPr>
        <w:spacing w:after="80"/>
      </w:pPr>
      <w:r>
        <w:rPr>
          <w:b w:val="0"/>
          <w:i w:val="0"/>
        </w:rPr>
        <w:t>Cáchtiếpcận nàуđãđượctuântheotrongmộtsốvụánliênquanđếncách iệpướckhôngliênquanthuế.10Trong</w:t>
      </w:r>
      <w:r>
        <w:rPr>
          <w:b w:val="0"/>
          <w:i/>
        </w:rPr>
        <w:t>JamesBuchananandCo.vBabcoLtd,</w:t>
      </w:r>
      <w:r>
        <w:rPr>
          <w:b w:val="0"/>
          <w:i w:val="0"/>
        </w:rPr>
        <w:t>11TửtướcDilhornenói:</w:t>
      </w:r>
    </w:p>
    <w:p>
      <w:pPr>
        <w:spacing w:after="80"/>
      </w:pPr>
      <w:r>
        <w:rPr>
          <w:b w:val="0"/>
          <w:i w:val="0"/>
        </w:rPr>
        <w:t>Khigiảithíchcácđiềukhoảncủamộtcôngước,theotôi,việclưuýđếnsựthật rằngcáccôngướcthườngđượcdiễnđạtlỏnglẻohơncácđạoluậtcủaNghịviệnlàđúngđắnvàthíchhợp.Việcgiảithíchcôngướcchặtchẽnhưmộtđạoluậtcóthểthực sựdẫnđếnviệcđưaramộtcáchhiểusai.</w:t>
      </w:r>
    </w:p>
    <w:p>
      <w:pPr>
        <w:spacing w:after="80"/>
      </w:pPr>
      <w:r>
        <w:rPr>
          <w:b/>
          <w:i w:val="0"/>
        </w:rPr>
        <w:t>§4.02CÔNGƯỚCVIENNAVỀLUẬTĐIỀUƯỚC</w:t>
      </w:r>
    </w:p>
    <w:p>
      <w:pPr>
        <w:spacing w:after="80"/>
      </w:pPr>
      <w:r>
        <w:rPr>
          <w:b w:val="0"/>
          <w:i w:val="0"/>
        </w:rPr>
        <w:t>Dùcác cáchtiếpcậntrướcđâyđốivớiviệcgiảithíchđiềuướclàgì,chúngđãtrởnên ítquantrọnghơnkểtừkhikýkếtCôngướcViennavềLuậtĐiềuước(VCLT).Trong</w:t>
      </w:r>
      <w:r>
        <w:rPr>
          <w:b w:val="0"/>
          <w:i/>
        </w:rPr>
        <w:t>FothergillvMonarchAirlinesLimited</w:t>
      </w:r>
      <w:r>
        <w:rPr>
          <w:b w:val="0"/>
          <w:i w:val="0"/>
        </w:rPr>
        <w:t>,12LãnhchúaLordDiplocknói:</w:t>
      </w:r>
    </w:p>
    <w:p>
      <w:pPr>
        <w:spacing w:after="80"/>
      </w:pPr>
      <w:r>
        <w:rPr>
          <w:b w:val="0"/>
          <w:i w:val="0"/>
        </w:rPr>
        <w:t>Khithựchiệnchứcnănggiảithích…trongtrườnghợpcácĐạoluậtcủaNghịviện nhằmthựcthig iátrịcủacáccôngướ cquốctếđượckýkếtsaukhikýkếtCôngướcVienna vềluậtđiềuước,tôi chorằngmột tòaánAnhcóthểcónghĩavụhiếnđịnhphải[thamkhảo‘travauxpreparatoires’].BằngviệcphêchuẩnCôngướcđó,ChínhphủBệhạđãđảmnhậnmộtnghĩavụquốctếthaymặtVươngquốcAnhđểgiảithíchcácđiềuướctrongtươnglaitheocáchthứcnày,vàvìtheohiếnphápcủachúngta,chứcnănggiảithíchluậtthànhvănlàviệcthựchiệnquyềntưphápvàthuộcvềcácTòaánCônglý,nghĩavụmàVươngquốcAnhđãđảmnhậnsẽđượccáctòaánđóthựchiện.</w:t>
      </w:r>
    </w:p>
    <w:p>
      <w:pPr>
        <w:spacing w:after="80"/>
      </w:pPr>
      <w:r>
        <w:rPr>
          <w:b w:val="0"/>
          <w:i w:val="0"/>
        </w:rPr>
        <w:t>Điều4củaVCLTquyđịnhrằngnóchỉápdụngcho cácđiềuướcđượccácquốcgiakýkếtsaukhicóhiệulựcđốivớicácquốcgiarằng.Nócóhiệulựcvào</w:t>
      </w:r>
    </w:p>
    <w:p>
      <w:pPr>
        <w:spacing w:after="80"/>
      </w:pPr>
      <w:r>
        <w:rPr>
          <w:b w:val="0"/>
          <w:i w:val="0"/>
        </w:rPr>
        <w:t>9.Tại343.10.</w:t>
      </w:r>
      <w:r>
        <w:rPr>
          <w:b w:val="0"/>
          <w:i/>
        </w:rPr>
        <w:t>RiverstoneMeatCo.Pty.LtdvLancashireShippingCo.Ltd</w:t>
      </w:r>
      <w:r>
        <w:rPr>
          <w:b w:val="0"/>
          <w:i w:val="0"/>
        </w:rPr>
        <w:t>[1961]AC807,HL;</w:t>
      </w:r>
      <w:r>
        <w:rPr>
          <w:b w:val="0"/>
          <w:i/>
        </w:rPr>
        <w:t>FothergillvMonarch Airlines Ltd</w:t>
      </w:r>
      <w:r>
        <w:rPr>
          <w:b w:val="0"/>
          <w:i w:val="0"/>
        </w:rPr>
        <w:t xml:space="preserve"> [1981] AC 251, HL.11.</w:t>
      </w:r>
      <w:r>
        <w:rPr>
          <w:b w:val="0"/>
          <w:i/>
        </w:rPr>
        <w:t>James Buchanan and Co. v Babco Ltd,</w:t>
      </w:r>
      <w:r>
        <w:rPr>
          <w:b w:val="0"/>
          <w:i w:val="0"/>
        </w:rPr>
        <w:t xml:space="preserve"> [1978] AC 141 [1973] 3 All ER 1048, HL. See also</w:t>
      </w:r>
      <w:r>
        <w:rPr>
          <w:b w:val="0"/>
          <w:i/>
        </w:rPr>
        <w:t xml:space="preserve"> Secretaryof State for The Home Department, Ex Parte Adan R v Secretary of State for The Home DepartmentEx Parte Aitseguer</w:t>
      </w:r>
      <w:r>
        <w:rPr>
          <w:b w:val="0"/>
          <w:i w:val="0"/>
        </w:rPr>
        <w:t>, [2000] UKHL 67; [2001] 2 WLR 143; [2001] 1 All ER 593.12.</w:t>
      </w:r>
      <w:r>
        <w:rPr>
          <w:b w:val="0"/>
          <w:i/>
        </w:rPr>
        <w:t>Fothergill v Monarch Airlines Limited</w:t>
      </w:r>
      <w:r>
        <w:rPr>
          <w:b w:val="0"/>
          <w:i w:val="0"/>
        </w:rPr>
        <w:t xml:space="preserve"> [1981] A.C. 251, [1980] 3 WLR 209, [1980] 2 All ER 696.</w:t>
      </w:r>
    </w:p>
    <w:p>
      <w:pPr>
        <w:spacing w:after="80"/>
      </w:pPr>
      <w:r>
        <w:rPr>
          <w:b w:val="0"/>
          <w:i w:val="0"/>
        </w:rPr>
        <w:t>109</w:t>
      </w:r>
    </w:p>
    <w:p>
      <w:pPr>
        <w:spacing w:after="80"/>
      </w:pPr>
      <w:r>
        <w:rPr>
          <w:b w:val="0"/>
          <w:i w:val="0"/>
        </w:rPr>
        <w:t>ngày27tháng1năm1980(theongày thứ30saungàynộplưutrữVănbảnPhêchuẩnhoặcGia nhậpthứ35).</w:t>
      </w:r>
    </w:p>
    <w:p>
      <w:pPr>
        <w:spacing w:after="80"/>
      </w:pPr>
      <w:r>
        <w:rPr>
          <w:b w:val="0"/>
          <w:i w:val="0"/>
        </w:rPr>
        <w:t>VươngquốcAnhchỉcònmộtsốítđiềuướcvẫn cònhiệulựcvàđãđượckýkếttrướcngàyđó,vàkhôngphảitấtcảcácquốcgia thamgiacácđiềuướcmớihơnlàthànhviêncủaVCLT.Nhiềuvụánquantrọng,trongđócácquytắcgiảithíchđiềuướcthuếđãđượcxemxétchitiết,liênquanđếncácđiềuướcđượckýkếttrướcngàyđó.Nóimộtcáchchặtchẽ,theođiềukhoảncủanó,VCLTchỉápdụngcho cácđiềuướcđượckýkếtvớicácquốcgiakýkếtlàthànhviêncủaCôngướcVienna.Dođó,việcápdụngVCLTcóbịgiớihạnchocácđiềuướcsau1980giữacácquốcgiakýkếtCôngướcVienna?LãnhchúaLordDiplock,trongvụán</w:t>
      </w:r>
      <w:r>
        <w:rPr>
          <w:b w:val="0"/>
          <w:i/>
        </w:rPr>
        <w:t>Fothergill</w:t>
      </w:r>
      <w:r>
        <w:rPr>
          <w:b w:val="0"/>
          <w:i w:val="0"/>
        </w:rPr>
        <w:t>,lưuýrằngnhữnggìđược nóitrongcácđiều31và32củaVCLTkhônglàmgìhơnngoàiviệcphápluậthóaluậtquốctếcôngđãtồntại.13Trêncơsởnày,cóvẻnhưtrongcáctòaánVươngquốcAnh,sẽcórấtítkhácbiệtvìlýdoCôngướcchỉlàsựphápluậthóaluậtquốctếphongtụcđãtồntại.Tuy nhiên,LãnhchúaFrasercủaTullybeltoncóbảnlưuvềmứcđộgiátrịphápluậtcủacôngướcVienna.Mặtkhác,liệusựphápluậthóaluậtphongtục,ítnhấtlàgiữacácbênthamgiacôngướcVienna,cóđãkìmhãmsựpháttriểncủaluậtquốctếphongtụcthayđổitheosựpháttriển?14Tuynhiên,cácỦyviênĐặcbiệt,trong</w:t>
      </w:r>
      <w:r>
        <w:rPr>
          <w:b w:val="0"/>
          <w:i/>
        </w:rPr>
        <w:t>SmallwoodvHMRC</w:t>
      </w:r>
      <w:r>
        <w:rPr>
          <w:b w:val="0"/>
          <w:i w:val="0"/>
        </w:rPr>
        <w:t>,đãnhậnxét,</w:t>
      </w:r>
      <w:r>
        <w:rPr>
          <w:b w:val="0"/>
          <w:i/>
        </w:rPr>
        <w:t>obiter</w:t>
      </w:r>
      <w:r>
        <w:rPr>
          <w:b w:val="0"/>
          <w:i w:val="0"/>
        </w:rPr>
        <w:t>,rằngbìnhluậnvềcôngướcVienna nóirằng‘Dođó,Ủy ban[LuậtQuốctế]chỉgiớihạnởviệccốgắngtáchravàphápluậthóamộtsốtươngđốíítcácnguyêntắcchungcóvẻtạothànhcácquytắcchungchoviệcgiảithíchđiềuước.’15Cáctòaáncóvẻkhôngbịràngbuộcbởisựcứngnhắccủaviệcphápluậthóa.</w:t>
      </w:r>
    </w:p>
    <w:p>
      <w:pPr>
        <w:spacing w:after="80"/>
      </w:pPr>
      <w:r>
        <w:rPr>
          <w:b/>
          <w:i w:val="0"/>
        </w:rPr>
        <w:t>§4.03CÁCNGUYÊNTẮCCOMMERZBANK</w:t>
      </w:r>
    </w:p>
    <w:p>
      <w:pPr>
        <w:spacing w:after="80"/>
      </w:pPr>
      <w:r>
        <w:rPr>
          <w:b w:val="0"/>
          <w:i w:val="0"/>
        </w:rPr>
        <w:t>Tuyênbốđượctríchdẫnnhiềunhấtvềcáchtiếpcậncủacáctòaánđốivớiviệcgiảithíchđiềuướcthuếđượcđưarabởi</w:t>
      </w:r>
      <w:r>
        <w:rPr>
          <w:b w:val="0"/>
          <w:i/>
        </w:rPr>
        <w:t>IRCvCommerzbankAG</w:t>
      </w:r>
      <w:r>
        <w:rPr>
          <w:b w:val="0"/>
          <w:i w:val="0"/>
        </w:rPr>
        <w:t>16bởiThẩmphánMummery.Điềuướctrongvụánnày,khôngtheođiềukhoản,khôngbịVCLTđiềuchỉnh.Tuynhiên,cácnguyêntắcđượctrìnhbàydựatrêncảcácnguồntruyềnthốngvàCôngướcVienna nhưsau:</w:t>
      </w:r>
    </w:p>
    <w:p>
      <w:pPr>
        <w:spacing w:after="80"/>
      </w:pPr>
      <w:r>
        <w:rPr>
          <w:b w:val="0"/>
          <w:i w:val="0"/>
        </w:rPr>
        <w:t>(1)Trướctiêncầnphảitìmmộtýnghĩarõràngcủacáctừngữđượcsửdụngtrongđiều</w:t>
      </w:r>
    </w:p>
    <w:p>
      <w:pPr>
        <w:spacing w:after="80"/>
      </w:pPr>
      <w:r>
        <w:rPr>
          <w:b w:val="0"/>
          <w:i w:val="0"/>
        </w:rPr>
        <w:t>liênquancủaCôngước,lưuýrằng‘việcxemxétmụcđíchcủamộtvănbảnluậtpháp luônlàmộtphầnchínhđángcủaquátrìnhgiảithích’:theoLãnhchúaLordWilberforce[trong</w:t>
      </w:r>
      <w:r>
        <w:rPr>
          <w:b w:val="0"/>
          <w:i/>
        </w:rPr>
        <w:t>Fothergill</w:t>
      </w:r>
      <w:r>
        <w:rPr>
          <w:b w:val="0"/>
          <w:i w:val="0"/>
        </w:rPr>
        <w:t>]tại tr.272vàLãnhchúaLordScarmantạitr.294.Cáchtiếpcậnchặtchẽtheonghĩađentrongviệcgiảithíchkhôngphùhợpkhigiảithíchphápluật nhằmthựcthig iátrịhoặckếthợp mộtđiềuướcquốctế:theoLãnhchúaLordFrasertạitr.285vàLãnhchúaLordScarmantạitr.290.Mộtcáchgiảithíchtheonghĩađencóthểrõràng</w:t>
      </w:r>
    </w:p>
    <w:p>
      <w:pPr>
        <w:spacing w:after="80"/>
      </w:pPr>
      <w:r>
        <w:rPr>
          <w:b w:val="0"/>
          <w:i w:val="0"/>
        </w:rPr>
        <w:t>13.Tại282.14.</w:t>
      </w:r>
      <w:r>
        <w:rPr>
          <w:b w:val="0"/>
          <w:i/>
        </w:rPr>
        <w:t>Trendtex Trading Corp Ltd v Central Bank of Nigeria</w:t>
      </w:r>
      <w:r>
        <w:rPr>
          <w:b w:val="0"/>
          <w:i w:val="0"/>
        </w:rPr>
        <w:t xml:space="preserve"> [1977] 1 QB 529, CA, trongđóLãnhchúaLordDenningthảoluậnvềbảnchấtđangpháttriểncủaluậtquốctếphongtụcvàkếtluậnrằngcáctòaánthựcthig iátrịnhữngthayđổinàymàkhôngcầnlậpphápluật.15.</w:t>
      </w:r>
      <w:r>
        <w:rPr>
          <w:b w:val="0"/>
          <w:i/>
        </w:rPr>
        <w:t>SmallwoodvRevenueandCustomsCommissioners</w:t>
      </w:r>
      <w:r>
        <w:rPr>
          <w:b w:val="0"/>
          <w:i w:val="0"/>
        </w:rPr>
        <w:t>[2008]UKSPCSPC669(2008)SpC669,[2008] STC (SCD) 629 tạiđoạn98.16.</w:t>
      </w:r>
      <w:r>
        <w:rPr>
          <w:b w:val="0"/>
          <w:i/>
        </w:rPr>
        <w:t>Inland Revenue Commissioners v Commerzbank AG</w:t>
      </w:r>
      <w:r>
        <w:rPr>
          <w:b w:val="0"/>
          <w:i w:val="0"/>
        </w:rPr>
        <w:t xml:space="preserve"> [1990] BTC 172; [1990] STC 285, Ch. D tại297-298.</w:t>
      </w:r>
    </w:p>
    <w:p>
      <w:pPr>
        <w:spacing w:after="80"/>
      </w:pPr>
      <w:r>
        <w:rPr>
          <w:b w:val="0"/>
          <w:i w:val="0"/>
        </w:rPr>
        <w:t>110</w:t>
      </w:r>
    </w:p>
    <w:p>
      <w:pPr>
        <w:spacing w:after="80"/>
      </w:pPr>
      <w:r>
        <w:rPr>
          <w:b w:val="0"/>
          <w:i w:val="0"/>
        </w:rPr>
        <w:t>không nhất quán với mục đích của điều khoản cụ thể đó hoặc của toàn bộ hiệp ước. Nếu các quy định của một điều khoản cụ thể mang tính mơ hồ, có thể giải quyết sự mơ hồ đó bằng cách đưa ra cách diễn giải theo mục đích (purposive construction) đối với công ước, nhìn nhận nó như một tổng thể dựa trên ngôn ngữ được quy định trong văn bản lập pháp liên quan của Vương quốc Anh: theo Lord Diplock tại tr. 279.(2) Quá trình diễn giải cần tính đến thực tế rằng: ‘Ngôn ngữ</w:t>
      </w:r>
    </w:p>
    <w:p>
      <w:pPr>
        <w:spacing w:after="80"/>
      </w:pPr>
      <w:r>
        <w:rPr>
          <w:b w:val="0"/>
          <w:i w:val="0"/>
        </w:rPr>
        <w:t xml:space="preserve">của một công ước quốc tế không được lựa chọn bởi một nhà soạn thảo lập pháp người Anh. Nó không được diễn đạt theo thành ngữ lập pháp tiếng Anh thông thường, cũng không được thiết kế để chỉ được giải thích bởi các thẩm phán người Anh. Nó hướng đến một đối tượng thẩm phán rộng lớn và đa dạng hơn nhiều so với một Đạo luật của Nghị viện chỉ liên quan đến luật nội địa thuần túy. Nó nên được diễn giải, như Lord Wilberforce đã nói trong </w:t>
      </w:r>
      <w:r>
        <w:rPr>
          <w:b w:val="0"/>
          <w:i/>
        </w:rPr>
        <w:t xml:space="preserve"> James Buchanan &amp; Co. Ltd. v Babco Forwarding &amp; Shipping (UK) Ltd. </w:t>
      </w:r>
      <w:r>
        <w:rPr>
          <w:b w:val="0"/>
          <w:i w:val="0"/>
        </w:rPr>
        <w:t xml:space="preserve"> [1978] AC 141, 152, “không bị ràng buộc bởi các quy tắc kỹ thuật của luật Anh, hay bởi tiền lệ pháp lý Anh, mà dựa trên các nguyên tắc rộng lớn của sự chấp nhận chung”’: theo Lord Diplock [trong </w:t>
      </w:r>
      <w:r>
        <w:rPr>
          <w:b w:val="0"/>
          <w:i/>
        </w:rPr>
        <w:t xml:space="preserve"> Fothergill </w:t>
      </w:r>
      <w:r>
        <w:rPr>
          <w:b w:val="0"/>
          <w:i w:val="0"/>
        </w:rPr>
        <w:t>] tại tr. 81-282 và Lord Scarman tại tr. 293.(3) Trong số các nguyên tắc đó có nguyên tắc chung của luật quốc tế, hiện nay</w:t>
      </w:r>
    </w:p>
    <w:p>
      <w:pPr>
        <w:spacing w:after="80"/>
      </w:pPr>
      <w:r>
        <w:rPr>
          <w:b w:val="0"/>
          <w:i w:val="0"/>
        </w:rPr>
        <w:t>được ghi nhận trong Điều 31(1) của Công ước Vienna về Luật Điều ước quốc tế, rằng ‘một điều ước nên được diễn giải một cách thiện chí và theo ý nghĩa thông thường được gán cho các thuật ngữ của điều ước trong bối cảnh của chúng và dưới ánh sáng của đối tượng và mục đích của điều ước’. Một nguyên tắc tương tự được diễn đạt bằng những thuật ngữ hơi khác trong MacNair về ‘Law of Treaties’ (1961) tại tr. 365, nơi nêu rằng nhiệm vụ áp dụng hoặc giải thích hoặc diễn giải một điều ước là ‘nghĩa vụ làm cho ý định được bày tỏ của các bên có hiệu lực, tức là ý định của họ được bày tỏ trong các từ ngữ họ sử dụng dưới ánh sáng của các hoàn cảnh xung quanh’. Cũng tại tr. 366 của tác phẩm đó nêu rằng các tham chiếu đến nhu cầu chính yếu là làm cho ‘các thuật ngữ rõ ràng’ của một điều ước có hiệu lực hoặc giải thích các từ ngữ theo ‘ý nghĩa chung và thông thường’ hoặc ‘ý nghĩa tự nhiên’ của chúng là điểm khởi đầu hoặc hướng dẫn sơ bộ, và ‘không thể được phép cản trở nhiệm vụ thiết yếu trong việc áp dụng các điều ước, cụ thể là việc tìm kiếm ý định thực sự của các bên ký kết khi sử dụng ngôn ngữ mà họ đã dùng’.(4) Nếu việc áp dụng cách tiếp cận này đối với điều khoản khiến ý nghĩa của quy định liên quan</w:t>
      </w:r>
    </w:p>
    <w:p>
      <w:pPr>
        <w:spacing w:after="80"/>
      </w:pPr>
      <w:r>
        <w:rPr>
          <w:b w:val="0"/>
          <w:i w:val="0"/>
        </w:rPr>
        <w:t xml:space="preserve">trở nên không rõ ràng hoặc mơ hồ hoặc dẫn đến một kết quả rõ ràng là vô lý hoặc không hợp lý, thì có thể viện đến ‘các phương tiện diễn giải bổ sung’ bao gồm ‘travaux preparatoires’: theo Lord Diplock [trong </w:t>
      </w:r>
      <w:r>
        <w:rPr>
          <w:b w:val="0"/>
          <w:i/>
        </w:rPr>
        <w:t xml:space="preserve"> Fothergill </w:t>
      </w:r>
      <w:r>
        <w:rPr>
          <w:b w:val="0"/>
          <w:i w:val="0"/>
        </w:rPr>
        <w:t>] tại tr. 282 tham chiếu đến Điều 32 của Công ước Vienna, công ước này có hiệu lực sau khi Công ước đánh thuế hai lần này được ký kết, nhưng đã hệ thống hóa một nguyên tắc đã tồn tại của luật quốc tế công. Xem thêm Lord Fraser tại tr. 287 và Lord Scarman tại tr. 294.(5) Các bình luận tiếp theo về một công ước hoặc điều ước chỉ có giá trị thuyết phục,</w:t>
      </w:r>
    </w:p>
    <w:p>
      <w:pPr>
        <w:spacing w:after="80"/>
      </w:pPr>
      <w:r>
        <w:rPr>
          <w:b w:val="0"/>
          <w:i w:val="0"/>
        </w:rPr>
        <w:t xml:space="preserve">tùy thuộc vào tính thuyết phục của lập luận của chúng. Tương tự, các phán quyết của tòa án nước ngoài về việc diễn giải một công ước hoặc văn bản điều ước phụ thuộc vào uy tín và địa vị của Tòa án được đề cập để có thẩm quyền: theo Lord Diplock [trong </w:t>
      </w:r>
      <w:r>
        <w:rPr>
          <w:b w:val="0"/>
          <w:i/>
        </w:rPr>
        <w:t xml:space="preserve"> Fothergill </w:t>
      </w:r>
      <w:r>
        <w:rPr>
          <w:b w:val="0"/>
          <w:i w:val="0"/>
        </w:rPr>
        <w:t>] tại tr. 283-284 và theo Lord Scarman tại tr. 295.(6) Các phương tiện hỗ trợ diễn giải một điều ước như ‘travaux preparatoires’, án lệ quốc tế</w:t>
      </w:r>
    </w:p>
    <w:p>
      <w:pPr>
        <w:spacing w:after="80"/>
      </w:pPr>
      <w:r>
        <w:rPr>
          <w:b w:val="0"/>
          <w:i w:val="0"/>
        </w:rPr>
        <w:t>và các tác phẩm của các luật gia không thay thế cho việc nghiên cứu các thuật ngữ của công ước. Việc sử dụng chúng là tùy ý, không bắt buộc, tùy thuộc vào, ví dụ, tính liên quan của tài liệu đó và trọng lượng cần gán cho nó: theo Lord Scarman tại tr. 294.</w:t>
      </w:r>
    </w:p>
    <w:p>
      <w:pPr>
        <w:spacing w:after="80"/>
      </w:pPr>
      <w:r>
        <w:rPr>
          <w:b w:val="0"/>
          <w:i w:val="0"/>
        </w:rPr>
        <w:t xml:space="preserve">Các nguyên tắc </w:t>
      </w:r>
      <w:r>
        <w:rPr>
          <w:b w:val="0"/>
          <w:i/>
        </w:rPr>
        <w:t xml:space="preserve"> Commerzbank </w:t>
      </w:r>
      <w:r>
        <w:rPr>
          <w:b w:val="0"/>
          <w:i w:val="0"/>
        </w:rPr>
        <w:t xml:space="preserve"> đã, trong khoảng hai mươi lăm năm, là quan điểm được chấp nhận về cách tiếp cận của các tòa án Vương quốc Anh. Trong </w:t>
      </w:r>
      <w:r>
        <w:rPr>
          <w:b w:val="0"/>
          <w:i/>
        </w:rPr>
        <w:t xml:space="preserve"> UBS AG v HMRC </w:t>
      </w:r>
      <w:r>
        <w:rPr>
          <w:b w:val="0"/>
          <w:i w:val="0"/>
        </w:rPr>
        <w:t>, Thẩm phán Etherington lưu ý rằng ‘không có</w:t>
      </w:r>
    </w:p>
    <w:p>
      <w:pPr>
        <w:spacing w:after="80"/>
      </w:pPr>
      <w:r>
        <w:rPr>
          <w:b w:val="0"/>
          <w:i w:val="0"/>
        </w:rPr>
        <w:t>111</w:t>
      </w:r>
    </w:p>
    <w:p>
      <w:pPr>
        <w:spacing w:after="80"/>
      </w:pPr>
      <w:r>
        <w:rPr>
          <w:b w:val="0"/>
          <w:i w:val="0"/>
        </w:rPr>
        <w:t xml:space="preserve">tranh chấp giữa các bên rằng cách tiếp cận đúng đắn của Tòa án đối với việc diễn giải Điều ước là cách được mô tả bởi Mummery J trong </w:t>
      </w:r>
      <w:r>
        <w:rPr>
          <w:b w:val="0"/>
          <w:i/>
        </w:rPr>
        <w:t xml:space="preserve"> IRC v Commerzbank AG </w:t>
      </w:r>
      <w:r>
        <w:rPr>
          <w:b w:val="0"/>
          <w:i w:val="0"/>
        </w:rPr>
        <w:t xml:space="preserve">’.17 Trong </w:t>
      </w:r>
      <w:r>
        <w:rPr>
          <w:b w:val="0"/>
          <w:i/>
        </w:rPr>
        <w:t xml:space="preserve"> Memec plc v IRC </w:t>
      </w:r>
      <w:r>
        <w:rPr>
          <w:b w:val="0"/>
          <w:i w:val="0"/>
        </w:rPr>
        <w:t xml:space="preserve">,18 Robert Walker J khuyến nghị toàn bộ đoạn văn trên nên được nghiên cứu cẩn thận. Ông tóm tắt các nguyên tắc </w:t>
      </w:r>
      <w:r>
        <w:rPr>
          <w:b w:val="0"/>
          <w:i/>
        </w:rPr>
        <w:t xml:space="preserve"> Commerzbank </w:t>
      </w:r>
      <w:r>
        <w:rPr>
          <w:b w:val="0"/>
          <w:i w:val="0"/>
        </w:rPr>
        <w:t xml:space="preserve"> như sau:</w:t>
      </w:r>
    </w:p>
    <w:p>
      <w:pPr>
        <w:spacing w:after="80"/>
      </w:pPr>
      <w:r>
        <w:rPr>
          <w:b w:val="0"/>
          <w:i w:val="0"/>
        </w:rPr>
        <w:t>(1) cách tiếp cận nên theo mục đích;(2) nó nên mang tính quốc tế, không chỉ thuần túy tiếng Anh;(3) nó nên xem xét Điều 31(1) của Công ước Vienna;(4) có thể viện đến các phương tiện diễn giải bổ sung như</w:t>
      </w:r>
    </w:p>
    <w:p>
      <w:pPr>
        <w:spacing w:after="80"/>
      </w:pPr>
      <w:r>
        <w:rPr>
          <w:b w:val="0"/>
          <w:i w:val="0"/>
        </w:rPr>
        <w:t>‘travaux preparatoires’;(5) các bình luận tiếp theo và phán quyết của tòa án nước ngoài chỉ có giá trị</w:t>
      </w:r>
    </w:p>
    <w:p>
      <w:pPr>
        <w:spacing w:after="80"/>
      </w:pPr>
      <w:r>
        <w:rPr>
          <w:b w:val="0"/>
          <w:i w:val="0"/>
        </w:rPr>
        <w:t>thuyết phục;(6) việc viện đến ‘travaux preparatoires’, án lệ quốc tế và các tác phẩm của</w:t>
      </w:r>
    </w:p>
    <w:p>
      <w:pPr>
        <w:spacing w:after="80"/>
      </w:pPr>
      <w:r>
        <w:rPr>
          <w:b w:val="0"/>
          <w:i w:val="0"/>
        </w:rPr>
        <w:t>các luật gia là tùy ý, không bắt buộc.</w:t>
      </w:r>
    </w:p>
    <w:p>
      <w:pPr>
        <w:spacing w:after="80"/>
      </w:pPr>
      <w:r>
        <w:rPr>
          <w:b w:val="0"/>
          <w:i w:val="0"/>
        </w:rPr>
        <w:t xml:space="preserve">Tòa phúc thẩm đã công nhận các bình luận chính thức về các phiên bản kế tiếp của Công ước mẫu OECD là phương tiện diễn giải bổ sung: xem </w:t>
      </w:r>
      <w:r>
        <w:rPr>
          <w:b w:val="0"/>
          <w:i/>
        </w:rPr>
        <w:t xml:space="preserve"> Sunlife Assurance Co of Canada v Pearson </w:t>
      </w:r>
      <w:r>
        <w:rPr>
          <w:b w:val="0"/>
          <w:i w:val="0"/>
        </w:rPr>
        <w:t>19</w:t>
      </w:r>
    </w:p>
    <w:p>
      <w:pPr>
        <w:spacing w:after="80"/>
      </w:pPr>
      <w:r>
        <w:rPr>
          <w:b w:val="0"/>
          <w:i w:val="0"/>
        </w:rPr>
        <w:t xml:space="preserve">Tại Tòa phúc thẩm, Peter Gibson LJ lưu ý sự đồng thuận giữa người nộp thuế và Cơ quan Thuế nội địa về tính đúng đắn của cách tiếp cận được Mummery J trình bày trong </w:t>
      </w:r>
      <w:r>
        <w:rPr>
          <w:b w:val="0"/>
          <w:i/>
        </w:rPr>
        <w:t xml:space="preserve"> IRC v Commerzbank </w:t>
      </w:r>
      <w:r>
        <w:rPr>
          <w:b w:val="0"/>
          <w:i w:val="0"/>
        </w:rPr>
        <w:t>. Lord Justice Gibson lưu ý bình luận của Mummery J rằng ‘việc diễn giải nên tính đến thực tế rằng một công ước không được thiết kế để chỉ được giải thích bởi các thẩm phán người Anh mà hướng đến một đối tượng thẩm phán rộng lớn hơn’. Ông nói thêm rằng ‘trong trường hợp của một hiệp định đánh thuế hai lần, đối tượng thẩm phán, ngoài các thẩm phán ở các phần cấu thành của Vương quốc Anh, chỉ là các thẩm phán ở các Tòa án của bên ký kết kia. Không nên giả định rằng công ước hướng đến một đối tượng quốc tế rộng lớn hơn thế’.20</w:t>
      </w:r>
    </w:p>
    <w:p>
      <w:pPr>
        <w:spacing w:after="80"/>
      </w:pPr>
      <w:r>
        <w:rPr>
          <w:b w:val="0"/>
          <w:i w:val="0"/>
        </w:rPr>
        <w:t>Mặc dù điều này có thể đúng ở một khía cạnh kỹ thuật nào đó, bởi vì hầu hết các hiệp ước thuế của Vương quốc Anh đều là song phương, nhưng nó không đúng trong bối cảnh các hiệp ước nói chung. Tất cả các hiệp ước đều dựa trên các hiệp ước mẫu kế tiếp nhau được phát triển ở cấp đa phương. Việc sử dụng các điều khoản ít nhiều tiêu chuẩn hóa trong toàn bộ mạng lưới hiệp ước toàn cầu đang ngày càng gia tăng. Các quốc gia trên khắp thế giới đều tham chiếu đến việc giải thích hiệp ước của các tòa án nước ngoài. Điều này chắc chắn sẽ không đúng liên quan đến Trọng tài của Liên minh châu Âu (EU)</w:t>
      </w:r>
    </w:p>
    <w:p>
      <w:pPr>
        <w:spacing w:after="80"/>
      </w:pPr>
      <w:r>
        <w:rPr>
          <w:b w:val="0"/>
          <w:i w:val="0"/>
        </w:rPr>
        <w:t>17.</w:t>
      </w:r>
      <w:r>
        <w:rPr>
          <w:b w:val="0"/>
          <w:i/>
        </w:rPr>
        <w:t>UBS AG v Revenue and Customs Commissioners</w:t>
      </w:r>
      <w:r>
        <w:rPr>
          <w:b w:val="0"/>
          <w:i w:val="0"/>
        </w:rPr>
        <w:t xml:space="preserve"> [2006] STC 716, [2006] BTC 232; [2006] EWHC117, đoạn 27. Ngoài UBS, nó cũng đã được Tòa phúc thẩm viện dẫn trong </w:t>
      </w:r>
      <w:r>
        <w:rPr>
          <w:b w:val="0"/>
          <w:i/>
        </w:rPr>
        <w:t>BenNevis(Holdings) Ltd &amp; Anor v Revenue and Customs Commissioners</w:t>
      </w:r>
      <w:r>
        <w:rPr>
          <w:b w:val="0"/>
          <w:i w:val="0"/>
        </w:rPr>
        <w:t xml:space="preserve"> [2013] STC 1579, [2013] BTC 485;[2013]EWCACiv578 tại đoạn 16 và trong </w:t>
      </w:r>
      <w:r>
        <w:rPr>
          <w:b w:val="0"/>
          <w:i/>
        </w:rPr>
        <w:t>RevenueandCustomsCommissionersvSmallwood&amp;Anor</w:t>
      </w:r>
      <w:r>
        <w:rPr>
          <w:b w:val="0"/>
          <w:i w:val="0"/>
        </w:rPr>
        <w:t xml:space="preserve">[2010]BTC637;[2010]EWCACiv778;[2010]STC2045 tại đoạn 26 và bởi các Ủy viên Đặc biệt trong </w:t>
      </w:r>
      <w:r>
        <w:rPr>
          <w:b w:val="0"/>
          <w:i/>
        </w:rPr>
        <w:t>SportsmanvIRCommrs</w:t>
      </w:r>
      <w:r>
        <w:rPr>
          <w:b w:val="0"/>
          <w:i w:val="0"/>
        </w:rPr>
        <w:t>(1998)SpC174 tại đoạn 4.2;</w:t>
      </w:r>
      <w:r>
        <w:rPr>
          <w:b w:val="0"/>
          <w:i/>
        </w:rPr>
        <w:t>JiminezvTheInlandRevenue Commissioners</w:t>
      </w:r>
      <w:r>
        <w:rPr>
          <w:b w:val="0"/>
          <w:i w:val="0"/>
        </w:rPr>
        <w:t xml:space="preserve"> (2004) Sp C 419 tại các đoạn 54 và 55 (ý nghĩa của điều 37(3) của Công ước Vienna về Quan hệ Ngoại giao);</w:t>
      </w:r>
      <w:r>
        <w:rPr>
          <w:b w:val="0"/>
          <w:i/>
        </w:rPr>
        <w:t>Stevens,Garnham&amp;PaynevTheInlandRevenueCommissioners</w:t>
      </w:r>
      <w:r>
        <w:rPr>
          <w:b w:val="0"/>
          <w:i w:val="0"/>
        </w:rPr>
        <w:t xml:space="preserve">[2004]UKSCSPC411,(2004)SpC411 (ý nghĩa của điều 5(3) của Công ước An sinh Xã hội Anh-Thụy Sĩ) và </w:t>
      </w:r>
      <w:r>
        <w:rPr>
          <w:b w:val="0"/>
          <w:i/>
        </w:rPr>
        <w:t xml:space="preserve"> Smallwood v Revenue and Customs Commissioners</w:t>
      </w:r>
      <w:r>
        <w:rPr>
          <w:b w:val="0"/>
          <w:i w:val="0"/>
        </w:rPr>
        <w:t xml:space="preserve">[2008] UKSPC SPC669; [2008] STC (SCD) 629; (2008) Sp C 669 và </w:t>
      </w:r>
      <w:r>
        <w:rPr>
          <w:b w:val="0"/>
          <w:i/>
        </w:rPr>
        <w:t xml:space="preserve"> Bayfine UK Products v R &amp;C Commissioners</w:t>
      </w:r>
      <w:r>
        <w:rPr>
          <w:b w:val="0"/>
          <w:i w:val="0"/>
        </w:rPr>
        <w:t xml:space="preserve"> [2008] UKSPC SPC719, [2009] STC (SCD) 43, (2008) Sp C 719 tại đoạn 94.18.</w:t>
      </w:r>
      <w:r>
        <w:rPr>
          <w:b w:val="0"/>
          <w:i/>
        </w:rPr>
        <w:t>Memec plc v Inland Revenue Commissioners</w:t>
      </w:r>
      <w:r>
        <w:rPr>
          <w:b w:val="0"/>
          <w:i w:val="0"/>
        </w:rPr>
        <w:t xml:space="preserve"> [1996] BTC 590; [1996] STC 1336, tr. 1349.19.</w:t>
      </w:r>
      <w:r>
        <w:rPr>
          <w:b w:val="0"/>
          <w:i/>
        </w:rPr>
        <w:t>SunlifeAssuranceCoofCanadavPearson(HMIT</w:t>
      </w:r>
      <w:r>
        <w:rPr>
          <w:b w:val="0"/>
          <w:i w:val="0"/>
        </w:rPr>
        <w:t>)[1986]STC335,[1986]BTC282 tại tr.296;(1986) 59 TC 250, tại các tr. 330-331.20.</w:t>
      </w:r>
      <w:r>
        <w:rPr>
          <w:b w:val="0"/>
          <w:i/>
        </w:rPr>
        <w:t>Memec plc v Inland Revenue Commissioners</w:t>
      </w:r>
      <w:r>
        <w:rPr>
          <w:b w:val="0"/>
          <w:i w:val="0"/>
        </w:rPr>
        <w:t xml:space="preserve"> [1998] BTC 251; [1998] STC 754, CA tại tr. 776.</w:t>
      </w:r>
    </w:p>
    <w:p>
      <w:pPr>
        <w:spacing w:after="80"/>
      </w:pPr>
      <w:r>
        <w:rPr>
          <w:b w:val="0"/>
          <w:i w:val="0"/>
        </w:rPr>
        <w:t>112</w:t>
      </w:r>
    </w:p>
    <w:p>
      <w:pPr>
        <w:spacing w:after="80"/>
      </w:pPr>
      <w:r>
        <w:rPr>
          <w:b w:val="0"/>
          <w:i w:val="0"/>
        </w:rPr>
        <w:t xml:space="preserve">Công ước hoặc các hiệp ước thuế đa phương gần đây hơn và, ngay cả khi chỉ xét riêng mạng lưới hiệp ước của Vương quốc Anh, các điều khoản giống hệt nhau được tìm thấy trong nhiều trường hợp trong các hiệp ước song phương giữa Vương quốc Anh và các quốc gia ký kết khác. Cả vụ án </w:t>
      </w:r>
      <w:r>
        <w:rPr>
          <w:b w:val="0"/>
          <w:i/>
        </w:rPr>
        <w:t xml:space="preserve"> Commerzbank</w:t>
      </w:r>
      <w:r>
        <w:rPr>
          <w:b w:val="0"/>
          <w:i w:val="0"/>
        </w:rPr>
        <w:t xml:space="preserve"> (liên quan đến Hiệp ước Mỹ-Anh năm 1945) và vụ án </w:t>
      </w:r>
      <w:r>
        <w:rPr>
          <w:b w:val="0"/>
          <w:i/>
        </w:rPr>
        <w:t xml:space="preserve"> Memec</w:t>
      </w:r>
      <w:r>
        <w:rPr>
          <w:b w:val="0"/>
          <w:i w:val="0"/>
        </w:rPr>
        <w:t xml:space="preserve"> (liên quan đến Hiệp ước Đức-Anh năm 1964) đều liên quan đến các hiệp ước không được điều chỉnh bởi VCLT. Do đó, việc không khám phá ứng dụng chi tiết của Công ước Vienna cho các vụ án này là điều có thể dự đoán được.</w:t>
      </w:r>
    </w:p>
    <w:p>
      <w:pPr>
        <w:spacing w:after="80"/>
      </w:pPr>
      <w:r>
        <w:rPr>
          <w:b w:val="0"/>
          <w:i w:val="0"/>
        </w:rPr>
        <w:t xml:space="preserve">Cách tiếp cận hiện đại là tiến hành bằng cách tham chiếu có hệ thống đến các quy tắc giải thích được nêu trong VCLT. Trong </w:t>
      </w:r>
      <w:r>
        <w:rPr>
          <w:b w:val="0"/>
          <w:i/>
        </w:rPr>
        <w:t>BenNevis(Holdings)LtdvHMRC</w:t>
      </w:r>
      <w:r>
        <w:rPr>
          <w:b w:val="0"/>
          <w:i w:val="0"/>
        </w:rPr>
        <w:t>,21 HMRC đã thách thức việc áp dụng VCLT đối với Hiệp ước Thuế Thu nhập Nam Phi-Anh (2002) và Nghị định thư sửa đổi ngày 8 tháng 11 năm 2010 với lý do Nam Phi không phải là thành viên của Công ước Vienna. Điều này đã bị Tòa phúc thẩm kiên quyết bác bỏ. Lloyd Jones LJ đã giải thích việc áp dụng Công ước Vienna như sau:</w:t>
      </w:r>
    </w:p>
    <w:p>
      <w:pPr>
        <w:spacing w:after="80"/>
      </w:pPr>
      <w:r>
        <w:rPr>
          <w:b w:val="0"/>
          <w:i w:val="0"/>
        </w:rPr>
        <w:t xml:space="preserve">Các quy tắc giải thích được nêu trong Điều 31 và 32 của Công ước Vienna là các quy tắc của luật quốc tế tập quán và do đó ràng buộc tất cả các Quốc gia bất kể họ có phải là thành viên của Công ước đó hay không. (Xem </w:t>
      </w:r>
      <w:r>
        <w:rPr>
          <w:b w:val="0"/>
          <w:i/>
        </w:rPr>
        <w:t>Fothergill</w:t>
      </w:r>
      <w:r>
        <w:rPr>
          <w:b w:val="0"/>
          <w:i w:val="0"/>
        </w:rPr>
        <w:t xml:space="preserve">[1981]AC251 theo Lord Diplock tại tr.82.) Hơn nữa, các nguyên tắc được Mummery J. nêu ra phần lớn bắt nguồn từ Công ước Vienna mà ông tham chiếu trong đoạn được trích dẫn ở trên. Theo đó, việc xem xét Điều 31 và 32 của Công ước Vienna trong kháng cáo này là phù hợp. Không có xung đột giữa các nguyên tắc này và cách diễn đạt của Mummery J. Tuy nhiên, cách diễn đạt đó mang tính chất tóm tắt và các Điều tương ứng của Công ước đề cập đến một số vấn đề nhất định không được bao gồm trong cách diễn đạt của </w:t>
      </w:r>
      <w:r>
        <w:rPr>
          <w:b w:val="0"/>
          <w:i/>
        </w:rPr>
        <w:t xml:space="preserve"> Commerzbank</w:t>
      </w:r>
      <w:r>
        <w:rPr>
          <w:b w:val="0"/>
          <w:i w:val="0"/>
        </w:rPr>
        <w:t>.22</w:t>
      </w:r>
    </w:p>
    <w:p>
      <w:pPr>
        <w:spacing w:after="80"/>
      </w:pPr>
      <w:r>
        <w:rPr>
          <w:b w:val="0"/>
          <w:i w:val="0"/>
        </w:rPr>
        <w:t xml:space="preserve">Khi Hiệp ước Thuế Thu nhập Mỹ-Anh (2001) được đưa ra trước Tòa án Tối cao trong </w:t>
      </w:r>
      <w:r>
        <w:rPr>
          <w:b w:val="0"/>
          <w:i/>
        </w:rPr>
        <w:t>AnsonvHMRC</w:t>
      </w:r>
      <w:r>
        <w:rPr>
          <w:b w:val="0"/>
          <w:i w:val="0"/>
        </w:rPr>
        <w:t xml:space="preserve">,23 người ta đồng ý rằng VCLT sẽ điều chỉnh việc giải thích nó và, không giống như trong các phán quyết trước đó của các tòa án cấp thấp hơn, các nguyên tắc </w:t>
      </w:r>
      <w:r>
        <w:rPr>
          <w:b w:val="0"/>
          <w:i/>
        </w:rPr>
        <w:t>Commerzbank</w:t>
      </w:r>
      <w:r>
        <w:rPr>
          <w:b w:val="0"/>
          <w:i w:val="0"/>
        </w:rPr>
        <w:t xml:space="preserve"> không được đọc lại. Phán quyết này đưa việc giải thích hiệp ước thuế hoàn toàn phù hợp với việc giải thích các hiệp ước khác. Trong </w:t>
      </w:r>
      <w:r>
        <w:rPr>
          <w:b w:val="0"/>
          <w:i/>
        </w:rPr>
        <w:t xml:space="preserve"> R (theo đơn của Liên đoàn các Nhà điều hành Tour &amp; Ors) vHMTreasury&amp;Ors</w:t>
      </w:r>
      <w:r>
        <w:rPr>
          <w:b w:val="0"/>
          <w:i w:val="0"/>
        </w:rPr>
        <w:t xml:space="preserve">,24 Stanley Burnton J đã khẳng định chắc chắn rằng điều 31(1) là nguyên tắc chung được quy định áp dụng cho việc giải thích các hiệp ước. Khi giải thích điều 15 của Công ước Chicago về Hàng không Dân dụng Quốc tế,25 Stanley Burnton J không tham chiếu đến các nguyên tắc </w:t>
      </w:r>
      <w:r>
        <w:rPr>
          <w:b w:val="0"/>
          <w:i/>
        </w:rPr>
        <w:t xml:space="preserve"> Commerzbank</w:t>
      </w:r>
      <w:r>
        <w:rPr>
          <w:b w:val="0"/>
          <w:i w:val="0"/>
        </w:rPr>
        <w:t>. Ông lưu ý rằng mặc dù Công ước Vienna được ký kết sau khi Công ước Chicago có hiệu lực, nó vẫn</w:t>
      </w:r>
    </w:p>
    <w:p>
      <w:pPr>
        <w:spacing w:after="80"/>
      </w:pPr>
      <w:r>
        <w:rPr>
          <w:b w:val="0"/>
          <w:i w:val="0"/>
        </w:rPr>
        <w:t>21.</w:t>
      </w:r>
      <w:r>
        <w:rPr>
          <w:b w:val="0"/>
          <w:i/>
        </w:rPr>
        <w:t>BenNevis(Holdings)Ltd&amp;AnorvRevenueandCustomsCommissioners</w:t>
      </w:r>
      <w:r>
        <w:rPr>
          <w:b w:val="0"/>
          <w:i w:val="0"/>
        </w:rPr>
        <w:t xml:space="preserve">[2013]STC1579,[2013] BTC 485; [2013] EWCA Civ 578. Tòa án Cấp cao đã tiến hành theo cách thức giống hệt trong </w:t>
      </w:r>
      <w:r>
        <w:rPr>
          <w:b w:val="0"/>
          <w:i/>
        </w:rPr>
        <w:t>MacklinvRevenueandCustomsCommissioners</w:t>
      </w:r>
      <w:r>
        <w:rPr>
          <w:b w:val="0"/>
          <w:i w:val="0"/>
        </w:rPr>
        <w:t>[2015]BTC503,[2015]UKUT39(TCC)[2015] STC 1102 tại [14]-[16]. Xem Schwarz, J.</w:t>
      </w:r>
      <w:r>
        <w:rPr>
          <w:b w:val="0"/>
          <w:i/>
        </w:rPr>
        <w:t xml:space="preserve"> Tax Treaty Interpretation after Ben Nevis HoldingsLtd v Her Majesty’s Revenue and Customs</w:t>
      </w:r>
      <w:r>
        <w:rPr>
          <w:b w:val="0"/>
          <w:i w:val="0"/>
        </w:rPr>
        <w:t>, Bulletin for International Taxation, 68(1) 2014, tr. 20.22.Tại đoạn 17.23.</w:t>
      </w:r>
      <w:r>
        <w:rPr>
          <w:b w:val="0"/>
          <w:i/>
        </w:rPr>
        <w:t>Anson v Revenue and Customs Commissioners</w:t>
      </w:r>
      <w:r>
        <w:rPr>
          <w:b w:val="0"/>
          <w:i w:val="0"/>
        </w:rPr>
        <w:t xml:space="preserve"> [2015] STC 1777 [2015] BTC 21 [2015] UKSC 44.Được áp dụng trong </w:t>
      </w:r>
      <w:r>
        <w:rPr>
          <w:b w:val="0"/>
          <w:i/>
        </w:rPr>
        <w:t xml:space="preserve"> Fowler v Revenue and Customs Commissioners</w:t>
      </w:r>
      <w:r>
        <w:rPr>
          <w:b w:val="0"/>
          <w:i w:val="0"/>
        </w:rPr>
        <w:t xml:space="preserve"> [2016] UKFTT 234 [2016] SFTD 535,18 ITL Rep 644, [2016] TC 05009 tại đoạn 26.24.</w:t>
      </w:r>
      <w:r>
        <w:rPr>
          <w:b w:val="0"/>
          <w:i/>
        </w:rPr>
        <w:t>R (theo đơn của Liên đoàn các Nhà điều hành Tour &amp; Ors) v HM Treasury &amp; Ors</w:t>
      </w:r>
      <w:r>
        <w:rPr>
          <w:b w:val="0"/>
          <w:i w:val="0"/>
        </w:rPr>
        <w:t xml:space="preserve"> [2007] EWHC2062 (Admin); [2008] EWCA Civ 752; [2008] STC 547[2008] BTC 8025.25.Công ước Chicago về Hàng không Dân dụng Quốc tế ngày 7 tháng 12 năm 1944, TS8 (1953); Cmd 8742.</w:t>
      </w:r>
    </w:p>
    <w:p>
      <w:pPr>
        <w:spacing w:after="80"/>
      </w:pPr>
      <w:r>
        <w:rPr>
          <w:b w:val="0"/>
          <w:i w:val="0"/>
        </w:rPr>
        <w:t>113</w:t>
      </w:r>
    </w:p>
    <w:p>
      <w:pPr>
        <w:spacing w:after="80"/>
      </w:pPr>
      <w:r>
        <w:rPr>
          <w:b w:val="0"/>
          <w:i w:val="0"/>
        </w:rPr>
        <w:t>tuy nhiên vẫn có thể áp dụng vì nó được chấp nhận rộng rãi như là tuyên bố về luật quốc tế hiện hành và ông đã dựa hoàn toàn vào VCLT để giải thích.26</w:t>
      </w:r>
    </w:p>
    <w:p>
      <w:pPr>
        <w:spacing w:after="80"/>
      </w:pPr>
      <w:r>
        <w:rPr>
          <w:b w:val="0"/>
          <w:i w:val="0"/>
        </w:rPr>
        <w:t>Các tòa án Ireland cũng tương tự dựa vào VCLT trong việc giải thích các hiệp ước đánh thuế hai lần, bao gồm cả những hiệp ước được ký kết trước khi Ireland gia nhập Công ước vào năm 2006.27</w:t>
      </w:r>
    </w:p>
    <w:p>
      <w:pPr>
        <w:spacing w:after="80"/>
      </w:pPr>
      <w:r>
        <w:rPr>
          <w:b w:val="0"/>
          <w:i w:val="0"/>
        </w:rPr>
        <w:t>Các hiệp ước do EU ký kết cũng được CJEU giải thích theo Công ước Vienna.28</w:t>
      </w:r>
    </w:p>
    <w:p>
      <w:pPr>
        <w:spacing w:after="80"/>
      </w:pPr>
      <w:r>
        <w:rPr>
          <w:b/>
          <w:i w:val="0"/>
        </w:rPr>
        <w:t>§4.04 QUY TẮC GIẢI THÍCH CHUNG</w:t>
      </w:r>
    </w:p>
    <w:p>
      <w:pPr>
        <w:spacing w:after="80"/>
      </w:pPr>
      <w:r>
        <w:rPr>
          <w:b w:val="0"/>
          <w:i w:val="0"/>
        </w:rPr>
        <w:t xml:space="preserve">Công ước Vienna cung cấp một khuôn khổ khái niệm rõ ràng cho việc giải thích hiệp ước. Nó cũng cung cấp một phác thảo để xem xét cách các tòa án Vương quốc Anh đã giải quyết các nguyên tắc được nêu trong đó. Toàn bộ bộ quy tắc giải thích trong VCLT mới là điều nên được áp dụng chứ không chỉ nguyên tắc chung được đề cập trong </w:t>
      </w:r>
      <w:r>
        <w:rPr>
          <w:b w:val="0"/>
          <w:i/>
        </w:rPr>
        <w:t xml:space="preserve"> Commerzbank</w:t>
      </w:r>
      <w:r>
        <w:rPr>
          <w:b w:val="0"/>
          <w:i w:val="0"/>
        </w:rPr>
        <w:t>. Các nguyên tắc chung được nêu trong điều 31 như sau:</w:t>
      </w:r>
    </w:p>
    <w:p>
      <w:pPr>
        <w:spacing w:after="80"/>
      </w:pPr>
      <w:r>
        <w:rPr>
          <w:b w:val="0"/>
          <w:i w:val="0"/>
        </w:rPr>
        <w:t>(1)Một hiệp ước phải được giải thích một cách thiện chí theo nghĩa thông thường</w:t>
      </w:r>
    </w:p>
    <w:p>
      <w:pPr>
        <w:spacing w:after="80"/>
      </w:pPr>
      <w:r>
        <w:rPr>
          <w:b w:val="0"/>
          <w:i w:val="0"/>
        </w:rPr>
        <w:t>được gán cho các thuật ngữ của hiệp ước trong bối cảnh của chúng và dưới ánh sáng của đối tượng và mục đích của nó.(2) Bối cảnh cho mục đích giải thích một hiệp ước sẽ bao gồm, trong</w:t>
      </w:r>
    </w:p>
    <w:p>
      <w:pPr>
        <w:spacing w:after="80"/>
      </w:pPr>
      <w:r>
        <w:rPr>
          <w:b w:val="0"/>
          <w:i w:val="0"/>
        </w:rPr>
        <w:t>addition to the text, including its preamble and annexes:(a)anyagreementrelatingtothetreatywhichwasmadebetweenallthe</w:t>
      </w:r>
    </w:p>
    <w:p>
      <w:pPr>
        <w:spacing w:after="80"/>
      </w:pPr>
      <w:r>
        <w:rPr>
          <w:b w:val="0"/>
          <w:i w:val="0"/>
        </w:rPr>
        <w:t>parties in connection with the conclusion of the treaty;(b)any instrument which was made by one or more parties in connection with</w:t>
      </w:r>
    </w:p>
    <w:p>
      <w:pPr>
        <w:spacing w:after="80"/>
      </w:pPr>
      <w:r>
        <w:rPr>
          <w:b w:val="0"/>
          <w:i w:val="0"/>
        </w:rPr>
        <w:t>theconclusionofthetreatyandacceptedbytheotherpartiesasaninstrument related to the treaty.(3)There shall be taken into account, together with the context:</w:t>
      </w:r>
    </w:p>
    <w:p>
      <w:pPr>
        <w:spacing w:after="80"/>
      </w:pPr>
      <w:r>
        <w:rPr>
          <w:b w:val="0"/>
          <w:i w:val="0"/>
        </w:rPr>
        <w:t>(a)anysubsequentagreementbetweenthepartiesregardingtheinterpreta-</w:t>
      </w:r>
    </w:p>
    <w:p>
      <w:pPr>
        <w:spacing w:after="80"/>
      </w:pPr>
      <w:r>
        <w:rPr>
          <w:b w:val="0"/>
          <w:i w:val="0"/>
        </w:rPr>
        <w:t>tion of the treaty or the application of its provisions;(b)any subsequent practice in the application of the treaty which establishes</w:t>
      </w:r>
    </w:p>
    <w:p>
      <w:pPr>
        <w:spacing w:after="80"/>
      </w:pPr>
      <w:r>
        <w:rPr>
          <w:b w:val="0"/>
          <w:i w:val="0"/>
        </w:rPr>
        <w:t>the agreement of the parties regarding its interpretation;(c)any relevant rules of international law applicable in the relations between</w:t>
      </w:r>
    </w:p>
    <w:p>
      <w:pPr>
        <w:spacing w:after="80"/>
      </w:pPr>
      <w:r>
        <w:rPr>
          <w:b w:val="0"/>
          <w:i w:val="0"/>
        </w:rPr>
        <w:t>the parties.(4)A special meaning shall be given to a term if it is established that the parties so</w:t>
      </w:r>
    </w:p>
    <w:p>
      <w:pPr>
        <w:spacing w:after="80"/>
      </w:pPr>
      <w:r>
        <w:rPr>
          <w:b w:val="0"/>
          <w:i w:val="0"/>
        </w:rPr>
        <w:t>intended.</w:t>
      </w:r>
    </w:p>
    <w:p>
      <w:pPr>
        <w:spacing w:after="80"/>
      </w:pPr>
      <w:r>
        <w:rPr>
          <w:b w:val="0"/>
          <w:i w:val="0"/>
        </w:rPr>
        <w:t>Khái niệm 'thiện chí' (good faith) vẫn chưa được các Tòa án Anh khai thác một cách triệt để. Special Commissioners Courts và Reid đã ghi nhận một cách khó hiểu rằng cụm từ 'thiện chí' trong Điều 31(1) 'dường như được chấp nhận đơn thuần với ý nghĩa rằng việc giải thích không nên dẫn đến một kết quả rõ ràng là vô lý hoặc phi lý. Trong</w:t>
      </w:r>
    </w:p>
    <w:p>
      <w:pPr>
        <w:spacing w:after="80"/>
      </w:pPr>
      <w:r>
        <w:rPr>
          <w:b w:val="0"/>
          <w:i w:val="0"/>
        </w:rPr>
        <w:t xml:space="preserve">26. Tại đoạn 48. Trong </w:t>
      </w:r>
      <w:r>
        <w:rPr>
          <w:b w:val="0"/>
          <w:i/>
        </w:rPr>
        <w:t xml:space="preserve"> Bywater Investments Ltd and others v Commissioner of Taxation; Hua Wang Bank Berhad v Commissioner of Taxation </w:t>
      </w:r>
      <w:r>
        <w:rPr>
          <w:b w:val="0"/>
          <w:i w:val="0"/>
        </w:rPr>
        <w:t xml:space="preserve"> [2016] HCA 45, Tòa án Tối cao Úc đã phán quyết rằng Công ước Vienna được áp dụng để giải thích hiệp định thuế song phương Úc-Anh (2003) (tại đoạn 149) và rằng như một sự phản ánh của luật quốc tế tập quán, nó cũng được áp dụng cho hiệp định Úc-Thụy Sĩ được ký kết trước Công ước Vienna (tại đoạn 181). 27. </w:t>
      </w:r>
      <w:r>
        <w:rPr>
          <w:b w:val="0"/>
          <w:i/>
        </w:rPr>
        <w:t xml:space="preserve"> Kinsella v Revenue Commissioners </w:t>
      </w:r>
      <w:r>
        <w:rPr>
          <w:b w:val="0"/>
          <w:i w:val="0"/>
        </w:rPr>
        <w:t xml:space="preserve"> [2007] IEHC 250, [2007] ITR 151. 28. </w:t>
      </w:r>
      <w:r>
        <w:rPr>
          <w:b w:val="0"/>
          <w:i/>
        </w:rPr>
        <w:t xml:space="preserve"> Alexander Hengartner, Rudolf Gasser v Landesregierung Vorarlberg </w:t>
      </w:r>
      <w:r>
        <w:rPr>
          <w:b w:val="0"/>
          <w:i w:val="0"/>
        </w:rPr>
        <w:t xml:space="preserve"> (Vụ án C-70/09) [2010] ECR I-7252 tại đoạn 36; </w:t>
      </w:r>
      <w:r>
        <w:rPr>
          <w:b w:val="0"/>
          <w:i/>
        </w:rPr>
        <w:t xml:space="preserve"> Roman Bukovansky v Finanzamt Lörrach </w:t>
      </w:r>
      <w:r>
        <w:rPr>
          <w:b w:val="0"/>
          <w:i w:val="0"/>
        </w:rPr>
        <w:t xml:space="preserve"> (Vụ án C-241/14) ECLI:EU:C:2015:766, (theo Advocate-General Mengozzi tại đoạn 42); </w:t>
      </w:r>
      <w:r>
        <w:rPr>
          <w:b w:val="0"/>
          <w:i/>
        </w:rPr>
        <w:t xml:space="preserve"> Brita GmbH v Hauptzollamt Hamburg-Hafen </w:t>
      </w:r>
      <w:r>
        <w:rPr>
          <w:b w:val="0"/>
          <w:i w:val="0"/>
        </w:rPr>
        <w:t xml:space="preserve"> (Vụ án C-386/08) ECLI:EU:C:2010:91 tại các đoạn 40-42. Xem Chương 3, §3.12.</w:t>
      </w:r>
    </w:p>
    <w:p>
      <w:pPr>
        <w:spacing w:after="80"/>
      </w:pPr>
      <w:r>
        <w:rPr>
          <w:b w:val="0"/>
          <w:i w:val="0"/>
        </w:rPr>
        <w:t>114</w:t>
      </w:r>
    </w:p>
    <w:p>
      <w:pPr>
        <w:spacing w:after="80"/>
      </w:pPr>
      <w:r>
        <w:rPr>
          <w:b w:val="0"/>
          <w:i w:val="0"/>
        </w:rPr>
        <w:t xml:space="preserve">ngắn gọn hãy cố gắng làm cho nó hoạt động một cách hợp lý'.29 Trong </w:t>
      </w:r>
      <w:r>
        <w:rPr>
          <w:b w:val="0"/>
          <w:i/>
        </w:rPr>
        <w:t xml:space="preserve"> Fowler v HMRC </w:t>
      </w:r>
      <w:r>
        <w:rPr>
          <w:b w:val="0"/>
          <w:i w:val="0"/>
        </w:rPr>
        <w:t>,30 Thẩm phán Brennan đã bác bỏ lập luận của HMRC rằng việc cho phép một quốc gia dựa vào ý nghĩa nội địa được coi là theo Điều 3(2) của hiệp định thuế song phương Nam Phi-Anh,31 sẽ cho phép quốc gia ký kết đơn phương thay đổi luật của mình để mở rộng quyền đánh thuế theo một hiệp định với lý do rằng việc giải thích thiện chí sẽ ngăn cản điều này.32</w:t>
      </w:r>
    </w:p>
    <w:p>
      <w:pPr>
        <w:spacing w:after="80"/>
      </w:pPr>
      <w:r>
        <w:rPr>
          <w:b/>
          <w:i w:val="0"/>
        </w:rPr>
        <w:t xml:space="preserve">[A] Ý nghĩa thông thường của các thuật ngữ </w:t>
      </w:r>
    </w:p>
    <w:p>
      <w:pPr>
        <w:spacing w:after="80"/>
      </w:pPr>
      <w:r>
        <w:rPr>
          <w:b w:val="0"/>
          <w:i w:val="0"/>
        </w:rPr>
        <w:t xml:space="preserve">Như trường hợp giải thích luật thành văn, ý nghĩa thông thường của từ ngữ là điểm dừng đầu tiên của nguyên tắc. Các tòa án chủ yếu dựa vào ý nghĩa thông thường của từ ngữ, thay vì bất kỳ mục đích được cho là của một điều khoản hiệp định. Trong </w:t>
      </w:r>
      <w:r>
        <w:rPr>
          <w:b w:val="0"/>
          <w:i/>
        </w:rPr>
        <w:t xml:space="preserve"> IRC v Commerzbank </w:t>
      </w:r>
      <w:r>
        <w:rPr>
          <w:b w:val="0"/>
          <w:i w:val="0"/>
        </w:rPr>
        <w:t>,33</w:t>
      </w:r>
    </w:p>
    <w:p>
      <w:pPr>
        <w:spacing w:after="80"/>
      </w:pPr>
      <w:r>
        <w:rPr>
          <w:b w:val="0"/>
          <w:i w:val="0"/>
        </w:rPr>
        <w:t>Điều XV của Hiệp định Thuế Hoa Kỳ cũ (1945) quy định:</w:t>
      </w:r>
    </w:p>
    <w:p>
      <w:pPr>
        <w:spacing w:after="80"/>
      </w:pPr>
      <w:r>
        <w:rPr>
          <w:b w:val="0"/>
          <w:i w:val="0"/>
        </w:rPr>
        <w:t>Cổ tức và tiền lãi do một [công ty Hoa Kỳ] trả sẽ được miễn thuế bởi [Vương quốc Anh] trừ khi người nhận là công dân, cư dân hoặc công ty của [Vương quốc Anh]. Miễn trừ này sẽ không áp dụng nếu công ty trả cổ tức hoặc tiền lãi đó là cư dân của [Vương quốc Anh].</w:t>
      </w:r>
    </w:p>
    <w:p>
      <w:pPr>
        <w:spacing w:after="80"/>
      </w:pPr>
      <w:r>
        <w:rPr>
          <w:b w:val="0"/>
          <w:i w:val="0"/>
        </w:rPr>
        <w:t>Cơ quan Thuế Nội địa (Inland Revenue) lập luận rằng hiệp định không mang lại lợi ích cho bất kỳ ai ngoài cư dân hoặc công dân Hoa Kỳ. Hiệp định tỏ ra thiếu sót khi so sánh với các hiệp định hiện đại hơn vì nó không có quy định chung về phạm vi cá nhân của mình. Tòa án đã phán quyết rằng ý nghĩa tự nhiên và thông thường của các từ ngữ trong Điều XV là rõ ràng. Tiền lãi do các công ty Hoa Kỳ trả được miễn thuế Vương quốc Anh, trừ trường hợp người nhận là công dân Vương quốc Anh cư trú hoặc là công ty.</w:t>
      </w:r>
    </w:p>
    <w:p>
      <w:pPr>
        <w:spacing w:after="80"/>
      </w:pPr>
      <w:r>
        <w:rPr>
          <w:b w:val="0"/>
          <w:i w:val="0"/>
        </w:rPr>
        <w:t xml:space="preserve">Tương tự, trong </w:t>
      </w:r>
      <w:r>
        <w:rPr>
          <w:b w:val="0"/>
          <w:i/>
        </w:rPr>
        <w:t>Strathalmond v IRC</w:t>
      </w:r>
      <w:r>
        <w:rPr>
          <w:b w:val="0"/>
          <w:i w:val="0"/>
        </w:rPr>
        <w:t>,34 cùng cách diễn đạt đó đã được xem xét liên quan đến cổ tức. Tòa án quyết định rằng điều khoản này miễn thuế Vương quốc Anh đối với cổ tức và tiền lãi Hoa Kỳ trả cho một công dân Hoa Kỳ cư trú tại Vương quốc Anh nhưng không thuộc định nghĩa 'cư dân của Vương quốc Anh'. Điều này là bởi vì công dân Hoa Kỳ bị loại trừ khỏi định nghĩa đó.</w:t>
      </w:r>
    </w:p>
    <w:p>
      <w:pPr>
        <w:spacing w:after="80"/>
      </w:pPr>
      <w:r>
        <w:rPr>
          <w:b w:val="0"/>
          <w:i w:val="0"/>
        </w:rPr>
        <w:t xml:space="preserve">Trong </w:t>
      </w:r>
      <w:r>
        <w:rPr>
          <w:b w:val="0"/>
          <w:i/>
        </w:rPr>
        <w:t>Padmore v IRC</w:t>
      </w:r>
      <w:r>
        <w:rPr>
          <w:b w:val="0"/>
          <w:i w:val="0"/>
        </w:rPr>
        <w:t>,35 cách diễn đạt của hiệp định là trọng tâm dẫn đến kết luận rằng một công ty hợp danh cư trú tại Jersey không có cơ sở thường trú (permanent establishment - PE) tại Vương quốc Anh thì không phải chịu thuế tại đây. Tại Tòa án Cấp cao (High Court), Thẩm phán Peter Gibson đã bác bỏ lập luận của Hoàng gia (Crown) rằng sơ đồ tổng thể của Hiệp định Jersey có liên quan trong việc xác định ý nghĩa của 'lợi nhuận của một doanh nghiệp Jersey' theo khoản 3(2) của hiệp định. Ông nói:</w:t>
      </w:r>
    </w:p>
    <w:p>
      <w:pPr>
        <w:spacing w:after="80"/>
      </w:pPr>
      <w:r>
        <w:rPr>
          <w:b w:val="0"/>
          <w:i w:val="0"/>
        </w:rPr>
        <w:t>Điểm khởi đầu đúng đắn là ngôn ngữ của khoản 3(2). Theo tôi, điều đó rõ ràng không thể nhầm lẫn về ý nghĩa của nó. Tất cả lợi nhuận công nghiệp hoặc thương mại của một doanh nghiệp Jersey</w:t>
      </w:r>
    </w:p>
    <w:p>
      <w:pPr>
        <w:spacing w:after="80"/>
      </w:pPr>
      <w:r>
        <w:rPr>
          <w:b w:val="0"/>
          <w:i w:val="0"/>
        </w:rPr>
        <w:t xml:space="preserve">29. </w:t>
      </w:r>
      <w:r>
        <w:rPr>
          <w:b w:val="0"/>
          <w:i/>
        </w:rPr>
        <w:t>Sportsman v Inland Revenue Commrs</w:t>
      </w:r>
      <w:r>
        <w:rPr>
          <w:b w:val="0"/>
          <w:i w:val="0"/>
        </w:rPr>
        <w:t xml:space="preserve"> (1998) Sp C 174 tại đoạn 4.1. Xem Chương 1, §1.08. 30. </w:t>
      </w:r>
      <w:r>
        <w:rPr>
          <w:b w:val="0"/>
          <w:i/>
        </w:rPr>
        <w:t>Fowler v Revenue &amp; Customs Commissioners</w:t>
      </w:r>
      <w:r>
        <w:rPr>
          <w:b w:val="0"/>
          <w:i w:val="0"/>
        </w:rPr>
        <w:t xml:space="preserve"> [2016] UKFTT 234, [2016] TC 05009, [2016] SFTD 535, 18 ITL Rep 644. 31. Xem §4.08. 32. Tại đoạn 115. 33. </w:t>
      </w:r>
      <w:r>
        <w:rPr>
          <w:b w:val="0"/>
          <w:i/>
        </w:rPr>
        <w:t>Inland Revenue Commissioners v Commerzbank AG</w:t>
      </w:r>
      <w:r>
        <w:rPr>
          <w:b w:val="0"/>
          <w:i w:val="0"/>
        </w:rPr>
        <w:t xml:space="preserve"> [1990] BTC 172; [1990] STC 285, Ch. D tại 297-298. 34. </w:t>
      </w:r>
      <w:r>
        <w:rPr>
          <w:b w:val="0"/>
          <w:i/>
        </w:rPr>
        <w:t>Strathalmond v Inland Revenue Commissioners</w:t>
      </w:r>
      <w:r>
        <w:rPr>
          <w:b w:val="0"/>
          <w:i w:val="0"/>
        </w:rPr>
        <w:t xml:space="preserve"> (1972) 48 TC 537. 35. </w:t>
      </w:r>
      <w:r>
        <w:rPr>
          <w:b w:val="0"/>
          <w:i/>
        </w:rPr>
        <w:t>Padmore v Inland Revenue Commissioners</w:t>
      </w:r>
      <w:r>
        <w:rPr>
          <w:b w:val="0"/>
          <w:i w:val="0"/>
        </w:rPr>
        <w:t xml:space="preserve"> [1989] BTC 221; [1989] STC 493.</w:t>
      </w:r>
    </w:p>
    <w:p>
      <w:pPr>
        <w:spacing w:after="80"/>
      </w:pPr>
      <w:r>
        <w:rPr>
          <w:b w:val="0"/>
          <w:i w:val="0"/>
        </w:rPr>
        <w:t>115</w:t>
      </w:r>
    </w:p>
    <w:p>
      <w:pPr>
        <w:spacing w:after="80"/>
      </w:pPr>
      <w:r>
        <w:rPr>
          <w:b w:val="0"/>
          <w:i w:val="0"/>
        </w:rPr>
        <w:t>không phải chịu thuế Vương quốc Anh, và xét theo bề mặt, điều đó rõ ràng có nghĩa là những khoản lợi nhuận đó dù kiếm được ở Jersey hay ở Vương quốc Anh hay ở nơi khác.</w:t>
      </w:r>
    </w:p>
    <w:p>
      <w:pPr>
        <w:spacing w:after="80"/>
      </w:pPr>
      <w:r>
        <w:rPr>
          <w:b w:val="0"/>
          <w:i w:val="0"/>
        </w:rPr>
        <w:t>Ông bác bỏ ý kiến rằng bất kỳ cân nhắc rộng hơn nào sẽ buộc phải đưa ra kết luận khác. Một lần nữa, tại Tòa Phúc thẩm (Court of Appeal), Thẩm phán Fox LJ nói rằng:</w:t>
      </w:r>
    </w:p>
    <w:p>
      <w:pPr>
        <w:spacing w:after="80"/>
      </w:pPr>
      <w:r>
        <w:rPr>
          <w:b w:val="0"/>
          <w:i w:val="0"/>
        </w:rPr>
        <w:t>Điều 3(2) được diễn đạt bằng ngôn ngữ có độ rộng rất đáng kể. Điều khoản này miễn thuế Vương quốc Anh cho tất cả lợi nhuận của một doanh nghiệp Jersey (trừ một ngoại lệ không liên quan). Doanh nghiệp trong trường hợp này là một công ty hợp danh. Công ty hợp danh không phải là một thực thể tách biệt khỏi các thành viên hợp danh. Lợi nhuận thuộc về họ. Về mặt giải thích ngôn ngữ rộng này, tôi không thấy từ ngữ nào loại trừ phần lợi nhuận của từng thành viên hợp danh khỏi sự miễn thuế. Sự miễn thuế được quy định bằng các thuật ngữ chung và tôi không thấy lý do gì mà cái lớn hơn lại không bao gồm cái nhỏ hơn.</w:t>
      </w:r>
    </w:p>
    <w:p>
      <w:pPr>
        <w:spacing w:after="80"/>
      </w:pPr>
      <w:r>
        <w:rPr>
          <w:b w:val="0"/>
          <w:i w:val="0"/>
        </w:rPr>
        <w:t>Mặc dù ghi nhận sự bất thường giữa cách đối xử với các công ty hợp danh, thương nhân cá nhân và cổ đông cư trú tại Vương quốc Anh, ông nói:36</w:t>
      </w:r>
    </w:p>
    <w:p>
      <w:pPr>
        <w:spacing w:after="80"/>
      </w:pPr>
      <w:r>
        <w:rPr>
          <w:b w:val="0"/>
          <w:i w:val="0"/>
        </w:rPr>
        <w:t>Tôi không nghĩ những điều này đủ để thay thế ý nghĩa tự nhiên của Điều 3(2).</w:t>
      </w:r>
    </w:p>
    <w:p>
      <w:pPr>
        <w:spacing w:after="80"/>
      </w:pPr>
      <w:r>
        <w:rPr>
          <w:b w:val="0"/>
          <w:i w:val="0"/>
        </w:rPr>
        <w:t xml:space="preserve">Trong </w:t>
      </w:r>
      <w:r>
        <w:rPr>
          <w:b w:val="0"/>
          <w:i/>
        </w:rPr>
        <w:t>Sun Life Assurance Company of Canada v Pearson</w:t>
      </w:r>
      <w:r>
        <w:rPr>
          <w:b w:val="0"/>
          <w:i w:val="0"/>
        </w:rPr>
        <w:t>,37 ý định của những người soạn thảo hiệp định là trọng tâm. Thẩm phán Vinelott nói:</w:t>
      </w:r>
    </w:p>
    <w:p>
      <w:pPr>
        <w:spacing w:after="80"/>
      </w:pPr>
      <w:r>
        <w:rPr>
          <w:b w:val="0"/>
          <w:i w:val="0"/>
        </w:rPr>
        <w:t>Vấn đề là xác định những quy định nào của pháp luật Vương quốc Anh mà những người soạn thảo hiệp định dự định mô tả trong Điều 6(7). Một khi đã chấp nhận rằng mục 430 (được sửa đổi bởi các Đạo luật năm 1956 và 1965) là một quy định, và thực sự là quy định duy nhất mà những người soạn thảo hiệp định có trong đầu, thì câu hỏi liệu nó có được mô tả chính xác là liên quan đến nghĩa vụ thuế của một công ty bảo hiểm nhân thọ nước ngoài đối với thu nhập từ việc đầu tư quỹ bảo hiểm nhân thọ của mình hay không trở thành một câu hỏi vô nghĩa.</w:t>
      </w:r>
    </w:p>
    <w:p>
      <w:pPr>
        <w:spacing w:after="80"/>
      </w:pPr>
      <w:r>
        <w:rPr>
          <w:b w:val="0"/>
          <w:i w:val="0"/>
        </w:rPr>
        <w:t>Câu hỏi thứ hai là liệu các sửa đổi lập pháp có phải là những quy định 'liên quan đến … nghĩa vụ thuế' trong Điều 6(7) của Hiệp định Canada-Vương quốc Anh hay không, và nếu đúng như vậy, liệu những thay đổi đó có phải là những sửa đổi nhỏ không ảnh hưởng đến tính chất chung của các quy định có hiệu lực vào ngày 6 tháng 12 năm 1995 mà hiệp định đã bảo lưu hay không. Hoàng gia (Crown) tìm cách lập luận rằng các quy định pháp luật trong nước đang được đề cập liên quan đến quyền thu hồi thuế thu nhập bị khấu trừ tại nguồn từ thu nhập đầu tư tại Vương quốc Anh không phải là những quy định liên quan đến nghĩa vụ thuế của một công ty bảo hiểm nước ngoài trong Điều 6(7). Tòa án coi quan điểm đó dựa trên cách giải thích quá hẹp đối với cụm từ 'liên quan đến nghĩa vụ thuế'. Dựa trên Điều 6(2), Thẩm phán Vinelott kết luận rằng những từ ngữ đó rõ ràng đề cập đến nghĩa vụ thuế tổng thể của một doanh nghiệp Canada kinh doanh thông qua một PE tại Vương quốc Anh - đối với thuế Vương quốc Anh, bao gồm cả thuế đối với thu nhập từ các khoản đầu tư tại Vương quốc Anh được thực hiện cho mục đích kinh doanh của PE đó.</w:t>
      </w:r>
    </w:p>
    <w:p>
      <w:pPr>
        <w:spacing w:after="80"/>
      </w:pPr>
      <w:r>
        <w:rPr>
          <w:b w:val="0"/>
          <w:i w:val="0"/>
        </w:rPr>
        <w:t xml:space="preserve">36. Tại 379. 37. </w:t>
      </w:r>
      <w:r>
        <w:rPr>
          <w:b w:val="0"/>
          <w:i/>
        </w:rPr>
        <w:t>Sun Life Assurance Company of Canada v Pearson</w:t>
      </w:r>
      <w:r>
        <w:rPr>
          <w:b w:val="0"/>
          <w:i w:val="0"/>
        </w:rPr>
        <w:t xml:space="preserve"> (1984) 59 TC 250, [1984] BTC 223; [1984] STC 461.</w:t>
      </w:r>
    </w:p>
    <w:p>
      <w:pPr>
        <w:spacing w:after="80"/>
      </w:pPr>
      <w:r>
        <w:rPr>
          <w:b w:val="0"/>
          <w:i w:val="0"/>
        </w:rPr>
        <w:t>116</w:t>
      </w:r>
    </w:p>
    <w:p>
      <w:pPr>
        <w:spacing w:after="80"/>
      </w:pPr>
      <w:r>
        <w:rPr>
          <w:b w:val="0"/>
          <w:i w:val="0"/>
        </w:rPr>
        <w:t>Tương tự, Tòa phúc thẩm trong vụ án đó38 đã bác bỏ lập luận rằng ‘lợi nhuận’ trong Điều 7 của Hiệp định Canada-Anh năm 1980 có ý nghĩa khác với ‘lợi nhuận thương mại và công nghiệp’ được tìm thấy trong các hiệp định trước đó giữa Anh với Canada và Úc. Tòa tập trung vào ý nghĩa thông thường của các từ ngữ trong bối cảnh toàn bộ hiệp định và được hỗ trợ bởi Bình luận Mẫu OECD, phân tích những thay đổi so với hiệp định trước đó và các quy định tương tự trong Hiệp định Úc-Anh. Cách tiếp cận này dường như gợi ý rằng cần có những công cụ giải thích phức tạp hơn cho những câu hỏi khó nhất, chứ không phải rằng ý nghĩa thông thường của từ ngữ là không phù hợp như công cụ giải thích chính.</w:t>
      </w:r>
    </w:p>
    <w:p>
      <w:pPr>
        <w:spacing w:after="80"/>
      </w:pPr>
      <w:r>
        <w:rPr>
          <w:b w:val="0"/>
          <w:i w:val="0"/>
        </w:rPr>
        <w:t xml:space="preserve">Một vụ án khác đã xem xét Điều XV của Hiệp định Hoa Kỳ cũ năm 1945 và dựa vào các phương pháp giải thích khác là </w:t>
      </w:r>
      <w:r>
        <w:rPr>
          <w:b w:val="0"/>
          <w:i/>
        </w:rPr>
        <w:t>IRC v Exxon Corp</w:t>
      </w:r>
      <w:r>
        <w:rPr>
          <w:b w:val="0"/>
          <w:i w:val="0"/>
        </w:rPr>
        <w:t>.39 Vụ án đó liên quan đến cổ tức do một công ty Hoa Kỳ cư trú tại Anh trả cho công ty mẹ của nó, một công ty Hoa Kỳ cư trú tại Hoa Kỳ vì mục đích thuế. Câu hỏi đặt ra là liệu cụm từ ‘cư dân của bên ký kết kia’ trong câu thứ hai của Điều XV có nên được giải thích theo các định nghĩa về cư trú được nêu trong Điều 2(1)(g) ‘cư dân Vương quốc Anh’ và (1)(h) ‘cư dân Hoa Kỳ’ hay không, hay liệu nó có nên được coi là một ‘thuật ngữ không được định nghĩa theo cách khác’ cho các mục đích của Điều 2(3) của hiệp định hay không. Lập luận của người nộp thuế rằng nên áp dụng ý nghĩa rõ ràng của các từ ngữ, theo Goulding J, là ‘chỉ đơn giản chấp nhận hậu quả rằng câu thứ hai của Điều khoản này có thể đã thất bại một cách chắc chắn hoặc có thể xảy ra trong việc đạt được bất kỳ mục đích nào mà những người soạn thảo nó dự định’. Phía nhà nước lập luận rằng chính sách rộng rãi đằng sau câu thứ hai là rõ ràng, cụ thể là từ chối miễn thuế đối với cổ tức hoặc lãi trả cho một công ty Hoa Kỳ bởi một công ty con hoạt động và được quản lý tại Anh nhưng chỉ được thành lập tại Hoa Kỳ. Vị thẩm phán uyên bác đồng ý rằng mục đích dự định của câu thứ hai của Điều XV có thể được nhận thấy và rằng ý nghĩa rõ ràng của các từ ngữ được sử dụng có nghĩa là cụm từ ‘cư dân của bên ký kết kia’ không mang theo các định nghĩa về cư trú. Ông nói:</w:t>
      </w:r>
    </w:p>
    <w:p>
      <w:pPr>
        <w:spacing w:after="80"/>
      </w:pPr>
      <w:r>
        <w:rPr>
          <w:b w:val="0"/>
          <w:i w:val="0"/>
        </w:rPr>
        <w:t>Khi đi đến kết luận này, tôi lưu ý rằng các từ ngữ của Công ước không phải là những từ ngữ của một người soạn thảo nghị viện thông thường, mà là một văn bản được đồng ý thông qua đàm phán giữa hai chính phủ ký kết. Mặc dù do đó tôi bị ràng buộc phải làm trái với ngôn ngữ của Công ước, tôi không thấy lý do gì để gây ra vết thương sâu hơn mức cần thiết. Nói cách khác, tôi thích rời bỏ ý nghĩa rõ ràng của ngôn ngữ chỉ trong câu thứ hai của Điều 15 và tôi chấp nhận hậu quả (dù kỳ lạ) rằng những từ ngữ tương tự có ý nghĩa khác nhau trong hai câu.</w:t>
      </w:r>
    </w:p>
    <w:p>
      <w:pPr>
        <w:spacing w:after="80"/>
      </w:pPr>
      <w:r>
        <w:rPr>
          <w:b w:val="0"/>
          <w:i w:val="0"/>
        </w:rPr>
        <w:t xml:space="preserve">Ý nghĩa thông thường của từ ngữ đã được áp dụng trong </w:t>
      </w:r>
      <w:r>
        <w:rPr>
          <w:b w:val="0"/>
          <w:i/>
        </w:rPr>
        <w:t>Steele v EVC International NV</w:t>
      </w:r>
      <w:r>
        <w:rPr>
          <w:b w:val="0"/>
          <w:i w:val="0"/>
        </w:rPr>
        <w:t>40 khi giải thích Điều 10 của Hiệp định Hà Lan liên quan đến quyền được hoàn lại tín dụng thuế cổ tức. Việc hoàn lại tín dụng đã bị từ chối khi công ty trả cổ tức bị kiểm soát bởi một người hoặc hai hay nhiều người có liên kết hoặc có mối liên hệ mà lẽ ra không được hưởng tín dụng trực tiếp. Câu hỏi về liên kết hoặc kiểm soát được áp dụng nếu ‘theo luật của Vương quốc Anh liên quan</w:t>
      </w:r>
    </w:p>
    <w:p>
      <w:pPr>
        <w:spacing w:after="80"/>
      </w:pPr>
      <w:r>
        <w:rPr>
          <w:b w:val="0"/>
          <w:i w:val="0"/>
        </w:rPr>
        <w:t>38.</w:t>
      </w:r>
      <w:r>
        <w:rPr>
          <w:b w:val="0"/>
          <w:i/>
        </w:rPr>
        <w:t>Sun Life Assurance Company of Canada v Pearson</w:t>
      </w:r>
      <w:r>
        <w:rPr>
          <w:b w:val="0"/>
          <w:i w:val="0"/>
        </w:rPr>
        <w:t xml:space="preserve"> [1986] BTC 282; (1986) 59 TC 250; [1986] STC335.39.</w:t>
      </w:r>
      <w:r>
        <w:rPr>
          <w:b w:val="0"/>
          <w:i/>
        </w:rPr>
        <w:t>Inland Revenue Commissioners v Exxon Corp</w:t>
      </w:r>
      <w:r>
        <w:rPr>
          <w:b w:val="0"/>
          <w:i w:val="0"/>
        </w:rPr>
        <w:t xml:space="preserve"> [1982] BTC 182; [1982] STC 356, Ch. D.40.</w:t>
      </w:r>
      <w:r>
        <w:rPr>
          <w:b w:val="0"/>
          <w:i/>
        </w:rPr>
        <w:t>Steele v EVC International NV</w:t>
      </w:r>
      <w:r>
        <w:rPr>
          <w:b w:val="0"/>
          <w:i w:val="0"/>
        </w:rPr>
        <w:t xml:space="preserve"> [1996] BTC 425; [1996] STC 785, CA.</w:t>
      </w:r>
    </w:p>
    <w:p>
      <w:pPr>
        <w:spacing w:after="80"/>
      </w:pPr>
      <w:r>
        <w:rPr>
          <w:b w:val="0"/>
          <w:i w:val="0"/>
        </w:rPr>
        <w:t>117</w:t>
      </w:r>
    </w:p>
    <w:p>
      <w:pPr>
        <w:spacing w:after="80"/>
      </w:pPr>
      <w:r>
        <w:rPr>
          <w:b w:val="0"/>
          <w:i w:val="0"/>
        </w:rPr>
        <w:t>đến các loại thuế được điều chỉnh bởi Công ước này, người đó hoặc họ có thể được coi là có quyền kiểm soát nó cho bất kỳ mục đích nào’ (Điều 10(3)(d)(ii)). Người nộp thuế lập luận rằng tác hại mà điều khoản này nhắm đến là việc mua bán hiệp định (treaty shopping) và rằng mục đích này được đạt được đầy đủ nếu các quy tắc liên quan đến mối liên hệ chỉ áp dụng cho những người thực sự có liên hệ, nghĩa là không phải chỉ thông qua sự trùng hợp ngẫu nhiên của việc họ cùng kiểm soát công ty đang được xem xét. Lập luận như vậy sẽ đòi hỏi phải loại trừ ICTA 1988, s. 839(7), điều khoản liên kết những người cùng hành động để đảm bảo hoặc thực hiện quyền kiểm soát một công ty.</w:t>
      </w:r>
    </w:p>
    <w:p>
      <w:pPr>
        <w:spacing w:after="80"/>
      </w:pPr>
      <w:r>
        <w:rPr>
          <w:b w:val="0"/>
          <w:i w:val="0"/>
        </w:rPr>
        <w:t>Tại Tòa án cấp cao, Lightman J đã bác bỏ lập luận này trên cơ sở rằng các từ ngữ trong hiệp định ‘cho bất kỳ mục đích nào’ rõ ràng bao gồm mối liên hệ theo s. 839(7). Ông nói:</w:t>
      </w:r>
    </w:p>
    <w:p>
      <w:pPr>
        <w:spacing w:after="80"/>
      </w:pPr>
      <w:r>
        <w:rPr>
          <w:b w:val="0"/>
          <w:i w:val="0"/>
        </w:rPr>
        <w:t>Liệu điều này có công bằng hay không có thể là một vấn đề mà người ta có thể có những ý kiến mạnh mẽ, nhưng điều đó không đủ để ngăn cản ngôn ngữ được sử dụng có hiệu lực đầy đủ của nó.41</w:t>
      </w:r>
    </w:p>
    <w:p>
      <w:pPr>
        <w:spacing w:after="80"/>
      </w:pPr>
      <w:r>
        <w:rPr>
          <w:b w:val="0"/>
          <w:i w:val="0"/>
        </w:rPr>
        <w:t xml:space="preserve">Khi kháng cáo, sau khi tóm tắt các nguyên tắc giải thích trong </w:t>
      </w:r>
      <w:r>
        <w:rPr>
          <w:b w:val="0"/>
          <w:i/>
        </w:rPr>
        <w:t>Commerzbank</w:t>
      </w:r>
      <w:r>
        <w:rPr>
          <w:b w:val="0"/>
          <w:i w:val="0"/>
        </w:rPr>
        <w:t>, Morritt LJ nói:42</w:t>
      </w:r>
    </w:p>
    <w:p>
      <w:pPr>
        <w:spacing w:after="80"/>
      </w:pPr>
      <w:r>
        <w:rPr>
          <w:b w:val="0"/>
          <w:i w:val="0"/>
        </w:rPr>
        <w:t>Việc sử dụng từ ‘có thể’ kết hợp với ‘bất kỳ mục đích nào’ dường như đối với tôi loại trừ bất kỳ yêu cầu nào rằng có một số vấn đề thực chất… ngoài sự sẵn có của tín dụng thuế cho mục đích mà mối liên hệ phát sinh hoặc có liên quan.</w:t>
      </w:r>
    </w:p>
    <w:p>
      <w:pPr>
        <w:spacing w:after="80"/>
      </w:pPr>
      <w:r>
        <w:rPr>
          <w:b w:val="0"/>
          <w:i w:val="0"/>
        </w:rPr>
        <w:t>Cách diễn đạt có hiệu lực rằng những người được đề cập có thể được coi là có liên hệ cho bất kỳ mục đích nào, chứ không phải cho tất cả các mục đích. Ông không nghĩ rằng những kết luận này phát sinh từ việc giải thích theo nghĩa đen quá mức của Công ước. Mặc dù chấp nhận quy định này như một biện pháp chống tránh thuế được thiết kế để ngăn chặn việc tạo ra quyền hưởng tín dụng thuế một cách nhân tạo, ông nói rằng thật viển vông khi cho rằng những người soạn thảo Công ước có ý định hạn chế việc áp dụng các quy định đó trong những trường hợp mà chúng đã được áp dụng hoặc để giới hạn những quy định đã được áp dụng. Do đó, cách giải thích theo mục đích cho rằng điều khoản đề cập đến một định nghĩa hạn chế về kiểm soát đã bị bác bỏ.</w:t>
      </w:r>
    </w:p>
    <w:p>
      <w:pPr>
        <w:spacing w:after="80"/>
      </w:pPr>
      <w:r>
        <w:rPr>
          <w:b w:val="0"/>
          <w:i w:val="0"/>
        </w:rPr>
        <w:t xml:space="preserve">Trong </w:t>
      </w:r>
      <w:r>
        <w:rPr>
          <w:b w:val="0"/>
          <w:i/>
        </w:rPr>
        <w:t>Trevor Smallwood Trust v HMRC</w:t>
      </w:r>
      <w:r>
        <w:rPr>
          <w:b w:val="0"/>
          <w:i w:val="0"/>
        </w:rPr>
        <w:t>, các Ủy viên Đặc biệt Tiến sĩ AN Brice và JFAvery Jones đã phán quyết rằng liên quan đến Điều 13(4) của Hiệp định Mauritius-Anh, ‘những từ ngữ rõ ràng “chỉ chịu thuế” tại quốc gia cư trú theo hiệp định có nghĩa đúng như những gì chúng nói’. Do đó sẽ không có phạm vi cho bất kỳ cơ sở đánh thuế nào tại quốc gia không phải là quốc gia cư trú theo hiệp định.43 Khi đi đến cùng kết luận, Mann J tại Tòa án cấp cao khi kháng cáo nói:</w:t>
      </w:r>
    </w:p>
    <w:p>
      <w:pPr>
        <w:spacing w:after="80"/>
      </w:pPr>
      <w:r>
        <w:rPr>
          <w:b w:val="0"/>
          <w:i w:val="0"/>
        </w:rPr>
        <w:t>Cách diễn đạt của đoạn này không cho thấy nhiều sự ủng hộ cho lập luận của HMRC.44</w:t>
      </w:r>
    </w:p>
    <w:p>
      <w:pPr>
        <w:spacing w:after="80"/>
      </w:pPr>
      <w:r>
        <w:rPr>
          <w:b w:val="0"/>
          <w:i w:val="0"/>
        </w:rPr>
        <w:t>41.</w:t>
      </w:r>
      <w:r>
        <w:rPr>
          <w:b w:val="0"/>
          <w:i/>
        </w:rPr>
        <w:t>Steele v EVC International NV</w:t>
      </w:r>
      <w:r>
        <w:rPr>
          <w:b w:val="0"/>
          <w:i w:val="0"/>
        </w:rPr>
        <w:t xml:space="preserve"> [1995] BTC 32; [1995] STC 31, tại 51b, Ch. D.42.</w:t>
      </w:r>
      <w:r>
        <w:rPr>
          <w:b w:val="0"/>
          <w:i/>
        </w:rPr>
        <w:t>Steele v EVC International NV</w:t>
      </w:r>
      <w:r>
        <w:rPr>
          <w:b w:val="0"/>
          <w:i w:val="0"/>
        </w:rPr>
        <w:t xml:space="preserve"> [1996] BTC 425 tại 437; [1996] STC 785 tại 797, CA.43.</w:t>
      </w:r>
      <w:r>
        <w:rPr>
          <w:b w:val="0"/>
          <w:i/>
        </w:rPr>
        <w:t>SmallwoodvRevenueandCustomsCommissioners</w:t>
      </w:r>
      <w:r>
        <w:rPr>
          <w:b w:val="0"/>
          <w:i w:val="0"/>
        </w:rPr>
        <w:t>[2008]UKSPCSPC669[2008],STC(SCD)629 (2008) Sp C 669, đoạn 103.44.</w:t>
      </w:r>
      <w:r>
        <w:rPr>
          <w:b w:val="0"/>
          <w:i/>
        </w:rPr>
        <w:t>Smallwood&amp;Anor(trusteesoftheTrevorSmallwoodSettlement)vRevenueandCustomsCommissioners</w:t>
      </w:r>
      <w:r>
        <w:rPr>
          <w:b w:val="0"/>
          <w:i w:val="0"/>
        </w:rPr>
        <w:t>[2009]BTC135;[2009]STC1222[2009]EWHC777(Ch)tại đoạn 34. Quyết định đáng ngạc nhiên và, theo quan điểm của tác giả là không chính xác của Tòa phúc thẩm trong vụ án này được xem xét trong Chương 8 và 12.</w:t>
      </w:r>
    </w:p>
    <w:p>
      <w:pPr>
        <w:spacing w:after="80"/>
      </w:pPr>
      <w:r>
        <w:rPr>
          <w:b w:val="0"/>
          <w:i w:val="0"/>
        </w:rPr>
        <w:t>118</w:t>
      </w:r>
    </w:p>
    <w:p>
      <w:pPr>
        <w:spacing w:after="80"/>
      </w:pPr>
      <w:r>
        <w:rPr>
          <w:b w:val="0"/>
          <w:i w:val="0"/>
        </w:rPr>
        <w:t xml:space="preserve">Ý nghĩa thông thường đã thắng thế trong phán quyết của Upper Tribunal (Tòa án cấp cao) trong vụ </w:t>
      </w:r>
      <w:r>
        <w:rPr>
          <w:b w:val="0"/>
          <w:i/>
        </w:rPr>
        <w:t>Macklin v HMRC</w:t>
      </w:r>
      <w:r>
        <w:rPr>
          <w:b w:val="0"/>
          <w:i w:val="0"/>
        </w:rPr>
        <w:t xml:space="preserve">45 về việc liệu World Bank Staff Retirement Plan có phải là một chương trình hưu trí được "thành lập tại" (established in) Hoa Kỳ hay không. Tòa án Quận Hoa Kỳ cũng kết luận trong vụ </w:t>
      </w:r>
      <w:r>
        <w:rPr>
          <w:b w:val="0"/>
          <w:i/>
        </w:rPr>
        <w:t>Lehman Brothers Holdings Inc. v United States</w:t>
      </w:r>
      <w:r>
        <w:rPr>
          <w:b w:val="0"/>
          <w:i w:val="0"/>
        </w:rPr>
        <w:t>46 rằng khoản thanh toán cổ tức thay thế (substitute dividend payment) trong một giao dịch cho vay cổ phiếu — vốn là cổ tức theo luật thuế Anh nhưng không phải theo luật Hoa Kỳ — không được coi là cổ tức cho mục đích tín dụng thuế Hoa Kỳ theo Hiệp định thuế Hoa Kỳ - Anh năm 1980, do ngôn ngữ rõ ràng của Điều 10(2)(a)(iii) của Hiệp định bắt buộc như vậy. Ý nghĩa thông thường của các từ ngữ cũng đã trở thành cơ sở cho các phán quyết của các Special Commissioners (Ủy viên Đặc biệt).47</w:t>
      </w:r>
    </w:p>
    <w:p>
      <w:pPr>
        <w:spacing w:after="80"/>
      </w:pPr>
      <w:r>
        <w:rPr>
          <w:b/>
          <w:i w:val="0"/>
        </w:rPr>
        <w:t>[B]Bối cảnh</w:t>
      </w:r>
    </w:p>
    <w:p>
      <w:pPr>
        <w:spacing w:after="80"/>
      </w:pPr>
      <w:r>
        <w:rPr>
          <w:b w:val="0"/>
          <w:i w:val="0"/>
        </w:rPr>
        <w:t>Điều 31 của Công ước Vienna yêu cầu phải hiểu các thuật ngữ theo nghĩa thông thường của chúng trong bối cảnh của chúng. Bối cảnh được giải thích, nhưng không được định nghĩa một cách đầy đủ trong Điều 31(2). Bối cảnh cho mục đích giải thích một hiệp định chủ yếu bao gồm văn bản, kể cả phần mở đầu (preamble) và các phụ lục (annexes) của nó.</w:t>
      </w:r>
    </w:p>
    <w:p>
      <w:pPr>
        <w:spacing w:after="80"/>
      </w:pPr>
      <w:r>
        <w:rPr>
          <w:b w:val="0"/>
          <w:i w:val="0"/>
        </w:rPr>
        <w:t xml:space="preserve">Bối cảnh là trọng tâm trong phân tích của Tòa án Tối cao trong vụ </w:t>
      </w:r>
      <w:r>
        <w:rPr>
          <w:b w:val="0"/>
          <w:i/>
        </w:rPr>
        <w:t>Anson</w:t>
      </w:r>
      <w:r>
        <w:rPr>
          <w:b w:val="0"/>
          <w:i w:val="0"/>
        </w:rPr>
        <w:t xml:space="preserve"> về việc liệu thuế Anh mà ông Anson phải nộp có được "tính toán dựa trên cùng khoản lợi nhuận hoặc thu nhập mà Hoa Kỳ tính thuế dựa trên đó" hay không, đối với lợi nhuận kiếm được bởi một Delaware Limited Liability Company mà ông là thành viên. Ở đó, bối cảnh cụ thể nằm ở việc so sánh tín dụng thuế nước ngoài đối với cổ tức — trường hợp điển hình của thu nhập không có cùng nguồn gốc với lợi nhuận mà từ đó nó được chi trả — với tín dụng thuế như một quy tắc chung.48 Để phân tích bối cảnh đó, tòa án đã xem xét không chỉ văn bản của hiệp định đang được xét mà còn toàn bộ lịch sử của điều khoản tín dụng thuế kể từ hiệp định thuế Hoa Kỳ - Anh đầu tiên năm 1954, bao gồm cả án lệ của cả hai quốc gia. Khi làm như vậy, tòa án đã vượt ra ngoài bối cảnh như được hiểu trong Điều 31 của VCLT, viện dẫn một nguyên tắc giải thích rộng hơn.49 Lord Reed nhấn mạnh rằng ý nghĩa của các từ ngữ khi bị tách rời khỏi phần còn lại của hiệp định và không xét đến bối cảnh có thể dẫn đến một cách hiểu hoàn toàn khác.50</w:t>
      </w:r>
    </w:p>
    <w:p>
      <w:pPr>
        <w:spacing w:after="80"/>
      </w:pPr>
      <w:r>
        <w:rPr>
          <w:b w:val="0"/>
          <w:i w:val="0"/>
        </w:rPr>
        <w:t xml:space="preserve">Trong vụ </w:t>
      </w:r>
      <w:r>
        <w:rPr>
          <w:b w:val="0"/>
          <w:i/>
        </w:rPr>
        <w:t>R (on the application of Federation of Tour Operators &amp; Ors) v HM Treasury &amp; Ors</w:t>
      </w:r>
      <w:r>
        <w:rPr>
          <w:b w:val="0"/>
          <w:i w:val="0"/>
        </w:rPr>
        <w:t>,51 tòa án được yêu cầu xem xét liệu Điều 15 của Công ước Chicago có cấm Air Passenger Duty (Thuế Hành khách Hàng không) được ban hành bởi Mục 28 của FA 1994 hay không. Phán quyết này phụ thuộc vào việc liệu từ "dues" (phí) có bao gồm thuế hay không. Thẩm phán Stanley Burnton đã diễn đạt vấn đề như sau:</w:t>
      </w:r>
    </w:p>
    <w:p>
      <w:pPr>
        <w:spacing w:after="80"/>
      </w:pPr>
      <w:r>
        <w:rPr>
          <w:b w:val="0"/>
          <w:i w:val="0"/>
        </w:rPr>
        <w:t>Bản thân từ "dues" có thể bao gồm cả thuế. Tuy nhiên, nó không đứng một mình. Nó nằm trong một điều khoản có tiêu đề "Airport and similar charges" (Phí sân bay và các loại phí tương tự), điều này cho thấy rằng nó</w:t>
      </w:r>
    </w:p>
    <w:p>
      <w:pPr>
        <w:spacing w:after="80"/>
      </w:pPr>
      <w:r>
        <w:rPr>
          <w:b w:val="0"/>
          <w:i w:val="0"/>
        </w:rPr>
        <w:t>45.</w:t>
      </w:r>
      <w:r>
        <w:rPr>
          <w:b w:val="0"/>
          <w:i/>
        </w:rPr>
        <w:t>Macklin v Revenue and Customs Commissioners</w:t>
      </w:r>
      <w:r>
        <w:rPr>
          <w:b w:val="0"/>
          <w:i w:val="0"/>
        </w:rPr>
        <w:t xml:space="preserve"> [2015] BTC 503, [2015] UKUT 0039 (TCC), [2015] STC 1102. 46.</w:t>
      </w:r>
      <w:r>
        <w:rPr>
          <w:b w:val="0"/>
          <w:i/>
        </w:rPr>
        <w:t>Lehman Brothers Holdings Inc v United States</w:t>
      </w:r>
      <w:r>
        <w:rPr>
          <w:b w:val="0"/>
          <w:i w:val="0"/>
        </w:rPr>
        <w:t xml:space="preserve"> 2015-1 USTC ¶50,323 (DC NY, 05/08/2015). 47.</w:t>
      </w:r>
      <w:r>
        <w:rPr>
          <w:b w:val="0"/>
          <w:i/>
        </w:rPr>
        <w:t>UBS AG v Revenue and Customs Commissioners</w:t>
      </w:r>
      <w:r>
        <w:rPr>
          <w:b w:val="0"/>
          <w:i w:val="0"/>
        </w:rPr>
        <w:t xml:space="preserve"> [2005] UKSPC 480; (2005) Sp C 480; </w:t>
      </w:r>
      <w:r>
        <w:rPr>
          <w:b w:val="0"/>
          <w:i/>
        </w:rPr>
        <w:t>Stevens, Garnham &amp; Payne v The Inland Revenue Commissioners</w:t>
      </w:r>
      <w:r>
        <w:rPr>
          <w:b w:val="0"/>
          <w:i w:val="0"/>
        </w:rPr>
        <w:t xml:space="preserve"> [2004] UKSC SPC 411 (2004) Sp C 411. 48. Tại đoạn 92. 49. Tại đoạn 58. 50. Tại đoạn 96. 51.</w:t>
      </w:r>
      <w:r>
        <w:rPr>
          <w:b w:val="0"/>
          <w:i/>
        </w:rPr>
        <w:t>R (on the application of Federation of Tour Operators &amp; Ors) v HM Treasury &amp; Ors</w:t>
      </w:r>
      <w:r>
        <w:rPr>
          <w:b w:val="0"/>
          <w:i w:val="0"/>
        </w:rPr>
        <w:t xml:space="preserve"> [2008] BTC 8025 [2007] EWHC 2062 (Admin); [2008] EWCA Civ 752; [2008] STC 547.</w:t>
      </w:r>
    </w:p>
    <w:p>
      <w:pPr>
        <w:spacing w:after="80"/>
      </w:pPr>
      <w:r>
        <w:rPr>
          <w:b w:val="0"/>
          <w:i w:val="0"/>
        </w:rPr>
        <w:t>119</w:t>
      </w:r>
    </w:p>
    <w:p>
      <w:pPr>
        <w:spacing w:after="80"/>
      </w:pPr>
      <w:r>
        <w:rPr>
          <w:b w:val="0"/>
          <w:i w:val="0"/>
        </w:rPr>
        <w:t>không đề cập đến thuế, và nó là một phần của cụm từ ghép "fees, dues or other charges" (phí, lệ phí hoặc các khoản phí khác), điều này cho thấy rằng "dues" là các khoản phí (charges); và nếu vậy, thì thuế không phải là "dues". Hơn nữa, nếu người ta có ý định bao gồm thuế trong lệnh cấm, tôi nghĩ rằng từ đó hẳn đã được sử dụng, thay vì từ "dues" mơ hồ hơn. Dues có thể là các khoản phí, và cũng có thể là thuế; nhưng "taxes" (thuế) thì rõ ràng và không mơ hồ.52</w:t>
      </w:r>
    </w:p>
    <w:p>
      <w:pPr>
        <w:spacing w:after="80"/>
      </w:pPr>
      <w:r>
        <w:rPr>
          <w:b w:val="0"/>
          <w:i w:val="0"/>
        </w:rPr>
        <w:t xml:space="preserve">Tương tự, trong vụ </w:t>
      </w:r>
      <w:r>
        <w:rPr>
          <w:b w:val="0"/>
          <w:i/>
        </w:rPr>
        <w:t>Smallwood v Revenue and Customs Commissioners</w:t>
      </w:r>
      <w:r>
        <w:rPr>
          <w:b w:val="0"/>
          <w:i w:val="0"/>
        </w:rPr>
        <w:t>, toàn bộ các điều khoản phân chia quyền đánh thuế của hiệp định đã tạo thành bối cảnh để Tòa án Cấp cao giải thích Điều 13(4) của hiệp định Mauritius, dẫn đến việc chỉ đánh thuế tại quốc gia của người chuyển nhượng tài sản vốn. "Quan điểm đó", Thẩm phán Mann nói, "được ủng hộ bởi việc xem xét phần còn lại của hiệp định. Các Điều 6 đến 22 đề cập đến các loại đối tượng có khả năng bị đánh thuế, hoặc những người có khả năng bị đánh thuế. Một số cơ sở đánh thuế được phép mang tính tùy nghi — 'may' (có thể) — nhưng có rất nhiều tham chiếu đến 'only' (chỉ). 'Only' xuất hiện trong các Điều 7(1), 8(1), 14(1), 15(1), 15(2), 18(2), 19(1), 19(2) và 22(1)". Đặt những điều khoản đó vào bối cảnh của chúng, và xem xét cách diễn đạt và hiệu lực của chúng cùng với cơ chế cho phép rộng rãi hơn đối với các khoản mục khác, người ta có được ấn tượng rõ ràng về ý định chỉ tìm ra một quốc gia duy nhất mà đối với quốc gia đó nghĩa vụ thuế liên quan có thể được áp đặt.53</w:t>
      </w:r>
    </w:p>
    <w:p>
      <w:pPr>
        <w:spacing w:after="80"/>
      </w:pPr>
      <w:r>
        <w:rPr>
          <w:b w:val="0"/>
          <w:i w:val="0"/>
        </w:rPr>
        <w:t>Đã trở nên khá phổ biến, đặc biệt là trong các hiệp định với các quốc gia không thuộc OECD, việc trao đổi công hàm (exchanges of notes) được ký đồng thời với việc ký kết hiệp định. Những công hàm này thường được viết nhằm sửa đổi, giải thích hoặc làm rõ các vấn đề cụ thể trong một hiệp định. Như đã lưu ý, việc trao đổi công hàm như vậy hoặc tự chúng tạo thành các hiệp định theo luật quốc tế, hoặc tạo thành một phần của hiệp định chính thức thông qua việc dẫn chiếu và được đưa vào các văn bản luật (statutory instruments) để đưa hiệp định chính thức vào hiệu lực. Hàm ý thực sự của phần mở đầu của Điều 31(2) là bối cảnh của một hiệp định, khi thích hợp, bao gồm tất cả các bộ phận cấu thành của nó, chứ không chỉ riêng các yếu tố riêng lẻ của nó.</w:t>
      </w:r>
    </w:p>
    <w:p>
      <w:pPr>
        <w:spacing w:after="80"/>
      </w:pPr>
      <w:r>
        <w:rPr>
          <w:b w:val="0"/>
          <w:i w:val="0"/>
        </w:rPr>
        <w:t>Theo các Mẫu OECD năm 1963 và 1977, các hiệp định của Anh luôn có tiêu đề sau: "Agreement between the Government of the United Kingdom of Great Britain and Northern Ireland and the Government of [the Sultanate of Oman] for the avoidance of double taxation and the prevention of fiscal evasion with respect to taxes on income and capital gains." (Hiệp định giữa Chính phủ Vương quốc Liên hiệp Anh và Bắc Ireland và Chính phủ [Vương quốc Oman] nhằm tránh đánh thuế hai lần và ngăn ngừa trốn thuế tài chính đối với thuế thu nhập và thu nhập từ chuyển nhượng vốn.)</w:t>
      </w:r>
    </w:p>
    <w:p>
      <w:pPr>
        <w:spacing w:after="80"/>
      </w:pPr>
      <w:r>
        <w:rPr>
          <w:b w:val="0"/>
          <w:i w:val="0"/>
        </w:rPr>
        <w:t>Một phần mở đầu điển hình như sau:</w:t>
      </w:r>
    </w:p>
    <w:p>
      <w:pPr>
        <w:spacing w:after="80"/>
      </w:pPr>
      <w:r>
        <w:rPr>
          <w:b w:val="0"/>
          <w:i w:val="0"/>
        </w:rPr>
        <w:t>Chính phủ Vương quốc Liên hiệp Anh và Bắc Ireland và Chính phủ Vương quốc Oman, mong muốn ký kết một hiệp định nhằm tránh đánh thuế hai lần và ngăn ngừa trốn thuế tài chính đối với thuế thu nhập và lợi nhuận, đã đồng ý như sau …</w:t>
      </w:r>
    </w:p>
    <w:p>
      <w:pPr>
        <w:spacing w:after="80"/>
      </w:pPr>
      <w:r>
        <w:rPr>
          <w:b w:val="0"/>
          <w:i w:val="0"/>
        </w:rPr>
        <w:t>Cách diễn đạt này đã được sử dụng từ lâu và xuất hiện trong mọi hiệp định tránh đánh thuế hai lần mà Anh đã ký kết cho đến Dự án Base Erosion and Profit Shifting (BEPS) của OECD.54</w:t>
      </w:r>
    </w:p>
    <w:p>
      <w:pPr>
        <w:spacing w:after="80"/>
      </w:pPr>
      <w:r>
        <w:rPr>
          <w:b w:val="0"/>
          <w:i w:val="0"/>
        </w:rPr>
        <w:t xml:space="preserve">Trong vụ </w:t>
      </w:r>
      <w:r>
        <w:rPr>
          <w:b w:val="0"/>
          <w:i/>
        </w:rPr>
        <w:t>Imperial Chemical Industries Limited v Caro</w:t>
      </w:r>
      <w:r>
        <w:rPr>
          <w:b w:val="0"/>
          <w:i w:val="0"/>
        </w:rPr>
        <w:t>,55 Lord Evershed đã nhận xét</w:t>
      </w:r>
    </w:p>
    <w:p>
      <w:pPr>
        <w:spacing w:after="80"/>
      </w:pPr>
      <w:r>
        <w:rPr>
          <w:b w:val="0"/>
          <w:i w:val="0"/>
        </w:rPr>
        <w:t>52.Tại đoạn 55.53.</w:t>
      </w:r>
      <w:r>
        <w:rPr>
          <w:b w:val="0"/>
          <w:i/>
        </w:rPr>
        <w:t>Smallwood &amp; Anor (trustees of the Trevor Smallwood Settlement) v Revenue and Customs Commissioners</w:t>
      </w:r>
      <w:r>
        <w:rPr>
          <w:b w:val="0"/>
          <w:i w:val="0"/>
        </w:rPr>
        <w:t xml:space="preserve"> [2009] EWHC 777 (Ch) [2009] STC 1222, [2009] BTC 135 [2009] EWHC 777 (Ch) tại đoạn 35. Mối liên hệ rõ ràng giữa các điều khoản khác nhau của hiệp ước mà Tòa phúc thẩm đưa ra khi lật ngược phán quyết của Tòa án cấp cao không thể được coi là cách tiếp cận theo ngữ cảnh. Xem [2010] EWCA Civ 778; [2010] STC 2045 tại các đoạn 28-45.54.Các sửa đổi đối với phần mở đầu do dự án BEPS được thảo luận trong Chương 18, §18.02.55.</w:t>
      </w:r>
      <w:r>
        <w:rPr>
          <w:b w:val="0"/>
          <w:i/>
        </w:rPr>
        <w:t>Imperial Chemical Industries Limited v Caro</w:t>
      </w:r>
      <w:r>
        <w:rPr>
          <w:b w:val="0"/>
          <w:i w:val="0"/>
        </w:rPr>
        <w:t xml:space="preserve"> (1958-1961) 39 TC 374.</w:t>
      </w:r>
    </w:p>
    <w:p>
      <w:pPr>
        <w:spacing w:after="80"/>
      </w:pPr>
      <w:r>
        <w:rPr>
          <w:b w:val="0"/>
          <w:i w:val="0"/>
        </w:rPr>
        <w:t>120</w:t>
      </w:r>
    </w:p>
    <w:p>
      <w:pPr>
        <w:spacing w:after="80"/>
      </w:pPr>
      <w:r>
        <w:rPr>
          <w:b w:val="0"/>
          <w:i w:val="0"/>
        </w:rPr>
        <w:t>MR56 rằng 'việc lưu ý mục đích đã được tuyên bố' của hiệp ước như được nêu trong tiêu đề của nó là điều đúng đắn. Trong trường hợp đó, việc chứng minh rằng hiệp ước được dự định không chỉ bao gồm thuế thu nhập mà còn các loại thuế khác như khoản đóng góp quốc phòng mà sau này được gọi là thuế lợi nhuận được coi là quan trọng. Donovan LJ cũng nói:57</w:t>
      </w:r>
    </w:p>
    <w:p>
      <w:pPr>
        <w:spacing w:after="80"/>
      </w:pPr>
      <w:r>
        <w:rPr>
          <w:b w:val="0"/>
          <w:i w:val="0"/>
        </w:rPr>
        <w:t>Liệu chỉ dẫn trong Điều XII của Hiệp định, theo cách giải thích đúng đắn của nó, có cho phép tín dụng được cấp nhiều hơn một lần không? Tôi nghĩ câu hỏi đó có thể được trả lời theo cả hai hướng mà không vi phạm ngôn ngữ rõ ràng của hiệp định; và tôi nghĩ người ta phải tìm câu trả lời từ giọng điệu chung của văn bản đó và chủ đề của nó. Chủ đề bao gồm trong số những thứ khác là thuế lợi nhuận và vì nó được đánh trên thu nhập thực tế của một kỳ chứ không phải trên cơ sở quy ước về thu nhập của một kỳ nào đó khác, nên không bao giờ có thể có vấn đề cho phép khấu trừ thuế Úc hai lần đối với thuế lợi nhuận.</w:t>
      </w:r>
    </w:p>
    <w:p>
      <w:pPr>
        <w:spacing w:after="80"/>
      </w:pPr>
      <w:r>
        <w:rPr>
          <w:b w:val="0"/>
          <w:i w:val="0"/>
        </w:rPr>
        <w:t xml:space="preserve">Trong </w:t>
      </w:r>
      <w:r>
        <w:rPr>
          <w:b w:val="0"/>
          <w:i/>
        </w:rPr>
        <w:t>Avery Jones (Rowley's Administrator) v CIR</w:t>
      </w:r>
      <w:r>
        <w:rPr>
          <w:b w:val="0"/>
          <w:i w:val="0"/>
        </w:rPr>
        <w:t xml:space="preserve">,58 một yêu cầu đã được đưa ra thay mặt cho một di sản của người đã khuất để được miễn thuế thu nhập Vương quốc Anh theo điều XV của Hiệp ước Hoa Kỳ năm 1945. Cổ tức và tiền lãi do một công ty của một quốc gia ký kết trả được quốc gia ký kết kia miễn thuế 'trừ trường hợp người nhận là công dân cư trú hoặc công ty của quốc gia ký kết kia'. Mặc dù bà cư trú tại Vương quốc Anh vì mục đích trong nước, nhưng với tư cách là công dân Hoa Kỳ, bà không cư trú tại Vương quốc Anh theo điều 11 của hiệp ước do phán quyết </w:t>
      </w:r>
      <w:r>
        <w:rPr>
          <w:b w:val="0"/>
          <w:i/>
        </w:rPr>
        <w:t>Strathalmond</w:t>
      </w:r>
      <w:r>
        <w:rPr>
          <w:b w:val="0"/>
          <w:i w:val="0"/>
        </w:rPr>
        <w:t>.59 Người nộp thuế lập luận rằng cụm từ 'công dân' trong điều XV chỉ đề cập đến công dân Hoa Kỳ chứ không phải công dân Anh, vì cụm từ này không có tính tương hỗ khi liên quan đến công dân, bởi vì thuật ngữ 'công dân' của Vương quốc Anh không được công nhận trong luật Vương quốc Anh. Quan điểm này đã được Tòa án cấp cao ủng hộ. Ủy viên Đặc biệt bác bỏ ý kiến cho rằng cụm từ này không nên được trao ý nghĩa nào. Bất chấp những khó khăn về mặt giải thích, tòa án cho rằng việc áp dụng quan điểm như vậy là không thể chấp nhận được. Do đó, tòa án chấp nhận các lập luận do Vương quyền đưa ra. Theo quan điểm của tòa án, việc cho rằng người đã khuất với tư cách là công dân Anh và công dân của Vương quốc Anh và các thuộc địa là công dân của Vương quốc Anh thì ít vi phạm ngôn ngữ của hiệp ước hơn là cho rằng bà không phải. Tòa án lưu ý rằng nếu bất kỳ ý nghĩa hợp lý nào được gán cho thuật ngữ này, nó phải bao gồm người nộp thuế, nếu không thì 'Tòa án sẽ phải quyết định rằng điều khoản đó hoàn toàn vô nghĩa, một hướng đi không bao giờ được thực hiện khi giải thích bất kỳ văn bản nào, chứ đừng nói đến một hiệp ước quốc tế được đàm phán long trọng, trừ khi không có hướng đi nào khác có thể thực hiện được'. Tòa án nhận xét rằng điều XV không phải là nơi duy nhất đề cập đến quyền công dân. Nó cũng xuất hiện trong điều 20A(1) và xuất hiện ở đó trong một ngữ cảnh không chỉ có thể bị giới hạn ở công dân Hoa Kỳ. Tương tự, sự bảo vệ dành cho giáo viên theo điều XVIII được áp dụng trên cơ sở quyền công dân. Tòa án bác bỏ ý kiến cho rằng những người soạn thảo hiệp ước dự định điều XV được áp dụng như nhau trên cơ sở tương hỗ, cũng như quan điểm cho rằng khái niệm quyền công dân chỉ áp dụng đối với công dân Hoa Kỳ.</w:t>
      </w:r>
    </w:p>
    <w:p>
      <w:pPr>
        <w:spacing w:after="80"/>
      </w:pPr>
      <w:r>
        <w:rPr>
          <w:b w:val="0"/>
          <w:i w:val="0"/>
        </w:rPr>
        <w:t>56.Tại 379.57.Tại 390.58.</w:t>
      </w:r>
      <w:r>
        <w:rPr>
          <w:b w:val="0"/>
          <w:i/>
        </w:rPr>
        <w:t>Avery Jones (Rowley's Administrator) v CIR</w:t>
      </w:r>
      <w:r>
        <w:rPr>
          <w:b w:val="0"/>
          <w:i w:val="0"/>
        </w:rPr>
        <w:t xml:space="preserve"> (1973-1978) 51 TC 443; [1976] STC 290.59.</w:t>
      </w:r>
      <w:r>
        <w:rPr>
          <w:b w:val="0"/>
          <w:i/>
        </w:rPr>
        <w:t>Strathalmond v Inland Revenue Commissioners</w:t>
      </w:r>
      <w:r>
        <w:rPr>
          <w:b w:val="0"/>
          <w:i w:val="0"/>
        </w:rPr>
        <w:t xml:space="preserve"> (1972) 48 TC 537.</w:t>
      </w:r>
    </w:p>
    <w:p>
      <w:pPr>
        <w:spacing w:after="80"/>
      </w:pPr>
      <w:r>
        <w:rPr>
          <w:b w:val="0"/>
          <w:i w:val="0"/>
        </w:rPr>
        <w:t>121</w:t>
      </w:r>
    </w:p>
    <w:p>
      <w:pPr>
        <w:spacing w:after="80"/>
      </w:pPr>
      <w:r>
        <w:rPr>
          <w:b w:val="0"/>
          <w:i w:val="0"/>
        </w:rPr>
        <w:t xml:space="preserve">Một trường hợp khác mà 'paid' được cho là chỉ có nghĩa như vậy và không có nghĩa là 'payable' là </w:t>
      </w:r>
      <w:r>
        <w:rPr>
          <w:b w:val="0"/>
          <w:i/>
        </w:rPr>
        <w:t>Union Texas Petroleum Corp v Critchley</w:t>
      </w:r>
      <w:r>
        <w:rPr>
          <w:b w:val="0"/>
          <w:i w:val="0"/>
        </w:rPr>
        <w:t>.60 Một lần nữa, kết luận này được đưa ra trên cơ sở ngữ cảnh mà nó được sử dụng. Vấn đề là liệu khoản khấu trừ từ số tiền cổ tức và tín dụng thuế liên quan có được tính trước hay sau chính khoản khấu trừ đó. Trong một điều khoản liên quan, người ta đề cập đến cổ tức và tín dụng thuế 'paid' mà không trừ đi khoản khấu trừ. Suy luận từ điều này là nó được tính sau khi khấu trừ trong tất cả các trường hợp khác, bao gồm cả điều khoản đang được giải thích. Kết quả là, các từ ngữ trên thực tế bị bỏ qua để ngăn điều khoản không có hiệu lực. Ngữ cảnh theo nghĩa này là điều khoản cổ tức của Hiệp ước Hoa Kỳ chứ không phải toàn bộ hiệp ước. Vì điều khoản này đã được thay thế bằng nghị định thư, nên có thể hình dung 'hiệp ước' trong ngữ cảnh này là nghị định thư chứ không phải toàn bộ hiệp ước được sửa đổi bởi nghị định thư. Tuy nhiên, tòa án đã không đưa ra sự phân biệt này.</w:t>
      </w:r>
    </w:p>
    <w:p>
      <w:pPr>
        <w:spacing w:after="80"/>
      </w:pPr>
      <w:r>
        <w:rPr>
          <w:b w:val="0"/>
          <w:i w:val="0"/>
        </w:rPr>
        <w:t>Tại Tòa phúc thẩm, câu hỏi đặt ra là liệu việc thiếu định nghĩa về cổ tức trong điều 18 (tín dụng thuế) có nghĩa là nó phải được giải thích trong điều đó là có cùng ý nghĩa như trong điều 6(4), hay là có ý nghĩa được chỉ ra bởi điều 2(3), điều cho phép luật trong nước của Vương quốc Anh xác định ý nghĩa của nó. Ngữ cảnh tổng thể của thuật ngữ 'cổ tức' đã được xem xét, lưu ý rằng người soạn thảo hiệp ước đã cẩn thận nói rõ liệu một thuật ngữ chỉ được định nghĩa trong một điều khoản phân phối có cùng ý nghĩa trong một điều khoản khác hay không nhưng không phải mọi điều khoản. Trong một số điều khoản của hiệp ước, các điều 3(5) và 23(3)(b), các tham chiếu đến cổ tức được giải thích là có ý nghĩa theo điều 4(4), nhưng đó là vì cả hai đều liên quan đến thuế khấu trừ trên cổ tức và do đó ngầm tham chiếu chéo đến điều 4.</w:t>
      </w:r>
    </w:p>
    <w:p>
      <w:pPr>
        <w:spacing w:after="80"/>
      </w:pPr>
      <w:r>
        <w:rPr>
          <w:b w:val="0"/>
          <w:i w:val="0"/>
        </w:rPr>
        <w:t xml:space="preserve">Trong </w:t>
      </w:r>
      <w:r>
        <w:rPr>
          <w:b w:val="0"/>
          <w:i/>
        </w:rPr>
        <w:t>IRC v Vas</w:t>
      </w:r>
      <w:r>
        <w:rPr>
          <w:b w:val="0"/>
          <w:i w:val="0"/>
        </w:rPr>
        <w:t>,61 tòa án đã xem xét ngữ cảnh của các điều khoản liên quan đến việc miễn thuế cho giáo viên, bao gồm vị trí của điều 2162 và mối quan hệ của nó với các điều khoản khác trong Hiệp ước Hungary, để xem xét tác động của việc miễn thuế không được áp dụng. Vinelott J phán quyết rằng cần phải thận trọng khi tìm kiếm mục đích từ ngữ cảnh của một hiệp ước bởi vì các hiệp ước đại diện cho một thỏa hiệp được đàm phán mà lý do chính sách có thể không thể nhận ra từ các điều khoản của hiệp ước ngoại trừ trường hợp Mô hình OECD được tuân theo.</w:t>
      </w:r>
    </w:p>
    <w:p>
      <w:pPr>
        <w:spacing w:after="80"/>
      </w:pPr>
      <w:r>
        <w:rPr>
          <w:b w:val="0"/>
          <w:i w:val="0"/>
        </w:rPr>
        <w:t xml:space="preserve">Trong </w:t>
      </w:r>
      <w:r>
        <w:rPr>
          <w:b w:val="0"/>
          <w:i/>
        </w:rPr>
        <w:t>Memec plc v IRC</w:t>
      </w:r>
      <w:r>
        <w:rPr>
          <w:b w:val="0"/>
          <w:i w:val="0"/>
        </w:rPr>
        <w:t>,63 Peter Gibson LJ đã phân tích toàn bộ sơ đồ của Hiệp ước Đức và mối quan hệ giữa định nghĩa, các điều khoản phân phối và các quy tắc loại bỏ đánh thuế hai lần khi xem xét liệu một khoản phân phối từ một công ty hợp danh im lặng của Đức được coi là cổ tức trong điều VI(4) cho mục đích thuế khấu trừ cũng có phải là cổ tức cho mục đích đủ điều kiện nhận tín dụng cơ bản được trả theo điều XVIII, điều khoản tín dụng thuế, hay không.64</w:t>
      </w:r>
    </w:p>
    <w:p>
      <w:pPr>
        <w:spacing w:after="80"/>
      </w:pPr>
      <w:r>
        <w:rPr>
          <w:b w:val="0"/>
          <w:i w:val="0"/>
        </w:rPr>
        <w:t>60.</w:t>
      </w:r>
      <w:r>
        <w:rPr>
          <w:b w:val="0"/>
          <w:i/>
        </w:rPr>
        <w:t>Union Texas Petroleum Corp. v Critchley (Inspector of Taxes)</w:t>
      </w:r>
      <w:r>
        <w:rPr>
          <w:b w:val="0"/>
          <w:i w:val="0"/>
        </w:rPr>
        <w:t xml:space="preserve"> [1988] BTC 405; [1988] STC 691, tại 707, Ch. D.61.</w:t>
      </w:r>
      <w:r>
        <w:rPr>
          <w:b w:val="0"/>
          <w:i/>
        </w:rPr>
        <w:t>Inland Revenue Commissioners v Vas</w:t>
      </w:r>
      <w:r>
        <w:rPr>
          <w:b w:val="0"/>
          <w:i w:val="0"/>
        </w:rPr>
        <w:t xml:space="preserve"> [1990] BTC 52; [1990] STC 137, Ch. D.62.Giáo viên thỉnh giảng.63.</w:t>
      </w:r>
      <w:r>
        <w:rPr>
          <w:b w:val="0"/>
          <w:i/>
        </w:rPr>
        <w:t>Memec plc v Inland Revenue Commissioners</w:t>
      </w:r>
      <w:r>
        <w:rPr>
          <w:b w:val="0"/>
          <w:i w:val="0"/>
        </w:rPr>
        <w:t xml:space="preserve"> [1998] BTC 251; [1998] STC 754, CA.64.Về một ví dụ minh họa ngữ cảnh liên quan đến một hiệp ước an sinh xã hội, xem </w:t>
      </w:r>
      <w:r>
        <w:rPr>
          <w:b w:val="0"/>
          <w:i/>
        </w:rPr>
        <w:t>Stevens, Garnham &amp; Payne v The Inland Revenue Commissioners</w:t>
      </w:r>
      <w:r>
        <w:rPr>
          <w:b w:val="0"/>
          <w:i w:val="0"/>
        </w:rPr>
        <w:t xml:space="preserve"> [2004] UKSC SPC411, (2004) Sp C 411, đoạn 44.</w:t>
      </w:r>
    </w:p>
    <w:p>
      <w:pPr>
        <w:spacing w:after="80"/>
      </w:pPr>
      <w:r>
        <w:rPr>
          <w:b w:val="0"/>
          <w:i w:val="0"/>
        </w:rPr>
        <w:t>122</w:t>
      </w:r>
    </w:p>
    <w:p>
      <w:pPr>
        <w:spacing w:after="80"/>
      </w:pPr>
      <w:r>
        <w:rPr>
          <w:b w:val="0"/>
          <w:i w:val="0"/>
        </w:rPr>
        <w:t xml:space="preserve">Tòa án cấp trên trong </w:t>
      </w:r>
      <w:r>
        <w:rPr>
          <w:b w:val="0"/>
          <w:i/>
        </w:rPr>
        <w:t>Macklin v HMRC</w:t>
      </w:r>
      <w:r>
        <w:rPr>
          <w:b w:val="0"/>
          <w:i w:val="0"/>
        </w:rPr>
        <w:t>65 đã xem xét các phần khác của Hiệp ước Hoa Kỳ-Vương quốc Anh khi giải thích định nghĩa 'pension scheme' trong điều 3(1)(o). Ở đó, một sự so sánh đã được đề xuất với điều 3(1)(k) định nghĩa 'qualified governmental entity' bao gồm 'a person…', trong số những thứ khác 'organised under the laws of the Contracting State'. Điều này cho thấy rằng các bên của hiệp ước sẽ sử dụng từ ngữ tương đương nếu họ dự định rằng một pension scheme đủ điều kiện phải được 'established' 'under or in conformity with the relevant contracting state's tax legislation relating to pension schemes'.66</w:t>
      </w:r>
    </w:p>
    <w:p>
      <w:pPr>
        <w:spacing w:after="80"/>
      </w:pPr>
      <w:r>
        <w:rPr>
          <w:b/>
          <w:i w:val="0"/>
        </w:rPr>
        <w:t>[C]Các Hiệp định và Văn kiện Liên quan đến Việc Ký kết Hiệp ước</w:t>
      </w:r>
    </w:p>
    <w:p>
      <w:pPr>
        <w:spacing w:after="80"/>
      </w:pPr>
      <w:r>
        <w:rPr>
          <w:b w:val="0"/>
          <w:i w:val="0"/>
        </w:rPr>
        <w:t>Điều 31(2) của VCLT bao gồm, trong ngữ cảnh của một hiệp ước, bất kỳ hiệp định nào liên quan đến nó được lập giữa các bên liên quan đến việc ký kết hiệp ước, và bất kỳ văn kiện nào do một bên lập liên quan đến việc ký kết hiệp ước và được các bên khác chấp nhận như một văn kiện liên quan đến hiệp ước. Do đó, phạm vi của điều này được quy định chính xác. Thứ nhất, cả về hiệp định và văn kiện, chúng phải được lập liên quan đến việc ký kết hiệp ước. Thứ hai, bất kỳ hiệp định nào phải được lập giữa các bên của hiệp ước và liên quan đến một văn kiện do ít hơn tất cả các bên của hiệp ước lập, nó phải được các bên khác chấp nhận như một văn kiện liên quan đến hiệp ước. Trong thực tiễn hiệp ước của Vương quốc Anh, hầu như không có ví dụ nào về các hiệp định liên quan đến các hiệp ước riêng lẻ ngoài các công hàm trao đổi.</w:t>
      </w:r>
    </w:p>
    <w:p>
      <w:pPr>
        <w:spacing w:after="80"/>
      </w:pPr>
      <w:r>
        <w:rPr>
          <w:b w:val="0"/>
          <w:i w:val="0"/>
        </w:rPr>
        <w:t xml:space="preserve">Trong </w:t>
      </w:r>
      <w:r>
        <w:rPr>
          <w:b w:val="0"/>
          <w:i/>
        </w:rPr>
        <w:t>Macklin</w:t>
      </w:r>
      <w:r>
        <w:rPr>
          <w:b w:val="0"/>
          <w:i w:val="0"/>
        </w:rPr>
        <w:t>, việc Trao đổi Công hàm giữa Chính phủ Anh và Mỹ liên quan đến Hiệp định, vào ngày Hiệp định được ký kết, đã tạo thành một phần trọng tâm của lập luận. Cả hai bên đều đồng ý rằng nó có thể được xem xét khi giải thích hiệp định. Việc Trao đổi Công hàm bao gồm một thỏa thuận rằng một số quy định theo luật nội địa của cả hai quốc gia được đưa vào ý nghĩa của "chương trình lương hưu" (pension scheme). Tuy nhiên, Thẩm phán Newey tại Tòa án Cấp cao (Upper Tribunal) lại cho rằng lời giải thích của cả hai bên về Việc Trao đổi Công hàm có thể tương thích với các lập luận tương ứng của họ, và do đó ít có giá trị hỗ trợ.67</w:t>
      </w:r>
    </w:p>
    <w:p>
      <w:pPr>
        <w:spacing w:after="80"/>
      </w:pPr>
      <w:r>
        <w:rPr>
          <w:b/>
          <w:i w:val="0"/>
        </w:rPr>
        <w:t>[D]Các Thỏa thuận và Thực tiễn Tiếp theo</w:t>
      </w:r>
    </w:p>
    <w:p>
      <w:pPr>
        <w:spacing w:after="80"/>
      </w:pPr>
      <w:r>
        <w:rPr>
          <w:b w:val="0"/>
          <w:i w:val="0"/>
        </w:rPr>
        <w:t>Điều 31 của Công ước Vienna phân biệt giữa những thỏa thuận và văn kiện tạo thành một phần của bối cảnh theo Điều 31(2), và những thỏa thuận và văn kiện được xem xét cùng với bối cảnh theo Điều 31(3). Điều này dường như gợi ý rằng ngay cả khi việc xem xét các văn kiện tiếp theo là bắt buộc, chúng không tạo thành một phần của bối cảnh nhằm mục đích đạt được ý nghĩa thông thường của các thuật ngữ.</w:t>
      </w:r>
    </w:p>
    <w:p>
      <w:pPr>
        <w:spacing w:after="80"/>
      </w:pPr>
      <w:r>
        <w:rPr>
          <w:b w:val="0"/>
          <w:i w:val="0"/>
        </w:rPr>
        <w:t>65.</w:t>
      </w:r>
      <w:r>
        <w:rPr>
          <w:b w:val="0"/>
          <w:i/>
        </w:rPr>
        <w:t>Macklin v Revenue and Customs Commissioners</w:t>
      </w:r>
      <w:r>
        <w:rPr>
          <w:b w:val="0"/>
          <w:i w:val="0"/>
        </w:rPr>
        <w:t xml:space="preserve"> [2015] BTC 503, [2015] UKUT 0039 (TCC), [2015] STC 1102. 66. Tại đoạn [38]. 67. Tại các đoạn [44] và [45].</w:t>
      </w:r>
    </w:p>
    <w:p>
      <w:pPr>
        <w:spacing w:after="80"/>
      </w:pPr>
      <w:r>
        <w:rPr>
          <w:b w:val="0"/>
          <w:i w:val="0"/>
        </w:rPr>
        <w:t>123</w:t>
      </w:r>
    </w:p>
    <w:p>
      <w:pPr>
        <w:spacing w:after="80"/>
      </w:pPr>
      <w:r>
        <w:rPr>
          <w:b w:val="0"/>
          <w:i w:val="0"/>
        </w:rPr>
        <w:t xml:space="preserve">Trong </w:t>
      </w:r>
      <w:r>
        <w:rPr>
          <w:b w:val="0"/>
          <w:i/>
        </w:rPr>
        <w:t>IRC v Commerzbank AG</w:t>
      </w:r>
      <w:r>
        <w:rPr>
          <w:b w:val="0"/>
          <w:i w:val="0"/>
        </w:rPr>
        <w:t>,68 Chính phủ tìm kiếm sự hỗ trợ từ một tuyên bố chung do Cơ quan Thuế Nội địa Hoa Kỳ (US Internal Revenue Service) và Ban Thuế Nội địa (Board of Inland Revenue) đưa ra vào năm 1977.69</w:t>
      </w:r>
    </w:p>
    <w:p>
      <w:pPr>
        <w:spacing w:after="80"/>
      </w:pPr>
      <w:r>
        <w:rPr>
          <w:b w:val="0"/>
          <w:i w:val="0"/>
        </w:rPr>
        <w:t>Tuyên bố được đưa ra theo Điều 20A của Hiệp định Anh-Mỹ năm 1945, điều khoản này cho phép các cơ quan có thẩm quyền đồng ý về việc giải thích các quy định. Thẩm phán Mummery cho rằng tuyên bố này không có thẩm quyền tại các tòa án Anh. Nó thể hiện quan điểm chính thức của các cơ quan thuế của hai quốc gia. Quan điểm đó, theo ông, có thể đúng hoặc sai.70 Mặc dù Điều 20A cho phép các cơ quan có thẩm quyền liên lạc trực tiếp với nhau để thực hiện các quy định của Công ước và để "đảm bảo việc giải thích và áp dụng nhất quán", nó không trao bất kỳ hiệu lực ràng buộc hay có thẩm quyền nào cho các quan điểm hoặc tuyên bố của các cơ quan có thẩm quyền tại các tòa án Anh.71 Thực tiễn tiếp theo của các quốc gia cũng có thể giúp xác lập ý nghĩa của các thuật ngữ. Điều 31(3)(b) đặt ra một ngưỡng cao. Thực tiễn phải nằm trong việc áp dụng hiệp định. Thực tiễn được cho là phải xác lập được sự đồng thuận của các bên về việc giải thích hiệp định. Thực tiễn như vậy giải quyết những nghi ngờ về ý nghĩa của các cách diễn đạt.72 Đây thực chất là sự đồng thuận thông qua hành vi. Theo đó, thực tiễn của một quốc gia đơn lẻ sẽ không đủ.73 Nó phải rõ ràng và phổ biến.74</w:t>
      </w:r>
    </w:p>
    <w:p>
      <w:pPr>
        <w:spacing w:after="80"/>
      </w:pPr>
      <w:r>
        <w:rPr>
          <w:b w:val="0"/>
          <w:i/>
        </w:rPr>
        <w:t>Ben Nevis (Holdings) Ltd v Revenue &amp; Customs</w:t>
      </w:r>
      <w:r>
        <w:rPr>
          <w:b w:val="0"/>
          <w:i w:val="0"/>
        </w:rPr>
        <w:t>75 liên quan đến việc áp dụng hồi tố Điều 25A của Hiệp định Thuế Thu nhập Nam Phi-Anh (2002), được bổ sung bởi Nghị định thư ngày 8 tháng 11 năm 2010. Điều 25A(1) dự liệu rằng các cơ quan có thẩm quyền có thể, thông qua thỏa thuận chung, giải quyết phương thức áp dụng điều khoản này. Một Bản ghi nhớ Thỏa thuận (Memorandum of Understanding - MOU) giữa các cơ quan có thẩm quyền được đàm phán và đồng ý trong quá trình đàm phán Nghị định thư năm 2010, quy định rằng quốc gia được yêu cầu không có nghĩa vụ tuân thủ yêu cầu hỗ trợ nếu khiếu nại về thuế đã quá năm năm. Tòa án Phúc thẩm phán quyết rằng MOU có thể được xem xét như một trợ giúp để giải thích hiệp định và nghị định thư theo Điều 31 của VCLT, mặc dù quy tắc chính xác trong Điều 31 không được viện dẫn.76 Tòa án bày tỏ lo ngại rằng các MOU như vậy không được công bố công khai và chỉ có thể có được bằng cách đưa ra yêu cầu theo Đạo luật Tự do Thông tin (Freedom of Information Act). Tòa án khuyến nghị rằng các MOU như vậy nên được đưa vào phạm vi công cộng.77</w:t>
      </w:r>
    </w:p>
    <w:p>
      <w:pPr>
        <w:spacing w:after="80"/>
      </w:pPr>
      <w:r>
        <w:rPr>
          <w:b w:val="0"/>
          <w:i w:val="0"/>
        </w:rPr>
        <w:t>68.</w:t>
      </w:r>
      <w:r>
        <w:rPr>
          <w:b w:val="0"/>
          <w:i/>
        </w:rPr>
        <w:t>Inland Revenue Commissioners v Commerzbank AG</w:t>
      </w:r>
      <w:r>
        <w:rPr>
          <w:b w:val="0"/>
          <w:i w:val="0"/>
        </w:rPr>
        <w:t xml:space="preserve"> [1990] BTC 172; [1990] STC 285, Ch. D. 69. Được công bố trong [1977] </w:t>
      </w:r>
      <w:r>
        <w:rPr>
          <w:b w:val="0"/>
          <w:i/>
        </w:rPr>
        <w:t>BTR</w:t>
      </w:r>
      <w:r>
        <w:rPr>
          <w:b w:val="0"/>
          <w:i w:val="0"/>
        </w:rPr>
        <w:t>, 494. 70.</w:t>
      </w:r>
      <w:r>
        <w:rPr>
          <w:b w:val="0"/>
          <w:i/>
        </w:rPr>
        <w:t>Inland Revenue Commissioners v Commerzbank AG</w:t>
      </w:r>
      <w:r>
        <w:rPr>
          <w:b w:val="0"/>
          <w:i w:val="0"/>
        </w:rPr>
        <w:t xml:space="preserve"> [1990] BTC 172; [1990] STC 285 tại 302c. 71. Xem Chương 20, §20.10. 72.</w:t>
      </w:r>
      <w:r>
        <w:rPr>
          <w:b w:val="0"/>
          <w:i/>
        </w:rPr>
        <w:t>R (theo đơn của Federation of Tour Operators &amp; Ors) v HM Treasury &amp; Ors</w:t>
      </w:r>
      <w:r>
        <w:rPr>
          <w:b w:val="0"/>
          <w:i w:val="0"/>
        </w:rPr>
        <w:t xml:space="preserve"> [2008] BTC 8025 tại đoạn 71 [2007] EWHC 2062 (Admin); [2008] EWCA Civ 752; [2008] STC 547. Bằng chứng thực chất xác lập thực tiễn trong trường hợp đó được trình bày tại các đoạn 62-69 của bản án. 73.</w:t>
      </w:r>
      <w:r>
        <w:rPr>
          <w:b w:val="0"/>
          <w:i/>
        </w:rPr>
        <w:t>Jiminez v IR Commrs</w:t>
      </w:r>
      <w:r>
        <w:rPr>
          <w:b w:val="0"/>
          <w:i w:val="0"/>
        </w:rPr>
        <w:t xml:space="preserve"> [2004] UKSC SPC 419, (2004) Sp C 419 tại các đoạn 69 và 70 là không chính xác ở chỗ nó dựa vào một thực tiễn đơn phương, tức là một thông tư do Văn phòng Ngoại giao và Khối thịnh vượng chung soạn thảo. 74.</w:t>
      </w:r>
      <w:r>
        <w:rPr>
          <w:b w:val="0"/>
          <w:i/>
        </w:rPr>
        <w:t>R v Special Adjudicator ex parte Hoxha</w:t>
      </w:r>
      <w:r>
        <w:rPr>
          <w:b w:val="0"/>
          <w:i w:val="0"/>
        </w:rPr>
        <w:t xml:space="preserve"> [2005] UKHL 19 tại đoạn 26. 75.</w:t>
      </w:r>
      <w:r>
        <w:rPr>
          <w:b w:val="0"/>
          <w:i/>
        </w:rPr>
        <w:t>Ben Nevis (Holdings) Ltd &amp; Anor v Revenue and Customs Commissioners</w:t>
      </w:r>
      <w:r>
        <w:rPr>
          <w:b w:val="0"/>
          <w:i w:val="0"/>
        </w:rPr>
        <w:t xml:space="preserve"> [2013] 1759, [2013] BTC 485 [2013] EWCA Civ 578. 76. Tại các đoạn 39 và 59. 77. Tại các đoạn 41, 60 và 61.</w:t>
      </w:r>
    </w:p>
    <w:p>
      <w:pPr>
        <w:spacing w:after="80"/>
      </w:pPr>
      <w:r>
        <w:rPr>
          <w:b w:val="0"/>
          <w:i w:val="0"/>
        </w:rPr>
        <w:t>124</w:t>
      </w:r>
    </w:p>
    <w:p>
      <w:pPr>
        <w:spacing w:after="80"/>
      </w:pPr>
      <w:r>
        <w:rPr>
          <w:b/>
          <w:i w:val="0"/>
        </w:rPr>
        <w:t>[E]Mục đích và Mục tiêu</w:t>
      </w:r>
    </w:p>
    <w:p>
      <w:pPr>
        <w:spacing w:after="80"/>
      </w:pPr>
      <w:r>
        <w:rPr>
          <w:b w:val="0"/>
          <w:i w:val="0"/>
        </w:rPr>
        <w:t xml:space="preserve">Điều 31 của Công ước Vienna yêu cầu một hiệp định phải được giải thích dựa trên mục đích và mục tiêu của nó. Trong </w:t>
      </w:r>
      <w:r>
        <w:rPr>
          <w:b w:val="0"/>
          <w:i/>
        </w:rPr>
        <w:t>Commerzbank</w:t>
      </w:r>
      <w:r>
        <w:rPr>
          <w:b w:val="0"/>
          <w:i w:val="0"/>
        </w:rPr>
        <w:t xml:space="preserve">, ví dụ, người ta nói rằng "một cách giải thích theo nghĩa đen có thể rõ ràng không nhất quán với mục đích của điều khoản cụ thể hoặc của toàn bộ hiệp định".78 Sự công nhận sớm nhất về mục đích của hiệp định được tìm thấy trong </w:t>
      </w:r>
      <w:r>
        <w:rPr>
          <w:b w:val="0"/>
          <w:i/>
        </w:rPr>
        <w:t>Ostime v Australian Mutual Provident Society</w:t>
      </w:r>
      <w:r>
        <w:rPr>
          <w:b w:val="0"/>
          <w:i w:val="0"/>
        </w:rPr>
        <w:t>.79 Thẩm phán Upjohn nói:80</w:t>
      </w:r>
    </w:p>
    <w:p>
      <w:pPr>
        <w:spacing w:after="80"/>
      </w:pPr>
      <w:r>
        <w:rPr>
          <w:b w:val="0"/>
          <w:i w:val="0"/>
        </w:rPr>
        <w:t>Cách tiếp cận của tôi đối với lệnh giảm thuế (đạo luật ban hành Hiệp định Úc) là toàn bộ mục đích của nó là để giảm bớt việc đánh thuế hai lần, và do đó người ta đang xem xét những khoản lợi nhuận hoặc thặng dư mà theo luật của Úc hoặc Anh, tùy từng trường hợp, được đưa vào đối tượng chịu thuế.</w:t>
      </w:r>
    </w:p>
    <w:p>
      <w:pPr>
        <w:spacing w:after="80"/>
      </w:pPr>
      <w:r>
        <w:rPr>
          <w:b w:val="0"/>
          <w:i w:val="0"/>
        </w:rPr>
        <w:t xml:space="preserve">Sự công nhận đầy đủ về mục đích và mục tiêu của một hiệp định trong việc giải thích nó, và về nguyên tắc trong Điều 31(1), được tìm thấy trong </w:t>
      </w:r>
      <w:r>
        <w:rPr>
          <w:b w:val="0"/>
          <w:i/>
        </w:rPr>
        <w:t>IRC v Commerzbank</w:t>
      </w:r>
      <w:r>
        <w:rPr>
          <w:b w:val="0"/>
          <w:i w:val="0"/>
        </w:rPr>
        <w:t xml:space="preserve">.81 Trong trường hợp đó, tòa án cũng viện dẫn82 quy tắc quốc tế tập quán được McNair trình bày trong </w:t>
      </w:r>
      <w:r>
        <w:rPr>
          <w:b w:val="0"/>
          <w:i/>
        </w:rPr>
        <w:t>The Law of Treaties</w:t>
      </w:r>
      <w:r>
        <w:rPr>
          <w:b w:val="0"/>
          <w:i w:val="0"/>
        </w:rPr>
        <w:t xml:space="preserve">,83 nơi nêu rằng nhiệm vụ giải thích hoặc diễn giải một hiệp định là "nghĩa vụ thực thi ý định đã được thể hiện của các bên". Về điểm này, McNair nói rằng các điều khoản rõ ràng của một hiệp định hoặc việc giải thích các từ theo nghĩa chung và thông thường hoặc ý nghĩa tự nhiên của chúng là điểm khởi đầu hoặc hướng dẫn </w:t>
      </w:r>
      <w:r>
        <w:rPr>
          <w:b w:val="0"/>
          <w:i/>
        </w:rPr>
        <w:t>prima facie</w:t>
      </w:r>
      <w:r>
        <w:rPr>
          <w:b w:val="0"/>
          <w:i w:val="0"/>
        </w:rPr>
        <w:t xml:space="preserve"> và "không thể được phép cản trở mục tiêu thiết yếu trong việc áp dụng các hiệp định, cụ thể là việc tìm kiếm ý định thực sự của các bên ký kết bằng cách sử dụng ngôn ngữ mà họ đã dùng".</w:t>
      </w:r>
    </w:p>
    <w:p>
      <w:pPr>
        <w:spacing w:after="80"/>
      </w:pPr>
      <w:r>
        <w:rPr>
          <w:b w:val="0"/>
          <w:i w:val="0"/>
        </w:rPr>
        <w:t>Thẩm phán Mummery nói:84</w:t>
      </w:r>
    </w:p>
    <w:p>
      <w:pPr>
        <w:spacing w:after="80"/>
      </w:pPr>
      <w:r>
        <w:rPr>
          <w:b w:val="0"/>
          <w:i w:val="0"/>
        </w:rPr>
        <w:t>Tôi không thể tìm thấy đủ dấu hiệu về mục đích của Công ước hoặc trong các hoàn cảnh xung quanh nó, hoặc trong các quy định tại các điều khoản khác ngoài Điều 15 để đủ điều kiện hóa những từ ngữ rõ ràng.</w:t>
      </w:r>
    </w:p>
    <w:p>
      <w:pPr>
        <w:spacing w:after="80"/>
      </w:pPr>
      <w:r>
        <w:rPr>
          <w:b w:val="0"/>
          <w:i w:val="0"/>
        </w:rPr>
        <w:t xml:space="preserve">Trong </w:t>
      </w:r>
      <w:r>
        <w:rPr>
          <w:b w:val="0"/>
          <w:i/>
        </w:rPr>
        <w:t>Ostime v Australian Mutual Provident Society</w:t>
      </w:r>
      <w:r>
        <w:rPr>
          <w:b w:val="0"/>
          <w:i w:val="0"/>
        </w:rPr>
        <w:t xml:space="preserve">,85 tòa án đã không dựa vào cách tiếp cận này khi đi đến cùng một kết luận. Trong </w:t>
      </w:r>
      <w:r>
        <w:rPr>
          <w:b w:val="0"/>
          <w:i/>
        </w:rPr>
        <w:t>ICI v Caro</w:t>
      </w:r>
      <w:r>
        <w:rPr>
          <w:b w:val="0"/>
          <w:i w:val="0"/>
        </w:rPr>
        <w:t>,86 người ta lập luận rằng ý định rõ ràng của hai chính phủ là ngăn chặn việc đánh thuế hai lần. Trong trường hợp đó, Tòa phúc thẩm thừa nhận rằng kết luận của mình về ý nghĩa của hiệp ước đã dẫn đến việc đánh thuế hai lần, nhưng nói rằng hướng dẫn an toàn duy nhất là thực thi ý nghĩa rõ ràng của các từ ngữ.</w:t>
      </w:r>
    </w:p>
    <w:p>
      <w:pPr>
        <w:spacing w:after="80"/>
      </w:pPr>
      <w:r>
        <w:rPr>
          <w:b w:val="0"/>
          <w:i w:val="0"/>
        </w:rPr>
        <w:t xml:space="preserve">Một cách tiếp cận tương tự có thể thấy trong mối liên hệ với vụ án </w:t>
      </w:r>
      <w:r>
        <w:rPr>
          <w:b w:val="0"/>
          <w:i/>
        </w:rPr>
        <w:t>EVC</w:t>
      </w:r>
      <w:r>
        <w:rPr>
          <w:b w:val="0"/>
          <w:i w:val="0"/>
        </w:rPr>
        <w:t>. Trong trường hợp đó, tòa án từ chối chấp nhận rằng mục đích của việc giới hạn quyền lợi là để ngăn chặn việc trốn thuế và do đó việc áp dụng nó nên được giới hạn trong các trường hợp</w:t>
      </w:r>
    </w:p>
    <w:p>
      <w:pPr>
        <w:spacing w:after="80"/>
      </w:pPr>
      <w:r>
        <w:rPr>
          <w:b w:val="0"/>
          <w:i w:val="0"/>
        </w:rPr>
        <w:t>78.</w:t>
      </w:r>
      <w:r>
        <w:rPr>
          <w:b w:val="0"/>
          <w:i/>
        </w:rPr>
        <w:t>Inland Revenue Commissioners v Commerzbank AG</w:t>
      </w:r>
      <w:r>
        <w:rPr>
          <w:b w:val="0"/>
          <w:i w:val="0"/>
        </w:rPr>
        <w:t xml:space="preserve"> [1990] BTC 172; [1990] STC 285, Ch. D, theo Mummery J tại 297j.79.</w:t>
      </w:r>
      <w:r>
        <w:rPr>
          <w:b w:val="0"/>
          <w:i/>
        </w:rPr>
        <w:t>Ostime v Australian Mutual Provident Society</w:t>
      </w:r>
      <w:r>
        <w:rPr>
          <w:b w:val="0"/>
          <w:i w:val="0"/>
        </w:rPr>
        <w:t xml:space="preserve"> (1956-1960) 38 TC 492, HL; [1960] AC 459.80.Tại 505.81.</w:t>
      </w:r>
      <w:r>
        <w:rPr>
          <w:b w:val="0"/>
          <w:i/>
        </w:rPr>
        <w:t>Inland Revenue Commissioners v Commerzbank AG</w:t>
      </w:r>
      <w:r>
        <w:rPr>
          <w:b w:val="0"/>
          <w:i w:val="0"/>
        </w:rPr>
        <w:t xml:space="preserve"> [1990] BTC 172; [1990] STC 285.82.Tại 301.83.McNair, A.D.</w:t>
      </w:r>
      <w:r>
        <w:rPr>
          <w:b w:val="0"/>
          <w:i/>
        </w:rPr>
        <w:t xml:space="preserve"> The Law of Treaties</w:t>
      </w:r>
      <w:r>
        <w:rPr>
          <w:b w:val="0"/>
          <w:i w:val="0"/>
        </w:rPr>
        <w:t xml:space="preserve"> (1961).84.Tại 304d.85.</w:t>
      </w:r>
      <w:r>
        <w:rPr>
          <w:b w:val="0"/>
          <w:i/>
        </w:rPr>
        <w:t>Ostime v Australian Mutual Provident Society</w:t>
      </w:r>
      <w:r>
        <w:rPr>
          <w:b w:val="0"/>
          <w:i w:val="0"/>
        </w:rPr>
        <w:t xml:space="preserve"> (1956-1960) 38 TC 492, HL; [1960] AC 459.86.</w:t>
      </w:r>
      <w:r>
        <w:rPr>
          <w:b w:val="0"/>
          <w:i/>
        </w:rPr>
        <w:t>Imperial Chemical Industries Limited v Caro</w:t>
      </w:r>
      <w:r>
        <w:rPr>
          <w:b w:val="0"/>
          <w:i w:val="0"/>
        </w:rPr>
        <w:t xml:space="preserve"> (1958-1961) 39 TC 374.</w:t>
      </w:r>
    </w:p>
    <w:p>
      <w:pPr>
        <w:spacing w:after="80"/>
      </w:pPr>
      <w:r>
        <w:rPr>
          <w:b w:val="0"/>
          <w:i w:val="0"/>
        </w:rPr>
        <w:t>125</w:t>
      </w:r>
    </w:p>
    <w:p>
      <w:pPr>
        <w:spacing w:after="80"/>
      </w:pPr>
      <w:r>
        <w:rPr>
          <w:b w:val="0"/>
          <w:i w:val="0"/>
        </w:rPr>
        <w:t xml:space="preserve">mà đòi hỏi việc trốn thuế như vậy. Một lần nữa, tòa án thích dựa vào ý nghĩa rõ ràng của các từ ngữ hơn. Trong </w:t>
      </w:r>
      <w:r>
        <w:rPr>
          <w:b w:val="0"/>
          <w:i/>
        </w:rPr>
        <w:t>Memec plc v IRC</w:t>
      </w:r>
      <w:r>
        <w:rPr>
          <w:b w:val="0"/>
          <w:i w:val="0"/>
        </w:rPr>
        <w:t>,87 Phòng Chancery đã phán quyết rằng nên áp dụng cách tiếp cận theo mục đích để giải thích hiệp ước theo cách đối xứng nhất có thể, trừ khi ngôn ngữ rõ ràng chống lại cách giải thích như vậy. Mặc dù nguyên tắc này không bị Tòa phúc thẩm bác bỏ, tòa kết luận rằng sự đối xứng mà các thẩm phán tìm kiếm đòi hỏi phải coi một định nghĩa đặc biệt như một định nghĩa chung, và điều này không công bằng với 'cách soạn thảo mạch lạc và cẩn thận của công ước được sửa đổi bởi nghị định thư'. Sự đối xứng được viện dẫn không phải là điều mà những người soạn thảo hiệp ước dự định.</w:t>
      </w:r>
    </w:p>
    <w:p>
      <w:pPr>
        <w:spacing w:after="80"/>
      </w:pPr>
      <w:r>
        <w:rPr>
          <w:b w:val="0"/>
          <w:i w:val="0"/>
        </w:rPr>
        <w:t xml:space="preserve">Quyết định của các Ủy viên Đặc biệt trong </w:t>
      </w:r>
      <w:r>
        <w:rPr>
          <w:b w:val="0"/>
          <w:i/>
        </w:rPr>
        <w:t>A Sportsman v IRC</w:t>
      </w:r>
      <w:r>
        <w:rPr>
          <w:b w:val="0"/>
          <w:i w:val="0"/>
        </w:rPr>
        <w:t>88 có thể được xem như một cách giải thích theo mục đích, sử dụng phần mở đầu như một tuyên bố về mục đích trong vấn đề này. Trong trường hợp đó, người ta đã tham chiếu đến phần mở đầu của Hiệp ước Pháp-Anh và thực tế rằng nó chỉ ra mục đích kép là tránh đánh thuế hai lần và ngăn chặn việc trốn thuế liên quan đến thuế thu nhập. Người ta lưu ý rằng chính văn bản luật đưa hiệp ước vào hiệu lực được thiết kế để giảm bớt gánh nặng đánh thuế hai lần. Vấn đề đặt ra là liệu có nên ghi có cho khoản thuế phải nộp theo hiệp ước, cũng như khoản thuế thực tế đã nộp hay không. Các Ủy viên Đặc biệt đã phán quyết rằng người nộp thuế đã nhầm lẫn giữa ý nghĩa đen và ý nghĩa thông thường. Họ nói:89</w:t>
      </w:r>
    </w:p>
    <w:p>
      <w:pPr>
        <w:spacing w:after="80"/>
      </w:pPr>
      <w:r>
        <w:rPr>
          <w:b w:val="0"/>
          <w:i w:val="0"/>
        </w:rPr>
        <w:t>Các công ước về đánh thuế hai lần không nhằm tạo ra hay phân bổ quyền đánh thuế, mà là để ngăn chặn việc đánh thuế hai lần. Quyền đánh thuế đã tồn tại sẵn. Bằng việc tham gia vào một công ước về đánh thuế hai lần, mỗi chính phủ từ bỏ toàn bộ hoặc một phần quyền đánh thuế của mình theo luật trong nước trong những trường hợp nhất định; một quốc gia từ bỏ yêu sách của mình để công nhận thực tế rằng quốc gia kia sẽ thu khoản đó. Tuy nhiên, nếu một quốc gia không thực sự đánh thuế, thì không có gì trong mục tiêu và mục đích của công ước ngăn cản quốc gia kia đánh thuế.</w:t>
      </w:r>
    </w:p>
    <w:p>
      <w:pPr>
        <w:spacing w:after="80"/>
      </w:pPr>
      <w:r>
        <w:rPr>
          <w:b w:val="0"/>
          <w:i w:val="0"/>
        </w:rPr>
        <w:t>Các Ủy viên Đặc biệt lưu ý rằng mục tiêu được nêu thứ hai của hiệp ước là ngăn chặn việc trốn thuế. Họ phán quyết rằng nếu điều 24(a) (tín dụng thuế nước ngoài) được giải thích theo cách mà người nộp thuế lập luận, thì mục tiêu đó có thể bị vô hiệu hóa. Về nguyên tắc, các quốc gia có chủ quyền không thực thi luật thuế của nhau. Việc ghi có ở quốc gia A cho khoản thuế phải nộp nhưng chưa nộp ở quốc gia B sẽ khuyến khích việc trốn thuế ở quốc gia B bởi một người nộp thuế phát sinh nghĩa vụ thuế ở đó rồi quay về quốc gia A mà không thực hiện nghĩa vụ đó. Vì cách giải thích của người nộp thuế làm cho việc trốn thuế trở nên dễ dàng, do đó vô hiệu hóa một mục tiêu đã được nêu của hiệp ước, điều đó có xu hướng gợi ý rằng cách giải thích đó nên bị bác bỏ. Mặc dù lập luận này rõ ràng có sai sót, nó minh họa một nỗ lực áp dụng cách tiếp cận theo mục đích đối với việc giải thích hiệp ước.90</w:t>
      </w:r>
    </w:p>
    <w:p>
      <w:pPr>
        <w:spacing w:after="80"/>
      </w:pPr>
      <w:r>
        <w:rPr>
          <w:b w:val="0"/>
          <w:i w:val="0"/>
        </w:rPr>
        <w:t xml:space="preserve">Tòa phúc thẩm cũng đã viện dẫn đến phần mở đầu của một hiệp ước trong </w:t>
      </w:r>
      <w:r>
        <w:rPr>
          <w:b w:val="0"/>
          <w:i/>
        </w:rPr>
        <w:t>Bayfine UK v HMRC</w:t>
      </w:r>
      <w:r>
        <w:rPr>
          <w:b w:val="0"/>
          <w:i w:val="0"/>
        </w:rPr>
        <w:t>91 để xác định mục đích của các điều khoản trong hiệp ước. Vụ án</w:t>
      </w:r>
    </w:p>
    <w:p>
      <w:pPr>
        <w:spacing w:after="80"/>
      </w:pPr>
      <w:r>
        <w:rPr>
          <w:b w:val="0"/>
          <w:i w:val="0"/>
        </w:rPr>
        <w:t>87.</w:t>
      </w:r>
      <w:r>
        <w:rPr>
          <w:b w:val="0"/>
          <w:i/>
        </w:rPr>
        <w:t>Memec plc v Inland Revenue Commissioners</w:t>
      </w:r>
      <w:r>
        <w:rPr>
          <w:b w:val="0"/>
          <w:i w:val="0"/>
        </w:rPr>
        <w:t xml:space="preserve"> [1998] BTC 251; [1998] STC 754, CA.88.</w:t>
      </w:r>
      <w:r>
        <w:rPr>
          <w:b w:val="0"/>
          <w:i/>
        </w:rPr>
        <w:t>A Sportsman v Inland Revenue Commissioners</w:t>
      </w:r>
      <w:r>
        <w:rPr>
          <w:b w:val="0"/>
          <w:i w:val="0"/>
        </w:rPr>
        <w:t xml:space="preserve"> (1998) Sp C 174.89.Tại 295.90.Về một ví dụ về việc xem xét sử dụng phần mở đầu liên quan đến một hiệp ước an sinh xã hội, xem </w:t>
      </w:r>
      <w:r>
        <w:rPr>
          <w:b w:val="0"/>
          <w:i/>
        </w:rPr>
        <w:t>Stevens, Garnham &amp; Payne v The Inland Revenue Commissioners</w:t>
      </w:r>
      <w:r>
        <w:rPr>
          <w:b w:val="0"/>
          <w:i w:val="0"/>
        </w:rPr>
        <w:t xml:space="preserve"> [2004] UKSC SPC411 (2004) Sp C 411 đoạn 42.91.</w:t>
      </w:r>
      <w:r>
        <w:rPr>
          <w:b w:val="0"/>
          <w:i/>
        </w:rPr>
        <w:t>Bayfine UK v Revenue and Customs Commissioners</w:t>
      </w:r>
      <w:r>
        <w:rPr>
          <w:b w:val="0"/>
          <w:i w:val="0"/>
        </w:rPr>
        <w:t xml:space="preserve"> [2011] STC 717, [2011] BTC 242, [2011] EWCA Civ 304.</w:t>
      </w:r>
    </w:p>
    <w:p>
      <w:pPr>
        <w:spacing w:after="80"/>
      </w:pPr>
      <w:r>
        <w:rPr>
          <w:b w:val="0"/>
          <w:i w:val="0"/>
        </w:rPr>
        <w:t>126</w:t>
      </w:r>
    </w:p>
    <w:p>
      <w:pPr>
        <w:spacing w:after="80"/>
      </w:pPr>
      <w:r>
        <w:rPr>
          <w:b w:val="0"/>
          <w:i w:val="0"/>
        </w:rPr>
        <w:t>liên quan đến những thỏa thuận phức tạp không có mục đích thương mại nào khác ngoài việc tạo ra một khoản lãi và lỗ khớp nhau. Các thỏa thuận được thực hiện nhằm mục đích tận dụng cách xử lý khác nhau đối với khoản lãi trong luật thuế của Mỹ và Anh.92 Cụ thể, chúng được thiết kế để đảm bảo việc giảm thuế tín dụng ở cả Mỹ và Anh. Phần mở đầu của Hiệp ước Mỹ-Anh (1975) nêu rằng các bên tham gia hiệp ước 'mong muốn ký kết một Công ước mới nhằm tránh đánh thuế hai lần và ngăn chặn việc trốn thuế liên quan đến thuế thu nhập và lợi tức vốn'.93</w:t>
      </w:r>
    </w:p>
    <w:p>
      <w:pPr>
        <w:spacing w:after="80"/>
      </w:pPr>
      <w:r>
        <w:rPr>
          <w:b w:val="0"/>
          <w:i w:val="0"/>
        </w:rPr>
        <w:t>Bà Lady Justice Arden đã suy ra từ những từ ngữ này rằng các mục đích chính của hiệp ước là, một mặt, loại bỏ việc đánh thuế hai lần và, mặt khác, ngăn chặn việc trốn thuế. Về vấn đề đó, bà nói:</w:t>
      </w:r>
    </w:p>
    <w:p>
      <w:pPr>
        <w:spacing w:after="80"/>
      </w:pPr>
      <w:r>
        <w:rPr>
          <w:b w:val="0"/>
          <w:i w:val="0"/>
        </w:rPr>
        <w:t>Khi tìm kiếm một cách giải thích theo mục đích, cả hai nguyên tắc này đều phải được ghi nhớ. Hơn nữa, theo phán đoán của tôi, nguyên tắc thứ hai có nghĩa là Hiệp ước nên được giải thích để tránh việc cấp giảm thuế hai lần cũng như để mang lại sự giảm trừ chống lại việc đánh thuế hai lần.94</w:t>
      </w:r>
    </w:p>
    <w:p>
      <w:pPr>
        <w:spacing w:after="80"/>
      </w:pPr>
      <w:r>
        <w:rPr>
          <w:b w:val="0"/>
          <w:i w:val="0"/>
        </w:rPr>
        <w:t>Những nhận xét ngắn gọn này không giải thích được sự đánh đồng ở đây giữa việc trốn thuế và việc tránh thuế.95 Việc ngăn chặn trốn thuế thường đạt được thông qua việc trao đổi thông tin và hỗ trợ trong các điều khoản thu hồi thuế.96 Khi giải thích các điều khoản liên quan của hiệp ước, cụ thể là điều 1(3) (bảo lưu quyền đánh thuế của một quốc gia đối với cư dân và công dân của mình) và điều 23 (loại bỏ việc đánh thuế hai lần), chính mục đích loại bỏ việc đánh thuế hai lần là điều định hình ý nghĩa của chúng, dẫn đến kết luận rằng chỉ một trong các quốc gia ký kết sẽ ghi có cho khoản thuế đã nộp cho quốc gia kia thay vì cả hai đồng thời ghi có. Việc đánh đồng một cách tùy tiện giữa trốn thuế và tránh thuế không hỗ trợ cho quá trình giải thích, cũng không tạo nền tảng cho một nguyên tắc chung để giải thích hoạt động của hiệp ước. Những tham chiếu trong phán quyết đến 'giảm trừ' phải được nhìn trong bối cảnh của vụ án và cách diễn đạt trong nước vốn gọi tín dụng thuế nước ngoài là 'giảm trừ' chứ không phải bất kỳ cách sử dụng từ ngữ nào rộng hơn.97</w:t>
      </w:r>
    </w:p>
    <w:p>
      <w:pPr>
        <w:spacing w:after="80"/>
      </w:pPr>
      <w:r>
        <w:rPr>
          <w:b w:val="0"/>
          <w:i w:val="0"/>
        </w:rPr>
        <w:t>Cách giải thích quá theo nghĩa đen đối với phần mở đầu hoặc tiêu đề rằng các hiệp ước là 'để tránh đánh thuế hai lần liên quan đến thuế thu nhập' và 'mục tiêu không phải là đảm bảo rằng thuế được nộp ở cả hai Quốc gia' như là lời giải thích đầy đủ về mục tiêu và mục đích của các hiệp ước đã trở thành câu thần chú của HMRC, những người lập luận rằng thực tế không đánh thuế ở quốc gia ký kết kia nên ngụ ý việc đánh thuế ở Anh.98 Các mục đích khác không nhất thiết được nêu trong tiêu đề hoặc phần mở đầu của một hiệp ước: Quan chức</w:t>
      </w:r>
    </w:p>
    <w:p>
      <w:pPr>
        <w:spacing w:after="80"/>
      </w:pPr>
      <w:r>
        <w:rPr>
          <w:b w:val="0"/>
          <w:i w:val="0"/>
        </w:rPr>
        <w:t xml:space="preserve">92.Tại đoạn 5.93.Tại đoạn 16.94.Tại đoạn 17.95.Xem Hiệp định mẫu OECD, phần Giới thiệu, đoạn 16 để có giải thích về phần mở đầu.96.Xem Chương 22, §§22.01ff.97.Xem Chương 2, §2.07 (giảm trừ, về ý nghĩa của cách diễn đạt). Xem Chương 15 (về việc loại trừ đánh thuế hai lần).98.Xem </w:t>
      </w:r>
      <w:r>
        <w:rPr>
          <w:b w:val="0"/>
          <w:i/>
        </w:rPr>
        <w:t>Kljun v Revenue &amp; Customs Commissioners</w:t>
      </w:r>
      <w:r>
        <w:rPr>
          <w:b w:val="0"/>
          <w:i w:val="0"/>
        </w:rPr>
        <w:t xml:space="preserve"> [2011] TC 01226 [2011] UKFTT 371 (TC) tại đoạn 15.</w:t>
      </w:r>
    </w:p>
    <w:p>
      <w:pPr>
        <w:spacing w:after="80"/>
      </w:pPr>
      <w:r>
        <w:rPr>
          <w:b w:val="0"/>
          <w:i w:val="0"/>
        </w:rPr>
        <w:t>127</w:t>
      </w:r>
    </w:p>
    <w:p>
      <w:pPr>
        <w:spacing w:after="80"/>
      </w:pPr>
      <w:r>
        <w:rPr>
          <w:b w:val="0"/>
          <w:i w:val="0"/>
        </w:rPr>
        <w:t>giải thích trong Báo cáo của Ủy ban Đối ngoại Thượng viện (Hoa Kỳ) về Hiệp định Thuế Hoa Kỳ - Vương quốc Anh (2001),99 đã giải thích:</w:t>
      </w:r>
    </w:p>
    <w:p>
      <w:pPr>
        <w:spacing w:after="80"/>
      </w:pPr>
      <w:r>
        <w:rPr>
          <w:b w:val="0"/>
          <w:i w:val="0"/>
        </w:rPr>
        <w:t>Các mục đích chính của hiệp định thuế thu nhập được đề xuất giữa Hoa Kỳ và Vương quốc Anh là giảm hoặc loại bỏ việc đánh thuế hai lần đối với thu nhập mà cư dân của một trong hai quốc gia kiếm được từ các nguồn trong lãnh thổ quốc gia kia, và để ngăn chặn việc tránh né hoặc trốn thuế của hai quốc gia. Hiệp định được đề xuất cũng nhằm tiếp tục thúc đẩy hợp tác kinh tế chặt chẽ giữa hai quốc gia và loại bỏ những rào cản có thể có đối với thương mại và đầu tư do các thẩm quyền đánh thuế chồng chéo của hai quốc gia gây ra.</w:t>
      </w:r>
    </w:p>
    <w:p>
      <w:pPr>
        <w:spacing w:after="80"/>
      </w:pPr>
      <w:r>
        <w:rPr>
          <w:b w:val="0"/>
          <w:i w:val="0"/>
        </w:rPr>
        <w:t>Một mục đích của các hiệp định thuế còn là việc phân bổ quyền đánh thuế giữa quốc gia nơi phát sinh thu nhập và quốc gia cư trú của người nộp thuế.100 Các hiệp định thuế cũng chứa các điều khoản với những mục đích khác, bao gồm ngăn chặn sự phân biệt đối xử101</w:t>
      </w:r>
    </w:p>
    <w:p>
      <w:pPr>
        <w:spacing w:after="80"/>
      </w:pPr>
      <w:r>
        <w:rPr>
          <w:b w:val="0"/>
          <w:i w:val="0"/>
        </w:rPr>
        <w:t>tạo thuận lợi cho việc tuân thủ.102</w:t>
      </w:r>
    </w:p>
    <w:p>
      <w:pPr>
        <w:spacing w:after="80"/>
      </w:pPr>
      <w:r>
        <w:rPr>
          <w:b w:val="0"/>
          <w:i w:val="0"/>
        </w:rPr>
        <w:t xml:space="preserve">Trong </w:t>
      </w:r>
      <w:r>
        <w:rPr>
          <w:b w:val="0"/>
          <w:i/>
        </w:rPr>
        <w:t>Yates v Revenue and Customs Commissioners,</w:t>
      </w:r>
      <w:r>
        <w:rPr>
          <w:b w:val="0"/>
          <w:i w:val="0"/>
        </w:rPr>
        <w:t>103 việc sử dụng mục đích của hiệp định để từ chối các quyền lợi theo hiệp định đã bị Thẩm phán Walters QC bác bỏ, ông nói:</w:t>
      </w:r>
    </w:p>
    <w:p>
      <w:pPr>
        <w:spacing w:after="80"/>
      </w:pPr>
      <w:r>
        <w:rPr>
          <w:b w:val="0"/>
          <w:i w:val="0"/>
        </w:rPr>
        <w:t>DTA [Hiệp định Đánh thuế Hai lần], tất nhiên, có mục đích đã được nêu rõ là tránh việc đánh thuế hai lần và ngăn chặn việc trốn thuế. Ông Tebbet [đại diện cho HMRC] trong các lập luận bằng văn bản của mình đã thúc giục tôi không nên tìm cách áp dụng DTA vì trên thực tế không có triển vọng bị đánh thuế hai lần, bởi vì các khoản lợi nhuận đang được đề cập chưa được khai báo với cơ quan thuế Tây Ban Nha, và rằng nếu DTA được áp dụng với kết quả là bà Yates được xác định là cư dân của Tây Ban Nha theo các tiêu chí quy định tại Điều 4, thì có triển vọng DTA sẽ được sử dụng (trái với mục đích đã được nêu rõ của nó) để hỗ trợ, thay vì ngăn chặn, việc trốn thuế. Tuy nhiên, trong phần tranh luận bằng lời, ông đã rút lại lập luận này với lý do rằng bằng chứng sẽ không ủng hộ cáo buộc rằng bà Yates đã tìm cách trốn thuế đối với các khoản lợi nhuận đó. Theo phán quyết của tôi, dù nhìn theo cách nào thì đây cũng là một hướng đi đúng đắn, bởi vì đối với tôi, xét đến sự tồn tại của các thỏa thuận hỗ trợ lẫn nhau giữa cơ quan thuế Vương quốc Anh và Tây Ban Nha, việc cơ quan thuế Tây Ban Nha (cho đến nay) chưa bày tỏ bất kỳ ý định nào về việc xem xét liệu có phát sinh nghĩa vụ thuế Tây Ban Nha nào từ các tình tiết của vụ việc hay không, không phải là lý do để tòa án này không xem xét ngay cả DTA, xét cho cùng thì DTA được đưa vào luật thuế Vương quốc Anh nhờ s788 ICTA.104</w:t>
      </w:r>
    </w:p>
    <w:p>
      <w:pPr>
        <w:spacing w:after="80"/>
      </w:pPr>
      <w:r>
        <w:rPr>
          <w:b w:val="0"/>
          <w:i w:val="0"/>
        </w:rPr>
        <w:t xml:space="preserve">Lord Nicholls của Birkenhead đã nói trong </w:t>
      </w:r>
      <w:r>
        <w:rPr>
          <w:b w:val="0"/>
          <w:i/>
        </w:rPr>
        <w:t>Pirelli Cable Holdings &amp; Ors v Revenue and Customs Commissioners</w:t>
      </w:r>
      <w:r>
        <w:rPr>
          <w:b w:val="0"/>
          <w:i w:val="0"/>
        </w:rPr>
        <w:t xml:space="preserve"> rằng Điều 10(3)(c) của Hiệp định Hà Lan, 'giống như mọi văn bản, phải được giải thích theo mục đích. Vì vậy, khi trả lời những câu hỏi này, điều quan trọng là phải ghi nhớ cách chúng phát sinh ngay từ đầu'.105 Do đó, điều khoản này không thể</w:t>
      </w:r>
    </w:p>
    <w:p>
      <w:pPr>
        <w:spacing w:after="80"/>
      </w:pPr>
      <w:r>
        <w:rPr>
          <w:b w:val="0"/>
          <w:i w:val="0"/>
        </w:rPr>
        <w:t>99.Báo cáo của Ủy ban Đối ngoại Thượng viện (Hoa Kỳ) về Công ước giữa Chính phủ Vương quốc Anh và Hoa Kỳ được ký ngày 24 tháng 7 năm 2001, cùng với một Bản trao đổi công hàm, được sửa đổi bởi Nghị định thư ký ngày 19 tháng 7 năm 2002, đoạn I.100.</w:t>
      </w:r>
      <w:r>
        <w:rPr>
          <w:b w:val="0"/>
          <w:i/>
        </w:rPr>
        <w:t>Black v The Queen</w:t>
      </w:r>
      <w:r>
        <w:rPr>
          <w:b w:val="0"/>
          <w:i w:val="0"/>
        </w:rPr>
        <w:t xml:space="preserve"> 2014 TCC 12 (CanLII), theo Rip CJ tại 23, trong bối cảnh hiệp định thuế Canada - Vương quốc Anh. Xem Chương 8, §§8.01ff.101.Xem Chương 16, §§16.01ff.102.Xem Chương 22, §§22.01ff.103.</w:t>
      </w:r>
      <w:r>
        <w:rPr>
          <w:b w:val="0"/>
          <w:i/>
        </w:rPr>
        <w:t>Yates v Revenue &amp; Customs Commissioners</w:t>
      </w:r>
      <w:r>
        <w:rPr>
          <w:b w:val="0"/>
          <w:i w:val="0"/>
        </w:rPr>
        <w:t xml:space="preserve"> [2012] TC 02220 [2012] UKFTT 568 (TC).104.Tại đoạn 114.105.</w:t>
      </w:r>
      <w:r>
        <w:rPr>
          <w:b w:val="0"/>
          <w:i/>
        </w:rPr>
        <w:t>Pirelli Cable Holdings &amp; Ors v Revenue and Customs Commissioners</w:t>
      </w:r>
      <w:r>
        <w:rPr>
          <w:b w:val="0"/>
          <w:i w:val="0"/>
        </w:rPr>
        <w:t>[2006]STC548,[2006]BTC 181; [2006] UKHL 4, đoạn 13.</w:t>
      </w:r>
    </w:p>
    <w:p>
      <w:pPr>
        <w:spacing w:after="80"/>
      </w:pPr>
      <w:r>
        <w:rPr>
          <w:b w:val="0"/>
          <w:i w:val="0"/>
        </w:rPr>
        <w:t>128</w:t>
      </w:r>
    </w:p>
    <w:p>
      <w:pPr>
        <w:spacing w:after="80"/>
      </w:pPr>
      <w:r>
        <w:rPr>
          <w:b w:val="0"/>
          <w:i w:val="0"/>
        </w:rPr>
        <w:t>được giải thích là cho phép một khoản tín dụng thuế đối với cư dân của Hà Lan khi không có thuế lợi tức doanh nghiệp tạm ứng, vì điều này sẽ trái với mục đích đã được nêu rõ của điều khoản, cụ thể là cung cấp một khoản tín dụng thuế cho cư dân của Hà Lan trong cùng hoàn cảnh như đối với cư dân Vương quốc Anh.</w:t>
      </w:r>
    </w:p>
    <w:p>
      <w:pPr>
        <w:spacing w:after="80"/>
      </w:pPr>
      <w:r>
        <w:rPr>
          <w:b w:val="0"/>
          <w:i w:val="0"/>
        </w:rPr>
        <w:t xml:space="preserve">Trong </w:t>
      </w:r>
      <w:r>
        <w:rPr>
          <w:b w:val="0"/>
          <w:i/>
        </w:rPr>
        <w:t>Anson</w:t>
      </w:r>
      <w:r>
        <w:rPr>
          <w:b w:val="0"/>
          <w:i w:val="0"/>
        </w:rPr>
        <w:t>, người ta đã lưu ý rằng mặc dù mục đích 'tránh việc đánh thuế hai lần' được nêu trong phần mở đầu, nhưng nó không đi xa hơn để chỉ ra chính xác ý nghĩa của việc đánh thuế hai lần, và đặc biệt, liệu cả việc đánh thuế hai lần về mặt pháp lý lẫn kinh tế đều được dự liệu hay không106 mặc dù rõ ràng từ việc Tòa án Tối cao xem xét hiệp định rằng cả hai đều được đề cập. Mục đích của hiệp định không phải chỉ được thu thập duy nhất từ phần mở đầu mà từ các điều khoản của hiệp định.107 Những mục đích khác, chẳng hạn như cấm phân biệt đối xử, không được nêu rõ trong phần mở đầu điển hình của các hiệp định đánh thuế hai lần.</w:t>
      </w:r>
    </w:p>
    <w:p>
      <w:pPr>
        <w:spacing w:after="80"/>
      </w:pPr>
      <w:r>
        <w:rPr>
          <w:b w:val="0"/>
          <w:i w:val="0"/>
        </w:rPr>
        <w:t>Những khái quát hóa về mục đích của một hiệp định, hay của một điều khoản cụ thể, tự thân không đáp ứng được nguyên tắc giải thích được quy định bởi Điều 31(1) của Công ước Vienna. Nguyên tắc gồm bốn phần đòi hỏi:</w:t>
      </w:r>
    </w:p>
    <w:p>
      <w:pPr>
        <w:spacing w:after="80"/>
      </w:pPr>
      <w:r>
        <w:rPr>
          <w:b w:val="0"/>
          <w:i w:val="0"/>
        </w:rPr>
        <w:t>(1)thiện chí;(2)ý nghĩa thông thường của các từ ngữ;(3)phải đặt trong ngữ cảnh; và(4)mục tiêu và mục đích của hiệp định.</w:t>
      </w:r>
    </w:p>
    <w:p>
      <w:pPr>
        <w:spacing w:after="80"/>
      </w:pPr>
      <w:r>
        <w:rPr>
          <w:b w:val="0"/>
          <w:i w:val="0"/>
        </w:rPr>
        <w:t xml:space="preserve">Việc Tòa án Phúc thẩm hiểu sai chức năng và cách áp dụng Điều 4 cùng với Điều 13(4) của hiệp định Mauritius trong </w:t>
      </w:r>
      <w:r>
        <w:rPr>
          <w:b w:val="0"/>
          <w:i/>
        </w:rPr>
        <w:t>Smallwood v HMRC</w:t>
      </w:r>
      <w:r>
        <w:rPr>
          <w:b w:val="0"/>
          <w:i w:val="0"/>
        </w:rPr>
        <w:t>108 xuất phát từ việc chỉ dựa hoàn toàn vào một quan điểm về mục đích của hiệp định và viết lại các điều khoản của nó để phù hợp với quan điểm đó.109</w:t>
      </w:r>
    </w:p>
    <w:p>
      <w:pPr>
        <w:spacing w:after="80"/>
      </w:pPr>
      <w:r>
        <w:rPr>
          <w:b w:val="0"/>
          <w:i w:val="0"/>
        </w:rPr>
        <w:t xml:space="preserve">Theo Lord Hope of Craighead trong </w:t>
      </w:r>
      <w:r>
        <w:rPr>
          <w:b w:val="0"/>
          <w:i/>
        </w:rPr>
        <w:t>R v Special Adjudicator ex parte Hoxha</w:t>
      </w:r>
      <w:r>
        <w:rPr>
          <w:b w:val="0"/>
          <w:i w:val="0"/>
        </w:rPr>
        <w:t>:110</w:t>
      </w:r>
    </w:p>
    <w:p>
      <w:pPr>
        <w:spacing w:after="80"/>
      </w:pPr>
      <w:r>
        <w:rPr>
          <w:b w:val="0"/>
          <w:i w:val="0"/>
        </w:rPr>
        <w:t>Cần phải có một tinh thần rộng lượng và phóng khoáng khi tòa án được yêu cầu giải thích ý nghĩa của Công ước. Nhưng cách tiếp cận này cũng có những giới hạn. Tòa án phải thừa nhận sự thật cơ bản rằng Công ước là một thỏa thuận giữa các quốc gia. Phạm vi của thỏa thuận mà các quốc gia đã tự ràng buộc mình nằm trong ngôn ngữ thể hiện chính thức thỏa thuận đó.</w:t>
      </w:r>
    </w:p>
    <w:p>
      <w:pPr>
        <w:spacing w:after="80"/>
      </w:pPr>
      <w:r>
        <w:rPr>
          <w:b w:val="0"/>
          <w:i w:val="0"/>
        </w:rPr>
        <w:t>Điều 31(1) cho thấy rõ rằng cách giải thích theo mục đích không phải là một nguyên tắc riêng biệt mà là một phần không thể tách rời của quá trình giải thích ý nghĩa thông thường của các thuật ngữ trong hiệp ước trong bối cảnh, dựa trên mục tiêu và mục đích của hiệp ước.111</w:t>
      </w:r>
    </w:p>
    <w:p>
      <w:pPr>
        <w:spacing w:after="80"/>
      </w:pPr>
      <w:r>
        <w:rPr>
          <w:b w:val="0"/>
          <w:i w:val="0"/>
        </w:rPr>
        <w:t xml:space="preserve">106. Tại đoạn 57. 107. </w:t>
      </w:r>
      <w:r>
        <w:rPr>
          <w:b w:val="0"/>
          <w:i/>
        </w:rPr>
        <w:t>Fowler v HMRC</w:t>
      </w:r>
      <w:r>
        <w:rPr>
          <w:b w:val="0"/>
          <w:i w:val="0"/>
        </w:rPr>
        <w:t xml:space="preserve"> [2020] UKSC 22, [2020] STC 1476, [2020] BTC 15, tại [34], ở đó dựa vào Điều 2. 108. </w:t>
      </w:r>
      <w:r>
        <w:rPr>
          <w:b w:val="0"/>
          <w:i/>
        </w:rPr>
        <w:t>Revenue and Customs Commissioners v Smallwood &amp; Anor</w:t>
      </w:r>
      <w:r>
        <w:rPr>
          <w:b w:val="0"/>
          <w:i w:val="0"/>
        </w:rPr>
        <w:t xml:space="preserve"> [2010] BTC 637 [2010] EWCA Civ 778; [2010] STC 2045. 109. Xem Chương 6, §§6.01ff., 8, §§8.01ff., và 12, §§12.01ff. 110. </w:t>
      </w:r>
      <w:r>
        <w:rPr>
          <w:b w:val="0"/>
          <w:i/>
        </w:rPr>
        <w:t>R v Special Adjudicator ex parte Hoxha</w:t>
      </w:r>
      <w:r>
        <w:rPr>
          <w:b w:val="0"/>
          <w:i w:val="0"/>
        </w:rPr>
        <w:t xml:space="preserve"> [2005] UKHL 19 tại đoạn 8. 111. </w:t>
      </w:r>
      <w:r>
        <w:rPr>
          <w:b w:val="0"/>
          <w:i/>
        </w:rPr>
        <w:t>Jiminez v IR Commrs</w:t>
      </w:r>
      <w:r>
        <w:rPr>
          <w:b w:val="0"/>
          <w:i w:val="0"/>
        </w:rPr>
        <w:t xml:space="preserve"> [2004] UKSC SPC419 (2004) Sp C 419 tại đoạn 55.</w:t>
      </w:r>
    </w:p>
    <w:p>
      <w:pPr>
        <w:spacing w:after="80"/>
      </w:pPr>
      <w:r>
        <w:rPr>
          <w:b w:val="0"/>
          <w:i w:val="0"/>
        </w:rPr>
        <w:t>129</w:t>
      </w:r>
    </w:p>
    <w:p>
      <w:pPr>
        <w:spacing w:after="80"/>
      </w:pPr>
      <w:r>
        <w:rPr>
          <w:b/>
          <w:i w:val="0"/>
        </w:rPr>
        <w:t>[F]Các quy tắc liên quan của luật quốc tế</w:t>
      </w:r>
    </w:p>
    <w:p>
      <w:pPr>
        <w:spacing w:after="80"/>
      </w:pPr>
      <w:r>
        <w:rPr>
          <w:b w:val="0"/>
          <w:i w:val="0"/>
        </w:rPr>
        <w:t>Cũng như các thỏa thuận khác, các hiệp ước thuế không được giải thích trong một khoảng trống pháp lý. Do đó, bắt buộc phải xem xét bất kỳ quy tắc liên quan nào của luật quốc tế có thể áp dụng trong quan hệ giữa các bên.112 Những quy tắc như vậy bao gồm quy tắc chống việc một quốc gia thực thi nghĩa vụ thuế của quốc gia khác.113 Nó có thể bao gồm các nghĩa vụ theo Tổ chức Thương mại Thế giới, Hiệp định chung về Thương mại Dịch vụ và các hiệp định đầu tư song phương. Các công ước quốc tế về nhân quyền114 cũng sẽ liên quan trong việc giải thích các điều khoản hiệp ước thuế liên quan đến không phân biệt đối xử và hỗ trợ lẫn nhau giữa các cơ quan quản lý thuế.115</w:t>
      </w:r>
    </w:p>
    <w:p>
      <w:pPr>
        <w:spacing w:after="80"/>
      </w:pPr>
      <w:r>
        <w:rPr>
          <w:b w:val="0"/>
          <w:i w:val="0"/>
        </w:rPr>
        <w:t xml:space="preserve">Các Điều 31 và 32 của Công ước Vienna không loại trừ các nguyên tắc giải thích khác. Trong </w:t>
      </w:r>
      <w:r>
        <w:rPr>
          <w:b w:val="0"/>
          <w:i/>
        </w:rPr>
        <w:t>Anson</w:t>
      </w:r>
      <w:r>
        <w:rPr>
          <w:b w:val="0"/>
          <w:i w:val="0"/>
        </w:rPr>
        <w:t>, chẳng hạn, Tòa án Tối cao đã tham chiếu Tòa án Công lý Quốc tế về các nguyên tắc chung của pháp luật.116</w:t>
      </w:r>
    </w:p>
    <w:p>
      <w:pPr>
        <w:spacing w:after="80"/>
      </w:pPr>
      <w:r>
        <w:rPr>
          <w:b/>
          <w:i w:val="0"/>
        </w:rPr>
        <w:t>§4.05 CÁC NGHĨA ĐẶC BIỆT CỦA THUẬT NGỮ</w:t>
      </w:r>
    </w:p>
    <w:p>
      <w:pPr>
        <w:spacing w:after="80"/>
      </w:pPr>
      <w:r>
        <w:rPr>
          <w:b w:val="0"/>
          <w:i w:val="0"/>
        </w:rPr>
        <w:t xml:space="preserve">Mặc dù nguyên tắc chung yêu cầu sử dụng nghĩa thông thường của các thuật ngữ, có thể có những trường hợp áp dụng nghĩa đặc biệt. Điều 31(4) của Công ước Vienna cho thấy rõ rằng các nghĩa đặc biệt là ngoại lệ. Phải xác lập được rằng các bên có ý định dành một nghĩa đặc biệt thì quy tắc chung mới bị thay thế. Do đó, các hiệp ước theo mô hình OECD sẽ chứa nhiều cách diễn đạt được định nghĩa trong Điều 3(1). Các cách diễn đạt khác được định nghĩa trong các điều khoản cụ thể. Khi nghĩa đặc biệt được chứa đựng dưới dạng định nghĩa, việc viện dẫn định nghĩa đó là không gây tranh cãi, cũng như trường hợp hiệp ước có tham chiếu rõ ràng đến một định nghĩa khác, chẳng hạn như định nghĩa trong luật của một trong các quốc gia ký kết. Gây tranh cãi hơn là giả thuyết mà Ủy viên đặc biệt đưa ra trong </w:t>
      </w:r>
      <w:r>
        <w:rPr>
          <w:b w:val="0"/>
          <w:i/>
        </w:rPr>
        <w:t>Smallwood</w:t>
      </w:r>
      <w:r>
        <w:rPr>
          <w:b w:val="0"/>
          <w:i w:val="0"/>
        </w:rPr>
        <w:t>117 rằng, nếu Bình luận chứa một giải thích rõ ràng về nghĩa của thuật ngữ, thì các bên của hiệp ước có thể được coi là có ý định rằng những giải thích như vậy phải quan trọng hơn nghĩa thông thường được dành cho các thuật ngữ của cụm từ đó. Điều này, người ta lập luận, dựa trên cơ sở rằng sự tồn tại của Mô hình và các Bình luận chứng minh rằng các bên có ý định đó như một nghĩa đặc biệt trong phạm vi Điều 31(4) của Công ước Vienna. Giả thuyết này không được bên nào đề xuất hay tranh luận trong cả hai vụ án và bị bỏ qua khi kháng cáo. Theo quan điểm của tác giả, nó còn xa mới xác lập được ý định như vậy. Trường hợp phổ biến mà khả năng có nghĩa đặc biệt phát sinh là việc sử dụng các cách diễn đạt của luật trong nước để mang lại ý nghĩa cho các thuật ngữ của hiệp ước. Câu hỏi khó này được đề cập trong §4.08.</w:t>
      </w:r>
    </w:p>
    <w:p>
      <w:pPr>
        <w:spacing w:after="80"/>
      </w:pPr>
      <w:r>
        <w:rPr>
          <w:b w:val="0"/>
          <w:i w:val="0"/>
        </w:rPr>
        <w:t xml:space="preserve">112. VCLT Điều 31(3)(c). </w:t>
      </w:r>
      <w:r>
        <w:rPr>
          <w:b w:val="0"/>
          <w:i/>
        </w:rPr>
        <w:t>Jiminez v IR Commrs</w:t>
      </w:r>
      <w:r>
        <w:rPr>
          <w:b w:val="0"/>
          <w:i w:val="0"/>
        </w:rPr>
        <w:t xml:space="preserve"> [2004] UKSC SPC419 (2004) Sp C 419 tại đoạn 69 đề cập đến luật quốc tế tập quán mặc dù có rất ít bằng chứng về điều này được ghi lại trong quyết định. 113. Xem Chương 22, §22.01. 114. Xem §4.10. 115. Xem Chương 16, §§16.01ff. và 22, §22.01. 116. Tại đoạn 94. Xem thêm Chương 1, §1.02. 117. </w:t>
      </w:r>
      <w:r>
        <w:rPr>
          <w:b w:val="0"/>
          <w:i/>
        </w:rPr>
        <w:t>Smallwood v Revenue and Customs Commissioners</w:t>
      </w:r>
      <w:r>
        <w:rPr>
          <w:b w:val="0"/>
          <w:i w:val="0"/>
        </w:rPr>
        <w:t xml:space="preserve"> [2008] UKSPC SPC669, (2008) Sp C 669 [2008] STC (SCD) 629 tại đoạn 98.</w:t>
      </w:r>
    </w:p>
    <w:p>
      <w:pPr>
        <w:spacing w:after="80"/>
      </w:pPr>
      <w:r>
        <w:rPr>
          <w:b w:val="0"/>
          <w:i w:val="0"/>
        </w:rPr>
        <w:t>130</w:t>
      </w:r>
    </w:p>
    <w:p>
      <w:pPr>
        <w:spacing w:after="80"/>
      </w:pPr>
      <w:r>
        <w:rPr>
          <w:b/>
          <w:i w:val="0"/>
        </w:rPr>
        <w:t>§4.06 CÁC PHƯƠNG TIỆN BỔ SUNG ĐỂ GIẢI THÍCH</w:t>
      </w:r>
    </w:p>
    <w:p>
      <w:pPr>
        <w:spacing w:after="80"/>
      </w:pPr>
      <w:r>
        <w:rPr>
          <w:b w:val="0"/>
          <w:i w:val="0"/>
        </w:rPr>
        <w:t>Điều 32 của Công ước Vienna quy định các phương tiện bổ sung để giải thích. Điều này viết rằng:</w:t>
      </w:r>
    </w:p>
    <w:p>
      <w:pPr>
        <w:spacing w:after="80"/>
      </w:pPr>
      <w:r>
        <w:rPr>
          <w:b w:val="0"/>
          <w:i w:val="0"/>
        </w:rPr>
        <w:t>Có thể viện dẫn các phương tiện bổ sung để giải thích, bao gồm công tác chuẩn bị cho hiệp ước và các hoàn cảnh ký kết hiệp ước, nhằm xác nhận ý nghĩa phát sinh từ việc áp dụng Điều 31, hoặc để xác định ý nghĩa khi việc giải thích theo Điều 31:</w:t>
      </w:r>
    </w:p>
    <w:p>
      <w:pPr>
        <w:spacing w:after="80"/>
      </w:pPr>
      <w:r>
        <w:rPr>
          <w:b w:val="0"/>
          <w:i w:val="0"/>
        </w:rPr>
        <w:t>(a) để lại ý nghĩa mơ hồ hoặc khó hiểu; hoặc (b) dẫn đến một kết quả rõ ràng là vô lý hoặc không hợp lý.118</w:t>
      </w:r>
    </w:p>
    <w:p>
      <w:pPr>
        <w:spacing w:after="80"/>
      </w:pPr>
      <w:r>
        <w:rPr>
          <w:b w:val="0"/>
          <w:i w:val="0"/>
        </w:rPr>
        <w:t>Không có lời giải thích nào được đưa ra về việc điều gì tạo thành phương tiện bổ sung, ngoài việc nói rằng nó bao gồm công việc chuẩn bị của hiệp ước và các hoàn cảnh ký kết hiệp ước. Phương tiện bổ sung rõ ràng được xem như một trợ giúp cho việc giải thích được tiến hành theo Điều 31 của Công ước Vienna. Mục đích của việc viện dẫn này là để xác nhận ý nghĩa phát sinh từ việc áp dụng Điều 31 hoặc xác định ý nghĩa khi việc giải thích theo Điều 31 dẫn đến ý nghĩa mơ hồ hoặc tối nghĩa, hoặc dẫn đến một kết quả rõ ràng là vô lý hoặc không hợp lý.</w:t>
      </w:r>
    </w:p>
    <w:p>
      <w:pPr>
        <w:spacing w:after="80"/>
      </w:pPr>
      <w:r>
        <w:rPr>
          <w:b w:val="0"/>
          <w:i w:val="0"/>
        </w:rPr>
        <w:t xml:space="preserve">Các quy tắc này được coi là pháp điển hóa luật tục quốc tế. </w:t>
      </w:r>
      <w:r>
        <w:rPr>
          <w:b w:val="0"/>
          <w:i/>
        </w:rPr>
        <w:t>Fothergill</w:t>
      </w:r>
      <w:r>
        <w:rPr>
          <w:b w:val="0"/>
          <w:i w:val="0"/>
        </w:rPr>
        <w:t xml:space="preserve"> có trước phán quyết trong </w:t>
      </w:r>
      <w:r>
        <w:rPr>
          <w:b w:val="0"/>
          <w:i/>
        </w:rPr>
        <w:t>Pepper v Hart</w:t>
      </w:r>
      <w:r>
        <w:rPr>
          <w:b w:val="0"/>
          <w:i w:val="0"/>
        </w:rPr>
        <w:t xml:space="preserve">,119 và do đó Thượng viện Anh (House of Lords) rất muốn phân biệt </w:t>
      </w:r>
      <w:r>
        <w:rPr>
          <w:b w:val="0"/>
          <w:i/>
        </w:rPr>
        <w:t>Hansard</w:t>
      </w:r>
      <w:r>
        <w:rPr>
          <w:b w:val="0"/>
          <w:i w:val="0"/>
        </w:rPr>
        <w:t>, mà vào thời điểm đó không thể được viện dẫn nhằm mục đích xác định ý nghĩa của các quy định mơ hồ hoặc tối nghĩa, với '</w:t>
      </w:r>
      <w:r>
        <w:rPr>
          <w:b w:val="0"/>
          <w:i/>
        </w:rPr>
        <w:t>travaux préparatoires</w:t>
      </w:r>
      <w:r>
        <w:rPr>
          <w:b w:val="0"/>
          <w:i w:val="0"/>
        </w:rPr>
        <w:t xml:space="preserve">'. Sự phân biệt này được Lord Diplock giải thích trong </w:t>
      </w:r>
      <w:r>
        <w:rPr>
          <w:b w:val="0"/>
          <w:i/>
        </w:rPr>
        <w:t>Fothergill</w:t>
      </w:r>
      <w:r>
        <w:rPr>
          <w:b w:val="0"/>
          <w:i w:val="0"/>
        </w:rPr>
        <w:t xml:space="preserve"> như sau:120</w:t>
      </w:r>
    </w:p>
    <w:p>
      <w:pPr>
        <w:spacing w:after="80"/>
      </w:pPr>
      <w:r>
        <w:rPr>
          <w:b w:val="0"/>
          <w:i w:val="0"/>
        </w:rPr>
        <w:t>Tuy nhiên, lại khác đối với khối lượng ngày càng tăng của luật thành văn có hiệu lực tại Vương quốc Anh mà, mặc dù có hiệu lực thi hành tại Vương quốc Anh nhờ được thể chế hóa hoặc được một Đạo luật của Nghị viện cho phép, nhưng nguồn gốc và văn bản thực tế của nó lại bắt nguồn từ một quá trình chuẩn bị luật trước đó mà Nghị viện không tham gia, chẳng hạn như việc đàm phán và chuẩn bị một công ước quốc tế đa phương … mà Chính phủ của Nữ hoàng muốn phê chuẩn thay mặt cho Vương quốc Anh nhưng chỉ có thể làm được khi các quy định của công ước đã được đưa vào luật nội địa của chúng ta.</w:t>
      </w:r>
    </w:p>
    <w:p>
      <w:pPr>
        <w:spacing w:after="80"/>
      </w:pPr>
      <w:r>
        <w:rPr>
          <w:b w:val="0"/>
          <w:i w:val="0"/>
        </w:rPr>
        <w:t>Theo đó, khi thực hiện chức năng giải thích của mình là xác định điều mà các đại biểu tại một hội nghị quốc tế đã đồng ý bằng phiếu đa số ủng hộ văn bản của một công ước quốc tế, khi bản thân văn bản đó mơ hồ hoặc tối nghĩa, một Tòa án Anh nên xem xét bất kỳ tài liệu nào mà chính các đại biểu đó đã nghĩ rằng sẽ có sẵn để làm sáng tỏ mọi mơ hồ hoặc tối nghĩa có thể có.</w:t>
      </w:r>
    </w:p>
    <w:p>
      <w:pPr>
        <w:spacing w:after="80"/>
      </w:pPr>
      <w:r>
        <w:rPr>
          <w:b w:val="0"/>
          <w:i w:val="0"/>
        </w:rPr>
        <w:t xml:space="preserve">118. Việc chấp nhận các phương tiện giải thích bổ sung không nhất thiết có nghĩa là chúng hữu ích. Trong </w:t>
      </w:r>
      <w:r>
        <w:rPr>
          <w:b w:val="0"/>
          <w:i/>
        </w:rPr>
        <w:t>Ben Nevis (Holdings) Ltd &amp; Anor v Revenue and Customs Commissioners</w:t>
      </w:r>
      <w:r>
        <w:rPr>
          <w:b w:val="0"/>
          <w:i w:val="0"/>
        </w:rPr>
        <w:t xml:space="preserve"> [2103] STC 1579, [2013] BTC 485, [2013] EWCA Civ 578, tòa án đã được tham chiếu đến Bình luận (Commentary) của OECD Model, các tác phẩm của các luật gia, các hiệp ước khác và các phán quyết của tòa án nước ngoài, nhưng không có tài liệu nào được cho là hữu ích. 119. </w:t>
      </w:r>
      <w:r>
        <w:rPr>
          <w:b w:val="0"/>
          <w:i/>
        </w:rPr>
        <w:t>Pepper v Hart</w:t>
      </w:r>
      <w:r>
        <w:rPr>
          <w:b w:val="0"/>
          <w:i w:val="0"/>
        </w:rPr>
        <w:t xml:space="preserve"> [1992] BTC 591; [1992] STC 898, HL, một vụ án trong đó Thượng viện Anh đã áp dụng các nguyên tắc trong Điều 32 VCLT khi chấp nhận các thủ tục của Nghị viện như một trợ giúp để giải thích luật nội địa. 120. Xem ở trên, chú thích 10, tại 281.</w:t>
      </w:r>
    </w:p>
    <w:p>
      <w:pPr>
        <w:spacing w:after="80"/>
      </w:pPr>
      <w:r>
        <w:rPr>
          <w:b w:val="0"/>
          <w:i w:val="0"/>
        </w:rPr>
        <w:t>131</w:t>
      </w:r>
    </w:p>
    <w:p>
      <w:pPr>
        <w:spacing w:after="80"/>
      </w:pPr>
      <w:r>
        <w:rPr>
          <w:b w:val="0"/>
          <w:i w:val="0"/>
        </w:rPr>
        <w:t>Các điều kiện để sử dụng '</w:t>
      </w:r>
      <w:r>
        <w:rPr>
          <w:b w:val="0"/>
          <w:i/>
        </w:rPr>
        <w:t>travaux préparatoires</w:t>
      </w:r>
      <w:r>
        <w:rPr>
          <w:b w:val="0"/>
          <w:i w:val="0"/>
        </w:rPr>
        <w:t xml:space="preserve">' đã được Lord Wilberforce nêu ra trong </w:t>
      </w:r>
      <w:r>
        <w:rPr>
          <w:b w:val="0"/>
          <w:i/>
        </w:rPr>
        <w:t>Gatoil International Inc. v Arkwright-Boston Manufacturers Mutual Insurance Company:</w:t>
      </w:r>
      <w:r>
        <w:rPr>
          <w:b w:val="0"/>
          <w:i w:val="0"/>
        </w:rPr>
        <w:t>121</w:t>
      </w:r>
    </w:p>
    <w:p>
      <w:pPr>
        <w:spacing w:after="80"/>
      </w:pPr>
      <w:r>
        <w:rPr>
          <w:b w:val="0"/>
          <w:i w:val="0"/>
        </w:rPr>
        <w:t xml:space="preserve">'Thứ nhất là tài liệu phải công khai và có thể tiếp cận được; thứ hai là nó phải chỉ rõ ràng và không thể tranh cãi tới một ý định lập pháp xác định.' Liên quan đến các công việc chuẩn bị, Ủy viên Đặc biệt đã nói trong </w:t>
      </w:r>
      <w:r>
        <w:rPr>
          <w:b w:val="0"/>
          <w:i/>
        </w:rPr>
        <w:t>Commerzbank</w:t>
      </w:r>
      <w:r>
        <w:rPr>
          <w:b w:val="0"/>
          <w:i w:val="0"/>
        </w:rPr>
        <w:t xml:space="preserve">, theo Lord Scarman trong </w:t>
      </w:r>
      <w:r>
        <w:rPr>
          <w:b w:val="0"/>
          <w:i/>
        </w:rPr>
        <w:t>Fothergill,</w:t>
      </w:r>
      <w:r>
        <w:rPr>
          <w:b w:val="0"/>
          <w:i w:val="0"/>
        </w:rPr>
        <w:t xml:space="preserve"> rằng công việc chuẩn bị chỉ là trợ giúp trong việc giải thích các từ ngữ liên quan của hiệp ước. Nếu chúng dường như bộc lộ một ý định mà ngay cả với thiện chí tốt nhất trên đời cũng không thể đọc vào các từ ngữ của hiệp ước, thì rõ ràng chúng hoàn toàn không phải là trợ giúp.122</w:t>
      </w:r>
    </w:p>
    <w:p>
      <w:pPr>
        <w:spacing w:after="80"/>
      </w:pPr>
      <w:r>
        <w:rPr>
          <w:b w:val="0"/>
          <w:i w:val="0"/>
        </w:rPr>
        <w:t>Tại Vương quốc Anh, tính chất bảo mật của các cuộc đàm phán hiệp ước thuế có nghĩa là trong hầu hết các trường hợp, công việc chuẩn bị chi tiết dưới dạng biên bản cuộc họp, trao đổi thư từ và những thứ tương tự đều không có sẵn.123</w:t>
      </w:r>
    </w:p>
    <w:p>
      <w:pPr>
        <w:spacing w:after="80"/>
      </w:pPr>
      <w:r>
        <w:rPr>
          <w:b/>
          <w:i w:val="0"/>
        </w:rPr>
        <w:t>[A] Bình luận của OECD Model</w:t>
      </w:r>
    </w:p>
    <w:p>
      <w:pPr>
        <w:spacing w:after="80"/>
      </w:pPr>
      <w:r>
        <w:rPr>
          <w:b w:val="0"/>
          <w:i w:val="0"/>
        </w:rPr>
        <w:t>Tài liệu công khai quan trọng nhất là Bình luận (Commentary) của OECD Model. OECD Model tạo thành cơ sở cho lập trường đàm phán của Vương quốc Anh. HMRC cho rằng 'Khi văn bản của một quy định trong một hiệp định đánh thuế hai lần theo đúng từ ngữ của OECD Model hoặc có từ ngữ tương tự về cơ bản, thì hướng dẫn trong Bình luận của OECD Model có thể được sử dụng như một trợ giúp để giải thích hiệp định đánh thuế hai lần đó.'124 Bản thân Bình luận cũng ủng hộ việc sử dụng chính nó.125</w:t>
      </w:r>
    </w:p>
    <w:p>
      <w:pPr>
        <w:spacing w:after="80"/>
      </w:pPr>
      <w:r>
        <w:rPr>
          <w:b w:val="0"/>
          <w:i w:val="0"/>
        </w:rPr>
        <w:t xml:space="preserve">Bình luận của OECD Model hiện nay thường xuyên được các tòa án tham chiếu, nhưng địa vị chính xác của nó như một công cụ giải thích vẫn chưa được khám phá đầy đủ và các tòa án chưa tinh chỉnh các tiêu chí về thời điểm nó bắt buộc phải được sử dụng, thời điểm nó có thể được sử dụng, và vị trí của nó trong thứ bậc các quy tắc giải thích.126 Bình luận của OECD Model là một trợ giúp quan trọng cho việc giải thích trong </w:t>
      </w:r>
      <w:r>
        <w:rPr>
          <w:b w:val="0"/>
          <w:i/>
        </w:rPr>
        <w:t>Sun Life Assurance Company of Canada v Pearson</w:t>
      </w:r>
      <w:r>
        <w:rPr>
          <w:b w:val="0"/>
          <w:i w:val="0"/>
        </w:rPr>
        <w:t>127 khi việc sử dụng Bình luận lần đầu tiên được một tòa án Vương quốc Anh xem xét. Người ta lưu ý rằng các điều khoản đang được đề cập được soạn thảo với các điều khoản giống hệt của Hiệp ước Mẫu OECD năm 1977 và cả Vương quốc Anh lẫn Canada đều là các quốc gia thành viên. Trong</w:t>
      </w:r>
    </w:p>
    <w:p>
      <w:pPr>
        <w:spacing w:after="80"/>
      </w:pPr>
      <w:r>
        <w:rPr>
          <w:b w:val="0"/>
          <w:i w:val="0"/>
        </w:rPr>
        <w:t xml:space="preserve">121. </w:t>
      </w:r>
      <w:r>
        <w:rPr>
          <w:b w:val="0"/>
          <w:i/>
        </w:rPr>
        <w:t>Gatoil International Inc. v Arkwright-Boston Manufacturers Mutual Insurance Company</w:t>
      </w:r>
      <w:r>
        <w:rPr>
          <w:b w:val="0"/>
          <w:i w:val="0"/>
        </w:rPr>
        <w:t xml:space="preserve"> [1985] AC 225 tại 263. 122. Tại 294h. 123. Về các ví dụ sử dụng </w:t>
      </w:r>
      <w:r>
        <w:rPr>
          <w:b w:val="0"/>
          <w:i/>
        </w:rPr>
        <w:t>travaux preparatoires</w:t>
      </w:r>
      <w:r>
        <w:rPr>
          <w:b w:val="0"/>
          <w:i w:val="0"/>
        </w:rPr>
        <w:t xml:space="preserve"> trong bối cảnh thuế, xem </w:t>
      </w:r>
      <w:r>
        <w:rPr>
          <w:b w:val="0"/>
          <w:i/>
        </w:rPr>
        <w:t>R (on the application of Federation of Tour Operators &amp; Ors) v HM Treasury &amp; Ors</w:t>
      </w:r>
      <w:r>
        <w:rPr>
          <w:b w:val="0"/>
          <w:i w:val="0"/>
        </w:rPr>
        <w:t xml:space="preserve"> [2008] BTC 8025 tại các đoạn 72-80; [2007] EWHC 2062 (Admin); [2008] EWCA Civ 752; [2008] STC 547 và tại Tòa án Công lý Châu Âu: </w:t>
      </w:r>
      <w:r>
        <w:rPr>
          <w:b w:val="0"/>
          <w:i/>
        </w:rPr>
        <w:t>Skatteverket v A</w:t>
      </w:r>
      <w:r>
        <w:rPr>
          <w:b w:val="0"/>
          <w:i w:val="0"/>
        </w:rPr>
        <w:t xml:space="preserve"> (Vụ C-101/05) [2010] BTC 906; [2009] STC 405 (ECJ) Ý kiến của Tổng Chưởng lý tại đoạn 17, phán quyết đoạn 9. 124. HMRC, International Tax Manual, INTM152070. 125. OECD, Model Tax Convention on Income and on Capital (2017) Lời giới thiệu, các đoạn 28-30. 126. Xem, ví dụ, </w:t>
      </w:r>
      <w:r>
        <w:rPr>
          <w:b w:val="0"/>
          <w:i/>
        </w:rPr>
        <w:t>Ben Nevis (Holdings) Ltd &amp; Anor v Revenue and Customs Commissioners</w:t>
      </w:r>
      <w:r>
        <w:rPr>
          <w:b w:val="0"/>
          <w:i w:val="0"/>
        </w:rPr>
        <w:t xml:space="preserve"> [2013] STC 1579, [2013] BTC 485 [2013] EWCA Civ 578 tại đoạn 33. Tại Tòa án Cấp cao, Bình luận được xác định là tài liệu bổ sung </w:t>
      </w:r>
      <w:r>
        <w:rPr>
          <w:b w:val="0"/>
          <w:i/>
        </w:rPr>
        <w:t>Revenue and Customs Commissioners &amp; Anor v Ben Nevis (Holdings) Ltd &amp; Ors</w:t>
      </w:r>
      <w:r>
        <w:rPr>
          <w:b w:val="0"/>
          <w:i w:val="0"/>
        </w:rPr>
        <w:t xml:space="preserve"> [2012] BTC 240 [2012] EWHC 1087 Ch, [2012] STC 2157 tại đoạn 37. 127. </w:t>
      </w:r>
      <w:r>
        <w:rPr>
          <w:b w:val="0"/>
          <w:i/>
        </w:rPr>
        <w:t>Sun Life Assurance Company of Canada v Pearson</w:t>
      </w:r>
      <w:r>
        <w:rPr>
          <w:b w:val="0"/>
          <w:i w:val="0"/>
        </w:rPr>
        <w:t xml:space="preserve"> [1984] BTC 223; (1984) 59 TC 250; [1984] STC 461, Ch. D.</w:t>
      </w:r>
    </w:p>
    <w:p>
      <w:pPr>
        <w:spacing w:after="80"/>
      </w:pPr>
      <w:r>
        <w:rPr>
          <w:b w:val="0"/>
          <w:i w:val="0"/>
        </w:rPr>
        <w:t>132</w:t>
      </w:r>
    </w:p>
    <w:p>
      <w:pPr>
        <w:spacing w:after="80"/>
      </w:pPr>
      <w:r>
        <w:rPr>
          <w:b w:val="0"/>
          <w:i w:val="0"/>
        </w:rPr>
        <w:t xml:space="preserve">khi bình luận về việc phân bổ thu nhập, thẩm phán lưu ý rằng mọi nghi ngờ mà ông có về lập trường này sẽ được Bình luận xóa tan. Điều này bất chấp thực tế rằng Bình luận năm 1977 không phải là bình luận về Hiệp ước Canada-Vương quốc Anh năm 1967, vốn có nguồn gốc khác. Tuy nhiên, ông lưu ý rằng 'quan điểm của các chuyên gia ngồi trong Ủy ban Tài chính về Quy chế Đánh thuế Hai lần xứng đáng được coi trọng rất lớn'. Thật vậy, Bình luận được tham chiếu để hỗ trợ liên quan đến một số khía cạnh của phán quyết. Tòa án cũng tham chiếu đến bối cảnh của hiệp ước năm 1967, cả liên quan đến bối cảnh luật nội địa lẫn khuyến nghị của OECD ngày 30 tháng 7 năm 1963 thông qua Dự thảo Công ước năm 1963. Tòa án Phúc thẩm128 đã không nhắc lại quan điểm rằng Bình luận liên quan đến Mẫu năm 1977 mà chỉ đơn giản lưu ý rằng mọi người đều đồng ý rằng tòa án được phép xem xét bình luận theo thẩm quyền của </w:t>
      </w:r>
      <w:r>
        <w:rPr>
          <w:b w:val="0"/>
          <w:i/>
        </w:rPr>
        <w:t>Fothergill v Monarch Airlines Ltd.</w:t>
      </w:r>
      <w:r>
        <w:rPr>
          <w:b w:val="0"/>
          <w:i w:val="0"/>
        </w:rPr>
        <w:t>129</w:t>
      </w:r>
    </w:p>
    <w:p>
      <w:pPr>
        <w:spacing w:after="80"/>
      </w:pPr>
      <w:r>
        <w:rPr>
          <w:b w:val="0"/>
          <w:i w:val="0"/>
        </w:rPr>
        <w:t xml:space="preserve">Khi tóm tắt các nguyên tắc giải thích của </w:t>
      </w:r>
      <w:r>
        <w:rPr>
          <w:b w:val="0"/>
          <w:i/>
        </w:rPr>
        <w:t>Commerzbank</w:t>
      </w:r>
      <w:r>
        <w:rPr>
          <w:b w:val="0"/>
          <w:i w:val="0"/>
        </w:rPr>
        <w:t xml:space="preserve"> trong </w:t>
      </w:r>
      <w:r>
        <w:rPr>
          <w:b w:val="0"/>
          <w:i/>
        </w:rPr>
        <w:t>Memec</w:t>
      </w:r>
      <w:r>
        <w:rPr>
          <w:b w:val="0"/>
          <w:i w:val="0"/>
        </w:rPr>
        <w:t>, thẩm phán đã tham chiếu Bình luận như một phương tiện giải thích bổ sung.130</w:t>
      </w:r>
    </w:p>
    <w:p>
      <w:pPr>
        <w:spacing w:after="80"/>
      </w:pPr>
      <w:r>
        <w:rPr>
          <w:b w:val="0"/>
          <w:i w:val="0"/>
        </w:rPr>
        <w:t>Ảnh hưởng của các sửa đổi đối với Bản chú giải (Commentary) có khả năng ngày càng trở nên quan trọng. Việc công bố Dự thảo Hiệp ước OECD năm 1963 đi kèm với một bản chú giải vẫn giữ nguyên không đổi cho đến khi Mô hình OECD năm 1977 cùng bản chú giải của nó ra đời, bất chấp những công trình quan trọng về chủ đề này do OECD thực hiện trong khoảng thời gian giữa. Một lần nữa, bản chú giải đó vẫn giữ nguyên cho đến khi được cập nhật vào năm 1992 và lần đầu tiên, nó được xuất bản dưới dạng tờ rời (looseleaf) thay vì dạng sách. Việc áp dụng định dạng tờ rời có lẽ là dấu hiệu báo trước cho sự tăng tốc trong nhịp độ thay đổi – Hiệp ước Mẫu và Bản chú giải giờ đây được cập nhật ba năm một lần. Những thay đổi khác cũng ảnh hưởng đến tính hữu dụng của Bản chú giải. Cách thức OECD tiến hành xem xét các vấn đề hiệp ước đã trở nên minh bạch hơn và giờ đây việc công bố các dự thảo thảo luận để tham vấn công chúng cũng như công bố các ý kiến đóng góp của các bên liên quan phi chính phủ đã trở thành thông lệ (điều thú vị là, trong khi nguồn gốc của ý kiến công chúng được công khai, thì các đóng góp ở cấp chính phủ và từ các quốc gia tham gia vẫn được giữ bí mật). Theo một nghĩa nào đó, Bản chú giải đã trở thành một công trình đang được hoàn thiện liên tục. Bản thân OECD đã mở rộng từ một nhóm nhỏ các quốc gia công nghiệp hóa cao độ thành một tập hợp thành viên rộng lớn hơn với nhiều quan điểm đa dạng hơn về các hiệp ước thuế. Điều này khiến việc duy trì đồng thuận trở nên khó khăn hơn và số lượng Nhận xét (Observations) và Bảo lưu (Reservations) do các quốc gia thành viên đưa ra tăng lên theo mỗi lần cập nhật. Trong khi quy mô của Bản chú giải đã tăng lên đáng kể, các Nhận xét và Bảo lưu vẫn phải ngắn gọn, do yêu cầu tất yếu. Tài liệu sẽ trở nên không thể quản lý nổi nếu làm khác đi, dẫn đến kết quả là những quan điểm chi tiết hơn của các quốc gia ký kết khác được trình bày trong các văn kiện nội địa có thể bộc lộ những khác biệt về quan điểm. Bản chú giải của Mô hình năm 2008 là bản đầu tiên tiết lộ một nguồn gốc khác dẫn đến sự gia tăng đáng kể về khối lượng các Nhận xét và Bảo lưu. Trong khuôn khổ Chương trình Tiếp cận (Outreach Programme) của mình, OECD khuyến khích các quốc gia không phải thành viên</w:t>
      </w:r>
    </w:p>
    <w:p>
      <w:pPr>
        <w:spacing w:after="80"/>
      </w:pPr>
      <w:r>
        <w:rPr>
          <w:b w:val="0"/>
          <w:i w:val="0"/>
        </w:rPr>
        <w:t>128.</w:t>
      </w:r>
      <w:r>
        <w:rPr>
          <w:b w:val="0"/>
          <w:i/>
        </w:rPr>
        <w:t>Sun Life Assurance Company of Canada v Pearson</w:t>
      </w:r>
      <w:r>
        <w:rPr>
          <w:b w:val="0"/>
          <w:i w:val="0"/>
        </w:rPr>
        <w:t xml:space="preserve"> [1986] BTC 282; (1986) 59 TC 250; [1986] STC 335, CA. 129.</w:t>
      </w:r>
      <w:r>
        <w:rPr>
          <w:b w:val="0"/>
          <w:i/>
        </w:rPr>
        <w:t>Fothergill v Monarch Airlines Ltd</w:t>
      </w:r>
      <w:r>
        <w:rPr>
          <w:b w:val="0"/>
          <w:i w:val="0"/>
        </w:rPr>
        <w:t xml:space="preserve"> [1981] AC 251, [1980] 3 WLR 209, [1980] 2 All ER 696. 130.Xem §4.03.</w:t>
      </w:r>
    </w:p>
    <w:p>
      <w:pPr>
        <w:spacing w:after="80"/>
      </w:pPr>
      <w:r>
        <w:rPr>
          <w:b w:val="0"/>
          <w:i w:val="0"/>
        </w:rPr>
        <w:t>133</w:t>
      </w:r>
    </w:p>
    <w:p>
      <w:pPr>
        <w:spacing w:after="80"/>
      </w:pPr>
      <w:r>
        <w:rPr>
          <w:b w:val="0"/>
          <w:i w:val="0"/>
        </w:rPr>
        <w:t>tham gia và đã bắt đầu thu thập ý kiến từ họ về Bản chú giải.131</w:t>
      </w:r>
    </w:p>
    <w:p>
      <w:pPr>
        <w:spacing w:after="80"/>
      </w:pPr>
      <w:r>
        <w:rPr>
          <w:b w:val="0"/>
          <w:i w:val="0"/>
        </w:rPr>
        <w:t xml:space="preserve">Cho đến gần đây, người ta ít chú ý đến sự khác biệt giữa các hiệp ước được ký kết trước hay sau khi các Công ước Mẫu khác nhau và các Bản chú giải của chúng được công bố. Quyết định đầu tiên vật lộn với tính chất năng động của Bản chú giải là </w:t>
      </w:r>
      <w:r>
        <w:rPr>
          <w:b w:val="0"/>
          <w:i/>
        </w:rPr>
        <w:t>Trevor Smallwood Trusts v HMRC.</w:t>
      </w:r>
      <w:r>
        <w:rPr>
          <w:b w:val="0"/>
          <w:i w:val="0"/>
        </w:rPr>
        <w:t>132 Trong khi đấu tranh với ý nghĩa của "nơi quản lý hữu hiệu" (place of effective management) tại Điều 4(3) của Hiệp ước Mauritius, các Ủy viên Đặc biệt (Special Commissioners) đã xem xét Bản chú giải qua quá trình phát triển của nó, đặc biệt là từ phiên bản năm 1977, các sửa đổi năm 2000 cũng như dự thảo thảo luận năm 2001, trong đó bao gồm những thay đổi được đề xuất (vào thời điểm xét xử vụ án nhưng sau đó đã được thông qua trong bản cập nhật năm 2008 cho Mô hình OECD). Hiệp ước đó dựa trên Mô hình OECD năm 1977. Các Ủy viên Đặc biệt nói rằng: "Quan điểm của chúng tôi là các nhà đàm phán của cả hai bên có thể được kỳ vọng là có Bản chú giải trước mặt họ."133 Quan điểm này hữu ích ở chỗ đặt Bản chú giải vào phạm trù các công trình chuẩn bị (preparatory work) trong Điều 32 của Công ước Vienna, và như vậy là một phương tiện giải thích bổ sung. Tuy nhiên, họ tiếp tục (</w:t>
      </w:r>
      <w:r>
        <w:rPr>
          <w:b w:val="0"/>
          <w:i/>
        </w:rPr>
        <w:t>obiter</w:t>
      </w:r>
      <w:r>
        <w:rPr>
          <w:b w:val="0"/>
          <w:i w:val="0"/>
        </w:rPr>
        <w:t>):</w:t>
      </w:r>
    </w:p>
    <w:p>
      <w:pPr>
        <w:spacing w:after="80"/>
      </w:pPr>
      <w:r>
        <w:rPr>
          <w:b w:val="0"/>
          <w:i w:val="0"/>
        </w:rPr>
        <w:t>Các nhà đàm phán của cả hai bên có thể được kỳ vọng là đã có ý định rằng ý nghĩa trong Bản chú giải nên được áp dụng khi giải thích Hiệp ước khi hiệp ước chứa đựng ngôn từ giống hệt.</w:t>
      </w:r>
    </w:p>
    <w:p>
      <w:pPr>
        <w:spacing w:after="80"/>
      </w:pPr>
      <w:r>
        <w:rPr>
          <w:b w:val="0"/>
          <w:i w:val="0"/>
        </w:rPr>
        <w:t>Kết luận này không nhất quán với việc sử dụng đúng đắn tài liệu bổ sung trong Điều 32, điều khoản này cho phép sử dụng tài liệu như vậy để giải quyết ngôn ngữ mơ hồ hoặc tối nghĩa hoặc khi các phương pháp giải thích thông thường trong Điều 31 dẫn đến những kết quả rõ ràng là vô lý hoặc không hợp lý. Vai trò phóng đại của Bản chú giải càng được củng cố khi các Ủy viên Đặc biệt mở rộng nhận xét như sau:</w:t>
      </w:r>
    </w:p>
    <w:p>
      <w:pPr>
        <w:spacing w:after="80"/>
      </w:pPr>
      <w:r>
        <w:rPr>
          <w:b w:val="0"/>
          <w:i w:val="0"/>
        </w:rPr>
        <w:t>Nếu Bản chú giải chứa đựng một lời giải thích rõ ràng về ý nghĩa của thuật ngữ, thì có vẻ rõ ràng rằng các bên của Hiệp ước đã có ý định rằng lời giải thích đó nên quan trọng hơn ý nghĩa thông thường được gán cho các thuật ngữ trong cụm từ đó. Điều này hoặc là dựa trên cơ sở rằng sự tồn tại của mô hình và các Bản chú giải chứng minh rằng các bên đã có ý định đó như một ý nghĩa đặc biệt trong Điều 31(4) của Công ước Vienna, hoặc là Công ước Vienna không có ý định là một tuyên bố toàn diện về phương pháp giải thích hiệp ước.</w:t>
      </w:r>
    </w:p>
    <w:p>
      <w:pPr>
        <w:spacing w:after="80"/>
      </w:pPr>
      <w:r>
        <w:rPr>
          <w:b w:val="0"/>
          <w:i w:val="0"/>
        </w:rPr>
        <w:t>Kết luận như vậy sẽ nâng Bản chú giải tồn tại vào thời điểm đàm phán lên thành một phần của hiệp ước và trên thực tế, thay thế ngôn từ của hiệp ước bằng ngôn từ của Bản chú giải. Tuy nhiên, quyết định này quay trở lại câu hỏi thực sự về Bản chú giải hiện có như là công trình chuẩn bị liên quan đến một hiệp ước giữa Vương quốc Anh và một quốc gia không thuộc OECD, khi lưu ý rằng các nhà đàm phán có thể được kỳ vọng là có Bản chú giải trước mặt họ:</w:t>
      </w:r>
    </w:p>
    <w:p>
      <w:pPr>
        <w:spacing w:after="80"/>
      </w:pPr>
      <w:r>
        <w:rPr>
          <w:b w:val="0"/>
          <w:i w:val="0"/>
        </w:rPr>
        <w:t>Điều này đúng với Vương quốc Anh – một thành viên của OECD – cũng như đúng với Mauritius – một quốc gia không phải thành viên. Sự khác biệt là Vương quốc Anh đã có</w:t>
      </w:r>
    </w:p>
    <w:p>
      <w:pPr>
        <w:spacing w:after="80"/>
      </w:pPr>
      <w:r>
        <w:rPr>
          <w:b w:val="0"/>
          <w:i w:val="0"/>
        </w:rPr>
        <w:t>131.Do đó, điều này có thể có một giá trị thuyết phục nào đó trong bối cảnh các hiệp ước với các quốc gia tham gia vào quá trình này. 132.</w:t>
      </w:r>
      <w:r>
        <w:rPr>
          <w:b w:val="0"/>
          <w:i/>
        </w:rPr>
        <w:t>Smallwood v Revenue &amp; Customs Commissioners</w:t>
      </w:r>
      <w:r>
        <w:rPr>
          <w:b w:val="0"/>
          <w:i w:val="0"/>
        </w:rPr>
        <w:t xml:space="preserve"> [2008] UKSPC SPC669; [2008] STC (SCD) 629; (2008) Sp C 669. 133.Tại đoạn 98.</w:t>
      </w:r>
    </w:p>
    <w:p>
      <w:pPr>
        <w:spacing w:after="80"/>
      </w:pPr>
      <w:r>
        <w:rPr>
          <w:b w:val="0"/>
          <w:i w:val="0"/>
        </w:rPr>
        <w:t>134</w:t>
      </w:r>
    </w:p>
    <w:p>
      <w:pPr>
        <w:spacing w:after="80"/>
      </w:pPr>
      <w:r>
        <w:rPr>
          <w:b w:val="0"/>
          <w:i w:val="0"/>
        </w:rPr>
        <w:t>cơ hội tuyên bố rằng mình không đồng ý với bất kỳ phần nào của bản chú giải bằng cách đưa ra một Nhận xét, trong khi Mauritius thì không, mặc dù bản chú giải hiện nay có chứa các Nhận xét của một số quốc gia không phải thành viên OECD, nhưng không bao gồm Mauritius.</w:t>
      </w:r>
    </w:p>
    <w:p>
      <w:pPr>
        <w:spacing w:after="80"/>
      </w:pPr>
      <w:r>
        <w:rPr>
          <w:b w:val="0"/>
          <w:i w:val="0"/>
        </w:rPr>
        <w:t>Nhận xét này đặt ra những vấn đề phức tạp trong ngôn ngữ cô đọng. Việc giải thích một hiệp ước liên quan đến việc khám phá ý định của các bên ký kết chứ không phải của một bên trong hiệp ước. Do đó, nếu vào thời điểm Bản chú giải được thông qua, không có cơ hội cho một quốc gia không phải thành viên OECD đưa ra bình luận, thì việc giả định rằng ý định chung của các quốc gia ký kết là thông qua phiên bản Bản chú giải đó hoặc thông qua bất kỳ phiên bản nào là không phù hợp, đặc biệt là khi đối mặt với ý nghĩa thông thường của các thuật ngữ. Khi một nhận xét được đưa ra, rõ ràng là quốc gia ký kết kia không giữ quan điểm được nêu trong Bản chú giải. Trong trường hợp như vậy, việc kết luận rằng ý định chung của các quốc gia ký kết là thông qua ý nghĩa hoặc cách tiếp cận được áp dụng trong Bản chú giải là một sự kéo dài khái niệm thỏa thuận.</w:t>
      </w:r>
    </w:p>
    <w:p>
      <w:pPr>
        <w:spacing w:after="80"/>
      </w:pPr>
      <w:r>
        <w:rPr>
          <w:b w:val="0"/>
          <w:i w:val="0"/>
        </w:rPr>
        <w:t xml:space="preserve">Quyết định của các Ủy viên Đặc biệt trong </w:t>
      </w:r>
      <w:r>
        <w:rPr>
          <w:b w:val="0"/>
          <w:i/>
        </w:rPr>
        <w:t>Smallwood</w:t>
      </w:r>
      <w:r>
        <w:rPr>
          <w:b w:val="0"/>
          <w:i w:val="0"/>
        </w:rPr>
        <w:t xml:space="preserve"> cũng xem xét một cách hữu ích vai trò của những phát triển đối với Bản chú giải sau khi hiệp ước được ký kết. Câu hỏi được tiếp cận như sau:</w:t>
      </w:r>
    </w:p>
    <w:p>
      <w:pPr>
        <w:spacing w:after="80"/>
      </w:pPr>
      <w:r>
        <w:rPr>
          <w:b w:val="0"/>
          <w:i w:val="0"/>
        </w:rPr>
        <w:t>99. Mức độ liên quan của các Bản chú giải được thông qua muộn hơn Hiệp ước thì có vấn đề hơn vì các bên không thể đã có ý định rằng bản chú giải mới sẽ được áp dụng vào thời điểm ký kết Hiệp ước. Tuy nhiên, bỏ qua chúng có nghĩa là người ta đang nhắm mắt trước những tiến bộ trong tư duy thuế quốc tế, chẳng hạn như cách áp dụng hiệp ước đối với các khoản thanh toán cho phần mềm mà chưa được xem xét khi Hiệp ước được ký kết. Lựa chọn an toàn hơn là đọc bản chú giải muộn hơn và sau đó quyết định dựa trên nội dung của nó xem nên dành cho nó trọng lượng như thế nào.</w:t>
      </w:r>
    </w:p>
    <w:p>
      <w:pPr>
        <w:spacing w:after="80"/>
      </w:pPr>
      <w:r>
        <w:rPr>
          <w:b w:val="0"/>
          <w:i w:val="0"/>
        </w:rPr>
        <w:t>In</w:t>
      </w:r>
      <w:r>
        <w:rPr>
          <w:b w:val="0"/>
          <w:i/>
        </w:rPr>
        <w:t xml:space="preserve"> Fowler</w:t>
      </w:r>
      <w:r>
        <w:rPr>
          <w:b w:val="0"/>
          <w:i w:val="0"/>
        </w:rPr>
        <w:t xml:space="preserve">,134 Thẩm phán Brennan, tại Tòa án Sơ thẩm (First-tier Tribunal), đã bác bỏ phần Bình luận của OECD (OECD Commentary) được đưa ra vào năm 2010, tức tám năm sau khi hiệp định liên quan giữa Nam Phi và Vương quốc Anh được ký kết vào năm 2002. Theo quan điểm của ông, điều đó có nghĩa là những đoạn được trích dẫn chỉ có giá trị hạn chế trong việc giải thích hiệp định.135 Ngược lại, việc sử dụng Bình luận OECD năm 2008 để giải thích hiệp định tránh đánh thuế hai lần giữa Vương quốc Anh và Ireland năm 1976 đã được Tòa án Sơ thẩm chấp nhận một cách rõ ràng trong vụ </w:t>
      </w:r>
      <w:r>
        <w:rPr>
          <w:b w:val="0"/>
          <w:i/>
        </w:rPr>
        <w:t>Irish Bank Resolution Corporation Ltd (in special liquidation)</w:t>
      </w:r>
      <w:r>
        <w:rPr>
          <w:b w:val="0"/>
          <w:i w:val="0"/>
        </w:rPr>
        <w:t xml:space="preserve">.136 Cả hai phán quyết đều dựa trên các tiêu chí do Tòa án Liên bang Canada (Canadian Federal Court of Appeal) đặt ra trong vụ </w:t>
      </w:r>
      <w:r>
        <w:rPr>
          <w:b w:val="0"/>
          <w:i/>
        </w:rPr>
        <w:t>The Queen v Prévost Car Inc</w:t>
      </w:r>
      <w:r>
        <w:rPr>
          <w:b w:val="0"/>
          <w:i w:val="0"/>
        </w:rPr>
        <w:t>,137 cụ thể là các bình luận sau này thể hiện một cách giải thích hợp lý đối với các từ ngữ của Công ước mẫu (Model Convention), không xung đột với các bình luận tồn tại vào thời điểm một hiệp định cụ thể được ký kết, và nếu không bên nào đăng ký phản đối đối với các Bình luận mới. Tòa án Phúc thẩm (Court of Appeal) đã có cách tiếp cận tinh tế hơn khi chấp nhận rằng Bình luận sau này có thể được chấp nhận như một trợ giúp cho việc giải thích. Nó sẽ không bị loại bỏ nếu tài liệu mới</w:t>
      </w:r>
    </w:p>
    <w:p>
      <w:pPr>
        <w:spacing w:after="80"/>
      </w:pPr>
      <w:r>
        <w:rPr>
          <w:b w:val="0"/>
          <w:i w:val="0"/>
        </w:rPr>
        <w:t>134.</w:t>
      </w:r>
      <w:r>
        <w:rPr>
          <w:b w:val="0"/>
          <w:i/>
        </w:rPr>
        <w:t>Fowler v HMRC</w:t>
      </w:r>
      <w:r>
        <w:rPr>
          <w:b w:val="0"/>
          <w:i w:val="0"/>
        </w:rPr>
        <w:t xml:space="preserve"> [2016] UKFTT 234, [2016] TC 05009, [2016] SFTD 535, 18 ITL Rep 644.135.Tại các đoạn 84-86 và 120. Tại Tòa án Cấp cao (Upper Tribunal), tài liệu này không được xem là có ích lợi gì (</w:t>
      </w:r>
      <w:r>
        <w:rPr>
          <w:b w:val="0"/>
          <w:i/>
        </w:rPr>
        <w:t>Revenue and Customs Commissioners v Fowler</w:t>
      </w:r>
      <w:r>
        <w:rPr>
          <w:b w:val="0"/>
          <w:i w:val="0"/>
        </w:rPr>
        <w:t xml:space="preserve"> [2017] UKUT 219, [2017] BTC 518,[2017] STC 1385 (UT) tại đoạn 71(a)). Tòa án Phúc thẩm (</w:t>
      </w:r>
      <w:r>
        <w:rPr>
          <w:b w:val="0"/>
          <w:i/>
        </w:rPr>
        <w:t>Fowler v HM Revenue and Customs</w:t>
      </w:r>
      <w:r>
        <w:rPr>
          <w:b w:val="0"/>
          <w:i w:val="0"/>
        </w:rPr>
        <w:t>[2018] EWCA Civ 2544, [2018] STC 2401) đã bỏ qua Bình luận này.136.</w:t>
      </w:r>
      <w:r>
        <w:rPr>
          <w:b w:val="0"/>
          <w:i/>
        </w:rPr>
        <w:t>Irish Bank Resolution Corporation Ltd (in special liquidation)</w:t>
      </w:r>
      <w:r>
        <w:rPr>
          <w:b w:val="0"/>
          <w:i w:val="0"/>
        </w:rPr>
        <w:t xml:space="preserve"> [2017] UKFTT 702 (TC), [2017]TC 06121 tại đoạn 54.137.</w:t>
      </w:r>
      <w:r>
        <w:rPr>
          <w:b w:val="0"/>
          <w:i/>
        </w:rPr>
        <w:t>The Queen v Prévost Car Inc</w:t>
      </w:r>
      <w:r>
        <w:rPr>
          <w:b w:val="0"/>
          <w:i w:val="0"/>
        </w:rPr>
        <w:t xml:space="preserve"> [2009] FCA 57 tại đoạn 11.</w:t>
      </w:r>
    </w:p>
    <w:p>
      <w:pPr>
        <w:spacing w:after="80"/>
      </w:pPr>
      <w:r>
        <w:rPr>
          <w:b w:val="0"/>
          <w:i w:val="0"/>
        </w:rPr>
        <w:t>135</w:t>
      </w:r>
    </w:p>
    <w:p>
      <w:pPr>
        <w:spacing w:after="80"/>
      </w:pPr>
      <w:r>
        <w:rPr>
          <w:b w:val="0"/>
          <w:i w:val="0"/>
        </w:rPr>
        <w:t xml:space="preserve">đưa ra những thay đổi thực chất không nhất quán với các bình luận tồn tại vào thời điểm hiệp định được ký kết.138 Tòa án Tối cao (Supreme Court) trong vụ </w:t>
      </w:r>
      <w:r>
        <w:rPr>
          <w:b w:val="0"/>
          <w:i/>
        </w:rPr>
        <w:t>Fowler</w:t>
      </w:r>
      <w:r>
        <w:rPr>
          <w:b w:val="0"/>
          <w:i w:val="0"/>
        </w:rPr>
        <w:t>139 đã nhận xét rằng giá trị thuyết phục của Bình luận được đưa ra sau khi hiệp định được ký kết phụ thuộc vào tính thuyết phục của lập luận, qua đó công nhận nó như một tài liệu bổ sung. Tòa án Tối cao Liên bang Thụy Sĩ (Swiss Federal Supreme Court) đã biện minh cho việc dựa vào các sửa đổi năm 2014 đối với Bình luận khi giải thích 'quyền sở hữu hưởng lợi' (beneficial ownership) trong Điều 10(2)(b) của Hiệp định Thụy Sĩ - Vương quốc Anh năm 1977 trên cơ sở rằng vào thời điểm ký kết hiệp định, ý nghĩa của thuật ngữ này còn mới mẻ trong luật thuế quốc tế và sẽ thay đổi trong thời gian sau đó, điều này sẽ được phản ánh đặc biệt trong công việc của OECD. Theo đó, việc giải thích hiệp định một cách năng động hoặc có thể thay đổi (dynamic or ambulatory interpretation) là phù hợp trong trường hợp đó.140</w:t>
      </w:r>
    </w:p>
    <w:p>
      <w:pPr>
        <w:spacing w:after="80"/>
      </w:pPr>
      <w:r>
        <w:rPr>
          <w:b w:val="0"/>
          <w:i w:val="0"/>
        </w:rPr>
        <w:t xml:space="preserve">Trong vụ </w:t>
      </w:r>
      <w:r>
        <w:rPr>
          <w:b w:val="0"/>
          <w:i/>
        </w:rPr>
        <w:t>FCE Bank Plc v Commissioners for Her Majesty's Revenue and Customs</w:t>
      </w:r>
      <w:r>
        <w:rPr>
          <w:b w:val="0"/>
          <w:i w:val="0"/>
        </w:rPr>
        <w:t>,141 Tòa án Sơ thẩm đã từ chối tuân theo Bình luận đối với Điều 24 (Không phân biệt đối xử) của Công ước mẫu OECD được chèn vào năm 2008 khi giải thích hiệp định Hoa Kỳ năm 2001. Ngoài việc bày tỏ sự thận trọng khi dựa vào một phiên bản Bình luận sau này, các Thẩm phán Avery Jones và Sadler đã bày tỏ khó khăn trong việc tuân theo các lập luận trong Bình luận đã sửa đổi, đặc biệt là dưới ánh sáng của các phán quyết của tòa án ngược lại ở các quốc gia thành viên OECD. Kết luận này nhấn mạnh sự cần thiết phải xem xét tính thuyết phục của lập luận liên quan đến tất cả các tài liệu bổ sung thay vì áp dụng một cách tự động nguồn này hay nguồn khác. Khi kháng cáo, Bình luận OECD đã bị cả Tòa án Cấp cao và Tòa án Phúc thẩm bỏ qua.142</w:t>
      </w:r>
    </w:p>
    <w:p>
      <w:pPr>
        <w:spacing w:after="80"/>
      </w:pPr>
      <w:r>
        <w:rPr>
          <w:b w:val="0"/>
          <w:i w:val="0"/>
        </w:rPr>
        <w:t xml:space="preserve">Một cách tiếp cận tỉ mỉ đối với việc sử dụng Bình luận bằng cách tham chiếu đến Điều 32 của Công ước Vienna (Vienna Convention) của Tòa án Cấp cao Ireland trong vụ </w:t>
      </w:r>
      <w:r>
        <w:rPr>
          <w:b w:val="0"/>
          <w:i/>
        </w:rPr>
        <w:t>Kinsella v Revenue Commissioners</w:t>
      </w:r>
      <w:r>
        <w:rPr>
          <w:b w:val="0"/>
          <w:i w:val="0"/>
        </w:rPr>
        <w:t>,143</w:t>
      </w:r>
    </w:p>
    <w:p>
      <w:pPr>
        <w:spacing w:after="80"/>
      </w:pPr>
      <w:r>
        <w:rPr>
          <w:b w:val="0"/>
          <w:i w:val="0"/>
        </w:rPr>
        <w:t>có nghĩa là việc sử dụng nó để xác nhận ý nghĩa thông thường của Điều 2 của hiệp định tránh đánh thuế hai lần giữa Ireland và Ý. Thuế Thu nhập từ Chuyển nhượng Vốn (Capital Gains Tax) vốn chỉ được đưa ra sau khi hiệp định được ký kết, lại về cơ bản tương tự như thuế thu nhập, và do đó nằm trong phạm vi của hiệp định.</w:t>
      </w:r>
    </w:p>
    <w:p>
      <w:pPr>
        <w:spacing w:after="80"/>
      </w:pPr>
      <w:r>
        <w:rPr>
          <w:b w:val="0"/>
          <w:i w:val="0"/>
        </w:rPr>
        <w:t xml:space="preserve">Cách tiếp cận cẩn thận này có thể được đối chiếu với cách xử lý của Tòa án Phúc thẩm trong vụ </w:t>
      </w:r>
      <w:r>
        <w:rPr>
          <w:b w:val="0"/>
          <w:i/>
        </w:rPr>
        <w:t>Indofood International Finance Ltd v JP Morgan Chase Bank NA</w:t>
      </w:r>
      <w:r>
        <w:rPr>
          <w:b w:val="0"/>
          <w:i w:val="0"/>
        </w:rPr>
        <w:t>,144 nơi nó áp dụng một cách thiếu phê phán Bình luận đã được sửa đổi vào năm 2003 đối với ý nghĩa của 'quyền sở hữu hưởng lợi' trong các hiệp định giữa Indonesia và Mauritius được ký kết vào năm 1996 (cả hai đều không phải thành viên OECD) và thậm chí còn được ký kết sớm hơn giữa Indonesia và Hà Lan.</w:t>
      </w:r>
    </w:p>
    <w:p>
      <w:pPr>
        <w:spacing w:after="80"/>
      </w:pPr>
      <w:r>
        <w:rPr>
          <w:b w:val="0"/>
          <w:i w:val="0"/>
        </w:rPr>
        <w:t>Không có gợi ý nào trong vụ án rằng, theo các nguyên tắc của Công ước Vienna, các phiên bản Bình luận được đưa ra sau khi hiệp định được ký kết là một 'thỏa thuận' được các bên đưa ra liên quan đến một hiệp định giữa các thành viên OECD. Nếu đúng như vậy thì</w:t>
      </w:r>
    </w:p>
    <w:p>
      <w:pPr>
        <w:spacing w:after="80"/>
      </w:pPr>
      <w:r>
        <w:rPr>
          <w:b w:val="0"/>
          <w:i w:val="0"/>
        </w:rPr>
        <w:t>138.</w:t>
      </w:r>
      <w:r>
        <w:rPr>
          <w:b w:val="0"/>
          <w:i/>
        </w:rPr>
        <w:t>Irish Bank Resolution Corporation Ltd v Revenue and Customs</w:t>
      </w:r>
      <w:r>
        <w:rPr>
          <w:b w:val="0"/>
          <w:i w:val="0"/>
        </w:rPr>
        <w:t xml:space="preserve"> [2020] EWCA Civ 1128, [2020]WLR(D) 485 [2020] STC 1946, [2020] BTC 26, tại đoạn 31.139.Tại đoạn 18.140.</w:t>
      </w:r>
      <w:r>
        <w:rPr>
          <w:b w:val="0"/>
          <w:i/>
        </w:rPr>
        <w:t>A plc v Federal Tax Administration</w:t>
      </w:r>
      <w:r>
        <w:rPr>
          <w:b w:val="0"/>
          <w:i w:val="0"/>
        </w:rPr>
        <w:t>, Tòa án Tối cao Liên bang Thụy Sĩ (Vụ án 2C_880/2018) (19 tháng 5 năm 2020) tại đoạn 4.2. Xem Chương 17, §17.07 để biết chi tiết của vụ án.141.</w:t>
      </w:r>
      <w:r>
        <w:rPr>
          <w:b w:val="0"/>
          <w:i/>
        </w:rPr>
        <w:t>FCE Bank Plc v Revenue &amp; Customs Commissioners</w:t>
      </w:r>
      <w:r>
        <w:rPr>
          <w:b w:val="0"/>
          <w:i w:val="0"/>
        </w:rPr>
        <w:t xml:space="preserve"> [2010] UKFTT 136 (TC), [2010] SFTD 718[2010] TC 00445 tại đoạn 30.142.</w:t>
      </w:r>
      <w:r>
        <w:rPr>
          <w:b w:val="0"/>
          <w:i/>
        </w:rPr>
        <w:t>RevenueandCustomsCommissionersvFCEBankplc</w:t>
      </w:r>
      <w:r>
        <w:rPr>
          <w:b w:val="0"/>
          <w:i w:val="0"/>
        </w:rPr>
        <w:t>;[2011]UKUT420(TCC),[2011]BTC1885, [2011] STC 2366;</w:t>
      </w:r>
      <w:r>
        <w:rPr>
          <w:b w:val="0"/>
          <w:i/>
        </w:rPr>
        <w:t xml:space="preserve"> Revenue and Customs Commissioners v FCE Bank plc</w:t>
      </w:r>
      <w:r>
        <w:rPr>
          <w:b w:val="0"/>
          <w:i w:val="0"/>
        </w:rPr>
        <w:t xml:space="preserve"> [2012] BTC 462[2012] EWCA Civ 1290; [2013] STC 14.143.</w:t>
      </w:r>
      <w:r>
        <w:rPr>
          <w:b w:val="0"/>
          <w:i/>
        </w:rPr>
        <w:t>Kinsella v Revenue Commissioners</w:t>
      </w:r>
      <w:r>
        <w:rPr>
          <w:b w:val="0"/>
          <w:i w:val="0"/>
        </w:rPr>
        <w:t xml:space="preserve"> [2007] IEHC 250.144.</w:t>
      </w:r>
      <w:r>
        <w:rPr>
          <w:b w:val="0"/>
          <w:i/>
        </w:rPr>
        <w:t>Indofood International Finance Ltd v JP Morgan Chase Bank NA</w:t>
      </w:r>
      <w:r>
        <w:rPr>
          <w:b w:val="0"/>
          <w:i w:val="0"/>
        </w:rPr>
        <w:t xml:space="preserve"> [2006] EWCA Civ 158, [2006]STC 1195, [2006] BTC 8003.</w:t>
      </w:r>
    </w:p>
    <w:p>
      <w:pPr>
        <w:spacing w:after="80"/>
      </w:pPr>
      <w:r>
        <w:rPr>
          <w:b w:val="0"/>
          <w:i w:val="0"/>
        </w:rPr>
        <w:t>136</w:t>
      </w:r>
    </w:p>
    <w:p>
      <w:pPr>
        <w:spacing w:after="80"/>
      </w:pPr>
      <w:r>
        <w:rPr>
          <w:b w:val="0"/>
          <w:i w:val="0"/>
        </w:rPr>
        <w:t>trường hợp đó, nó sẽ được yêu cầu đưa vào bối cảnh của một hiệp định. Tương tự như vậy, các tòa án dường như không xem bình luận như một thỏa thuận hoặc thực tiễn tiếp theo cần được tính đến theo Điều 31(3). Do đó chúng mang tính bổ sung và các tòa án được phép nhưng không bắt buộc phải xem xét chúng.</w:t>
      </w:r>
    </w:p>
    <w:p>
      <w:pPr>
        <w:spacing w:after="80"/>
      </w:pPr>
      <w:r>
        <w:rPr>
          <w:b w:val="0"/>
          <w:i w:val="0"/>
        </w:rPr>
        <w:t xml:space="preserve">Các Ủy viên Đặc biệt (Special Commissioners) trong vụ </w:t>
      </w:r>
      <w:r>
        <w:rPr>
          <w:b w:val="0"/>
          <w:i/>
        </w:rPr>
        <w:t>Smallwood</w:t>
      </w:r>
      <w:r>
        <w:rPr>
          <w:b w:val="0"/>
          <w:i w:val="0"/>
        </w:rPr>
        <w:t xml:space="preserve"> cũng đã xem xét các sửa đổi được đề xuất đối với Bình luận như một phần của khuyến nghị gửi đến Nhóm Công tác 1 (Working Party 1), cơ quan chịu trách nhiệm về Công ước mẫu OECD nhưng cho rằng 'điều này nên được xử lý một cách thận trọng hơn đáng kể vì nó chưa được OECD thông qua'.145</w:t>
      </w:r>
    </w:p>
    <w:p>
      <w:pPr>
        <w:spacing w:after="80"/>
      </w:pPr>
      <w:r>
        <w:rPr>
          <w:b w:val="0"/>
          <w:i w:val="0"/>
        </w:rPr>
        <w:t xml:space="preserve">Khi giải thích thuật ngữ 'nơi quản lý hiệu quả' (place of effective management) trong Điều 4(4) của hiệp định tránh đánh thuế hai lần giữa Vương quốc Anh và Úc (2003), Tòa án Tối cao Úc (Australian High Court) đã xác nhận trong vụ </w:t>
      </w:r>
      <w:r>
        <w:rPr>
          <w:b w:val="0"/>
          <w:i/>
        </w:rPr>
        <w:t>Bywater Investments Ltd v Commissioner of Taxation</w:t>
      </w:r>
      <w:r>
        <w:rPr>
          <w:b w:val="0"/>
          <w:i w:val="0"/>
        </w:rPr>
        <w:t xml:space="preserve"> rằng Bình luận OECD là một phương tiện giải thích bổ sung trong phạm vi Điều 32 của VCLT và nên được sử dụng như được quy định bởi Điều 32.146</w:t>
      </w:r>
    </w:p>
    <w:p>
      <w:pPr>
        <w:spacing w:after="80"/>
      </w:pPr>
      <w:r>
        <w:rPr>
          <w:b w:val="0"/>
          <w:i w:val="0"/>
        </w:rPr>
        <w:t xml:space="preserve">Bất chấp những nỗ lực to lớn trong việc phát triển Bình luận OECD, các tòa án không phải lúc nào cũng thấy nó hữu ích trong việc giải quyết các câu hỏi về giải thích. Trong vụ </w:t>
      </w:r>
      <w:r>
        <w:rPr>
          <w:b w:val="0"/>
          <w:i/>
        </w:rPr>
        <w:t>Smallwood</w:t>
      </w:r>
      <w:r>
        <w:rPr>
          <w:b w:val="0"/>
          <w:i w:val="0"/>
        </w:rPr>
        <w:t xml:space="preserve">, ví dụ, việc xem xét kỹ lưỡng Bình luận như được mô tả ở trên chỉ dẫn các Ủy viên Đặc biệt đến kết luận rằng 'vấn đề này không thoát khỏi tranh cãi trong nội bộ OECD'.147 Tương tự như vậy, trong vụ </w:t>
      </w:r>
      <w:r>
        <w:rPr>
          <w:b w:val="0"/>
          <w:i/>
        </w:rPr>
        <w:t>UBS</w:t>
      </w:r>
      <w:r>
        <w:rPr>
          <w:b w:val="0"/>
          <w:i w:val="0"/>
        </w:rPr>
        <w:t xml:space="preserve">, việc thiếu sự hỗ trợ từ Bình luận đã buộc các Ủy viên Đặc biệt ở đó đi đến kết luận rằng ý nghĩa thông thường của các thuật ngữ là cách tiếp cận phù hợp.148 Trong vụ </w:t>
      </w:r>
      <w:r>
        <w:rPr>
          <w:b w:val="0"/>
          <w:i/>
        </w:rPr>
        <w:t>Ben Nevis (Holdings) Ltd &amp; Anor v Revenue &amp; Customs</w:t>
      </w:r>
      <w:r>
        <w:rPr>
          <w:b w:val="0"/>
          <w:i w:val="0"/>
        </w:rPr>
        <w:t>,149 Tòa án Phúc thẩm kết luận rằng Bình luận đối với Điều 27 của Công ước mẫu OECD (Hỗ trợ thu thuế) không ủng hộ lập luận cho hoặc chống lại việc áp dụng hồi tố Điều 25A của Hiệp định Nam Phi - Vương quốc Anh (2002) được chèn vào bằng nghị định thư năm 2010. Các bên tham gia nghị định thư đó đã không tuân theo khuyến nghị trong Bình luận để làm rõ vấn đề bằng cách thỏa thuận.150</w:t>
      </w:r>
    </w:p>
    <w:p>
      <w:pPr>
        <w:spacing w:after="80"/>
      </w:pPr>
      <w:r>
        <w:rPr>
          <w:b w:val="0"/>
          <w:i w:val="0"/>
        </w:rPr>
        <w:t>Cần lưu ý thêm sự thận trọng khi xem xét hiệu lực của các phiên bản Bình luận hiện đại. Không chỉ tốc độ thay đổi trở nên thường xuyên hơn, mà Bình luận còn mang một vai trò mới như một phương tiện để cố gắng thay đổi chính sách hiệp định. Những người soạn thảo Bình luận thường là các quan chức trong cơ quan thuế với những cân nhắc về chính sách trong đầu hơn là tìm kiếm sự rõ ràng hoặc giải thích thêm như một chức năng diễn giải. Ví dụ, Báo cáo OECD năm 2008 về Phân bổ Lợi nhuận cho Cơ sở Thường trú (PEs) sau nghiên cứu dài của OECD về việc phân bổ lợi nhuận của các PE theo Điều 7 của Công ước mẫu OECD, đã thừa nhận rằng quá trình phát triển 'cách tiếp cận được OECD ủy quyền' (authorised OECD approach) không bị ràng buộc bởi ý định ban đầu hoặc bởi thực tiễn lịch sử và cách giải thích Điều 7. Thay vào đó, trọng tâm là xây dựng cách tiếp cận thích hợp nhất để phân bổ lợi nhuận cho một PE theo Điều 7 trong bối cảnh các công ty đa quốc gia hiện đại</w:t>
      </w:r>
    </w:p>
    <w:p>
      <w:pPr>
        <w:spacing w:after="80"/>
      </w:pPr>
      <w:r>
        <w:rPr>
          <w:b w:val="0"/>
          <w:i w:val="0"/>
        </w:rPr>
        <w:t>145. Tại đoạn 128.146.[2016] HCA 45, 19 ITLR 287, tại đoạn 167.147. Tại đoạn 126.148.</w:t>
      </w:r>
      <w:r>
        <w:rPr>
          <w:b w:val="0"/>
          <w:i/>
        </w:rPr>
        <w:t>UBS AG v HMRC</w:t>
      </w:r>
      <w:r>
        <w:rPr>
          <w:b w:val="0"/>
          <w:i w:val="0"/>
        </w:rPr>
        <w:t xml:space="preserve"> [2005] UKSPC 480; (2005) Sp C 480, đoạn 11.149.</w:t>
      </w:r>
      <w:r>
        <w:rPr>
          <w:b w:val="0"/>
          <w:i/>
        </w:rPr>
        <w:t>Ben Nevis (Holdings) Ltd &amp; Anor v Revenue and Customs Commissioners</w:t>
      </w:r>
      <w:r>
        <w:rPr>
          <w:b w:val="0"/>
          <w:i w:val="0"/>
        </w:rPr>
        <w:t xml:space="preserve"> [2013] BTC 485 [2013]EWCA Civ 578; [2013] STC 1579 tại đoạn 33.150.</w:t>
      </w:r>
      <w:r>
        <w:rPr>
          <w:b w:val="0"/>
          <w:i/>
        </w:rPr>
        <w:t>Revenue and Customs Commissioners &amp; Anor v Ben Nevis (Holdings) Ltd &amp; Ors</w:t>
      </w:r>
      <w:r>
        <w:rPr>
          <w:b w:val="0"/>
          <w:i w:val="0"/>
        </w:rPr>
        <w:t xml:space="preserve"> [2012] BTC 240[2012] EWHC 1087 Ch, [2012] STC 2157 tại đoạn 38.</w:t>
      </w:r>
    </w:p>
    <w:p>
      <w:pPr>
        <w:spacing w:after="80"/>
      </w:pPr>
      <w:r>
        <w:rPr>
          <w:b w:val="0"/>
          <w:i w:val="0"/>
        </w:rPr>
        <w:t>137</w:t>
      </w:r>
    </w:p>
    <w:p>
      <w:pPr>
        <w:spacing w:after="80"/>
      </w:pPr>
      <w:r>
        <w:rPr>
          <w:b w:val="0"/>
          <w:i w:val="0"/>
        </w:rPr>
        <w:t>hoạt động và thương mại.151 Trong những trường hợp như vậy, phần Bình luận chắc chắn có giá trị trong việc hiểu cách tiếp cận của các cơ quan thuế, nhưng giá trị của nó như một phương tiện bổ sung để giải thích pháp lý đòi hỏi phải xem xét chi tiết hiệp định liên quan, mức độ mà nó tuân theo một mô hình OECD cụ thể và so sánh các phiên bản khác nhau của phần Bình luận.152</w:t>
      </w:r>
    </w:p>
    <w:p>
      <w:pPr>
        <w:spacing w:after="80"/>
      </w:pPr>
      <w:r>
        <w:rPr>
          <w:b w:val="0"/>
          <w:i w:val="0"/>
        </w:rPr>
        <w:t xml:space="preserve">Các tuyên bố đa phương khác, chẳng hạn như </w:t>
      </w:r>
      <w:r>
        <w:rPr>
          <w:b w:val="0"/>
          <w:i/>
        </w:rPr>
        <w:t>United Nations Model Double TaxationConventionbetweenDevelopedandDevelopingCountries</w:t>
      </w:r>
      <w:r>
        <w:rPr>
          <w:b w:val="0"/>
          <w:i w:val="0"/>
        </w:rPr>
        <w:t xml:space="preserve">,153 và </w:t>
      </w:r>
      <w:r>
        <w:rPr>
          <w:b w:val="0"/>
          <w:i/>
        </w:rPr>
        <w:t>UnitedNationsManual for the Negotiation of Bilateral Tax Treaties between Developed and DevelopingCountries</w:t>
      </w:r>
      <w:r>
        <w:rPr>
          <w:b w:val="0"/>
          <w:i w:val="0"/>
        </w:rPr>
        <w:t>, có thể hữu ích trong một số trường hợp. Điều tương tự cũng có thể nói về các đối tác hiệp định có mô hình hiệp định riêng của họ, với khó khăn là các tuyên bố đơn phương của một trong các quốc gia ký kết thường sẽ không được coi là đủ điều kiện theo tiêu đề này của Công ước Vienna và bản thân chúng không phản ánh ý định của cả hai bên.</w:t>
      </w:r>
    </w:p>
    <w:p>
      <w:pPr>
        <w:spacing w:after="80"/>
      </w:pPr>
      <w:r>
        <w:rPr>
          <w:b w:val="0"/>
          <w:i w:val="0"/>
        </w:rPr>
        <w:t>Không có trường hợp nào ở Vương quốc Anh liên quan đến phần bình luận của Công ước Mẫu Liên Hợp Quốc.154 Phần bình luận này không được cập nhật thường xuyên, và do đó, một số vấn đề thời gian khó khăn hơn sẽ không phát sinh. Trong bối cảnh các hiệp định không thuộc OECD, cũng có thể lập luận rằng với ảnh hưởng của Mô hình OECD, phần Bình luận đó cũng có thể hữu ích trong bối cảnh các hiệp định với các quốc gia không phải thành viên OECD.</w:t>
      </w:r>
    </w:p>
    <w:p>
      <w:pPr>
        <w:spacing w:after="80"/>
      </w:pPr>
      <w:r>
        <w:rPr>
          <w:b/>
          <w:i w:val="0"/>
        </w:rPr>
        <w:t>[B]Các hiệp định khác</w:t>
      </w:r>
    </w:p>
    <w:p>
      <w:pPr>
        <w:spacing w:after="80"/>
      </w:pPr>
      <w:r>
        <w:rPr>
          <w:b w:val="0"/>
          <w:i w:val="0"/>
        </w:rPr>
        <w:t xml:space="preserve">Trong một số trường hợp, người ta đã viện dẫn đến các hiệp định song song. Ví dụ, trong </w:t>
      </w:r>
      <w:r>
        <w:rPr>
          <w:b w:val="0"/>
          <w:i/>
        </w:rPr>
        <w:t xml:space="preserve"> Sun LifeAssuranceCompanyofCanadavPearson</w:t>
      </w:r>
      <w:r>
        <w:rPr>
          <w:b w:val="0"/>
          <w:i w:val="0"/>
        </w:rPr>
        <w:t xml:space="preserve">,155 người nộp thuế đã dựa vào phán quyết của tòa án trong </w:t>
      </w:r>
      <w:r>
        <w:rPr>
          <w:b w:val="0"/>
          <w:i/>
        </w:rPr>
        <w:t>OstimevAustralianMutualProvidentSociety</w:t>
      </w:r>
      <w:r>
        <w:rPr>
          <w:b w:val="0"/>
          <w:i w:val="0"/>
        </w:rPr>
        <w:t xml:space="preserve">,156 trong đó xem xét các điều khoản giống hệt nhau trong điều 3 của Hiệp định Australia-Anh như hỗ trợ cho việc giải thích các điều khoản tương tự trong Hiệp định Canada-Anh. Trong </w:t>
      </w:r>
      <w:r>
        <w:rPr>
          <w:b w:val="0"/>
          <w:i/>
        </w:rPr>
        <w:t xml:space="preserve"> Padmore v IRC</w:t>
      </w:r>
      <w:r>
        <w:rPr>
          <w:b w:val="0"/>
          <w:i w:val="0"/>
        </w:rPr>
        <w:t>,157 Tòa án đã so sánh Hiệp định Thụy Sĩ-Anh với Hiệp định Jersey-Anh để kết luận rằng từ ngữ bổ sung xuất hiện trong Hiệp định Thụy Sĩ sẽ phải được đưa vào Hiệp định Jersey để đạt được cách giải thích mà Crown đưa ra. Tương tự, việc các công ty hợp danh được đề cập cụ thể trong Hiệp định Mỹ-Anh nhưng không có trong Hiệp định Jersey-Anh được lập luận là có nghĩa là Hiệp định Jersey-Anh không đề cập đến các công ty hợp danh. Tòa án lưu ý rằng các điều khoản của các</w:t>
      </w:r>
    </w:p>
    <w:p>
      <w:pPr>
        <w:spacing w:after="80"/>
      </w:pPr>
      <w:r>
        <w:rPr>
          <w:b w:val="0"/>
          <w:i w:val="0"/>
        </w:rPr>
        <w:t>151.OECD:ReportontheAttributionofProfitstoPermanentEstablishments17July2008,PartI:General Considerations, đoạn 4.152.</w:t>
      </w:r>
      <w:r>
        <w:rPr>
          <w:b w:val="0"/>
          <w:i/>
        </w:rPr>
        <w:t>IrishBankResolutionCorporationLtd(inspecialliquidation)vRevenue&amp;CustomsCommis-sioners</w:t>
      </w:r>
      <w:r>
        <w:rPr>
          <w:b w:val="0"/>
          <w:i w:val="0"/>
        </w:rPr>
        <w:t xml:space="preserve">[2020]EWCACiv1128,[2020]WLR(D)485,[2020]STC1946,[2020]BTC26, các đoạn 24-30 chỉ ra mức độ chi tiết cần thiết.153.Được viện dẫn bởi Indian Income Tax Appellate Tribunal liên quan đến điều 7(1) của Hiệp định Thuế Thu nhập Ấn Độ-Anh (1993) trong </w:t>
      </w:r>
      <w:r>
        <w:rPr>
          <w:b w:val="0"/>
          <w:i/>
        </w:rPr>
        <w:t xml:space="preserve"> Linklaters &amp; Paines v Income-tax Officer</w:t>
      </w:r>
      <w:r>
        <w:rPr>
          <w:b w:val="0"/>
          <w:i w:val="0"/>
        </w:rPr>
        <w:t xml:space="preserve">, (International Taxation),1(1)(2), Mumbai No. – M.A. No. 223 (MUM.) của 2011, IT Appeal Nos 2896 &amp; 5085 (MUM.) của 2003, 19 tháng 12 năm 2012, taxindiaconnect.com. Xem Chương 9, §9.06.154.Nó được đề cập nhưng không được trích dẫn trong </w:t>
      </w:r>
      <w:r>
        <w:rPr>
          <w:b w:val="0"/>
          <w:i/>
        </w:rPr>
        <w:t xml:space="preserve"> Indofood International Finance Ltd v JP Morgan Chase BankNA</w:t>
      </w:r>
      <w:r>
        <w:rPr>
          <w:b w:val="0"/>
          <w:i w:val="0"/>
        </w:rPr>
        <w:t xml:space="preserve"> [2005] BTC 8023; [2005] EWHC 2103 (Ch), đoạn 26.155.</w:t>
      </w:r>
      <w:r>
        <w:rPr>
          <w:b w:val="0"/>
          <w:i/>
        </w:rPr>
        <w:t>SunLifeAssuranceCompanyofCanadavPearson</w:t>
      </w:r>
      <w:r>
        <w:rPr>
          <w:b w:val="0"/>
          <w:i w:val="0"/>
        </w:rPr>
        <w:t>[1984]BTC223;(1984)59TC250;[1984]STC 461, Ch. D.156.</w:t>
      </w:r>
      <w:r>
        <w:rPr>
          <w:b w:val="0"/>
          <w:i/>
        </w:rPr>
        <w:t>Ostime v Australian Mutual Provident Society</w:t>
      </w:r>
      <w:r>
        <w:rPr>
          <w:b w:val="0"/>
          <w:i w:val="0"/>
        </w:rPr>
        <w:t xml:space="preserve"> (1956-1960) 38 TC 492, HL; [1960] AC 459.157.</w:t>
      </w:r>
      <w:r>
        <w:rPr>
          <w:b w:val="0"/>
          <w:i/>
        </w:rPr>
        <w:t>Padmore v Inland Revenue Commissioners</w:t>
      </w:r>
      <w:r>
        <w:rPr>
          <w:b w:val="0"/>
          <w:i w:val="0"/>
        </w:rPr>
        <w:t xml:space="preserve"> [1989] STC 493, [1989] BTC 221.</w:t>
      </w:r>
    </w:p>
    <w:p>
      <w:pPr>
        <w:spacing w:after="80"/>
      </w:pPr>
      <w:r>
        <w:rPr>
          <w:b w:val="0"/>
          <w:i w:val="0"/>
        </w:rPr>
        <w:t>138</w:t>
      </w:r>
    </w:p>
    <w:p>
      <w:pPr>
        <w:spacing w:after="80"/>
      </w:pPr>
      <w:r>
        <w:rPr>
          <w:b w:val="0"/>
          <w:i w:val="0"/>
        </w:rPr>
        <w:t xml:space="preserve">các hiệp định không giúp ích gì trong việc giải thích một hiệp định cụ thể. Các quốc gia khác có thể đã đàm phán những thỏa thuận khác nhau. Trong </w:t>
      </w:r>
      <w:r>
        <w:rPr>
          <w:b w:val="0"/>
          <w:i/>
        </w:rPr>
        <w:t xml:space="preserve"> IRC v Vas</w:t>
      </w:r>
      <w:r>
        <w:rPr>
          <w:b w:val="0"/>
          <w:i w:val="0"/>
        </w:rPr>
        <w:t>,158 sự khác biệt giữa các hiệp định của Vương quốc Anh với Mỹ và Hungary liên quan đến giáo viên thỉnh giảng đã được giải quyết bằng cách tham chiếu đến luật pháp ở Hungary và so sánh giữa cách diễn đạt trong Hiệp định Anh-Mỹ trước đó và Hiệp định Hungary-Anh để xem xét điều khoản được đề cập.</w:t>
      </w:r>
    </w:p>
    <w:p>
      <w:pPr>
        <w:spacing w:after="80"/>
      </w:pPr>
      <w:r>
        <w:rPr>
          <w:b w:val="0"/>
          <w:i w:val="0"/>
        </w:rPr>
        <w:t xml:space="preserve">Các hiệp định giữa các quốc gia thứ ba đôi khi cũng có thể được viện dẫn. Tuy nhiên, trong </w:t>
      </w:r>
      <w:r>
        <w:rPr>
          <w:b w:val="0"/>
          <w:i/>
        </w:rPr>
        <w:t xml:space="preserve"> Memec</w:t>
      </w:r>
      <w:r>
        <w:rPr>
          <w:b w:val="0"/>
          <w:i w:val="0"/>
        </w:rPr>
        <w:t>, Tòa phúc thẩm159 đã đặt câu hỏi về mức độ hỗ trợ có thể thu được từ các hiệp định mà Vương quốc Anh không phải là thành viên. Trong trường hợp đó, Morritt LJ đã lưu ý sự khác biệt về từ ngữ giữa Hiệp định Đức-Thụy Sĩ và Hiệp định Anh-Đức trong bối cảnh xác định ý nghĩa của thuật ngữ 'cổ tức' theo Hiệp định Anh-Đức. Khi dựa vào các hiệp định như vậy, không chỉ cần tìm các điều khoản có từ ngữ tương tự trong bối cảnh tương tự trong hiệp định, mà còn phải xác định cách tiếp cận tương tự đối với việc giải thích các hiệp định được các tòa án chịu trách nhiệm giải thích hiệp định được đề cập áp dụng.</w:t>
      </w:r>
    </w:p>
    <w:p>
      <w:pPr>
        <w:spacing w:after="80"/>
      </w:pPr>
      <w:r>
        <w:rPr>
          <w:b w:val="0"/>
          <w:i w:val="0"/>
        </w:rPr>
        <w:t xml:space="preserve">Trong </w:t>
      </w:r>
      <w:r>
        <w:rPr>
          <w:b w:val="0"/>
          <w:i/>
        </w:rPr>
        <w:t xml:space="preserve"> Sun Life Assurance Company of Canada v Pearson</w:t>
      </w:r>
      <w:r>
        <w:rPr>
          <w:b w:val="0"/>
          <w:i w:val="0"/>
        </w:rPr>
        <w:t xml:space="preserve">,160 Tòa án cấp cao đã so sánh các hiệp định năm 1967 và 1980 của Vương quốc Anh với Canada trong việc giải thích thuật ngữ 'lợi nhuận'. Ngược lại, cả Tòa án cấp cao lẫn Tòa phúc thẩm trong </w:t>
      </w:r>
      <w:r>
        <w:rPr>
          <w:b w:val="0"/>
          <w:i/>
        </w:rPr>
        <w:t>SmallwoodvRevenue and Customs Commissioners</w:t>
      </w:r>
      <w:r>
        <w:rPr>
          <w:b w:val="0"/>
          <w:i w:val="0"/>
        </w:rPr>
        <w:t>161 đều không chấp nhận lập luận rằng ý nghĩa của điều 13(4) của hiệp định Mauritius-Anh được làm sáng tỏ bởi các sửa đổi sau đó được thiết kế để khắc phục những tác hại phát sinh từ các thỏa thuận là đối tượng của vụ án.</w:t>
      </w:r>
    </w:p>
    <w:p>
      <w:pPr>
        <w:spacing w:after="80"/>
      </w:pPr>
      <w:r>
        <w:rPr>
          <w:b/>
          <w:i w:val="0"/>
        </w:rPr>
        <w:t>[C]Các tác phẩm của các luật gia</w:t>
      </w:r>
    </w:p>
    <w:p>
      <w:pPr>
        <w:spacing w:after="80"/>
      </w:pPr>
      <w:r>
        <w:rPr>
          <w:b w:val="0"/>
          <w:i w:val="0"/>
        </w:rPr>
        <w:t xml:space="preserve">Các tác phẩm của các luật gia là một nguồn được công nhận của luật quốc tế. Chúng đã được các tòa án Vương quốc Anh tiếp nhận một cách khá không đồng đều trong bối cảnh giải thích các hiệp định thuế. Một mặt, các tác giả như Brownlie và McNair đã được các tòa án dễ dàng chấp nhận trong việc trình bày các nguyên tắc của luật quốc tế tập quán liên quan đến việc giải thích các hiệp định. Bình luận của các luật gia về các điều khoản cụ thể thì mơ hồ hơn. Trong </w:t>
      </w:r>
      <w:r>
        <w:rPr>
          <w:b w:val="0"/>
          <w:i/>
        </w:rPr>
        <w:t>Commerzbank</w:t>
      </w:r>
      <w:r>
        <w:rPr>
          <w:b w:val="0"/>
          <w:i w:val="0"/>
        </w:rPr>
        <w:t>,162 Mummery J cho rằng việc dựa vào các bình luận chỉ có tính thuyết phục và phụ thuộc vào tính thuyết phục của lập luận. Trong trường hợp đó, Inland Revenue đã dựa rất nhiều vào ý kiến của các luật gia lỗi lạc về luật quốc tế, Sir Ian Brownlie và McNair, đặc biệt là trong trường hợp không có bất kỳ công việc chuẩn bị nào. Ủy viên Đặc biệt đã dựa vào các tuyên bố trong Brownlie và McNair rằng nghĩa vụ chứng minh</w:t>
      </w:r>
    </w:p>
    <w:p>
      <w:pPr>
        <w:spacing w:after="80"/>
      </w:pPr>
      <w:r>
        <w:rPr>
          <w:b w:val="0"/>
          <w:i w:val="0"/>
        </w:rPr>
        <w:t>158.</w:t>
      </w:r>
      <w:r>
        <w:rPr>
          <w:b w:val="0"/>
          <w:i/>
        </w:rPr>
        <w:t>Inland Revenue Commissioners v Vas</w:t>
      </w:r>
      <w:r>
        <w:rPr>
          <w:b w:val="0"/>
          <w:i w:val="0"/>
        </w:rPr>
        <w:t xml:space="preserve"> [1990] STC 137, [1990] BTC 52.159.</w:t>
      </w:r>
      <w:r>
        <w:rPr>
          <w:b w:val="0"/>
          <w:i/>
        </w:rPr>
        <w:t>Memec plc v Inland Revenue Commissioners</w:t>
      </w:r>
      <w:r>
        <w:rPr>
          <w:b w:val="0"/>
          <w:i w:val="0"/>
        </w:rPr>
        <w:t xml:space="preserve"> [1998] STC 754, [1998] BTC 251.160.</w:t>
      </w:r>
      <w:r>
        <w:rPr>
          <w:b w:val="0"/>
          <w:i/>
        </w:rPr>
        <w:t>Sun Life Assurance Company of Canada v Pearson</w:t>
      </w:r>
      <w:r>
        <w:rPr>
          <w:b w:val="0"/>
          <w:i w:val="0"/>
        </w:rPr>
        <w:t xml:space="preserve"> [1984] BTC 205 (Ch. D) tại p. 273; ;(1984) 59TC 250; [1984] STC 481.161.</w:t>
      </w:r>
      <w:r>
        <w:rPr>
          <w:b w:val="0"/>
          <w:i/>
        </w:rPr>
        <w:t>RevenueandCustomsCommissionersvSmallwood&amp;Anor</w:t>
      </w:r>
      <w:r>
        <w:rPr>
          <w:b w:val="0"/>
          <w:i w:val="0"/>
        </w:rPr>
        <w:t xml:space="preserve">[2010]STC2045,[2010]BTC637[2009]EWHC777(Ch);[2010]EWCACiv788.Xem thêm </w:t>
      </w:r>
      <w:r>
        <w:rPr>
          <w:b w:val="0"/>
          <w:i/>
        </w:rPr>
        <w:t>BayfineUKvRevenueandCustomsCommissioners</w:t>
      </w:r>
      <w:r>
        <w:rPr>
          <w:b w:val="0"/>
          <w:i w:val="0"/>
        </w:rPr>
        <w:t xml:space="preserve"> [2011] STC 717, [2011] BTC 242 [2011] EWCA Civ 304 tại đoạn 65, trong đó Tòa phúc thẩm đồng ý rằng luật sau đó về sự tương tác giữa hiệp định và cứu trợ đơn phương có thể là một trợ giúp cho việc giải thích.162.</w:t>
      </w:r>
      <w:r>
        <w:rPr>
          <w:b w:val="0"/>
          <w:i/>
        </w:rPr>
        <w:t>Commerzbank v Inland Revenue Commissioners</w:t>
      </w:r>
      <w:r>
        <w:rPr>
          <w:b w:val="0"/>
          <w:i w:val="0"/>
        </w:rPr>
        <w:t xml:space="preserve"> [1990] STC 285, [1990] BTC 172.</w:t>
      </w:r>
    </w:p>
    <w:p>
      <w:pPr>
        <w:spacing w:after="80"/>
      </w:pPr>
      <w:r>
        <w:rPr>
          <w:b w:val="0"/>
          <w:i w:val="0"/>
        </w:rPr>
        <w:t>139</w:t>
      </w:r>
    </w:p>
    <w:p>
      <w:pPr>
        <w:spacing w:after="80"/>
      </w:pPr>
      <w:r>
        <w:rPr>
          <w:b w:val="0"/>
          <w:i w:val="0"/>
        </w:rPr>
        <w:t>was on the Crown to rebut the presumption that the words of art. XV of the US Treaty should bear their plain and ordinary meaning.</w:t>
      </w:r>
    </w:p>
    <w:p>
      <w:pPr>
        <w:spacing w:after="80"/>
      </w:pPr>
      <w:r>
        <w:rPr>
          <w:b w:val="0"/>
          <w:i w:val="0"/>
        </w:rPr>
        <w:t xml:space="preserve">Trong </w:t>
      </w:r>
      <w:r>
        <w:rPr>
          <w:b w:val="0"/>
          <w:i/>
        </w:rPr>
        <w:t>Memec</w:t>
      </w:r>
      <w:r>
        <w:rPr>
          <w:b w:val="0"/>
          <w:i w:val="0"/>
        </w:rPr>
        <w:t xml:space="preserve">,163 quan điểm này được Robert Walker J. tán đồng. Phía Crown tìm cách đưa vào các trích đoạn từ </w:t>
      </w:r>
      <w:r>
        <w:rPr>
          <w:b w:val="0"/>
          <w:i/>
        </w:rPr>
        <w:t>Klaus Vogel on Double Taxation Conventions</w:t>
      </w:r>
      <w:r>
        <w:rPr>
          <w:b w:val="0"/>
          <w:i w:val="0"/>
        </w:rPr>
        <w:t>. Ban đầu, người nộp thuế phản đối các trích đoạn này với lý do chúng chỉ là "phỏng đoán và suy diễn". Cuối cùng, khi trả lời, sự phản đối được điều chỉnh và luật sư của người nộp thuế đã hướng sự chú ý của các Special Commissioners đến một trích đoạn mà phía Crown không trích dẫn để hỗ trợ cho lập luận của chính họ. Các Special Commissioners chấp nhận các trích đoạn liên quan nhưng "nhận thấy chúng chẳng giúp ích được gì mấy và phần lớn bình luận của Herr Vogel gần như không thể hiểu nổi".164 Tình hình có phần thay đổi tại High Court, nơi Tiến sĩ Vogel được nhắc đến như "một chuyên gia người Đức lỗi lạc".165 Lần này, Inland Revenue lập luận rằng "quan điểm của ông chỉ mang tính dự phỏng và việc dựa vào đó không phải là bắt buộc mà còn phụ thuộc vào tính thuyết phục của nó".</w:t>
      </w:r>
    </w:p>
    <w:p>
      <w:pPr>
        <w:spacing w:after="80"/>
      </w:pPr>
      <w:r>
        <w:rPr>
          <w:b w:val="0"/>
          <w:i w:val="0"/>
        </w:rPr>
        <w:t>Cuối cùng, các quan điểm này được cho là có chút hữu ích, nhưng tự chúng không mang tính quyết định. Tại Court of Appeal, người ta nói rằng "quan điểm của một chuyên gia được thừa nhận trong lĩnh vực này, mà Giáo sư Vogel chắc chắn là như vậy, đáng được tôn trọng".166</w:t>
      </w:r>
    </w:p>
    <w:p>
      <w:pPr>
        <w:spacing w:after="80"/>
      </w:pPr>
      <w:r>
        <w:rPr>
          <w:b w:val="0"/>
          <w:i w:val="0"/>
        </w:rPr>
        <w:t xml:space="preserve">Trong </w:t>
      </w:r>
      <w:r>
        <w:rPr>
          <w:b w:val="0"/>
          <w:i/>
        </w:rPr>
        <w:t>Trustees of Wensleydale's Settlement v IRC</w:t>
      </w:r>
      <w:r>
        <w:rPr>
          <w:b w:val="0"/>
          <w:i w:val="0"/>
        </w:rPr>
        <w:t>,167 tác phẩm của Tiến sĩ Vogel một lần nữa được nhắc đến về ý nghĩa của "nơi quản lý hiệu quả" (place of effective management) trong Hiệp định Ireland-UK. Mặc dù không có quan điểm nào được đưa ra về bình luận trong cuốn sách, các Special Commissioners rõ ràng đã dựa vào đó.168</w:t>
      </w:r>
    </w:p>
    <w:p>
      <w:pPr>
        <w:spacing w:after="80"/>
      </w:pPr>
      <w:r>
        <w:rPr>
          <w:b w:val="0"/>
          <w:i w:val="0"/>
        </w:rPr>
        <w:t xml:space="preserve">Cần phân biệt văn bản pháp lý như một nguồn tài liệu giải thích với bằng chứng chuyên gia về ý nghĩa của một hiệp định. Vì vậy, trong </w:t>
      </w:r>
      <w:r>
        <w:rPr>
          <w:b w:val="0"/>
          <w:i/>
        </w:rPr>
        <w:t>Ben Nevis</w:t>
      </w:r>
      <w:r>
        <w:rPr>
          <w:b w:val="0"/>
          <w:i w:val="0"/>
        </w:rPr>
        <w:t xml:space="preserve">, báo cáo của nhân chứng chuyên gia do Giáo sư Grau Ruiz trình bày bị Court of Appeal tuyên là không thể chấp nhận vì các câu hỏi về cách giải thích thuộc thẩm quyền của tòa án,169 trong khi cuốn sách của Giáo sư Ruiz về chủ đề hỗ trợ tương trợ trong việc thu hồi các khiếu nại thuế thì không bị loại bỏ.170 Trong </w:t>
      </w:r>
      <w:r>
        <w:rPr>
          <w:b w:val="0"/>
          <w:i/>
        </w:rPr>
        <w:t>Irish Bank Resolution Corporation Ltd v HMRC</w:t>
      </w:r>
      <w:r>
        <w:rPr>
          <w:b w:val="0"/>
          <w:i w:val="0"/>
        </w:rPr>
        <w:t>, Court of Appeal từ chối tham chiếu đến các bài viết học thuật, dù các tác giả có lỗi lạc đến đâu.171</w:t>
      </w:r>
    </w:p>
    <w:p>
      <w:pPr>
        <w:spacing w:after="80"/>
      </w:pPr>
      <w:r>
        <w:rPr>
          <w:b w:val="0"/>
          <w:i w:val="0"/>
        </w:rPr>
        <w:t>163.</w:t>
      </w:r>
      <w:r>
        <w:rPr>
          <w:b w:val="0"/>
          <w:i/>
        </w:rPr>
        <w:t>Memec plc v Inland Revenue Commissioners</w:t>
      </w:r>
      <w:r>
        <w:rPr>
          <w:b w:val="0"/>
          <w:i w:val="0"/>
        </w:rPr>
        <w:t xml:space="preserve"> [1998] STC 754, [1998] BTC.164.Tại 1343a.165.Tại 1356j.166.[1998]BTC251tại261;[1998]STC754tại768b,CA.Xemthêmquanđiểm bất đồng của Sir Christopher Staughton tại 770j.167.</w:t>
      </w:r>
      <w:r>
        <w:rPr>
          <w:b w:val="0"/>
          <w:i/>
        </w:rPr>
        <w:t>Trustees of Wensleydale's Settlement v Inland Revenue Commissioners</w:t>
      </w:r>
      <w:r>
        <w:rPr>
          <w:b w:val="0"/>
          <w:i w:val="0"/>
        </w:rPr>
        <w:t xml:space="preserve"> (1996) Sp C 73; [1966]STC SCD 241.168.Xem</w:t>
      </w:r>
      <w:r>
        <w:rPr>
          <w:b w:val="0"/>
          <w:i/>
        </w:rPr>
        <w:t xml:space="preserve"> Indofood International Finance Ltd v JP Morgan Chase Bank NA</w:t>
      </w:r>
      <w:r>
        <w:rPr>
          <w:b w:val="0"/>
          <w:i w:val="0"/>
        </w:rPr>
        <w:t xml:space="preserve"> [2005] BTC 8023; [2005]EWHC 2103 (Ch); [2006] BTC 8003; [2006] EWCA Civ 158 trích dẫn với sự tán thành bình luận của Philip Baker về OECD Model Convention;</w:t>
      </w:r>
      <w:r>
        <w:rPr>
          <w:b w:val="0"/>
          <w:i/>
        </w:rPr>
        <w:t xml:space="preserve"> Caglar &amp; Ors v Billingham (HMIT)</w:t>
      </w:r>
      <w:r>
        <w:rPr>
          <w:b w:val="0"/>
          <w:i w:val="0"/>
        </w:rPr>
        <w:t xml:space="preserve"> (1996) Sp C70 trích dẫn nhiều tác giả khác nhau về luật quốc tế công.169.Tại đoạn 34. Xem Chương 1, §1.03.170.</w:t>
      </w:r>
      <w:r>
        <w:rPr>
          <w:b w:val="0"/>
          <w:i/>
        </w:rPr>
        <w:t>Ben Nevis (Holdings) Ltd &amp; Anor v Revenue &amp; Customs Commissioners</w:t>
      </w:r>
      <w:r>
        <w:rPr>
          <w:b w:val="0"/>
          <w:i w:val="0"/>
        </w:rPr>
        <w:t xml:space="preserve"> [2013] EWCA Civ 578,tại đoạn 35.171.</w:t>
      </w:r>
      <w:r>
        <w:rPr>
          <w:b w:val="0"/>
          <w:i/>
        </w:rPr>
        <w:t>Irish Bank Resolution Corporation Ltd v Revenue and Customs</w:t>
      </w:r>
      <w:r>
        <w:rPr>
          <w:b w:val="0"/>
          <w:i w:val="0"/>
        </w:rPr>
        <w:t xml:space="preserve"> [2020] EWCA Civ 1128, [2020]WLR(D) 485, [2020] STC 1946, [2020] BTC 26, tại đoạn 17.</w:t>
      </w:r>
    </w:p>
    <w:p>
      <w:pPr>
        <w:spacing w:after="80"/>
      </w:pPr>
      <w:r>
        <w:rPr>
          <w:b w:val="0"/>
          <w:i w:val="0"/>
        </w:rPr>
        <w:t>140</w:t>
      </w:r>
    </w:p>
    <w:p>
      <w:pPr>
        <w:spacing w:after="80"/>
      </w:pPr>
      <w:r>
        <w:rPr>
          <w:b/>
          <w:i w:val="0"/>
        </w:rPr>
        <w:t>[D]Các phán quyết nước ngoài</w:t>
      </w:r>
    </w:p>
    <w:p>
      <w:pPr>
        <w:spacing w:after="80"/>
      </w:pPr>
      <w:r>
        <w:rPr>
          <w:b w:val="0"/>
          <w:i w:val="0"/>
        </w:rPr>
        <w:t xml:space="preserve">Mặc dù là một nguồn được thừa nhận của luật quốc tế, các tòa án Vương quốc Anh vẫn có cách tiếp cận phê phán đối với các án lệ nước ngoài, bất chấp phát biểu của Lord Scarman trong </w:t>
      </w:r>
      <w:r>
        <w:rPr>
          <w:b w:val="0"/>
          <w:i/>
        </w:rPr>
        <w:t>Fothergill v Monarch Airlines Limited</w:t>
      </w:r>
      <w:r>
        <w:rPr>
          <w:b w:val="0"/>
          <w:i w:val="0"/>
        </w:rPr>
        <w:t>,172 rằng:</w:t>
      </w:r>
    </w:p>
    <w:p>
      <w:pPr>
        <w:spacing w:after="80"/>
      </w:pPr>
      <w:r>
        <w:rPr>
          <w:b w:val="0"/>
          <w:i w:val="0"/>
        </w:rPr>
        <w:t>các phán quyết của một Tòa án cấp cao hay ý kiến của một Tòa Phá án (Court of Cassation) sẽ có sức nặng rất lớn.</w:t>
      </w:r>
    </w:p>
    <w:p>
      <w:pPr>
        <w:spacing w:after="80"/>
      </w:pPr>
      <w:r>
        <w:rPr>
          <w:b w:val="0"/>
          <w:i w:val="0"/>
        </w:rPr>
        <w:t xml:space="preserve">Vì vậy, mặc dù mong muốn có một cách tiếp cận chung đã được Công ước Vienna khuyến khích, và thực tế các nhận xét trong phần giới thiệu của bản bình luận có viết rằng "việc hài hòa hóa các công ước này theo các nguyên tắc, định nghĩa, quy tắc và phương pháp thống nhất, cùng sự đồng thuận về cách giải thích chung, ngày càng trở nên đáng mong muốn", các tòa án vẫn tiến hành một cách thận trọng. Trong </w:t>
      </w:r>
      <w:r>
        <w:rPr>
          <w:b w:val="0"/>
          <w:i/>
        </w:rPr>
        <w:t>Commerzbank</w:t>
      </w:r>
      <w:r>
        <w:rPr>
          <w:b w:val="0"/>
          <w:i w:val="0"/>
        </w:rPr>
        <w:t xml:space="preserve">,173 phía Crown dựa vào phán quyết của US Court of Claims trong </w:t>
      </w:r>
      <w:r>
        <w:rPr>
          <w:b w:val="0"/>
          <w:i/>
        </w:rPr>
        <w:t>Great West Life Assurance Company v United States</w:t>
      </w:r>
      <w:r>
        <w:rPr>
          <w:b w:val="0"/>
          <w:i w:val="0"/>
        </w:rPr>
        <w:t>.174 Vụ án đó liên quan đến hiệu lực của Điều 12 trong hiệp định giữa Hoa Kỳ và Canada. Nó cấp quyền miễn trừ với các điều khoản tương tự như Điều XV của Hiệp định UK-US. Mummery J lưu ý:175</w:t>
      </w:r>
    </w:p>
    <w:p>
      <w:pPr>
        <w:spacing w:after="80"/>
      </w:pPr>
      <w:r>
        <w:rPr>
          <w:b w:val="0"/>
          <w:i w:val="0"/>
        </w:rPr>
        <w:t xml:space="preserve">Phán quyết đó có chút đáng quan tâm vì nó minh họa cơ sở mà Hoa Kỳ đánh thuế các công ty nước ngoài hoạt động tại Hoa Kỳ, nhưng nó không thực sự giúp ích gì trong các vụ án này vì rõ ràng từ báo cáo rằng Tòa án đã áp dụng các nguyên tắc khác để giải thích Công ước đó so với những gì một tòa án Anh sẽ áp dụng theo phán quyết của House of Lords trong </w:t>
      </w:r>
      <w:r>
        <w:rPr>
          <w:b w:val="0"/>
          <w:i/>
        </w:rPr>
        <w:t>Fothergill v Monarch Airlines Limited</w:t>
      </w:r>
      <w:r>
        <w:rPr>
          <w:b w:val="0"/>
          <w:i w:val="0"/>
        </w:rPr>
        <w:t>.</w:t>
      </w:r>
    </w:p>
    <w:p>
      <w:pPr>
        <w:spacing w:after="80"/>
      </w:pPr>
      <w:r>
        <w:rPr>
          <w:b w:val="0"/>
          <w:i w:val="0"/>
        </w:rPr>
        <w:t>Cụ thể, ông nhắc đến án lệ Hoa Kỳ với nội dung rằng ý nghĩa mà một chính phủ và cơ quan chính phủ thích hợp gán cho một hiệp định có sức nặng rất lớn. Ông nói rằng tòa án Hoa Kỳ đã chịu ảnh hưởng lớn trong phán quyết của mình bởi việc Bộ Ngoại giao và Bộ Tài chính đã giải thích Điều 12 của Hiệp định US-Canada là không cấp quyền miễn trừ được yêu cầu và đã đàm phán các hiệp định khác trên cơ sở đó. Không có nguyên tắc nào như vậy được các tòa án Anh áp dụng đối với một điều khoản của hiệp định; do đó, ông không thấy phán quyết đó giúp ích được gì nhiều trong vụ án hiện tại.176</w:t>
      </w:r>
    </w:p>
    <w:p>
      <w:pPr>
        <w:spacing w:after="80"/>
      </w:pPr>
      <w:r>
        <w:rPr>
          <w:b w:val="0"/>
          <w:i w:val="0"/>
        </w:rPr>
        <w:t xml:space="preserve">Trong </w:t>
      </w:r>
      <w:r>
        <w:rPr>
          <w:b w:val="0"/>
          <w:i/>
        </w:rPr>
        <w:t>Memec</w:t>
      </w:r>
      <w:r>
        <w:rPr>
          <w:b w:val="0"/>
          <w:i w:val="0"/>
        </w:rPr>
        <w:t xml:space="preserve">,177 nơi ý nghĩa của thuật ngữ "cổ tức" (dividends) được xem xét trong Hiệp định Đức, người ta đã nhắc đến một phán quyết của </w:t>
      </w:r>
      <w:r>
        <w:rPr>
          <w:b w:val="0"/>
          <w:i/>
        </w:rPr>
        <w:t>Bundesfinanzhof</w:t>
      </w:r>
      <w:r>
        <w:rPr>
          <w:b w:val="0"/>
          <w:i w:val="0"/>
        </w:rPr>
        <w:t xml:space="preserve"> Đức trong việc giải thích hiệp định giữa Đức và Thụy Sĩ. Tại Court of Appeal, Morritt LJ lưu ý rằng phán quyết của Đức liên quan đến một điều khoản có cách diễn đạt khác trong một bối cảnh khác trong một hiệp định khác, và đặt câu hỏi rằng có thể thu được bao nhiêu sự trợ giúp từ các hiệp định khác, đặc biệt khi Vương quốc Anh không phải là một bên của chúng. Một</w:t>
      </w:r>
    </w:p>
    <w:p>
      <w:pPr>
        <w:spacing w:after="80"/>
      </w:pPr>
      <w:r>
        <w:rPr>
          <w:b w:val="0"/>
          <w:i w:val="0"/>
        </w:rPr>
        <w:t>172.[1981] AC 251, [1980] 3 WLR 209, [1980] 2 All ER 696.173.</w:t>
      </w:r>
      <w:r>
        <w:rPr>
          <w:b w:val="0"/>
          <w:i/>
        </w:rPr>
        <w:t>Inland Revenue Commissioners v Commerzbank AG</w:t>
      </w:r>
      <w:r>
        <w:rPr>
          <w:b w:val="0"/>
          <w:i w:val="0"/>
        </w:rPr>
        <w:t xml:space="preserve"> [1990] STC 285, [1990] BTC 172.174.</w:t>
      </w:r>
      <w:r>
        <w:rPr>
          <w:b w:val="0"/>
          <w:i/>
        </w:rPr>
        <w:t>Great West Life Assurance Company v United States</w:t>
      </w:r>
      <w:r>
        <w:rPr>
          <w:b w:val="0"/>
          <w:i w:val="0"/>
        </w:rPr>
        <w:t xml:space="preserve"> A.F.T.R. 2nd 82-1316.175.Tại 302f.176.Xem thêm </w:t>
      </w:r>
      <w:r>
        <w:rPr>
          <w:b w:val="0"/>
          <w:i/>
        </w:rPr>
        <w:t>Macklin v Revenue and Customs Commissioners</w:t>
      </w:r>
      <w:r>
        <w:rPr>
          <w:b w:val="0"/>
          <w:i w:val="0"/>
        </w:rPr>
        <w:t xml:space="preserve"> [2015]BTC503,[2015]UKUT39(TCC),[2015]STC1102 tại đoạn 37 về một báo cáo do ủy ban quốc hội Hoa Kỳ chuẩn bị cho Ủy ban Đối ngoại Thượng viện Hoa Kỳ về việc phê chuẩn Hiệp định Thuế US-UK (2001).177.</w:t>
      </w:r>
      <w:r>
        <w:rPr>
          <w:b w:val="0"/>
          <w:i/>
        </w:rPr>
        <w:t>Memec</w:t>
      </w:r>
      <w:r>
        <w:rPr>
          <w:b w:val="0"/>
          <w:i w:val="0"/>
        </w:rPr>
        <w:t xml:space="preserve"> plc</w:t>
      </w:r>
      <w:r>
        <w:rPr>
          <w:b w:val="0"/>
          <w:i/>
        </w:rPr>
        <w:t xml:space="preserve"> v Inland Revenue Commissioners</w:t>
      </w:r>
      <w:r>
        <w:rPr>
          <w:b w:val="0"/>
          <w:i w:val="0"/>
        </w:rPr>
        <w:t xml:space="preserve"> [1998] STC 754, [1998] BTC 251.</w:t>
      </w:r>
    </w:p>
    <w:p>
      <w:pPr>
        <w:spacing w:after="80"/>
      </w:pPr>
      <w:r>
        <w:rPr>
          <w:b w:val="0"/>
          <w:i w:val="0"/>
        </w:rPr>
        <w:t>141</w:t>
      </w:r>
    </w:p>
    <w:p>
      <w:pPr>
        <w:spacing w:after="80"/>
      </w:pPr>
      <w:r>
        <w:rPr>
          <w:b w:val="0"/>
          <w:i w:val="0"/>
        </w:rPr>
        <w:t xml:space="preserve">Cách tiếp cận đó đã được áp dụng trong </w:t>
      </w:r>
      <w:r>
        <w:rPr>
          <w:b w:val="0"/>
          <w:i/>
        </w:rPr>
        <w:t>Padmore v IRC</w:t>
      </w:r>
      <w:r>
        <w:rPr>
          <w:b w:val="0"/>
          <w:i w:val="0"/>
        </w:rPr>
        <w:t xml:space="preserve">.178 Mặc dù các phán quyết nước ngoài không được chấp nhận trong </w:t>
      </w:r>
      <w:r>
        <w:rPr>
          <w:b w:val="0"/>
          <w:i/>
        </w:rPr>
        <w:t>Commerzbank</w:t>
      </w:r>
      <w:r>
        <w:rPr>
          <w:b w:val="0"/>
          <w:i w:val="0"/>
        </w:rPr>
        <w:t xml:space="preserve"> và </w:t>
      </w:r>
      <w:r>
        <w:rPr>
          <w:b w:val="0"/>
          <w:i/>
        </w:rPr>
        <w:t>Memec</w:t>
      </w:r>
      <w:r>
        <w:rPr>
          <w:b w:val="0"/>
          <w:i w:val="0"/>
        </w:rPr>
        <w:t xml:space="preserve">, nhưng các tòa án vẫn xem xét chúng hết sức kỹ lưỡng.179 Trong </w:t>
      </w:r>
      <w:r>
        <w:rPr>
          <w:b w:val="0"/>
          <w:i/>
        </w:rPr>
        <w:t>Memec</w:t>
      </w:r>
      <w:r>
        <w:rPr>
          <w:b w:val="0"/>
          <w:i w:val="0"/>
        </w:rPr>
        <w:t>, tòa án lưu ý rằng không rõ trong Hiệp ước Đức-Thụy Sĩ liệu tính áp dụng của Điều 10(6) có phải là vấn đề đang tranh chấp hay không, nhưng trong Điều 28 của hiệp ước đó, dường như hiệp ước muốn bảo toàn quyền áp dụng thuế khấu trừ đối với cổ tức tại quốc gia nguồn, và do đó, một ý nghĩa rộng của từ 'cổ tức' là điều tự nhiên trong bối cảnh đó. Tòa án vì thế đã phân biệt hiệp ước mà không cần phải bình luận về cách tiếp cận của tòa án Đức.180</w:t>
      </w:r>
    </w:p>
    <w:p>
      <w:pPr>
        <w:spacing w:after="80"/>
      </w:pPr>
      <w:r>
        <w:rPr>
          <w:b w:val="0"/>
          <w:i w:val="0"/>
        </w:rPr>
        <w:t xml:space="preserve">Trong </w:t>
      </w:r>
      <w:r>
        <w:rPr>
          <w:b w:val="0"/>
          <w:i/>
        </w:rPr>
        <w:t>QRS 1 Aps and others v Frandsen</w:t>
      </w:r>
      <w:r>
        <w:rPr>
          <w:b w:val="0"/>
          <w:i w:val="0"/>
        </w:rPr>
        <w:t xml:space="preserve">,181 tòa án được yêu cầu xem xét liệu việc thi hành một phán quyết mà người thanh lý (liquidator) có được thay mặt cho một cơ quan thuế nước ngoài có phải là một 'Vấn đề thu ngân sách' (Revenue matter) theo nghĩa của Điều 1 Công ước Brussels về Thẩm quyền và Việc thi hành các Phán quyết trong các Vấn đề Dân sự và Thương mại hay không. Về vấn đề này, tòa án đã tham chiếu một báo cáo của Giáo sư Peter Schlosser về Công ước Gia nhập năm 1978 mà theo đó Vương quốc Anh gia nhập Công ước Brussels, và tham chiếu </w:t>
      </w:r>
      <w:r>
        <w:rPr>
          <w:b w:val="0"/>
          <w:i/>
        </w:rPr>
        <w:t>Dicey and Morris on the Conflict of Laws</w:t>
      </w:r>
      <w:r>
        <w:rPr>
          <w:b w:val="0"/>
          <w:i w:val="0"/>
        </w:rPr>
        <w:t>.182 Các phán quyết và học giả Pháp về chủ đề này cũng được xem xét. Tòa án đã đặt vấn đề như sau:183</w:t>
      </w:r>
    </w:p>
    <w:p>
      <w:pPr>
        <w:spacing w:after="80"/>
      </w:pPr>
      <w:r>
        <w:rPr>
          <w:b w:val="0"/>
          <w:i w:val="0"/>
        </w:rPr>
        <w:t>Không có định nghĩa nào về 'Vấn đề thu ngân sách' trong Công ước và không có phán quyết nào của Tòa án Công lý Cộng đồng Châu Âu liên quan đến điểm này. Vậy thì, người ta phải hỏi, bản thân các quốc gia thành viên ban đầu sẽ coi điều gì là vấn đề thu ngân sách cho mục đích này? Liệu họ có tán thành nguyên tắc pháp lý được ghi trong quy tắc r3 của Dicey và đặc biệt là phần của quy tắc đó ngăn cấm việc thi hành gián tiếp các luật thu ngân sách nước ngoài hay không.</w:t>
      </w:r>
    </w:p>
    <w:p>
      <w:pPr>
        <w:spacing w:after="80"/>
      </w:pPr>
      <w:r>
        <w:rPr>
          <w:b w:val="0"/>
          <w:i w:val="0"/>
        </w:rPr>
        <w:t>Simon Brown LJ lưu ý184 rằng 'không có lý do gì để nghi ngờ rằng quy tắc ở Pháp cũng mang tính nền tảng và có phạm vi ảnh hưởng sâu rộng như ở Anh, và rằng nó được mô tả một cách đúng đắn trong cả hai hệ thống tư pháp như một quy tắc có tính áp dụng quốc tế. Tôi nên nói thêm rằng chúng tôi không được cho thấy bất kỳ án lệ trái ngược nào từ bất kỳ quốc gia thành viên nào khác'.</w:t>
      </w:r>
    </w:p>
    <w:p>
      <w:pPr>
        <w:spacing w:after="80"/>
      </w:pPr>
      <w:r>
        <w:rPr>
          <w:b w:val="0"/>
          <w:i w:val="0"/>
        </w:rPr>
        <w:t xml:space="preserve">Một cuộc rà soát có hệ thống các phán quyết của Tòa án Tối cao Hà Lan, Phần Lan và Thụy Điển trong </w:t>
      </w:r>
      <w:r>
        <w:rPr>
          <w:b w:val="0"/>
          <w:i/>
        </w:rPr>
        <w:t>FCE Bank Plc v Commissioners for Her Majesty's Revenue and Customs</w:t>
      </w:r>
      <w:r>
        <w:rPr>
          <w:b w:val="0"/>
          <w:i w:val="0"/>
        </w:rPr>
        <w:t>185 đã cho thấy một cách giải thích chung về các quy định không phân biệt đối xử của Điều 24 Mẫu OECD. Điều này được viện dẫn để ủng hộ phán quyết mà Tòa án Sơ thẩm (First-tier Tribunal) đưa ra về cách diễn đạt của Hiệp ước Hoa Kỳ, vốn tương ứng với Mẫu OECD.186 Điều này đã được Tòa án Cấp cao (Upper Tribunal) tán thành khi xét kháng cáo, với nhận định: 'Chúng tôi trân trọng đồng ý với tầm quan trọng mà Tòa án Sơ thẩm gán cho</w:t>
      </w:r>
    </w:p>
    <w:p>
      <w:pPr>
        <w:spacing w:after="80"/>
      </w:pPr>
      <w:r>
        <w:rPr>
          <w:b w:val="0"/>
          <w:i w:val="0"/>
        </w:rPr>
        <w:t>178.</w:t>
      </w:r>
      <w:r>
        <w:rPr>
          <w:b w:val="0"/>
          <w:i/>
        </w:rPr>
        <w:t>Padmore v Inland Revenue Commissioners</w:t>
      </w:r>
      <w:r>
        <w:rPr>
          <w:b w:val="0"/>
          <w:i w:val="0"/>
        </w:rPr>
        <w:t xml:space="preserve"> [1989] STC 493, [1989] BTC 221.179.Xem §4.03 về </w:t>
      </w:r>
      <w:r>
        <w:rPr>
          <w:b w:val="0"/>
          <w:i/>
        </w:rPr>
        <w:t>Commerzbank</w:t>
      </w:r>
      <w:r>
        <w:rPr>
          <w:b w:val="0"/>
          <w:i w:val="0"/>
        </w:rPr>
        <w:t>.180.Xem thêm ý kiến bất đồng của Ngài Christopher Staughton.181.</w:t>
      </w:r>
      <w:r>
        <w:rPr>
          <w:b w:val="0"/>
          <w:i/>
        </w:rPr>
        <w:t>QRS 1 Aps and others v Frandsen</w:t>
      </w:r>
      <w:r>
        <w:rPr>
          <w:b w:val="0"/>
          <w:i w:val="0"/>
        </w:rPr>
        <w:t xml:space="preserve"> [1999] BTC 8023; [1999] STC 616.182.Collins, L. và cộng sự</w:t>
      </w:r>
      <w:r>
        <w:rPr>
          <w:b w:val="0"/>
          <w:i/>
        </w:rPr>
        <w:t>.</w:t>
      </w:r>
      <w:r>
        <w:rPr>
          <w:b w:val="0"/>
          <w:i w:val="0"/>
        </w:rPr>
        <w:t xml:space="preserve"> (chủ biên),</w:t>
      </w:r>
      <w:r>
        <w:rPr>
          <w:b w:val="0"/>
          <w:i/>
        </w:rPr>
        <w:t xml:space="preserve"> Dicey and Morris on the Conflict of Laws</w:t>
      </w:r>
      <w:r>
        <w:rPr>
          <w:b w:val="0"/>
          <w:i w:val="0"/>
        </w:rPr>
        <w:t>, tập 1, tái bản lần thứ 12 (1993), tr. 97.183.Simon Brown LJ tại 628j.184.Tại 629f.185.</w:t>
      </w:r>
      <w:r>
        <w:rPr>
          <w:b w:val="0"/>
          <w:i/>
        </w:rPr>
        <w:t>FCE Bank Plc v Revenue &amp; Customs Commissioners</w:t>
      </w:r>
      <w:r>
        <w:rPr>
          <w:b w:val="0"/>
          <w:i w:val="0"/>
        </w:rPr>
        <w:t xml:space="preserve"> [2010] TC 00445 [2010] UKFTT 136 (TC).186.Xem thêm trong bối cảnh thuế, các phán quyết nước ngoài được bàn đến trong </w:t>
      </w:r>
      <w:r>
        <w:rPr>
          <w:b w:val="0"/>
          <w:i/>
        </w:rPr>
        <w:t>R (on the application of Federation of Tour Operators &amp; Ors) v HM Treasury &amp; Ors</w:t>
      </w:r>
      <w:r>
        <w:rPr>
          <w:b w:val="0"/>
          <w:i w:val="0"/>
        </w:rPr>
        <w:t xml:space="preserve"> [2008] BTC 8025; [2007] EWHC 2062 (Admin); [2008] EWCA Civ 752; [2008] STC 547 tại các đoạn 81-83.</w:t>
      </w:r>
    </w:p>
    <w:p>
      <w:pPr>
        <w:spacing w:after="80"/>
      </w:pPr>
      <w:r>
        <w:rPr>
          <w:b w:val="0"/>
          <w:i w:val="0"/>
        </w:rPr>
        <w:t>142</w:t>
      </w:r>
    </w:p>
    <w:p>
      <w:pPr>
        <w:spacing w:after="80"/>
      </w:pPr>
      <w:r>
        <w:rPr>
          <w:b w:val="0"/>
          <w:i w:val="0"/>
        </w:rPr>
        <w:t>nguyên tắc "rằng các tòa án đưa ra cách giải thích nhất quán đối với các quy định của hiệp ước được ghi trong Mẫu OECD vốn được sử dụng rộng rãi trong các hiệp định thuế".'187</w:t>
      </w:r>
    </w:p>
    <w:p>
      <w:pPr>
        <w:spacing w:after="80"/>
      </w:pPr>
      <w:r>
        <w:rPr>
          <w:b/>
          <w:i w:val="0"/>
        </w:rPr>
        <w:t>§4.07 CÁC QUY TẮC GIẢI THÍCH THEO LUẬT THÀNH VĂN</w:t>
      </w:r>
    </w:p>
    <w:p>
      <w:pPr>
        <w:spacing w:after="80"/>
      </w:pPr>
      <w:r>
        <w:rPr>
          <w:b w:val="0"/>
          <w:i w:val="0"/>
        </w:rPr>
        <w:t>Theo nguyên tắc chung, trừ khi luật trong nước yêu cầu áp dụng các ý nghĩa của luật nội địa cho các quy định của hiệp ước, các quy tắc giải thích chứa trong luật thuế trong nước là không thể áp dụng. Một ngoại lệ quan trọng đã được ban hành ở Vương quốc Anh vào năm 1992 liên quan đến ý nghĩa của 'mối quan hệ đặc biệt' (special relationship) cho mục đích của các quy định hiệp ước liên quan đến lãi. TIOPA 2010, s. 131 áp dụng khi một hiệp ước có quy định về lãi và chứa cách diễn đạt về mối quan hệ đặc biệt. Cách diễn đạt đó được định nghĩa trong s. 131(2) là, khi do một mối quan hệ đặc biệt mà số tiền lãi được trả vượt quá số tiền lẽ ra đã được trả nếu không có mối quan hệ đó, thì các quy định của hiệp ước chỉ áp dụng cho số tiền được đề cập sau cùng.188</w:t>
      </w:r>
    </w:p>
    <w:p>
      <w:pPr>
        <w:spacing w:after="80"/>
      </w:pPr>
      <w:r>
        <w:rPr>
          <w:b/>
          <w:i w:val="0"/>
        </w:rPr>
        <w:t>[A] Mối Quan Hệ Đặc Biệt</w:t>
      </w:r>
    </w:p>
    <w:p>
      <w:pPr>
        <w:spacing w:after="80"/>
      </w:pPr>
      <w:r>
        <w:rPr>
          <w:b w:val="0"/>
          <w:i w:val="0"/>
        </w:rPr>
        <w:t>Một loạt các quy tắc giải thích cụ thể được áp đặt. Những quy tắc này yêu cầu rằng quy định về mối quan hệ đặc biệt phải được giải thích là đòi hỏi phải xem xét tất cả các yếu tố bao gồm:</w:t>
      </w:r>
    </w:p>
    <w:p>
      <w:pPr>
        <w:spacing w:after="80"/>
      </w:pPr>
      <w:r>
        <w:rPr>
          <w:b w:val="0"/>
          <w:i w:val="0"/>
        </w:rPr>
        <w:t>– liệu khoản vay có được thực hiện hay không nếu không có</w:t>
      </w:r>
    </w:p>
    <w:p>
      <w:pPr>
        <w:spacing w:after="80"/>
      </w:pPr>
      <w:r>
        <w:rPr>
          <w:b w:val="0"/>
          <w:i w:val="0"/>
        </w:rPr>
        <w:t>mối quan hệ đó;– số tiền mà khoản vay lẽ ra đã có nếu không có mối quan hệ đó;</w:t>
      </w:r>
    </w:p>
    <w:p>
      <w:pPr>
        <w:spacing w:after="80"/>
      </w:pPr>
      <w:r>
        <w:rPr>
          <w:b w:val="0"/>
          <w:i w:val="0"/>
        </w:rPr>
        <w:t>và– lãi suất và các điều khoản khác lẽ ra đã được thỏa thuận nếu không</w:t>
      </w:r>
    </w:p>
    <w:p>
      <w:pPr>
        <w:spacing w:after="80"/>
      </w:pPr>
      <w:r>
        <w:rPr>
          <w:b w:val="0"/>
          <w:i w:val="0"/>
        </w:rPr>
        <w:t>có mối quan hệ đó.189</w:t>
      </w:r>
    </w:p>
    <w:p>
      <w:pPr>
        <w:spacing w:after="80"/>
      </w:pPr>
      <w:r>
        <w:rPr>
          <w:b w:val="0"/>
          <w:i w:val="0"/>
        </w:rPr>
        <w:t>Nó còn đòi hỏi quy định này phải được hiểu là buộc người nộp thuế phải chứng minh rằng không có mối quan hệ đặc biệt nào, hoặc nếu có thì phải cho thấy số tiền lãi sẽ là bao nhiêu nếu không có mối quan hệ đó.190 Khi một công ty cho một công ty khác mà mình có mối quan hệ đặc biệt vay tiền, và việc cho vay nói chung không thuộc hoạt động kinh doanh của bên cho vay, thì thực tế đó phải được bỏ qua.191</w:t>
      </w:r>
    </w:p>
    <w:p>
      <w:pPr>
        <w:spacing w:after="80"/>
      </w:pPr>
      <w:r>
        <w:rPr>
          <w:b w:val="0"/>
          <w:i w:val="0"/>
        </w:rPr>
        <w:t>Các yếu tố được liệt kê sẽ không áp dụng khi quy định về mối quan hệ đặc biệt trong hiệp định minh thị yêu cầu phải xem xét khoản nợ mà tiền lãi được trả trên đó</w:t>
      </w:r>
    </w:p>
    <w:p>
      <w:pPr>
        <w:spacing w:after="80"/>
      </w:pPr>
      <w:r>
        <w:rPr>
          <w:b w:val="0"/>
          <w:i w:val="0"/>
        </w:rPr>
        <w:t>187.</w:t>
      </w:r>
      <w:r>
        <w:rPr>
          <w:b w:val="0"/>
          <w:i/>
        </w:rPr>
        <w:t>Revenue and Customs Commissioners v FCE Bank plc</w:t>
      </w:r>
      <w:r>
        <w:rPr>
          <w:b w:val="0"/>
          <w:i w:val="0"/>
        </w:rPr>
        <w:t xml:space="preserve"> [2011] BTC 1885; [2011] UKUT 420 (TCC); [2011] STC 2366 tại đoạn 24. Xem thêm </w:t>
      </w:r>
      <w:r>
        <w:rPr>
          <w:b w:val="0"/>
          <w:i/>
        </w:rPr>
        <w:t>Irish Bank Resolution Corporation Ltd v Revenue and Customs</w:t>
      </w:r>
      <w:r>
        <w:rPr>
          <w:b w:val="0"/>
          <w:i w:val="0"/>
        </w:rPr>
        <w:t xml:space="preserve"> [2020] EWCA Civ 1128, [2020] STC 1946, [2020] BTC 26 tại các đoạn 17 và 42, nơi các phán quyết nước ngoài không được tuân theo.188.Xem Chương 2, §2.14.189.TIOPA 2010, s. 131(3).190.TIOPA 2010, s. 131(6).191.TIOPA 2010, s. 131(3).</w:t>
      </w:r>
    </w:p>
    <w:p>
      <w:pPr>
        <w:spacing w:after="80"/>
      </w:pPr>
      <w:r>
        <w:rPr>
          <w:b w:val="0"/>
          <w:i w:val="0"/>
        </w:rPr>
        <w:t>143</w:t>
      </w:r>
    </w:p>
    <w:p>
      <w:pPr>
        <w:spacing w:after="80"/>
      </w:pPr>
      <w:r>
        <w:rPr>
          <w:b w:val="0"/>
          <w:i w:val="0"/>
        </w:rPr>
        <w:t>xác định phần lãi vượt trội và do đó minh thị giới hạn các yếu tố cần được xem xét.192</w:t>
      </w:r>
    </w:p>
    <w:p>
      <w:pPr>
        <w:spacing w:after="80"/>
      </w:pPr>
      <w:r>
        <w:rPr>
          <w:b w:val="0"/>
          <w:i w:val="0"/>
        </w:rPr>
        <w:t>Lý do cho quy định giải thích theo luật thành văn này có phần khó hiểu. Nó phát sinh từ quyết định của các Ủy viên Đặc biệt (Special Commissioners) dường như vào năm 1992, mà chi tiết chưa được công bố. Người ta có thể phỏng đoán rằng các Ủy viên đã kết luận rằng cách diễn đạt của OECD Model chỉ cho phép điều chỉnh dựa trên mức lãi suất được tính chứ không dựa trên tổng số nợ. Vì quyết định này chưa bao giờ bị kháng cáo, nên có lẽ nó đã được cơ quan thuế (Revenue) ngầm chấp nhận, và cơ quan này đã tìm cách đưa điều khoản đó vào luật. Bản thân quy tắc giải thích cũng cần được giải thích phần nào. Cụ thể, khoản (5), vốn loại trừ việc áp dụng quy tắc này. Nó dường như không áp dụng quy định khi bản thân hiệp định yêu cầu phải xem xét khoản nợ mà tiền lãi được trả trên đó. Quan niệm này được mở rộng bởi cách diễn đạt 'và do đó minh thị giới hạn các yếu tố cần được xem xét'. Không rõ liệu sự hiện diện của một quy định yêu cầu phải xem xét khoản nợ mà tiền lãi được trả trên đó tự nó có được hiểu là một giới hạn minh thị hay không, hay liệu phải tìm thấy cách diễn đạt cụ thể thể hiện sự giới hạn trong hiệp định. Dù sao thì một bảo lưu của Vương quốc Anh và những thay đổi trong OECD Model Treaty hiện nay cũng đã phản ánh lập trường này.</w:t>
      </w:r>
    </w:p>
    <w:p>
      <w:pPr>
        <w:spacing w:after="80"/>
      </w:pPr>
      <w:r>
        <w:rPr>
          <w:b w:val="0"/>
          <w:i w:val="0"/>
        </w:rPr>
        <w:t>Một quy định tương tự đã được ban hành liên quan đến tiền bản quyền (royalties) trong FA 2000. Điều 12(4) của OECD Model có một quy định từ chối việc miễn thuế tại quốc gia nguồn trong phạm vi mà, do mối quan hệ đặc biệt giữa bên trả và chủ sở hữu hưởng lợi của tiền bản quyền, hoặc giữa cả hai bên với một người khác, số tiền bản quyền — khi xét đến việc sử dụng, quyền hoặc thông tin mà chúng được trả cho — vượt quá số tiền mà bên trả và chủ sở hữu hưởng lợi sẽ đồng ý nếu không có mối quan hệ đó. Chính sách đàm phán hiệp định của Vương quốc Anh là lược bỏ khỏi điều khoản đó cụm từ 'khi xét đến việc sử dụng, quyền hoặc thông tin mà chúng được trả cho'. Trong hầu hết các trường hợp, những từ đó được thay bằng cụm 'vì bất kỳ lý do gì', nhưng đôi khi không có cách diễn đạt thay thế nào được đưa vào. Dù theo cách nào, Inland Revenue đã tuyên bố trong tài liệu của mình về cải cách cứu trợ thuế hai lần rằng quan điểm của họ về ý định của quy định này là nó nên áp dụng khi không chỉ mức tiền bản quyền được trả là quá cao, mà còn khi, nếu không có mối quan hệ đặc biệt, thì thỏa thuận mà theo đó tiền bản quyền được trả hoàn toàn sẽ không được giao kết.193</w:t>
      </w:r>
    </w:p>
    <w:p>
      <w:pPr>
        <w:spacing w:after="80"/>
      </w:pPr>
      <w:r>
        <w:rPr>
          <w:b/>
          <w:i w:val="0"/>
        </w:rPr>
        <w:t>§4.08 Ý NGHĨA TỰ CHỦ VÀ VIỆC DẪN CHIẾU ĐẾN LUẬT TRONG NƯỚC</w:t>
      </w:r>
    </w:p>
    <w:p>
      <w:pPr>
        <w:spacing w:after="80"/>
      </w:pPr>
      <w:r>
        <w:rPr>
          <w:b w:val="0"/>
          <w:i w:val="0"/>
        </w:rPr>
        <w:t xml:space="preserve">Quá trình giải thích được mô tả trong chương này sẽ tạo ra một ý nghĩa tự chủ (autonomous meaning) của quy định hiệp định liên quan, không bắt nguồn từ luật trong nước của các quốc gia ký kết.194 Điều này đã được Lord Steyn mô tả trong </w:t>
      </w:r>
      <w:r>
        <w:rPr>
          <w:b w:val="0"/>
          <w:i/>
        </w:rPr>
        <w:t>R v Secretary of State for the</w:t>
      </w:r>
    </w:p>
    <w:p>
      <w:pPr>
        <w:spacing w:after="80"/>
      </w:pPr>
      <w:r>
        <w:rPr>
          <w:b w:val="0"/>
          <w:i w:val="0"/>
        </w:rPr>
        <w:t xml:space="preserve">192.TIOPA 2010, s. 131(4).193.TIOPA 2010, s. 132. Xem The Inland Revenue, 'Double taxation relief for companies', một tài liệu thảo luận (1998).194.Trong </w:t>
      </w:r>
      <w:r>
        <w:rPr>
          <w:b w:val="0"/>
          <w:i/>
        </w:rPr>
        <w:t>Indofood International Finance Ltd v JP Morgan Chase Bank NA</w:t>
      </w:r>
      <w:r>
        <w:rPr>
          <w:b w:val="0"/>
          <w:i w:val="0"/>
        </w:rPr>
        <w:t xml:space="preserve"> [2006] STC 1195</w:t>
      </w:r>
      <w:r>
        <w:rPr>
          <w:b w:val="0"/>
          <w:i/>
        </w:rPr>
        <w:t>,</w:t>
      </w:r>
      <w:r>
        <w:rPr>
          <w:b w:val="0"/>
          <w:i w:val="0"/>
        </w:rPr>
        <w:t xml:space="preserve"> [2006] BTC 8003; [2006] EWCA Civ 158. Tại đoạn 42, cách diễn đạt cầu kỳ hơn là 'ý nghĩa tài chính quốc tế' được dùng thay cho 'ý nghĩa tự chủ' thông thường.</w:t>
      </w:r>
    </w:p>
    <w:p>
      <w:pPr>
        <w:spacing w:after="80"/>
      </w:pPr>
      <w:r>
        <w:rPr>
          <w:b w:val="0"/>
          <w:i w:val="0"/>
        </w:rPr>
        <w:t>144</w:t>
      </w:r>
    </w:p>
    <w:p>
      <w:pPr>
        <w:spacing w:after="80"/>
      </w:pPr>
      <w:r>
        <w:rPr>
          <w:b w:val="0"/>
          <w:i/>
        </w:rPr>
        <w:t>Home Department, exp Adan</w:t>
      </w:r>
      <w:r>
        <w:rPr>
          <w:b w:val="0"/>
          <w:i w:val="0"/>
        </w:rPr>
        <w:t>,195 như một phần của 'bảng chữ cái của luật quốc tế tập quán'. Ông giải thích rằng mục đích của quy tắc này là để đảm bảo rằng các quyền được hiệp định bảo đảm không bị xói mòn bởi các hành động đơn phương của quốc gia. Sau khi trích dẫn art. 31 của VCLT, ông nói:</w:t>
      </w:r>
    </w:p>
    <w:p>
      <w:pPr>
        <w:spacing w:after="80"/>
      </w:pPr>
      <w:r>
        <w:rPr>
          <w:b w:val="0"/>
          <w:i w:val="0"/>
        </w:rPr>
        <w:t>Theo đó, cũng như đối với các hiệp định đa phương khác, Công ước về Người tị nạn phải được trao một ý nghĩa độc lập có thể rút ra từ các nguồn được nêu trong điều 31 và 32 [của VCLT] và không bị pha màu bởi những nét đặc thù của hệ thống pháp luật của bất kỳ quốc gia ký kết riêng lẻ nào. Về nguyên tắc, do đó chỉ có thể có một cách giải thích đúng duy nhất cho một hiệp định. Nếu có bất đồng về ý nghĩa của Công ước về Người tị nạn, nó có thể được giải quyết bởi Tòa án Công lý Quốc tế: điều 38. Tuy nhiên, Tòa chưa bao giờ được yêu cầu đưa ra phán quyết như vậy. Triển vọng chuyển vấn đề lên Tòa án Công lý Quốc tế là rất xa vời. Trên thực tế, việc này được để cho các tòa án quốc gia, khi đối mặt với bất đồng thực chất về một vấn đề giải thích, tự giải quyết. Nhưng khi làm vậy, tòa phải tìm kiếm, không bị ràng buộc bởi những quan niệm về văn hóa pháp lý quốc gia của mình, ý nghĩa tự chủ và quốc tế đích thực của hiệp định. Và chỉ có thể có một ý nghĩa đúng duy nhất.196</w:t>
      </w:r>
    </w:p>
    <w:p>
      <w:pPr>
        <w:spacing w:after="80"/>
      </w:pPr>
      <w:r>
        <w:rPr>
          <w:b w:val="0"/>
          <w:i w:val="0"/>
        </w:rPr>
        <w:t>Tuy nhiên, các hiệp định song phương có chức năng liên kết các hệ thống thuế trong nước của hai quốc gia ký kết liên quan. Các quyền được bảo đảm bởi những hiệp định như vậy liên quan trực tiếp đến các hệ thống thuế trong nước đó. Theo đó, việc khớp các quy định của hiệp định với các phần liên quan của hệ thống thuế trong nước của quốc gia ký kết liên quan là điều then chốt khi áp dụng hiệp định. Một quy tắc giải thích chung quan trọng áp dụng cho các thuật ngữ được dùng trong một hiệp định nhưng không được định nghĩa trong đó, đòi hỏi phải dẫn chiếu đến luật trong nước của các quốc gia ký kết. Một cách diễn đạt ban đầu của quy tắc này được tìm thấy trong Hiệp định UK-Cyprus (1974), nơi art. 3(2) yêu cầu rằng:</w:t>
      </w:r>
    </w:p>
    <w:p>
      <w:pPr>
        <w:spacing w:after="80"/>
      </w:pPr>
      <w:r>
        <w:rPr>
          <w:b w:val="0"/>
          <w:i w:val="0"/>
        </w:rPr>
        <w:t>Về việc áp dụng Công ước bởi một quốc gia ký kết, bất kỳ thuật ngữ nào không được định nghĩa trong đó, trừ khi ngữ cảnh đòi hỏi khác, sẽ có ý nghĩa mà nó mang theo luật của quốc gia đó liên quan đến các loại thuế mà Công ước áp dụng.</w:t>
      </w:r>
    </w:p>
    <w:p>
      <w:pPr>
        <w:spacing w:after="80"/>
      </w:pPr>
      <w:r>
        <w:rPr>
          <w:b w:val="0"/>
          <w:i w:val="0"/>
        </w:rPr>
        <w:t>Một dạng của điều khoản này được tìm thấy trong tất cả các hiệp định thuế của Vương quốc Anh. Hiệu lực của quy tắc này là đòi hỏi các thuật ngữ chưa được định nghĩa phải mang ý nghĩa theo luật trong nước của những thuật ngữ đó, trừ khi ngữ cảnh đòi hỏi phải trao một ý nghĩa tự chủ. Kết quả là, khi một quốc gia áp dụng một hiệp định thuế, ý nghĩa của nó phải được tiếp cận bằng cách trước tiên xem xét liệu các thuật ngữ đang bàn có được định nghĩa trong hiệp định hay không, sau đó, liệu ý nghĩa theo luật trong nước của các thuật ngữ chưa được định nghĩa có được art. 3(2) bắt buộc hay không, và nếu không, thì cuối cùng là ý nghĩa thông thường tự chủ của những thuật ngữ đó. Điều 3(2) là một quy tắc giải thích đặc biệt trong art. 31(4) của VCLT, trái ngược với quy tắc giải thích chung trong art.</w:t>
      </w:r>
    </w:p>
    <w:p>
      <w:pPr>
        <w:spacing w:after="80"/>
      </w:pPr>
      <w:r>
        <w:rPr>
          <w:b w:val="0"/>
          <w:i w:val="0"/>
        </w:rPr>
        <w:t>195.</w:t>
      </w:r>
      <w:r>
        <w:rPr>
          <w:b w:val="0"/>
          <w:i/>
        </w:rPr>
        <w:t>R v Secretary of State for the Home Department, ex p Adan</w:t>
      </w:r>
      <w:r>
        <w:rPr>
          <w:b w:val="0"/>
          <w:i w:val="0"/>
        </w:rPr>
        <w:t xml:space="preserve"> [2001] 2 WLR 143.196.Tại tr. 154E. Được đề cập trong </w:t>
      </w:r>
      <w:r>
        <w:rPr>
          <w:b w:val="0"/>
          <w:i/>
        </w:rPr>
        <w:t>Stevens, Garnham &amp; Payne v IR Commrs</w:t>
      </w:r>
      <w:r>
        <w:rPr>
          <w:b w:val="0"/>
          <w:i w:val="0"/>
        </w:rPr>
        <w:t xml:space="preserve"> [2004] UKSC SPC411 (2004) Sp C 411 tại đoạn 37 liên quan đến Hiệp định An sinh Xã hội giữa Vương quốc Anh và Thụy Sĩ mà không giải thích việc áp dụng nguyên tắc này cho các hiệp định song phương. Xem thêm Barrington J tại Tòa án Cấp cao Ireland trong </w:t>
      </w:r>
      <w:r>
        <w:rPr>
          <w:b w:val="0"/>
          <w:i/>
        </w:rPr>
        <w:t>McGimpsey v Ireland</w:t>
      </w:r>
      <w:r>
        <w:rPr>
          <w:b w:val="0"/>
          <w:i w:val="0"/>
        </w:rPr>
        <w:t xml:space="preserve"> [1988] IR 567.</w:t>
      </w:r>
    </w:p>
    <w:p>
      <w:pPr>
        <w:spacing w:after="80"/>
      </w:pPr>
      <w:r>
        <w:rPr>
          <w:b w:val="0"/>
          <w:i w:val="0"/>
        </w:rPr>
        <w:t>145</w:t>
      </w:r>
    </w:p>
    <w:p>
      <w:pPr>
        <w:spacing w:after="80"/>
      </w:pPr>
      <w:r>
        <w:rPr>
          <w:b w:val="0"/>
          <w:i w:val="0"/>
        </w:rPr>
        <w:t>31(1)-(3).197 Việc dẫn chiếu đến luật trong nước là bắt buộc chứ không phải tùy nghi (trừ khi ngữ cảnh đòi hỏi khác).198</w:t>
      </w:r>
    </w:p>
    <w:p>
      <w:pPr>
        <w:spacing w:after="80"/>
      </w:pPr>
      <w:r>
        <w:rPr>
          <w:b w:val="0"/>
          <w:i w:val="0"/>
        </w:rPr>
        <w:t>Một số vấn đề về việc giải thích chính điều khoản này cũng nảy sinh, và cách diễn đạt của điều khoản đã thay đổi đáng kể theo thời gian. Một số vấn đề này được giải quyết trong các phiên bản sau, như được minh họa bởi cùng một điều khoản trong hiệp định giữa Vương quốc Anh và Macedonia, với nội dung như sau:</w:t>
      </w:r>
    </w:p>
    <w:p>
      <w:pPr>
        <w:spacing w:after="80"/>
      </w:pPr>
      <w:r>
        <w:rPr>
          <w:b w:val="0"/>
          <w:i w:val="0"/>
        </w:rPr>
        <w:t>3(2) Về việc áp dụng Hiệp định này vào bất kỳ thời điểm nào bởi một Quốc gia Ký kết, bất kỳ thuật ngữ nào không được định nghĩa trong đó, trừ khi ngữ cảnh đòi hỏi khác, sẽ có nghĩa mà nó có tại thời điểm đó theo luật của Quốc gia đó cho các mục đích của các loại thuế mà Hiệp định này áp dụng, trong đó bất kỳ nghĩa nào theo luật thuế hiện hành của Quốc gia đó sẽ được ưu tiên hơn nghĩa được gán cho thuật ngữ đó theo các luật khác của Quốc gia đó.</w:t>
      </w:r>
    </w:p>
    <w:p>
      <w:pPr>
        <w:spacing w:after="80"/>
      </w:pPr>
      <w:r>
        <w:rPr>
          <w:b w:val="0"/>
          <w:i w:val="0"/>
        </w:rPr>
        <w:t>Do đó, các phiên bản sau có thể trả lời câu hỏi liệu cách diễn đạt cho mục đích luật thuế trong nước hay mục đích luật chung sẽ được áp dụng, hoặc liệu nghĩa của thuật ngữ tại thời điểm hiệp định được ký kết, hay tại thời điểm áp dụng, sẽ được sử dụng. Mặc dù điều khoản này đã được đề cập trong một số lượng lớn các vụ án, vẫn còn một số vấn đề tồn đọng chưa được tòa án giải quyết.199</w:t>
      </w:r>
    </w:p>
    <w:p>
      <w:pPr>
        <w:spacing w:after="80"/>
      </w:pPr>
      <w:r>
        <w:rPr>
          <w:b w:val="0"/>
          <w:i w:val="0"/>
        </w:rPr>
        <w:t xml:space="preserve">Arden LJ đã lưu ý trong </w:t>
      </w:r>
      <w:r>
        <w:rPr>
          <w:b w:val="0"/>
          <w:i/>
        </w:rPr>
        <w:t>UBS AG v Revenue and Customs Commissioners</w:t>
      </w:r>
      <w:r>
        <w:rPr>
          <w:b w:val="0"/>
          <w:i w:val="0"/>
        </w:rPr>
        <w:t>200 rằng:</w:t>
      </w:r>
    </w:p>
    <w:p>
      <w:pPr>
        <w:spacing w:after="80"/>
      </w:pPr>
      <w:r>
        <w:rPr>
          <w:b w:val="0"/>
          <w:i w:val="0"/>
        </w:rPr>
        <w:t>nó chỉ áp dụng cho các thuật ngữ không được định nghĩa bởi công ước, và nó không áp dụng nếu công ước nêu rõ rằng một nghĩa khác được áp dụng. Hơn nữa, thuật ngữ đó phải là thuật ngữ được định nghĩa bởi luật thuế trong nước có liên quan, trong trường hợp này là thuế thu nhập hoặc thuế doanh nghiệp. Có thể có câu hỏi liệu cho mục đích này, thuật ngữ đó có thực sự phải được định nghĩa bởi đạo luật áp đặt nghĩa vụ nộp thuế thu nhập hoặc thuế doanh nghiệp hay không.</w:t>
      </w:r>
    </w:p>
    <w:p>
      <w:pPr>
        <w:spacing w:after="80"/>
      </w:pPr>
      <w:r>
        <w:rPr>
          <w:b w:val="0"/>
          <w:i w:val="0"/>
        </w:rPr>
        <w:t xml:space="preserve">Trong </w:t>
      </w:r>
      <w:r>
        <w:rPr>
          <w:b w:val="0"/>
          <w:i/>
        </w:rPr>
        <w:t>Ostime v Australian Mutual Provident Society</w:t>
      </w:r>
      <w:r>
        <w:rPr>
          <w:b w:val="0"/>
          <w:i w:val="0"/>
        </w:rPr>
        <w:t>,201 tòa án được yêu cầu giải quyết liệu Hiệp định giữa Úc và Vương quốc Anh có ngăn cản việc quy kết thu nhập đầu tư cho chi nhánh tại Vương quốc Anh của một công ty bảo hiểm phi tương hỗ không cư trú hay không. Người ta lập luận rằng hiệp định không đề cập đến lợi nhuận thuần túy danh nghĩa hoặc theo quy ước và rằng ‘lợi nhuận công nghiệp hoặc thương mại’ được định nghĩa trong điều 2(1)(i) của hiệp định phải được hiểu theo nghĩa tự nhiên và thông thường của nó. Điều 2(3) (điều 3(2) của Mô hình OECD) không có ứng dụng. Trên cơ sở đó, phía Nhà nước lập luận rằng lợi nhuận công nghiệp hoặc thương mại không thể bao gồm lợi nhuận thuần túy danh nghĩa hoặc hư cấu, mà chỉ có thể đề cập đến lợi nhuận thực tế hoặc có thật. Vì theo luật trong nước không có lợi nhuận nào như vậy, nên hiệp định không có ứng dụng.</w:t>
      </w:r>
    </w:p>
    <w:p>
      <w:pPr>
        <w:spacing w:after="80"/>
      </w:pPr>
      <w:r>
        <w:rPr>
          <w:b w:val="0"/>
          <w:i w:val="0"/>
        </w:rPr>
        <w:t>197.</w:t>
      </w:r>
      <w:r>
        <w:rPr>
          <w:b w:val="0"/>
          <w:i/>
        </w:rPr>
        <w:t>Fowler v Revenue and Customs</w:t>
      </w:r>
      <w:r>
        <w:rPr>
          <w:b w:val="0"/>
          <w:i w:val="0"/>
        </w:rPr>
        <w:t xml:space="preserve"> [2016] UKFTT 234, [2016] TC 05009, [2016] SFTD 535, 18 ITLRep 644 tại đoạn 99.198.</w:t>
      </w:r>
      <w:r>
        <w:rPr>
          <w:b w:val="0"/>
          <w:i/>
        </w:rPr>
        <w:t>Fowler</w:t>
      </w:r>
      <w:r>
        <w:rPr>
          <w:b w:val="0"/>
          <w:i w:val="0"/>
        </w:rPr>
        <w:t xml:space="preserve"> tại đoạn 100.199.Trong một số trường hợp, có vẻ như các bên đã đưa ra rất ít lập luận và các Ủy viên Đặc biệt cùng các thẩm phán đã phải dựa vào kiến thức của chính mình. Xem </w:t>
      </w:r>
      <w:r>
        <w:rPr>
          <w:b w:val="0"/>
          <w:i/>
        </w:rPr>
        <w:t>UBS AG v Revenue and Customs Commissioners</w:t>
      </w:r>
      <w:r>
        <w:rPr>
          <w:b w:val="0"/>
          <w:i w:val="0"/>
        </w:rPr>
        <w:t xml:space="preserve"> [2007] STC 588, [2007] BTC 285 tại đoạn 65; [2007] EWCACiv119; </w:t>
      </w:r>
      <w:r>
        <w:rPr>
          <w:b w:val="0"/>
          <w:i/>
        </w:rPr>
        <w:t>Resolute Management Services Ltd</w:t>
      </w:r>
      <w:r>
        <w:rPr>
          <w:b w:val="0"/>
          <w:i w:val="0"/>
        </w:rPr>
        <w:t xml:space="preserve">; </w:t>
      </w:r>
      <w:r>
        <w:rPr>
          <w:b w:val="0"/>
          <w:i/>
        </w:rPr>
        <w:t>Mrs Kathleen Ann Haderlein v Revenue &amp; Customs Commissioners</w:t>
      </w:r>
      <w:r>
        <w:rPr>
          <w:b w:val="0"/>
          <w:i w:val="0"/>
        </w:rPr>
        <w:t xml:space="preserve"> [2008] UKSPC SPC 710, [2008] STC (SCD) 1202, (2008) Sp C 710 tại đoạn 31 và [2005] UKSPC SPC 493 </w:t>
      </w:r>
      <w:r>
        <w:rPr>
          <w:b w:val="0"/>
          <w:i/>
        </w:rPr>
        <w:t>Squirrell v Revenue and Customs</w:t>
      </w:r>
      <w:r>
        <w:rPr>
          <w:b w:val="0"/>
          <w:i w:val="0"/>
        </w:rPr>
        <w:t xml:space="preserve"> [2005] UKSPC SPC493 (2005) Sp C 493 [2005] STC (SCD) 717 (một người nộp thuế không có người đại diện và không xuất hiện).200.</w:t>
      </w:r>
      <w:r>
        <w:rPr>
          <w:b w:val="0"/>
          <w:i/>
        </w:rPr>
        <w:t>UBS AG v Revenue and Customs Commissioners</w:t>
      </w:r>
      <w:r>
        <w:rPr>
          <w:b w:val="0"/>
          <w:i w:val="0"/>
        </w:rPr>
        <w:t xml:space="preserve"> [2007] STC 588, [2007] BTC 285; [2007] EWCACiv119.</w:t>
      </w:r>
      <w:r>
        <w:rPr>
          <w:b w:val="0"/>
          <w:i/>
        </w:rPr>
        <w:t>Macklin v Revenue and Customs Commissioners</w:t>
      </w:r>
      <w:r>
        <w:rPr>
          <w:b w:val="0"/>
          <w:i w:val="0"/>
        </w:rPr>
        <w:t xml:space="preserve"> [2015] BTC 503, [2015] UKUT 39 (TCC), [2015] STC 1102 tại đoạn 34.201.</w:t>
      </w:r>
      <w:r>
        <w:rPr>
          <w:b w:val="0"/>
          <w:i/>
        </w:rPr>
        <w:t>Ostime v Australian Mutual Provident Society</w:t>
      </w:r>
      <w:r>
        <w:rPr>
          <w:b w:val="0"/>
          <w:i w:val="0"/>
        </w:rPr>
        <w:t xml:space="preserve"> (1956-1960) 38 TC 492, HL; [1960] AC 459.</w:t>
      </w:r>
    </w:p>
    <w:p>
      <w:pPr>
        <w:spacing w:after="80"/>
      </w:pPr>
      <w:r>
        <w:rPr>
          <w:b w:val="0"/>
          <w:i w:val="0"/>
        </w:rPr>
        <w:t>146</w:t>
      </w:r>
    </w:p>
    <w:p>
      <w:pPr>
        <w:spacing w:after="80"/>
      </w:pPr>
      <w:r>
        <w:rPr>
          <w:b w:val="0"/>
          <w:i w:val="0"/>
        </w:rPr>
        <w:t xml:space="preserve">Tòa án tiến hành trên cơ sở rằng luật trong nước của quốc gia nguồn (tức là Vương quốc Anh) là luật có liên quan. Trong </w:t>
      </w:r>
      <w:r>
        <w:rPr>
          <w:b w:val="0"/>
          <w:i/>
        </w:rPr>
        <w:t>Imperial Chemical Industries Ltd v Caro</w:t>
      </w:r>
      <w:r>
        <w:rPr>
          <w:b w:val="0"/>
          <w:i w:val="0"/>
        </w:rPr>
        <w:t xml:space="preserve">,202 thu nhập được đề cập có nguồn gốc từ Úc. Tuy nhiên, khi giải thích hoạt động của tín dụng thuế được cấp theo điều 12 của hiệp định đó trong bối cảnh cơ sở đánh giá năm trước, người ta quy định rằng việc dẫn chiếu đến thu nhập đề cập đến thu nhập được xác định cho mục đích của Vương quốc Anh (tức là quốc gia cư trú). Vụ án này có lẽ là một vụ bất thường do cơ sở năm trước trước đây, dẫn đến sự không khớp hoàn toàn. Ngoài ra, tòa án bị thuyết phục bởi mục đích chung của hiệp định là tránh đánh thuế hai lần và do đó có xu hướng không cho phép cùng một tín dụng được cấp hai lần. Có vẻ không chắc rằng nó sẽ thiết lập bất kỳ nguyên tắc nào ngoài các đặc thù của cơ sở năm trước, hiện đã bị bãi bỏ, trong bối cảnh quyết định quốc gia ký kết nào nên áp dụng luật. Tại Thượng viện, trong </w:t>
      </w:r>
      <w:r>
        <w:rPr>
          <w:b w:val="0"/>
          <w:i/>
        </w:rPr>
        <w:t>Pirelli Cable Holdings &amp; Ors v Revenue and Customs Commissioners</w:t>
      </w:r>
      <w:r>
        <w:rPr>
          <w:b w:val="0"/>
          <w:i w:val="0"/>
        </w:rPr>
        <w:t>, Lord Scott of Foscote, khi giải thích điều 10(3)(c) của các hiệp định giữa Vương quốc Anh với Hà Lan và Ý, theo đó một công ty cư trú tại Hà Lan hoặc Ý có thể yêu cầu ‘một nửa tín dụng thuế mà một cá nhân cư trú tại Vương quốc Anh sẽ được hưởng nếu người đó nhận được cổ tức đó’, đã lưu ý rằng không có định nghĩa nào trong các hiệp định đó về cách diễn đạt ‘tín dụng thuế’. Trong mỗi trường hợp, ông áp dụng điều 3(2) của mỗi hiệp định để áp dụng cách diễn đạt ‘tín dụng thuế’ như được định nghĩa trong s. 832(1) của ICTA 1988.203</w:t>
      </w:r>
    </w:p>
    <w:p>
      <w:pPr>
        <w:spacing w:after="80"/>
      </w:pPr>
      <w:r>
        <w:rPr>
          <w:b w:val="0"/>
          <w:i w:val="0"/>
        </w:rPr>
        <w:t xml:space="preserve">Tương tự, trong </w:t>
      </w:r>
      <w:r>
        <w:rPr>
          <w:b w:val="0"/>
          <w:i/>
        </w:rPr>
        <w:t>Kinsella v Revenue Commissioners</w:t>
      </w:r>
      <w:r>
        <w:rPr>
          <w:b w:val="0"/>
          <w:i w:val="0"/>
        </w:rPr>
        <w:t>,204 các thuật ngữ ‘ngày’, ‘những ngày hiện diện’ và ‘hiện diện trong một ngày’ được yêu cầu phải được hiểu theo nghĩa của chúng theo luật thuế trong nước của Ireland thông qua hoạt động của điều 3(2) của hiệp định tránh đánh thuế hai lần giữa Ireland và Ý. Mục 819(4) của Đạo luật Hợp nhất Thuế 1997 quy định rằng ‘một cá nhân được coi là hiện diện tại Quốc gia trong một ngày nếu cá nhân đó hiện diện tại Quốc gia vào cuối ngày đó’.</w:t>
      </w:r>
    </w:p>
    <w:p>
      <w:pPr>
        <w:spacing w:after="80"/>
      </w:pPr>
      <w:r>
        <w:rPr>
          <w:b w:val="0"/>
          <w:i w:val="0"/>
        </w:rPr>
        <w:t xml:space="preserve">Vì luật thuế trong nước đầy rẫy các quy định coi như (deeming provisions), vai trò của điều 3(2) là thiết yếu trong việc điều chỉnh các quy định thuế trong nước phù hợp với các quy định hiệp định có liên quan. </w:t>
      </w:r>
      <w:r>
        <w:rPr>
          <w:b w:val="0"/>
          <w:i/>
        </w:rPr>
        <w:t>Fowler</w:t>
      </w:r>
      <w:r>
        <w:rPr>
          <w:b w:val="0"/>
          <w:i w:val="0"/>
        </w:rPr>
        <w:t>205 liên quan đến một thợ lặn cư trú tại Nam Phi làm việc tại khu vực Thềm lục địa Vương quốc Anh ở Biển Bắc. Một thợ lặn được thuê làm việc ở đó liên quan đến việc thăm dò hoặc khai thác đáy biển, lớp đất dưới đáy biển và tài nguyên thiên nhiên của nó được coi là đang tiến hành hoạt động thương mại cho mục đích thuế thu nhập. Tòa án Sơ thẩm (First-tier Tribunal) đã phán quyết rằng điều 3(2) của hiệp định tránh đánh thuế hai lần giữa Vương quốc Anh và Nam Phi yêu cầu hoạt động thương mại được coi như đó cung cấp nghĩa có liên quan của ‘doanh nghiệp’ và ‘kinh doanh’ để điều 7 (lợi nhuận kinh doanh) chứ không phải điều 14 (thu nhập từ việc làm) được áp dụng cho thu nhập của thợ lặn. Khi kháng cáo, Tòa án Cấp cao (Upper Tribunal) đồng ý rằng điều 3(2) được áp dụng, nhưng nó yêu cầu một nghĩa trong nước của ‘việc làm’ để cung cấp nghĩa của việc làm để điều 14 được áp dụng</w:t>
      </w:r>
    </w:p>
    <w:p>
      <w:pPr>
        <w:spacing w:after="80"/>
      </w:pPr>
      <w:r>
        <w:rPr>
          <w:b w:val="0"/>
          <w:i w:val="0"/>
        </w:rPr>
        <w:t>202.</w:t>
      </w:r>
      <w:r>
        <w:rPr>
          <w:b w:val="0"/>
          <w:i/>
        </w:rPr>
        <w:t>Imperial Chemical Industries Ltd v Caro</w:t>
      </w:r>
      <w:r>
        <w:rPr>
          <w:b w:val="0"/>
          <w:i w:val="0"/>
        </w:rPr>
        <w:t xml:space="preserve"> (1958-1961) 39 TC 374.203.</w:t>
      </w:r>
      <w:r>
        <w:rPr>
          <w:b w:val="0"/>
          <w:i/>
        </w:rPr>
        <w:t>Pirelli Cable Holding NV &amp; Ors v Inland Revenue Commissioners</w:t>
      </w:r>
      <w:r>
        <w:rPr>
          <w:b w:val="0"/>
          <w:i w:val="0"/>
        </w:rPr>
        <w:t xml:space="preserve"> [2006] STC 548, [2006] BTC 181; [2006] UKHL 4, đoạn 64 và 65. Xem thêm </w:t>
      </w:r>
      <w:r>
        <w:rPr>
          <w:b w:val="0"/>
          <w:i/>
        </w:rPr>
        <w:t>Test Claimants in the ACT Group Litigation (Classes 4 and 2) v Revenue and Customs Commissioners</w:t>
      </w:r>
      <w:r>
        <w:rPr>
          <w:b w:val="0"/>
          <w:i w:val="0"/>
        </w:rPr>
        <w:t xml:space="preserve"> [2010] BTC 359 tại đoạn 7; [2010] EWHC 359 (Ch). Tín dụng thuế hiện được tìm thấy trong ITTOIA 2005 s. 397.204.</w:t>
      </w:r>
      <w:r>
        <w:rPr>
          <w:b w:val="0"/>
          <w:i/>
        </w:rPr>
        <w:t>Kinsella v Revenue Commissioners</w:t>
      </w:r>
      <w:r>
        <w:rPr>
          <w:b w:val="0"/>
          <w:i w:val="0"/>
        </w:rPr>
        <w:t xml:space="preserve"> [2007] IEHC 250.205.</w:t>
      </w:r>
      <w:r>
        <w:rPr>
          <w:b w:val="0"/>
          <w:i/>
        </w:rPr>
        <w:t>Fowler v Revenue &amp; Customs Commissioners</w:t>
      </w:r>
      <w:r>
        <w:rPr>
          <w:b w:val="0"/>
          <w:i w:val="0"/>
        </w:rPr>
        <w:t xml:space="preserve"> [2016] UKFTT 234, [2016] TC 05009, [2016] SFTD 535, 18 ITL Rep 644 tại đoạn 112.</w:t>
      </w:r>
    </w:p>
    <w:p>
      <w:pPr>
        <w:spacing w:after="80"/>
      </w:pPr>
      <w:r>
        <w:rPr>
          <w:b w:val="0"/>
          <w:i w:val="0"/>
        </w:rPr>
        <w:t>147</w:t>
      </w:r>
    </w:p>
    <w:p>
      <w:pPr>
        <w:spacing w:after="80"/>
      </w:pPr>
      <w:r>
        <w:rPr>
          <w:b w:val="0"/>
          <w:i w:val="0"/>
        </w:rPr>
        <w:t>thu nhập của người lặn.206 Tại Tòa phúc thẩm, Henderson LJ, khi lật ngược phán quyết của Upper Tribunal, nhận xét rằng mục đích của điều 3(2) là để neo các quy định liên quan của hiệp ước vào luật thuế nội địa của Quốc gia ký kết đang áp dụng hiệp ước.207 Tòa án Tối cao đã đảo ngược quyết định của Tòa phúc thẩm và cho rằng điều 3(2) không được áp dụng vì nó trái với mục đích của hiệp ước, bởi vì hiệp ước không liên quan đến cách thức đánh thuế trong phạm vi của nó.208 Theo quan điểm của tác giả, Tòa án Tối cao đã không phân biệt giữa cách thức đánh thuế, với vai trò của luật nội địa trong việc cung cấp ý nghĩa cho các thuật ngữ không được định nghĩa trong hiệp ước, như yêu cầu của điều 3(2).</w:t>
      </w:r>
    </w:p>
    <w:p>
      <w:pPr>
        <w:spacing w:after="80"/>
      </w:pPr>
      <w:r>
        <w:rPr>
          <w:b w:val="0"/>
          <w:i w:val="0"/>
        </w:rPr>
        <w:t xml:space="preserve">Tòa án Công lý Liên minh châu Âu đã từ chối áp dụng điều 3(2) để quyết định liệu 'tham gia vào lợi nhuận' trong điều 11(2) của hiệp ước thuế hai lần Áo-Đức ngày 24 tháng 8 năm 2000 có nên bao gồm </w:t>
      </w:r>
      <w:r>
        <w:rPr>
          <w:b w:val="0"/>
          <w:i/>
        </w:rPr>
        <w:t>Genusscheine</w:t>
      </w:r>
      <w:r>
        <w:rPr>
          <w:b w:val="0"/>
          <w:i w:val="0"/>
        </w:rPr>
        <w:t xml:space="preserve">, một dạng chứng chỉ tham gia lợi nhuận theo luật Đức hay không. Trong </w:t>
      </w:r>
      <w:r>
        <w:rPr>
          <w:b w:val="0"/>
          <w:i/>
        </w:rPr>
        <w:t>Áo v Đức</w:t>
      </w:r>
      <w:r>
        <w:rPr>
          <w:b w:val="0"/>
          <w:i w:val="0"/>
        </w:rPr>
        <w:t>,209 Tòa án đã được chỉ định theo điều 25(5) của hiệp ước đó để giải quyết thủ tục thỏa thuận song phương thất bại. Tòa án cho rằng điều 3(2) ngụ ý việc giải thích bởi một quốc gia duy nhất tại một thời điểm nhất định là 'không được coi là một quy tắc nhằm phân xử giữa những khác biệt trong cách giải thích giữa hai Quốc gia ký kết'.210 Kết luận này không tính đến thực tế rằng khi câu hỏi giải thích liên quan đến việc áp dụng hiệp ước bởi một quốc gia, khả năng áp dụng điều 3(2) là một yếu tố thiết yếu của câu hỏi đó.</w:t>
      </w:r>
    </w:p>
    <w:p>
      <w:pPr>
        <w:spacing w:after="80"/>
      </w:pPr>
      <w:r>
        <w:rPr>
          <w:b w:val="0"/>
          <w:i w:val="0"/>
        </w:rPr>
        <w:t>Cũng có nhiều trường hợp hiệp ước tham chiếu cụ thể đến luật nội địa. Ví dụ, xem Hiệp ước Hà Lan-Anh (1980), điều 10. Các tham chiếu tương tự có thể được tìm thấy đối với luật của các quốc gia ký kết khác. Điều này thường áp dụng liên quan đến các quy định miễn thuế được mô tả bằng cách tham chiếu đến luật của quốc gia ký kết khác. Tương tự, các thực thể được thành lập tại các quốc gia ký kết khác thường được mô tả bằng cách tham chiếu đến luật nội địa của quốc gia ký kết khác. Các quy định hạn chế quyền lợi của điều 10(3)(d)(i) của Hiệp ước Hà Lan-Anh (1980) đề cập đến các công ty có cổ phiếu được niêm yết chính thức trên sàn chứng khoán Hà Lan và tuân thủ ở một số khía cạnh nhất định với Chỉ thị Hội đồng 79/279/EEC.211 Trong trường hợp như vậy, việc giải thích theo luật Cộng đồng là bắt buộc. Những quy định này minh họa một 'ý nghĩa đặc biệt trong điều 31(4) của VCLT'.</w:t>
      </w:r>
    </w:p>
    <w:p>
      <w:pPr>
        <w:spacing w:after="80"/>
      </w:pPr>
      <w:r>
        <w:rPr>
          <w:b w:val="0"/>
          <w:i w:val="0"/>
        </w:rPr>
        <w:t xml:space="preserve">206. </w:t>
      </w:r>
      <w:r>
        <w:rPr>
          <w:b w:val="0"/>
          <w:i/>
        </w:rPr>
        <w:t>Revenue &amp; Customs Commissioners v Fowler</w:t>
      </w:r>
      <w:r>
        <w:rPr>
          <w:b w:val="0"/>
          <w:i w:val="0"/>
        </w:rPr>
        <w:t xml:space="preserve"> [2017] UKUT 219, [2017] BTC 518, [2017] STC 1385 (UT). 207. </w:t>
      </w:r>
      <w:r>
        <w:rPr>
          <w:b w:val="0"/>
          <w:i/>
        </w:rPr>
        <w:t>Fowler v Revenue &amp; Customs Commissioners</w:t>
      </w:r>
      <w:r>
        <w:rPr>
          <w:b w:val="0"/>
          <w:i w:val="0"/>
        </w:rPr>
        <w:t xml:space="preserve"> [2018] EWCA Civ 2544, [2018] STC 2401, [2018] BTC 41, tại đoạn 42. 208. </w:t>
      </w:r>
      <w:r>
        <w:rPr>
          <w:b w:val="0"/>
          <w:i/>
        </w:rPr>
        <w:t>Fowler v Revenue &amp; Customs Commissioners</w:t>
      </w:r>
      <w:r>
        <w:rPr>
          <w:b w:val="0"/>
          <w:i w:val="0"/>
        </w:rPr>
        <w:t xml:space="preserve"> [2020] UKSC 22, tại đoạn 34. Tác giả là luật sư cho người nộp thuế. Đối với vụ án bằng văn bản được đệ trình lên Tòa án Tối cao thay mặt cho ông Fowler, xem: Schwarz, J.S. </w:t>
      </w:r>
      <w:r>
        <w:rPr>
          <w:b w:val="0"/>
          <w:i/>
        </w:rPr>
        <w:t>Article 3(2) of the OECD and UN Models: An International View</w:t>
      </w:r>
      <w:r>
        <w:rPr>
          <w:b w:val="0"/>
          <w:i w:val="0"/>
        </w:rPr>
        <w:t xml:space="preserve">, Bulletin for International Taxation, 75(1) 2021. 209. </w:t>
      </w:r>
      <w:r>
        <w:rPr>
          <w:b w:val="0"/>
          <w:i/>
        </w:rPr>
        <w:t>Republic of Austria v Federal Republic of Germany</w:t>
      </w:r>
      <w:r>
        <w:rPr>
          <w:b w:val="0"/>
          <w:i w:val="0"/>
        </w:rPr>
        <w:t xml:space="preserve"> (Case C-648/15) ECLI:EU:C:2017:664. Xem Chương 20, §20.13 về trọng tài MAP. 210. Tại đoạn 36. 211. Ngày 5 tháng 3 năm 1979.</w:t>
      </w:r>
    </w:p>
    <w:p>
      <w:pPr>
        <w:spacing w:after="80"/>
      </w:pPr>
      <w:r>
        <w:rPr>
          <w:b w:val="0"/>
          <w:i w:val="0"/>
        </w:rPr>
        <w:t>148</w:t>
      </w:r>
    </w:p>
    <w:p>
      <w:pPr>
        <w:spacing w:after="80"/>
      </w:pPr>
      <w:r>
        <w:rPr>
          <w:b/>
          <w:i w:val="0"/>
        </w:rPr>
        <w:t>§4.09 HIỆP ƯỚC BẰNG NHIỀU NGÔN NGỮ</w:t>
      </w:r>
    </w:p>
    <w:p>
      <w:pPr>
        <w:spacing w:after="80"/>
      </w:pPr>
      <w:r>
        <w:rPr>
          <w:b w:val="0"/>
          <w:i w:val="0"/>
        </w:rPr>
        <w:t>Mặc dù nhiều hiệp ước của Anh chỉ được ký kết bằng tiếng Anh, một số lượng lớn được ký kết bằng ít nhất hai ngôn ngữ. Trong trường hợp này, thông lệ là đồng ý về giá trị có thẩm quyền của mỗi văn bản. Ngôn ngữ điển hình về vấn đề này được tìm thấy, ví dụ, trong các quy định thi hành của Hiệp ước Canada, trong đó viết: 'Được lập thành hai bản tại London bằng tiếng Anh và tiếng Pháp, cả hai văn bản đều có giá trị như nhau.'</w:t>
      </w:r>
    </w:p>
    <w:p>
      <w:pPr>
        <w:spacing w:after="80"/>
      </w:pPr>
      <w:r>
        <w:rPr>
          <w:b w:val="0"/>
          <w:i w:val="0"/>
        </w:rPr>
        <w:t>Việc giải thích các hiệp ước được xác thực bằng hai hoặc nhiều ngôn ngữ được đề cập trong Công ước Vienna. Điều 33 viết như sau:</w:t>
      </w:r>
    </w:p>
    <w:p>
      <w:pPr>
        <w:spacing w:after="80"/>
      </w:pPr>
      <w:r>
        <w:rPr>
          <w:b w:val="0"/>
          <w:i w:val="0"/>
        </w:rPr>
        <w:t>(1) Khi một hiệp ước đã được xác thực bằng hai hoặc nhiều ngôn ngữ, văn bản có</w:t>
      </w:r>
    </w:p>
    <w:p>
      <w:pPr>
        <w:spacing w:after="80"/>
      </w:pPr>
      <w:r>
        <w:rPr>
          <w:b w:val="0"/>
          <w:i w:val="0"/>
        </w:rPr>
        <w:t>giá trị như nhau trong mỗi ngôn ngữ, trừ khi hiệp ước quy định hoặc các bên đồng ý rằng, trong trường hợp có sự khác biệt, một văn bản cụ thể sẽ chiếm ưu thế. (2) Một phiên bản của hiệp ước bằng một ngôn ngữ khác với một trong những ngôn ngữ mà văn bản</w:t>
      </w:r>
    </w:p>
    <w:p>
      <w:pPr>
        <w:spacing w:after="80"/>
      </w:pPr>
      <w:r>
        <w:rPr>
          <w:b w:val="0"/>
          <w:i w:val="0"/>
        </w:rPr>
        <w:t>đã được xác thực sẽ chỉ được coi là văn bản xác thực nếu hiệp ước quy định như vậy hoặc các bên đồng ý như vậy. (3) Các thuật ngữ của hiệp ước được giả định có cùng ý nghĩa trong mỗi</w:t>
      </w:r>
    </w:p>
    <w:p>
      <w:pPr>
        <w:spacing w:after="80"/>
      </w:pPr>
      <w:r>
        <w:rPr>
          <w:b w:val="0"/>
          <w:i w:val="0"/>
        </w:rPr>
        <w:t>văn bản xác thực. (4) Trừ trường hợp một văn bản cụ thể chiếm ưu thế theo khoản 1, khi</w:t>
      </w:r>
    </w:p>
    <w:p>
      <w:pPr>
        <w:spacing w:after="80"/>
      </w:pPr>
      <w:r>
        <w:rPr>
          <w:b w:val="0"/>
          <w:i w:val="0"/>
        </w:rPr>
        <w:t>việc so sánh các văn bản xác thực cho thấy sự khác biệt về ý nghĩa mà việc áp dụng Điều 31 và 32 không loại bỏ được, thì ý nghĩa dung hòa tốt nhất các văn bản, có xét đến đối tượng và mục đích của hiệp ước, sẽ được áp dụng.</w:t>
      </w:r>
    </w:p>
    <w:p>
      <w:pPr>
        <w:spacing w:after="80"/>
      </w:pPr>
      <w:r>
        <w:rPr>
          <w:b w:val="0"/>
          <w:i w:val="0"/>
        </w:rPr>
        <w:t xml:space="preserve">Các tòa án ở Anh chưa phải xem xét các phiên bản ngôn ngữ của hiệp ước thuế ngoài tiếng Anh. Cơ hội để làm như vậy đã nảy sinh đôi khi liên quan đến các hiệp ước phi thuế khác và, trong bối cảnh này, Lord Wilberforce đã nói trong </w:t>
      </w:r>
      <w:r>
        <w:rPr>
          <w:b w:val="0"/>
          <w:i/>
        </w:rPr>
        <w:t>Fothergill v Monarch Airlines Ltd</w:t>
      </w:r>
      <w:r>
        <w:rPr>
          <w:b w:val="0"/>
          <w:i w:val="0"/>
        </w:rPr>
        <w:t>:212</w:t>
      </w:r>
    </w:p>
    <w:p>
      <w:pPr>
        <w:spacing w:after="80"/>
      </w:pPr>
      <w:r>
        <w:rPr>
          <w:b w:val="0"/>
          <w:i w:val="0"/>
        </w:rPr>
        <w:t xml:space="preserve">Thưa các Ngài, một số vấn đề nảy sinh khi Tòa án nước này đối mặt với các văn bản hiệp ước hoặc công ước bằng các ngôn ngữ khác nhau đã được thảo luận trong </w:t>
      </w:r>
      <w:r>
        <w:rPr>
          <w:b w:val="0"/>
          <w:i/>
        </w:rPr>
        <w:t>James Buchanan &amp; Co. Ltd. v Babco Forwarding &amp; Shipping (United Kingdom) Ltd.</w:t>
      </w:r>
      <w:r>
        <w:rPr>
          <w:b w:val="0"/>
          <w:i w:val="0"/>
        </w:rPr>
        <w:t>, [1978] AC 141. Rõ ràng rằng trường hợp hiện tại đại diện cho một trường hợp đặc biệt và thực sự duy nhất.</w:t>
      </w:r>
    </w:p>
    <w:p>
      <w:pPr>
        <w:spacing w:after="80"/>
      </w:pPr>
      <w:r>
        <w:rPr>
          <w:b w:val="0"/>
          <w:i w:val="0"/>
        </w:rPr>
        <w:t>Ở đây không chỉ được phép xem xét một văn bản tiếng nước ngoài, mà là bắt buộc. Những gì được đưa vào luật Anh là văn bản được nêu trong Phụ lục 1, tức là trong cả Phần I và Phần II, vì vậy cả văn bản tiếng Anh và tiếng Pháp đều phải được xem xét. Hơn nữa, không thể đánh giá liệu có sự mâu thuẫn giữa hai văn bản trừ khi người ta xem xét cả hai. Vì vậy, trong trường hợp hiện tại, quá trình giải thích dường như bao gồm: (1) Giải thích văn bản tiếng Anh, theo các nguyên tắc mà</w:t>
      </w:r>
    </w:p>
    <w:p>
      <w:pPr>
        <w:spacing w:after="80"/>
      </w:pPr>
      <w:r>
        <w:rPr>
          <w:b w:val="0"/>
          <w:i w:val="0"/>
        </w:rPr>
        <w:t xml:space="preserve">Các công ước quốc tế phải được giải thích (xem vụ </w:t>
      </w:r>
      <w:r>
        <w:rPr>
          <w:b w:val="0"/>
          <w:i/>
        </w:rPr>
        <w:t>Buchanan</w:t>
      </w:r>
      <w:r>
        <w:rPr>
          <w:b w:val="0"/>
          <w:i w:val="0"/>
        </w:rPr>
        <w:t xml:space="preserve"> và </w:t>
      </w:r>
      <w:r>
        <w:rPr>
          <w:b w:val="0"/>
          <w:i/>
        </w:rPr>
        <w:t>StagLine Ltd. v Foscolo, Mango &amp; Co. Ltd</w:t>
      </w:r>
      <w:r>
        <w:rPr>
          <w:b w:val="0"/>
          <w:i w:val="0"/>
        </w:rPr>
        <w:t>. [1932] AC 328, 350).(2) Việc giải thích văn bản tiếng Pháp theo cùng các nguyên tắc đó nhưng kèm theo</w:t>
      </w:r>
    </w:p>
    <w:p>
      <w:pPr>
        <w:spacing w:after="80"/>
      </w:pPr>
      <w:r>
        <w:rPr>
          <w:b w:val="0"/>
          <w:i w:val="0"/>
        </w:rPr>
        <w:t>những vấn đề ngôn ngữ bổ sung.(3) So sánh các ý nghĩa này.</w:t>
      </w:r>
    </w:p>
    <w:p>
      <w:pPr>
        <w:spacing w:after="80"/>
      </w:pPr>
      <w:r>
        <w:rPr>
          <w:b w:val="0"/>
          <w:i w:val="0"/>
        </w:rPr>
        <w:t>212.</w:t>
      </w:r>
      <w:r>
        <w:rPr>
          <w:b w:val="0"/>
          <w:i/>
        </w:rPr>
        <w:t>Fothergill v Monarch Airlines Ltd</w:t>
      </w:r>
      <w:r>
        <w:rPr>
          <w:b w:val="0"/>
          <w:i w:val="0"/>
        </w:rPr>
        <w:t xml:space="preserve"> [1980] 3 WLR 209, [1980] 2 All ER 696, [1981] A.C. 251, tại 272.</w:t>
      </w:r>
    </w:p>
    <w:p>
      <w:pPr>
        <w:spacing w:after="80"/>
      </w:pPr>
      <w:r>
        <w:rPr>
          <w:b w:val="0"/>
          <w:i w:val="0"/>
        </w:rPr>
        <w:t>149</w:t>
      </w:r>
    </w:p>
    <w:p>
      <w:pPr>
        <w:spacing w:after="80"/>
      </w:pPr>
      <w:r>
        <w:rPr>
          <w:b w:val="0"/>
          <w:i w:val="0"/>
        </w:rPr>
        <w:t>Hơn nữa, nếu quá trình giải thích vẫn để vấn đề trong tình trạng mập mờ, thì có thể phải đối mặt với câu hỏi liệu có được xem xét ‘travaux preparatoires’ (các tài liệu chuẩn bị) để giải quyết khó khăn đó hay không.</w:t>
      </w:r>
    </w:p>
    <w:p>
      <w:pPr>
        <w:spacing w:after="80"/>
      </w:pPr>
      <w:r>
        <w:rPr>
          <w:b w:val="0"/>
          <w:i w:val="0"/>
        </w:rPr>
        <w:t xml:space="preserve">Cách tiếp cận này không khác gì các hướng dẫn của Công ước Vienna. Trong vụ </w:t>
      </w:r>
      <w:r>
        <w:rPr>
          <w:b w:val="0"/>
          <w:i/>
        </w:rPr>
        <w:t>Memec</w:t>
      </w:r>
      <w:r>
        <w:rPr>
          <w:b w:val="0"/>
          <w:i w:val="0"/>
        </w:rPr>
        <w:t xml:space="preserve">, tòa án đã bác bỏ một ‘điểm quá tinh tế’ dựa trên cách diễn đạt của bản tiếng Pháp trong Dự thảo Công ước Mẫu về Thuế năm 1963 liên quan đến ý nghĩa của ‘cổ tức’ cho các mục đích tín dụng cơ sở.213 Tuy nhiên, bản tiếng Pháp của Mô hình OECD năm 1977 đã được các Ủy viên Đặc biệt dựa vào trong vụ </w:t>
      </w:r>
      <w:r>
        <w:rPr>
          <w:b w:val="0"/>
          <w:i/>
        </w:rPr>
        <w:t>Trevor Smallwood Trusts v HMRCs</w:t>
      </w:r>
      <w:r>
        <w:rPr>
          <w:b w:val="0"/>
          <w:i w:val="0"/>
        </w:rPr>
        <w:t xml:space="preserve">214 để giải thích cụm từ ‘quản lý hiệu quả’ tại điều 4(3) của Hiệp ước Mauritius và được Tòa phúc thẩm dựa vào trong vụ </w:t>
      </w:r>
      <w:r>
        <w:rPr>
          <w:b w:val="0"/>
          <w:i/>
        </w:rPr>
        <w:t>UBS AG v HMRC</w:t>
      </w:r>
      <w:r>
        <w:rPr>
          <w:b w:val="0"/>
          <w:i w:val="0"/>
        </w:rPr>
        <w:t>.215</w:t>
      </w:r>
    </w:p>
    <w:p>
      <w:pPr>
        <w:spacing w:after="80"/>
      </w:pPr>
      <w:r>
        <w:rPr>
          <w:b w:val="0"/>
          <w:i w:val="0"/>
        </w:rPr>
        <w:t xml:space="preserve">Trong vụ </w:t>
      </w:r>
      <w:r>
        <w:rPr>
          <w:b w:val="0"/>
          <w:i/>
        </w:rPr>
        <w:t>Royal Bank of Canada v HMRC</w:t>
      </w:r>
      <w:r>
        <w:rPr>
          <w:b w:val="0"/>
          <w:i w:val="0"/>
        </w:rPr>
        <w:t>, thẩm phán Tòa sơ thẩm đã đúng khi bác bỏ lập luận của HMRC rằng cần có bằng chứng chuyên gia để hỗ trợ bất kỳ cách giải thích nào được đề xuất đối với văn bản tiếng Pháp của hiệp ước thuế hai lần Canada-UK.216 Lập luận như vậy đã nhầm lẫn giữa luật nước ngoài với một hiệp ước được ký kết bằng cả tiếng Anh và một ngôn ngữ khác.</w:t>
      </w:r>
    </w:p>
    <w:p>
      <w:pPr>
        <w:spacing w:after="80"/>
      </w:pPr>
      <w:r>
        <w:rPr>
          <w:b/>
          <w:i w:val="0"/>
        </w:rPr>
        <w:t>§4.10 QUYỀN CON NGƯỜI VÀ CÔNG ƯỚC CHÂU ÂU VỀ QUYỀN CON NGƯỜI</w:t>
      </w:r>
    </w:p>
    <w:p>
      <w:pPr>
        <w:spacing w:after="80"/>
      </w:pPr>
      <w:r>
        <w:rPr>
          <w:b w:val="0"/>
          <w:i w:val="0"/>
        </w:rPr>
        <w:t xml:space="preserve">Mặc dù UK là một trong những quốc gia đầu tiên ký kết Công ước Châu Âu về Quyền Con người (ECHR) vào năm 1951, nhưng phải đến năm 1998, nhờ </w:t>
      </w:r>
      <w:r>
        <w:rPr>
          <w:b w:val="0"/>
          <w:i/>
        </w:rPr>
        <w:t>Human Rights Act</w:t>
      </w:r>
      <w:r>
        <w:rPr>
          <w:b w:val="0"/>
          <w:i w:val="0"/>
        </w:rPr>
        <w:t xml:space="preserve"> 1998, các yếu tố then chốt của công ước mới được ban hành thành luật của UK. Human Rights Act 1998, s. 3 tạo ra một yêu cầu chung rằng mọi văn bản luật, dù trong quá khứ hay tương lai, đều phải được đọc và áp dụng theo cách tương thích với luật đó. Điều này được thực hiện bằng cách quy định rằng mọi văn bản luật, dù là luật chính hay luật phụ, bất kể được ban hành khi nào, đều phải được đọc và áp dụng theo cách tương thích với các quyền trong công ước. Sẽ không còn cần thiết phải có sự mập mờ để viện đến công ước nữa.217 Văn bản luật này tạo ra một thứ bậc mới trong bối cảnh các hiệp ước thuế, phù hợp với các yêu cầu của điều 31(3)(c) của VCLT. Do đó, mặc dù Phần 2, Chương 1 của TIOPA 2010 nói chung đặt luật trong nước phụ thuộc vào các hiệp ước thuế, thì s. 3 của Human Rights Act 1998 nay lại khiến ngay cả quy định này cũng phụ thuộc vào việc áp dụng công ước. Kết quả là, mọi hiệp ước thuế và việc thực thi chúng</w:t>
      </w:r>
    </w:p>
    <w:p>
      <w:pPr>
        <w:spacing w:after="80"/>
      </w:pPr>
      <w:r>
        <w:rPr>
          <w:b w:val="0"/>
          <w:i w:val="0"/>
        </w:rPr>
        <w:t>213.</w:t>
      </w:r>
      <w:r>
        <w:rPr>
          <w:b w:val="0"/>
          <w:i/>
        </w:rPr>
        <w:t>Memec plc v Inland Revenue Commissioners</w:t>
      </w:r>
      <w:r>
        <w:rPr>
          <w:b w:val="0"/>
          <w:i w:val="0"/>
        </w:rPr>
        <w:t xml:space="preserve"> [1998] BTC 251 [1998] STC 754, tại 767. Tuy nhiên, xem ý kiến bất đồng của Ngài Christopher Staughton tại 770-771.214.</w:t>
      </w:r>
      <w:r>
        <w:rPr>
          <w:b w:val="0"/>
          <w:i/>
        </w:rPr>
        <w:t>Smallwood v Revenue and Customs Commissioners</w:t>
      </w:r>
      <w:r>
        <w:rPr>
          <w:b w:val="0"/>
          <w:i w:val="0"/>
        </w:rPr>
        <w:t xml:space="preserve"> [2008] UKSPC SPC669; [2008] STC (SCD) 629; (2008) Sp C 669.215.</w:t>
      </w:r>
      <w:r>
        <w:rPr>
          <w:b w:val="0"/>
          <w:i/>
        </w:rPr>
        <w:t>UBS AG v Revenue and Customs Commissioners</w:t>
      </w:r>
      <w:r>
        <w:rPr>
          <w:b w:val="0"/>
          <w:i w:val="0"/>
        </w:rPr>
        <w:t xml:space="preserve"> [2007] STC, [2007] BTC 285; [2007] EWCA Civ 119, đoạn 23.216.</w:t>
      </w:r>
      <w:r>
        <w:rPr>
          <w:b w:val="0"/>
          <w:i/>
        </w:rPr>
        <w:t>Royal Bank of Canada v Revenue &amp; Customs</w:t>
      </w:r>
      <w:r>
        <w:rPr>
          <w:b w:val="0"/>
          <w:i w:val="0"/>
        </w:rPr>
        <w:t xml:space="preserve"> [2020] UKFTT 267 (TC). Xem các đoạn 34, 35 và 55.217.Xem </w:t>
      </w:r>
      <w:r>
        <w:rPr>
          <w:b w:val="0"/>
          <w:i/>
        </w:rPr>
        <w:t>Fessal v Revenue and Customs</w:t>
      </w:r>
      <w:r>
        <w:rPr>
          <w:b w:val="0"/>
          <w:i w:val="0"/>
        </w:rPr>
        <w:t xml:space="preserve"> [2016] UKFTT 285 (TC), [2016] SFTD 585, [2016] TC 05059 để có phần điểm lại các án lệ trong một vụ đánh thuế hai lần đối với cùng một khoản thu nhập.</w:t>
      </w:r>
    </w:p>
    <w:p>
      <w:pPr>
        <w:spacing w:after="80"/>
      </w:pPr>
      <w:r>
        <w:rPr>
          <w:b w:val="0"/>
          <w:i w:val="0"/>
        </w:rPr>
        <w:t>150</w:t>
      </w:r>
    </w:p>
    <w:p>
      <w:pPr>
        <w:spacing w:after="80"/>
      </w:pPr>
      <w:r>
        <w:rPr>
          <w:b w:val="0"/>
          <w:i w:val="0"/>
        </w:rPr>
        <w:t xml:space="preserve">đều phải tuân thủ </w:t>
      </w:r>
      <w:r>
        <w:rPr>
          <w:b w:val="0"/>
          <w:i/>
        </w:rPr>
        <w:t>Human Rights Act</w:t>
      </w:r>
      <w:r>
        <w:rPr>
          <w:b w:val="0"/>
          <w:i w:val="0"/>
        </w:rPr>
        <w:t xml:space="preserve"> và ECHR.218 Điều này có khả năng sẽ ngày càng có tác động lớn, đặc biệt là liên quan đến các vấn đề như trao đổi thông tin và điều khoản không phân biệt đối xử của các hiệp ước thuế.219</w:t>
      </w:r>
    </w:p>
    <w:p>
      <w:pPr>
        <w:spacing w:after="80"/>
      </w:pPr>
      <w:r>
        <w:rPr>
          <w:b w:val="0"/>
          <w:i w:val="0"/>
        </w:rPr>
        <w:t>218.Xem §4.02.219.</w:t>
      </w:r>
      <w:r>
        <w:rPr>
          <w:b w:val="0"/>
          <w:i/>
        </w:rPr>
        <w:t>Percival v Revenue &amp; Customs Commissioners</w:t>
      </w:r>
      <w:r>
        <w:rPr>
          <w:b w:val="0"/>
          <w:i w:val="0"/>
        </w:rPr>
        <w:t xml:space="preserve"> [2013] TC 02654 [2013] UKFTT 240 (TC) là một ví dụ về nỗ lực bất thành nhằm công kích các điều khoản của một hiệp ước thông qua việc áp dụng ECHR.</w:t>
      </w:r>
    </w:p>
    <w:p>
      <w:pPr>
        <w:spacing w:after="80"/>
      </w:pPr>
      <w:r>
        <w:rPr>
          <w:b w:val="0"/>
          <w:i w:val="0"/>
        </w:rPr>
        <w:t>151</w:t>
      </w:r>
    </w:p>
    <w:p>
      <w:pPr>
        <w:spacing w:before="240" w:after="80"/>
      </w:pPr>
      <w:r>
        <w:rPr>
          <w:b/>
          <w:sz w:val="32"/>
        </w:rPr>
        <w:t>CHƯƠNG 5 Phạm vi của các Hiệp ước Thuế: Các loại Thuế được Điều chỉnh, Phạm vi Lãnh thổ và Thời gian</w:t>
      </w:r>
    </w:p>
    <w:p>
      <w:pPr>
        <w:spacing w:after="80"/>
      </w:pPr>
      <w:r>
        <w:rPr>
          <w:b/>
          <w:i w:val="0"/>
        </w:rPr>
        <w:t>§5.01 GIỚI THIỆU</w:t>
      </w:r>
    </w:p>
    <w:p>
      <w:pPr>
        <w:spacing w:after="80"/>
      </w:pPr>
      <w:r>
        <w:rPr>
          <w:b w:val="0"/>
          <w:i w:val="0"/>
        </w:rPr>
        <w:t>Mọi hiệp định đều quy định rõ những loại thuế nằm trong phạm vi điều chỉnh của mình. Mục đích của các điều khoản làm việc này là để neo hiệp định vào những phần liên quan trong hệ thống thuế của các quốc gia ký kết. Hầu hết các hiệp định cũng xác định lãnh thổ mà hiệp định áp dụng. Điều này xác định phạm vi địa lý của hiệp định và thường phù hợp với lãnh thổ của quốc gia theo quy định của luật quốc tế.</w:t>
      </w:r>
    </w:p>
    <w:p>
      <w:pPr>
        <w:spacing w:after="80"/>
      </w:pPr>
      <w:r>
        <w:rPr>
          <w:b/>
          <w:i w:val="0"/>
        </w:rPr>
        <w:t>§5.02 CÁC LOẠI THUẾ ĐƯỢC ĐIỀU CHỈNH</w:t>
      </w:r>
    </w:p>
    <w:p>
      <w:pPr>
        <w:spacing w:after="80"/>
      </w:pPr>
      <w:r>
        <w:rPr>
          <w:b w:val="0"/>
          <w:i w:val="0"/>
        </w:rPr>
        <w:t>Vương quốc Anh không tuân theo hoàn toàn Mẫu OECD về Thu nhập và Vốn khi quy định các loại thuế nằm trong phạm vi điều chỉnh của các hiệp định UK. Thông thường, khoản 1 và 2 của Điều 2 trong Mẫu OECD quy định các loại thuế liên quan bằng những thuật ngữ chung. Tuy nhiên, một số hiệp định, đặc biệt là những hiệp định với các nước Đông Âu, lại áp dụng Mẫu OECD trong việc mô tả các loại thuế được điều chỉnh bằng những thuật ngữ chung. Hiệp định Lithuania-UK là một ví dụ:</w:t>
      </w:r>
    </w:p>
    <w:p>
      <w:pPr>
        <w:spacing w:after="80"/>
      </w:pPr>
      <w:r>
        <w:rPr>
          <w:b w:val="0"/>
          <w:i w:val="0"/>
        </w:rPr>
        <w:t>–2(1) Công ước này sẽ áp dụng đối với các loại thuế đánh trên thu nhập và lợi nhuận vốn</w:t>
      </w:r>
    </w:p>
    <w:p>
      <w:pPr>
        <w:spacing w:after="80"/>
      </w:pPr>
      <w:r>
        <w:rPr>
          <w:b w:val="0"/>
          <w:i w:val="0"/>
        </w:rPr>
        <w:t>được áp đặt thay mặt cho một Quốc gia ký kết hoặc các đơn vị chính trị trực thuộc hay chính quyền địa phương của quốc gia đó, bất kể phương thức đánh thuế là gì.</w:t>
        <w:br/>
        <w:t>–2(2) Sẽ được coi là thuế đánh trên thu nhập và lợi nhuận vốn tất cả các loại thuế</w:t>
      </w:r>
    </w:p>
    <w:p>
      <w:pPr>
        <w:spacing w:after="80"/>
      </w:pPr>
      <w:r>
        <w:rPr>
          <w:b w:val="0"/>
          <w:i w:val="0"/>
        </w:rPr>
        <w:t>đánh trên tổng thu nhập hoặc trên các yếu tố cấu thành thu nhập, bao gồm cả thuế đánh trên lợi nhuận từ việc chuyển nhượng động sản hoặc bất động sản.</w:t>
      </w:r>
    </w:p>
    <w:p>
      <w:pPr>
        <w:spacing w:after="80"/>
      </w:pPr>
      <w:r>
        <w:rPr>
          <w:b w:val="0"/>
          <w:i w:val="0"/>
        </w:rPr>
        <w:t>153</w:t>
      </w:r>
    </w:p>
    <w:p>
      <w:pPr>
        <w:spacing w:after="80"/>
      </w:pPr>
      <w:r>
        <w:rPr>
          <w:b w:val="0"/>
          <w:i w:val="0"/>
        </w:rPr>
        <w:t>Việc xác định các loại thuế của UK rất quan trọng, thứ nhất là để xác định việc áp dụng một hiệp định đối với cư dân của các quốc gia ký kết khác.1 Việc này cũng sẽ xác định rõ các loại thuế UK mà thuế nước ngoài phải nộp theo hiệp định có thể được khấu trừ. Các hiệp định với những quốc gia có hiến pháp liên bang có thể có hoặc không mở rộng phạm vi thuế sang thuế cấp bang hoặc cấp tỉnh. Hiệp định Canada-UK chỉ giới hạn ở thuế liên bang (Điều 2(1)(a)), cũng giống như Hiệp định Thuế Thu nhập US-UK (2001) (Điều 2(3)(a)). Ngược lại, Hiệp định Russia-UK áp dụng đối với các loại thuế được áp đặt 'thay mặt cho một quốc gia ký kết hoặc các đơn vị chính trị trực thuộc hay chính quyền địa phương của quốc gia đó' (Điều 2(1)).</w:t>
      </w:r>
    </w:p>
    <w:p>
      <w:pPr>
        <w:spacing w:after="80"/>
      </w:pPr>
      <w:r>
        <w:rPr>
          <w:b w:val="0"/>
          <w:i w:val="0"/>
        </w:rPr>
        <w:t>Cách tiếp cận phổ biến nhất của UK là mô tả cụ thể các loại thuế được hiệp định điều chỉnh. Điều này được thể hiện, ví dụ, trong Hiệp định Bulgaria-UK, Điều 2(1) như sau:</w:t>
      </w:r>
    </w:p>
    <w:p>
      <w:pPr>
        <w:spacing w:after="80"/>
      </w:pPr>
      <w:r>
        <w:rPr>
          <w:b w:val="0"/>
          <w:i w:val="0"/>
        </w:rPr>
        <w:t>Các loại thuế là đối tượng của Công ước này là:</w:t>
      </w:r>
    </w:p>
    <w:p>
      <w:pPr>
        <w:spacing w:after="80"/>
      </w:pPr>
      <w:r>
        <w:rPr>
          <w:b w:val="0"/>
          <w:i w:val="0"/>
        </w:rPr>
        <w:t>(a) tại UK:</w:t>
      </w:r>
    </w:p>
    <w:p>
      <w:pPr>
        <w:spacing w:after="80"/>
      </w:pPr>
      <w:r>
        <w:rPr>
          <w:b w:val="0"/>
          <w:i w:val="0"/>
        </w:rPr>
        <w:t>(i) thuế thu nhập; (ii) thuế doanh nghiệp; và (iii) thuế lợi nhuận vốn; (sau đây gọi là 'thuế Vương quốc Anh').</w:t>
      </w:r>
    </w:p>
    <w:p>
      <w:pPr>
        <w:spacing w:after="80"/>
      </w:pPr>
      <w:r>
        <w:rPr>
          <w:b w:val="0"/>
          <w:i w:val="0"/>
        </w:rPr>
        <w:t xml:space="preserve">Thuế thu nhập hoặc các hiệp định toàn diện thường sẽ bao gồm tất cả các loại thuế trực thu. Do đó, các khoản đóng góp Bảo hiểm Quốc gia (National Insurance) của UK và các khoản phí tương tự luôn bị loại trừ khỏi các hiệp định này, mặc dù chúng được đánh song song với thuế thu nhập. Trong </w:t>
      </w:r>
      <w:r>
        <w:rPr>
          <w:b w:val="0"/>
          <w:i/>
        </w:rPr>
        <w:t>Yates v The Queen</w:t>
      </w:r>
      <w:r>
        <w:rPr>
          <w:b w:val="0"/>
          <w:i w:val="0"/>
        </w:rPr>
        <w:t>,2 Tòa án Thuế Canada đã phán quyết rằng các khoản đóng góp Bảo hiểm Quốc gia Nhóm 3 Tự nguyện không phải là thuế theo mục đích của Hiệp định Canada-UK.3 Tương tự, các khoản đóng góp Bảo hiểm Quốc gia Nhóm 1 của người lao động cũng không phải là thuế theo mục đích của Hiệp định Canada-UK.4 Tòa án Thuế Canada đã phán quyết rằng những khoản đóng góp như vậy không phải là thuế. Một loại thuế phải có tính cưỡng chế theo luật, được áp đặt dưới thẩm quyền của cơ quan lập pháp, được áp đặt bởi một cơ quan công quyền và nhằm mục đích công. Các khoản đóng góp Bảo hiểm Quốc gia không phải trả cho mục đích công vì người nộp nhận được lợi ích cá nhân và tài chính trực tiếp từ các khoản đóng góp đó.</w:t>
      </w:r>
    </w:p>
    <w:p>
      <w:pPr>
        <w:spacing w:after="80"/>
      </w:pPr>
      <w:r>
        <w:rPr>
          <w:b w:val="0"/>
          <w:i w:val="0"/>
        </w:rPr>
        <w:t>Thời điểm ra đời của hiệp định phản ánh các loại thuế được đánh vào thời điểm đó. Do mạng lưới hiệp định đã có từ lâu, các loại thuế được mô tả trong nhiều hiệp định thường không còn hiệu lực nữa. Ví dụ, Hiệp định Greece-UK, Điều 1(1)(b), bao gồm 'thuế thu nhập (bao gồm thuế phụ), thuế lợi nhuận và thuế lợi nhuận vượt mức'. Thuế phụ (surtax) đã bị bãi bỏ từ năm 1973-1974 và được thay thế bằng hệ thống thuế thu nhập với biểu thuế lũy tiến. Các hiệp định ban đầu khác không đề cập đến thuế lợi nhuận vốn hay thuế doanh nghiệp. Ví dụ, Hiệp định Belize-UK, Điều 1(1)(a), đề cập đến 'thuế thu nhập (bao gồm thuế phụ)</w:t>
      </w:r>
    </w:p>
    <w:p>
      <w:pPr>
        <w:spacing w:after="80"/>
      </w:pPr>
      <w:r>
        <w:rPr>
          <w:b w:val="0"/>
          <w:i w:val="0"/>
        </w:rPr>
        <w:t xml:space="preserve">1. Mục đích của Điều 2 là xác định các loại thuế thuộc phạm vi hiệp định. Điều này không cho biết về việc lựa chọn các điều khoản phân chia trong một hiệp định thuế hai lần hay cách chúng được áp dụng. Xem quan điểm ngược lại trong </w:t>
      </w:r>
      <w:r>
        <w:rPr>
          <w:b w:val="0"/>
          <w:i/>
        </w:rPr>
        <w:t>Fowler v Revenue and Customs</w:t>
      </w:r>
      <w:r>
        <w:rPr>
          <w:b w:val="0"/>
          <w:i w:val="0"/>
        </w:rPr>
        <w:t xml:space="preserve"> [2020] UKSC 22 tại đoạn 34. 2. </w:t>
      </w:r>
      <w:r>
        <w:rPr>
          <w:b w:val="0"/>
          <w:i/>
        </w:rPr>
        <w:t>Yates v The Queen</w:t>
      </w:r>
      <w:r>
        <w:rPr>
          <w:b w:val="0"/>
          <w:i w:val="0"/>
        </w:rPr>
        <w:t xml:space="preserve"> [2001] CanLII 772 (TCC). 3. Công ước giữa Chính phủ Vương quốc Liên hiệp Anh và Bắc Ireland và Chính phủ Canada về Tránh đánh thuế hai lần và Ngăn ngừa trốn thuế liên quan đến Thuế đánh trên Thu nhập và Lợi nhuận Vốn ngày 8 tháng 9 năm 1978 (SI 1980/709). 4. </w:t>
      </w:r>
      <w:r>
        <w:rPr>
          <w:b w:val="0"/>
          <w:i/>
        </w:rPr>
        <w:t>Ping Zong v The Queen</w:t>
      </w:r>
      <w:r>
        <w:rPr>
          <w:b w:val="0"/>
          <w:i w:val="0"/>
        </w:rPr>
        <w:t xml:space="preserve"> [2019] TCC 270.</w:t>
      </w:r>
    </w:p>
    <w:p>
      <w:pPr>
        <w:spacing w:after="80"/>
      </w:pPr>
      <w:r>
        <w:rPr>
          <w:b w:val="0"/>
          <w:i w:val="0"/>
        </w:rPr>
        <w:t>154</w:t>
      </w:r>
    </w:p>
    <w:p>
      <w:pPr>
        <w:spacing w:after="80"/>
      </w:pPr>
      <w:r>
        <w:rPr>
          <w:b w:val="0"/>
          <w:i w:val="0"/>
        </w:rPr>
        <w:t>và lợi nhuận thuế'. Những vấn đề tương tự sẽ nảy sinh liên quan đến các loại thuế nước ngoài được xác định trong hiệp định.</w:t>
      </w:r>
    </w:p>
    <w:p>
      <w:pPr>
        <w:spacing w:after="80"/>
      </w:pPr>
      <w:r>
        <w:rPr>
          <w:b w:val="0"/>
          <w:i w:val="0"/>
        </w:rPr>
        <w:t>Các hiệp định thuế thường được ký kết trên cơ sở rằng chúng sẽ tồn tại trong một số năm. Do đó, chúng được thiết kế để mang lại sự ổn định bất chấp những phát triển của luật trong nước. Tuy nhiên, những thay đổi trong hệ thống thuế vẫn được tính đến. Điều này được đề cập trong phần từ ngữ, mà điều 2(4) của Hiệp định Hàn Quốc-Anh là một ví dụ điển hình (xem bên dưới):</w:t>
      </w:r>
    </w:p>
    <w:p>
      <w:pPr>
        <w:spacing w:after="80"/>
      </w:pPr>
      <w:r>
        <w:rPr>
          <w:b w:val="0"/>
          <w:i w:val="0"/>
        </w:rPr>
        <w:t>2(4) Công ước cũng sẽ áp dụng cho bất kỳ loại thuế nào giống hệt hoặc về cơ bản tương tự được áp đặt sau ngày ký Công ước này, bổ sung hoặc thay thế các loại thuế hiện có. Các cơ quan có thẩm quyền của các Quốc gia Ký kết sẽ thông báo cho nhau về bất kỳ thay đổi quan trọng nào đã được thực hiện trong luật thuế tương ứng của mình.</w:t>
      </w:r>
    </w:p>
    <w:p>
      <w:pPr>
        <w:spacing w:after="80"/>
      </w:pPr>
      <w:r>
        <w:rPr>
          <w:b w:val="0"/>
          <w:i w:val="0"/>
        </w:rPr>
        <w:t>Khi các loại thuế mới 'về cơ bản tương tự' và liệu chúng được 'bổ sung hoặc thay thế các loại thuế hiện có' có thể tạo ra phạm vi tranh luận nhưng chưa gây ra khó khăn nghiêm trọng trong thực tiễn của Vương quốc Anh. Việc bãi bỏ thuế phụ thu và thuế lợi nhuận không gây ra bất kỳ sự không chắc chắn nào về việc liệu thuế thu nhập ở dạng hiện tại có nằm trong các hiệp định cũ hơn đó hay không. Tương tự như vậy, thuế doanh nghiệp về cơ bản là tương tự.</w:t>
      </w:r>
    </w:p>
    <w:p>
      <w:pPr>
        <w:spacing w:after="80"/>
      </w:pPr>
      <w:r>
        <w:rPr>
          <w:b w:val="0"/>
          <w:i w:val="0"/>
        </w:rPr>
        <w:t xml:space="preserve">Điều này cũng đúng khi thuế lãi vốn không được đề cập trong một hiệp định. Tòa án Cấp cao Ireland đã phán quyết rằng thuế lãi vốn của Ireland được ban hành năm 1975 và không chỉ thuế lãi vốn của Ý đã tồn tại trước đó là một loại thuế thuộc điều 2 của hiệp định đánh thuế hai lần Ireland-Ý năm 1971 trong </w:t>
      </w:r>
      <w:r>
        <w:rPr>
          <w:b w:val="0"/>
          <w:i/>
        </w:rPr>
        <w:t>Kinsella v Revenue Commissioners</w:t>
      </w:r>
      <w:r>
        <w:rPr>
          <w:b w:val="0"/>
          <w:i w:val="0"/>
        </w:rPr>
        <w:t xml:space="preserve">.5 Ý định bao gồm thuế đối với lợi nhuận từ việc chuyển nhượng tài sản động sản hoặc bất động sản và ý định bao gồm các loại thuế giống hệt trong tương lai đã rõ ràng từ ý nghĩa thông thường của điều 2(2) và 2(4) tương ứng. Điều này được hỗ trợ theo ngữ cảnh bởi điều 12 về lãi vốn. Tương tự, trong </w:t>
      </w:r>
      <w:r>
        <w:rPr>
          <w:b w:val="0"/>
          <w:i/>
        </w:rPr>
        <w:t>Undershaft (No 1) Limited v Commissioner of Taxation</w:t>
      </w:r>
      <w:r>
        <w:rPr>
          <w:b w:val="0"/>
          <w:i w:val="0"/>
        </w:rPr>
        <w:t>6 Tòa án Liên bang Úc đã xem xét Hiệp định Úc-Anh (1967).7 Mặc dù thuế lãi vốn được đề cập cụ thể như một loại thuế của Vương quốc Anh trong phạm vi hiệp định, nhưng không có đề cập tương tự liên quan đến thuế của Úc. Thuế lãi vốn chỉ được ban hành ở Úc vào năm 1986. Tòa án kết luận rằng thuế lãi vốn là một 'loại thuế về cơ bản tương tự' với 'thuế thu nhập của Khối thịnh vượng chung'.8</w:t>
      </w:r>
    </w:p>
    <w:p>
      <w:pPr>
        <w:spacing w:after="80"/>
      </w:pPr>
      <w:r>
        <w:rPr>
          <w:b w:val="0"/>
          <w:i w:val="0"/>
        </w:rPr>
        <w:t xml:space="preserve">Tuy nhiên, có rất ít hướng dẫn tư pháp của Vương quốc Anh về những cách diễn đạt này. Trong </w:t>
      </w:r>
      <w:r>
        <w:rPr>
          <w:b w:val="0"/>
          <w:i/>
        </w:rPr>
        <w:t>Ashanti Goldfields Corporation Limited v Merrifield</w:t>
      </w:r>
      <w:r>
        <w:rPr>
          <w:b w:val="0"/>
          <w:i w:val="0"/>
        </w:rPr>
        <w:t>,9 một loại thuế thu nhập đã được áp đặt lên những người nắm giữ nhượng quyền khai thác mỏ ở Thuộc địa Gold Coast (nay là Ghana). Người nộp thuế, một công ty cư trú tại Vương quốc Anh, được miễn trừ rõ ràng khỏi loại thuế đó. Bằng chứng được trình bày rằng lý do miễn trừ là vì công ty đang trả tiền bản quyền dựa trên tổng thu nhập từ khai thác mỏ và khai thác dầu trước khi loại thuế được ban hành. Thuế của Thuộc địa Gold Coast tự nó có thể được khấu trừ, và người ta lập luận rằng tiền bản quyền trên tổng</w:t>
      </w:r>
    </w:p>
    <w:p>
      <w:pPr>
        <w:spacing w:after="80"/>
      </w:pPr>
      <w:r>
        <w:rPr>
          <w:b w:val="0"/>
          <w:i w:val="0"/>
        </w:rPr>
        <w:t>5.</w:t>
      </w:r>
      <w:r>
        <w:rPr>
          <w:b w:val="0"/>
          <w:i/>
        </w:rPr>
        <w:t>Kinsella v The Revenue Commissioners</w:t>
      </w:r>
      <w:r>
        <w:rPr>
          <w:b w:val="0"/>
          <w:i w:val="0"/>
        </w:rPr>
        <w:t xml:space="preserve"> [2007] IEHC 250.6.</w:t>
      </w:r>
      <w:r>
        <w:rPr>
          <w:b w:val="0"/>
          <w:i/>
        </w:rPr>
        <w:t>Undershaft (No 1) Limited v Commissioner of Taxation</w:t>
      </w:r>
      <w:r>
        <w:rPr>
          <w:b w:val="0"/>
          <w:i w:val="0"/>
        </w:rPr>
        <w:t xml:space="preserve"> [2009] FCA 41.7.</w:t>
      </w:r>
      <w:r>
        <w:rPr>
          <w:b w:val="0"/>
          <w:i/>
        </w:rPr>
        <w:t>Agreement between the Government of the Commonwealth of Australia and the Government of the United Kingdom of Great Britain and Northern Ireland for the Avoidance of Double Taxation and the Prevention of Fiscal Evasion with respect to Taxes on Income and Capital Gains of 7 December 1967</w:t>
      </w:r>
      <w:r>
        <w:rPr>
          <w:b w:val="0"/>
          <w:i w:val="0"/>
        </w:rPr>
        <w:t xml:space="preserve"> (SI 1968/305) (Superseded).8.Tại các đoạn 128-135. Xem thêm Tax Review Board (Canada) trong </w:t>
      </w:r>
      <w:r>
        <w:rPr>
          <w:b w:val="0"/>
          <w:i/>
        </w:rPr>
        <w:t>Gadsden v Minister of National Revenue</w:t>
      </w:r>
      <w:r>
        <w:rPr>
          <w:b w:val="0"/>
          <w:i w:val="0"/>
        </w:rPr>
        <w:t xml:space="preserve"> 83 DTC 127; [1983] CTC 2132 tại đoạn 4.03 liên quan đến Hiệp định Canada-Anh (1966).9.</w:t>
      </w:r>
      <w:r>
        <w:rPr>
          <w:b w:val="0"/>
          <w:i/>
        </w:rPr>
        <w:t>Ashanti Goldfields Corporation Limited v Merrifield</w:t>
      </w:r>
      <w:r>
        <w:rPr>
          <w:b w:val="0"/>
          <w:i w:val="0"/>
        </w:rPr>
        <w:t xml:space="preserve"> (1934) 19 TC 52.</w:t>
      </w:r>
    </w:p>
    <w:p>
      <w:pPr>
        <w:spacing w:after="80"/>
      </w:pPr>
      <w:r>
        <w:rPr>
          <w:b w:val="0"/>
          <w:i w:val="0"/>
        </w:rPr>
        <w:t>155</w:t>
      </w:r>
    </w:p>
    <w:p>
      <w:pPr>
        <w:spacing w:after="80"/>
      </w:pPr>
      <w:r>
        <w:rPr>
          <w:b w:val="0"/>
          <w:i w:val="0"/>
        </w:rPr>
        <w:t>thu nhập tương ứng với mức thuế 5% trên lợi nhuận ròng và là khoản thanh toán của loại thuế liên quan, tương ứng với thuế thu nhập của Vương quốc Anh. Lập luận này đã thất bại.</w:t>
      </w:r>
    </w:p>
    <w:p>
      <w:pPr>
        <w:spacing w:after="80"/>
      </w:pPr>
      <w:r>
        <w:rPr>
          <w:b w:val="0"/>
          <w:i w:val="0"/>
        </w:rPr>
        <w:t xml:space="preserve">Các tiêu chí phù hợp để quyết định liệu một loại thuế nước ngoài có tương ứng với thuế thu nhập và thuế doanh nghiệp hay không đã được xem xét trong </w:t>
      </w:r>
      <w:r>
        <w:rPr>
          <w:b w:val="0"/>
          <w:i/>
        </w:rPr>
        <w:t>Yates v GCA International Limited</w:t>
      </w:r>
      <w:r>
        <w:rPr>
          <w:b w:val="0"/>
          <w:i w:val="0"/>
        </w:rPr>
        <w:t>.10 Nhằm mục đích giảm thuế hai lần, thuế nước ngoài phải 'tương ứng với thuế thu nhập hoặc thuế doanh nghiệp của Vương quốc Anh'. Cả hai bên đều đồng ý rằng điều này có nghĩa là nó phải có đặc tính hoặc chức năng hoặc tương tự với những loại thuế đó. Cơ quan Thuế chấp nhận rằng thuế của Venezuela được đánh trên thu nhập nhưng cho rằng nó không tương ứng với thuế thu nhập hoặc thuế doanh nghiệp ở Vương quốc Anh. Cơ quan Thuế đưa ra kết luận này trên cơ sở rằng thuế của Venezuela là loại thuế đánh trên 90% tổng thu nhập và không phải là thuế trên doanh thu. Tuy nhiên, Thẩm phán Scott đã xem xét toàn bộ Bộ luật Thuế của Venezuela, vốn cho phép khấu trừ chi phí nói chung. Trong trường hợp cụ thể này, thu nhập ròng được coi là 90% tổng thu nhập. Mặc dù điều này không thực tế trong hoàn cảnh đó, nhưng không phù hợp để chọn ra một số yếu tố nhất định của các quy tắc Venezuela vì xét về tổng thể chúng phục vụ cùng chức năng như thuế thu nhập và thuế doanh nghiệp ở Vương quốc Anh.</w:t>
      </w:r>
    </w:p>
    <w:p>
      <w:pPr>
        <w:spacing w:after="80"/>
      </w:pPr>
      <w:r>
        <w:rPr>
          <w:b w:val="0"/>
          <w:i w:val="0"/>
        </w:rPr>
        <w:t xml:space="preserve">Trong </w:t>
      </w:r>
      <w:r>
        <w:rPr>
          <w:b w:val="0"/>
          <w:i/>
        </w:rPr>
        <w:t>John P. McManus v CIR,</w:t>
      </w:r>
      <w:r>
        <w:rPr>
          <w:b w:val="0"/>
          <w:i w:val="0"/>
        </w:rPr>
        <w:t>11 Tòa án Yêu cầu của Hoa Kỳ đã bác bỏ lập luận rằng một công dân Ireland cư trú tại Thụy Sĩ nhưng phải chịu thuế cư trú của Ireland, đủ điều kiện là cư dân của Ireland theo điều 4(1)(a) của Hiệp định Ireland-Hoa Kỳ. Ông không đáp ứng các bài kiểm tra cư trú của Ireland đối với thuế thu nhập, thuế doanh nghiệp hoặc thuế lãi vốn được liệt kê trong điều 2(1)(b) của Hiệp định. Thuế cư trú áp dụng cho các cá nhân có hộ khẩu thường trú tại Ireland sở hữu tài sản đáng kể ở Ireland với thu nhập toàn cầu cao, trong khi chỉ một phần nhỏ phải chịu thuế thu nhập của Ireland. Nghĩa vụ thuế trong điều khoản đó được cho là chỉ đề cập đến các loại thuế được liệt kê trong điều 2 của Hiệp định. Tòa án quyết định rằng thuế cư trú không phải là một loại thuế về cơ bản tương tự, chủ yếu dựa vào các tuyên bố từ Cơ quan Thuế Ireland và Bộ trưởng Tài chính (rằng đó là thuế tài sản) và rằng nó không nằm trong điều 2.</w:t>
      </w:r>
    </w:p>
    <w:p>
      <w:pPr>
        <w:spacing w:after="80"/>
      </w:pPr>
      <w:r>
        <w:rPr>
          <w:b w:val="0"/>
          <w:i w:val="0"/>
        </w:rPr>
        <w:t xml:space="preserve">Trong </w:t>
      </w:r>
      <w:r>
        <w:rPr>
          <w:b w:val="0"/>
          <w:i/>
        </w:rPr>
        <w:t>Bricom Holdings Limited v IRC</w:t>
      </w:r>
      <w:r>
        <w:rPr>
          <w:b w:val="0"/>
          <w:i w:val="0"/>
        </w:rPr>
        <w:t>,12 người ta đã phán quyết rằng khoản thuế đối với công ty nước ngoài được kiểm soát (CFC) theo ICTA 1988, s. 747, không phải là thuế doanh nghiệp mà là một khoản thuế riêng biệt. Người ta lập luận rằng tuy nhiên nó 'về cơ bản tương tự' với thuế doanh nghiệp. Sự khác biệt giữa khoản thuế CFC và thuế doanh nghiệp chủ yếu là loại thuế này chỉ được đánh trên các công ty cư trú tại Vương quốc Anh có lợi ích trong các CFC. Nó không được đánh trên lợi nhuận của chính công ty Vương quốc Anh, mà trên lợi nhuận được tính về cơ bản giống như đối với thuế doanh nghiệp, ngoại trừ việc lãi vốn không được bao gồm. Một số giả định phải được đưa ra, chẳng hạn như công ty không phải là công ty thân hữu và nó không phải là một phần của nhóm CFC được phân bổ cho nó và các khoản giảm trừ duy nhất là như được quy định trong ICTA 1988, Sch. 26. Tại đoạn 25, các Ủy viên Đặc biệt coi cơ sở tính thuế là yếu tố quan trọng nhất trong việc xác định sự tương đồng, cho thấy rằng một loại thuế được tính trên cùng cơ sở như thuế doanh nghiệp nhưng được đánh trên một nhóm công ty cụ thể với một số biến thể phù hợp với nhóm đó, có thể về cơ bản tương tự với thuế doanh nghiệp. Các Ủy viên Đặc biệt cho rằng có sự khác biệt không chỉ ở</w:t>
      </w:r>
    </w:p>
    <w:p>
      <w:pPr>
        <w:spacing w:after="80"/>
      </w:pPr>
      <w:r>
        <w:rPr>
          <w:b w:val="0"/>
          <w:i w:val="0"/>
        </w:rPr>
        <w:t>10.</w:t>
      </w:r>
      <w:r>
        <w:rPr>
          <w:b w:val="0"/>
          <w:i/>
        </w:rPr>
        <w:t>Yates v GCA International Limited</w:t>
      </w:r>
      <w:r>
        <w:rPr>
          <w:b w:val="0"/>
          <w:i w:val="0"/>
        </w:rPr>
        <w:t xml:space="preserve"> [1991] BTC 107; [1991] STC 157 (Ch. D).11.</w:t>
      </w:r>
      <w:r>
        <w:rPr>
          <w:b w:val="0"/>
          <w:i/>
        </w:rPr>
        <w:t>John P. McManus v Commissioner of Internal Revenue</w:t>
      </w:r>
      <w:r>
        <w:rPr>
          <w:b w:val="0"/>
          <w:i w:val="0"/>
        </w:rPr>
        <w:t>, Court of Federal Claims, No. 15-946T, (3 March 2017).12.</w:t>
      </w:r>
      <w:r>
        <w:rPr>
          <w:b w:val="0"/>
          <w:i/>
        </w:rPr>
        <w:t>Bricom Holdings Ltd v Inland Revenue Commissioners</w:t>
      </w:r>
      <w:r>
        <w:rPr>
          <w:b w:val="0"/>
          <w:i w:val="0"/>
        </w:rPr>
        <w:t xml:space="preserve"> [1997] BTC 471; [1997] STC 1179 (CA).</w:t>
      </w:r>
    </w:p>
    <w:p>
      <w:pPr>
        <w:spacing w:after="80"/>
      </w:pPr>
      <w:r>
        <w:rPr>
          <w:b w:val="0"/>
          <w:i w:val="0"/>
        </w:rPr>
        <w:t>156</w:t>
      </w:r>
    </w:p>
    <w:p>
      <w:pPr>
        <w:spacing w:after="80"/>
      </w:pPr>
      <w:r>
        <w:rPr>
          <w:b w:val="0"/>
          <w:i w:val="0"/>
        </w:rPr>
        <w:t>nhóm công ty bị đánh thuế mà còn ở cách tính lợi nhuận, người bị đánh thuế trên lợi nhuận đó và các khoản giảm trừ có sẵn để bù trừ. Họ nói rằng vấn đề này là một vấn đề về mức độ, nhưng họ nghiêng về quan điểm rằng sự khác biệt so với thuế doanh nghiệp không lớn đến mức ngăn cản khoản thuế CFC về cơ bản tương tự với thuế doanh nghiệp. Luật trong nước của Vương quốc Anh khác với các hiệp định ở khía cạnh này. TIOPA 2010, Phần 2 Chương 1 có hiệu lực đối với các hiệp định quy định về giảm thuế liên quan đến thuế thu nhập và thuế doanh nghiệp. Thẩm quyền để các hiệp định ảnh hưởng đến các loại thuế 'có tính chất tương tự' chỉ áp dụng cho các loại thuế do quốc gia ký kết kia áp đặt.13 Vì khiếu nại của người nộp thuế đã thất bại tại Tòa án Phúc thẩm vì các lý do khác, vấn đề này không được xem xét thêm.</w:t>
      </w:r>
    </w:p>
    <w:p>
      <w:pPr>
        <w:spacing w:after="80"/>
      </w:pPr>
      <w:r>
        <w:rPr>
          <w:b w:val="0"/>
          <w:i w:val="0"/>
        </w:rPr>
        <w:t>Các loại thuế khác xuất hiện hoặc đã từng xuất hiện trong các hiệp định thuế thu nhập bao gồm thuế đất phát triển và thuế doanh thu dầu khí. Thuế đất phát triển đã bị bãi bỏ đối với các sự kiện sau ngày 18 tháng 3 năm 1985 bởi FA 1985, s. 93. Vào thời điểm đó, Tuyên bố Thực hành của Cơ quan Thuế SP4/84 bày tỏ quan điểm rằng thuế đất phát triển không được các hiệp định ký kết trước khi nó được ban hành đề cập. Nó được đưa vào cụ thể trong một số hiệp định được ký kết vào những năm 1960, 1970 và 1980 cho đến thời điểm nó bị bãi bỏ. Thuế doanh thu dầu khí được chấp nhận là loại thuế tương tự như thuế thu nhập, thuế lãi vốn và thuế doanh nghiệp. Khi một loại thuế nước ngoài được xác định cụ thể trong một hiệp định, thì phải được khấu trừ.14</w:t>
      </w:r>
    </w:p>
    <w:p>
      <w:pPr>
        <w:spacing w:after="80"/>
      </w:pPr>
      <w:r>
        <w:rPr>
          <w:b w:val="0"/>
          <w:i w:val="0"/>
        </w:rPr>
        <w:t xml:space="preserve">Liên quan đến các hiệp định đó theo Mô hình OECD khi mô tả các loại thuế nói chung, sẽ cần phải xác định những loại thuế nào nằm trong phạm vi của hiệp định. Trong hầu hết các trường hợp, chúng được xác định một cách hữu ích trong </w:t>
      </w:r>
      <w:r>
        <w:rPr>
          <w:b w:val="0"/>
          <w:i/>
        </w:rPr>
        <w:t>Sổ tay Giảm trừ Thuế Hai lần</w:t>
      </w:r>
      <w:r>
        <w:rPr>
          <w:b w:val="0"/>
          <w:i w:val="0"/>
        </w:rPr>
        <w:t xml:space="preserve"> của HMRC, mặc dù việc không đề cập đến các loại thuế cụ thể có thể có nghĩa là có thể lập luận rằng một số loại thuế mà HMRC không xem xét vẫn nằm trong phạm vi của hiệp định. Nghĩa vụ của các Quốc gia Thành viên trong việc trao đổi thông tin về những phát triển quan trọng không đặt ra vấn đề quan trọng nào cho người nộp thuế.</w:t>
      </w:r>
    </w:p>
    <w:p>
      <w:pPr>
        <w:spacing w:after="80"/>
      </w:pPr>
      <w:r>
        <w:rPr>
          <w:b/>
          <w:i w:val="0"/>
        </w:rPr>
        <w:t>[A] Thuế Lợi nhuận Chuyển hướng và Thuế Dịch vụ Kỹ thuật số</w:t>
      </w:r>
    </w:p>
    <w:p>
      <w:pPr>
        <w:spacing w:after="80"/>
      </w:pPr>
      <w:r>
        <w:rPr>
          <w:b w:val="0"/>
          <w:i w:val="0"/>
        </w:rPr>
        <w:t>Hai loại thuế mới được Vương quốc Anh ban hành trong bối cảnh Xói mòn Cơ sở và Chuyển dịch Lợi nhuận là Thuế Lợi nhuận Chuyển hướng15 và Thuế Dịch vụ Kỹ thuật số. Cả hai đều được soạn thảo tách biệt với thuế thu nhập và thuế doanh nghiệp. Việc liệu chúng có tương tự về bản chất với các loại thuế nằm trong phạm vi của các hiệp định thuế thu nhập hay không có khả năng sẽ gây tranh cãi. HMRC cho rằng Thuế Lợi nhuận Chuyển hướng không nằm trong phạm vi các hiệp định thuế.16 Mặc dù loại thuế này đánh trên lợi nhuận danh nghĩa, nhưng nó phần lớn được tính toán theo cùng cách như đối với mục đích thuế doanh nghiệp.17</w:t>
      </w:r>
    </w:p>
    <w:p>
      <w:pPr>
        <w:spacing w:after="80"/>
      </w:pPr>
      <w:r>
        <w:rPr>
          <w:b w:val="0"/>
          <w:i w:val="0"/>
        </w:rPr>
        <w:t>Thuế Dịch vụ Kỹ thuật số được ban hành bởi Đạo luật Tài chính 2020, Phần 2 là một loại thuế riêng biệt đánh trên một số dịch vụ kỹ thuật số nhất định.18 Khi phân tích loại thuế này nhằm mục đích đánh giá</w:t>
      </w:r>
    </w:p>
    <w:p>
      <w:pPr>
        <w:spacing w:after="80"/>
      </w:pPr>
      <w:r>
        <w:rPr>
          <w:b w:val="0"/>
          <w:i w:val="0"/>
        </w:rPr>
        <w:t>13. ICTA 1988, s. 788(1)(c). 14. Xem, ví dụ, thuế tiêu thụ đặc biệt liên bang Hoa Kỳ đối với các hợp đồng bảo hiểm trong Hiệp định Hoa Kỳ - Vương quốc Anh (2001), điều 2(3)(a)(ii) và HMRC, Tax Bulletin 70, tháng 4 năm 2004 (TB 4/04-5). 15. Xem Chương 7, §7.15 và Chương 9, §9.17. 16. Xem Chương 2, §2.15. Nếu loại thuế này thực sự được áp dụng thì nó sẽ trở nên không còn liên quan ở Vương quốc Anh đối với các trường hợp mà một hiệp định được viện dẫn theo lý do điều 5 hoặc 9 trong nhiều tình huống. 17. FA 2015, ss 82(7) và 88(5). 18. Xem Chương 9, §9.18.</w:t>
      </w:r>
    </w:p>
    <w:p>
      <w:pPr>
        <w:spacing w:after="80"/>
      </w:pPr>
      <w:r>
        <w:rPr>
          <w:b w:val="0"/>
          <w:i w:val="0"/>
        </w:rPr>
        <w:t>157</w:t>
      </w:r>
    </w:p>
    <w:p>
      <w:pPr>
        <w:spacing w:after="80"/>
      </w:pPr>
      <w:r>
        <w:rPr>
          <w:b w:val="0"/>
          <w:i w:val="0"/>
        </w:rPr>
        <w:t>phạm vi cho các biện pháp trả đũa theo Đạo luật Thương mại Hoa Kỳ năm 1974, báo cáo của Đại diện Thương mại Hoa Kỳ tránh đánh giá Thuế Dịch vụ Kỹ thuật số là tương tự với các loại thuế được liệt kê trong điều 2 của Hiệp định thuế thu nhập Vương quốc Anh - Hoa Kỳ.19 Báo cáo tập trung vào thực tế rằng loại thuế này đánh trên doanh thu chứ không phải trên lợi nhuận. Báo cáo kết luận rằng nó cũng không phải là thuế doanh thu.</w:t>
      </w:r>
    </w:p>
    <w:p>
      <w:pPr>
        <w:spacing w:after="80"/>
      </w:pPr>
      <w:r>
        <w:rPr>
          <w:b/>
          <w:i w:val="0"/>
        </w:rPr>
        <w:t>[B] Hiệp định Thuế Bất động sản, Thừa kế và Quà tặng</w:t>
      </w:r>
    </w:p>
    <w:p>
      <w:pPr>
        <w:spacing w:after="80"/>
      </w:pPr>
      <w:r>
        <w:rPr>
          <w:b w:val="0"/>
          <w:i w:val="0"/>
        </w:rPr>
        <w:t>Tất cả trừ hai hiệp định của Vương quốc Anh liên quan đến việc đánh thuế bất động sản, thừa kế và quà tặng đều có trước sự ra đời của thuế thừa kế vào năm 1984.20 Các hiệp định sớm nhất được diễn đạt để áp dụng cho thuế bất động sản,21 với một nhóm hiệp định sau này đề cập đến thuế chuyển nhượng vốn.22 HMRC xác định mỗi hiệp định là đang có hiệu lực.23 Điều này cho thấy rằng ít nhất họ công nhận thuế thừa kế là loại thuế của Vương quốc Anh nằm trong phạm vi của các hiệp định đó.</w:t>
      </w:r>
    </w:p>
    <w:p>
      <w:pPr>
        <w:spacing w:after="80"/>
      </w:pPr>
      <w:r>
        <w:rPr>
          <w:b/>
          <w:i w:val="0"/>
        </w:rPr>
        <w:t>[C] Hiệp định Thuế Ngân hàng</w:t>
      </w:r>
    </w:p>
    <w:p>
      <w:pPr>
        <w:spacing w:after="80"/>
      </w:pPr>
      <w:r>
        <w:rPr>
          <w:b w:val="0"/>
          <w:i w:val="0"/>
        </w:rPr>
        <w:t>Các hiệp định mới được thiết kế để loại bỏ việc đánh thuế hai lần khi một ngân hàng phải chịu thuế ngân hàng ở cả Vương quốc Anh và quốc gia ký kết khác đã được ký kết giữa Vương quốc Anh và Đức và giữa Vương quốc Anh và Hà Lan.24 Trong mỗi trường hợp, hiệp định xác định cụ thể thuế ngân hàng được quy định tại Phụ lục 19 của FA 2011 và dẫn chiếu luật định đến các loại thuế tương đương của Đức và Hà Lan.25</w:t>
      </w:r>
    </w:p>
    <w:p>
      <w:pPr>
        <w:spacing w:after="80"/>
      </w:pPr>
      <w:r>
        <w:rPr>
          <w:b/>
          <w:i w:val="0"/>
        </w:rPr>
        <w:t>[D] Hiệp định Hợp tác Hành chính</w:t>
      </w:r>
    </w:p>
    <w:p>
      <w:pPr>
        <w:spacing w:after="80"/>
      </w:pPr>
      <w:r>
        <w:rPr>
          <w:b w:val="0"/>
          <w:i w:val="0"/>
        </w:rPr>
        <w:t>Ngược lại, các hiệp định nhằm đảm bảo hợp tác hành chính áp dụng cho một loạt các loại thuế rộng lớn. Các thỏa thuận trao đổi thông tin thuế áp dụng cho tất cả các loại thuế. Thỏa thuận trao đổi thông tin thuế giữa Aruba và Vương quốc Anh chẳng hạn có nội dung:</w:t>
      </w:r>
    </w:p>
    <w:p>
      <w:pPr>
        <w:spacing w:after="80"/>
      </w:pPr>
      <w:r>
        <w:rPr>
          <w:b w:val="0"/>
          <w:i w:val="0"/>
        </w:rPr>
        <w:t xml:space="preserve">19. Văn phòng Đại diện Thương mại Hoa Kỳ, </w:t>
      </w:r>
      <w:r>
        <w:rPr>
          <w:b w:val="0"/>
          <w:i/>
        </w:rPr>
        <w:t>Báo cáo về Thuế Dịch vụ Kỹ thuật số của Vương quốc Anh được chuẩn bị trong Cuộc điều tra theo mục 301 của Đạo luật Thương mại năm 1974</w:t>
      </w:r>
      <w:r>
        <w:rPr>
          <w:b w:val="0"/>
          <w:i w:val="0"/>
        </w:rPr>
        <w:t xml:space="preserve">, ngày 13 tháng 1 năm 2021. Nếu loại thuế này là tương tự, hoạt động của nó sẽ bị giới hạn ở Vương quốc Anh bởi các điều 5 và 7 và, tương tự, việc khấu trừ sẽ được yêu cầu thực hiện ở Hoa Kỳ trong phạm vi nó áp dụng ở Vương quốc Anh theo điều 24. 20. </w:t>
      </w:r>
      <w:r>
        <w:rPr>
          <w:b w:val="0"/>
          <w:i/>
        </w:rPr>
        <w:t>Đạo luật Thuế Thừa kế</w:t>
      </w:r>
      <w:r>
        <w:rPr>
          <w:b w:val="0"/>
          <w:i w:val="0"/>
        </w:rPr>
        <w:t xml:space="preserve"> 1984. 21. Xem, ví dụ, Thỏa thuận giữa Chính phủ Vương quốc Liên hiệp Anh và Bắc Ireland và Chính phủ Pakistan về Việc Tránh Đánh thuế Hai lần và Ngăn ngừa Trốn thuế Tài chính đối với Thuế Bất động sản của Người đã qua đời ngày 8 tháng 6 năm 1957 (SI 1957/1522), điều 1(1). 22. Xem, ví dụ, Công ước giữa Chính phủ Vương quốc Liên hiệp Anh và Bắc Ireland và Chính phủ Cộng hòa Ireland về Việc Tránh Đánh thuế Hai lần và Ngăn ngừa Trốn thuế Tài chính đối với Thuế Bất động sản của Người đã qua đời và Thuế Thừa kế và Thuế Quà tặng ngày 7 tháng 12 năm 1977 (SI 1978/1107), điều 2(1)(b). 23. HMRC, Sổ tay Thuế Thừa kế, IHTM27161. 24. Hiệp định Thuế Ngân hàng Đức - Vương quốc Anh (2011); Công ước giữa Chính phủ Vương quốc Liên hiệp Anh và Bắc Ireland và Chính phủ Vương quốc Hà Lan về Việc Tránh Đánh thuế Hai lần và Ngăn ngừa Trốn thuế Tài chính đối với Thuế Ngân hàng ngày 12 tháng 6 năm 2013 (SI 2015/335). Hiệp định đã bị chấm dứt bằng trao đổi công hàm, ngày 20 tháng 2 năm 2017. 25. Điều 2(2).</w:t>
      </w:r>
    </w:p>
    <w:p>
      <w:pPr>
        <w:spacing w:after="80"/>
      </w:pPr>
      <w:r>
        <w:rPr>
          <w:b w:val="0"/>
          <w:i w:val="0"/>
        </w:rPr>
        <w:t>158</w:t>
      </w:r>
    </w:p>
    <w:p>
      <w:pPr>
        <w:spacing w:after="80"/>
      </w:pPr>
      <w:r>
        <w:rPr>
          <w:b w:val="0"/>
          <w:i w:val="0"/>
        </w:rPr>
        <w:t>Các loại thuế là đối tượng của Thỏa thuận này là các loại thuế hiện hành thuộc mọi loại và mọi tính chất được áp đặt bởi hoặc thay mặt cho các Bên ký kết.26</w:t>
      </w:r>
    </w:p>
    <w:p>
      <w:pPr>
        <w:spacing w:after="80"/>
      </w:pPr>
      <w:r>
        <w:rPr>
          <w:b w:val="0"/>
          <w:i w:val="0"/>
        </w:rPr>
        <w:t>'Thuế' được định nghĩa một cách không mấy hữu ích là 'bất kỳ loại thuế nào mà hiệp định áp dụng'27 Vì các thuật ngữ không được định nghĩa phải được hiểu theo nghĩa mà chúng có theo luật trong nước của quốc gia áp dụng hiệp định, nên các câu hỏi về việc liệu một khoản phí cụ thể có phải là 'thuế' hay không thường sẽ được giải quyết theo luật trong nước.</w:t>
      </w:r>
    </w:p>
    <w:p>
      <w:pPr>
        <w:spacing w:after="80"/>
      </w:pPr>
      <w:r>
        <w:rPr>
          <w:b w:val="0"/>
          <w:i w:val="0"/>
        </w:rPr>
        <w:t>Việc xác định các loại thuế liên quan phức tạp hơn trong Công ước Hỗ trợ Tương trợ Hành chính Đa phương chung của Hội đồng Châu Âu/OECD.28 Hiệp định này nhằm bao quát mọi hình thức thanh toán bắt buộc cho chính phủ nói chung (tức là cho chính quyền trung ương, các đơn vị hành chính trực thuộc hoặc chính quyền địa phương và các cơ quan an sinh xã hội) với ngoại lệ duy nhất là các loại thuế quan và mọi loại thuế và phí xuất nhập khẩu khác.29 Điều 2(1) liệt kê các loại thuế mà Công ước bao quát, được nhóm lại để tính đến thực tế rằng không phải tất cả các quốc gia đều có khả năng hoặc sẵn sàng cung cấp hỗ trợ cho một số loại thuế nhất định và có thể đưa ra bảo lưu theo Điều 30. Các loại thuế do chính quyền trung ương đánh trên thu nhập hoặc lợi nhuận, trên lãi vốn hoặc trên tài sản ròng được liệt kê trong điều 1(1)(a) không thể là đối tượng của bảo lưu. Các loại thuế do chính quyền trung ương đánh không phải trên thu nhập, lợi nhuận, lãi vốn hoặc tài sản ròng và những loại thuế do các cấp chính quyền khác ngoài chính quyền trung ương đánh được liệt kê trong điều 1(1)(b) có thể là đối tượng của bảo lưu. Các loại thuế hiện hành của mỗi quốc gia ký kết được liệt kê trong Phụ lục A30</w:t>
      </w:r>
    </w:p>
    <w:p>
      <w:pPr>
        <w:spacing w:after="80"/>
      </w:pPr>
      <w:r>
        <w:rPr>
          <w:b w:val="0"/>
          <w:i w:val="0"/>
        </w:rPr>
        <w:t>và các thay đổi chỉ có hiệu lực ba tháng sau khi một quốc gia ký kết thông báo.31</w:t>
      </w:r>
    </w:p>
    <w:p>
      <w:pPr>
        <w:spacing w:after="80"/>
      </w:pPr>
      <w:r>
        <w:rPr>
          <w:b/>
          <w:i w:val="0"/>
        </w:rPr>
        <w:t>§5.03 PHẠM VI LÃNH THỔ</w:t>
      </w:r>
    </w:p>
    <w:p>
      <w:pPr>
        <w:spacing w:after="80"/>
      </w:pPr>
      <w:r>
        <w:rPr>
          <w:b w:val="0"/>
          <w:i w:val="0"/>
        </w:rPr>
        <w:t>Tất cả các hiệp định của Vương quốc Anh đều quy định phạm vi lãnh thổ của chúng. Các định nghĩa về cụm từ 'UK' có thể khác nhau giữa các hiệp định. Một dạng thức ban đầu được tìm thấy trong Hiệp định Seychelles. Điều 2(1)(a) viết:</w:t>
      </w:r>
    </w:p>
    <w:p>
      <w:pPr>
        <w:spacing w:after="80"/>
      </w:pPr>
      <w:r>
        <w:rPr>
          <w:b w:val="0"/>
          <w:i w:val="0"/>
        </w:rPr>
        <w:t>2(1) Trong Thỏa thuận này, trừ khi ngữ cảnh đòi hỏi khác –</w:t>
      </w:r>
    </w:p>
    <w:p>
      <w:pPr>
        <w:spacing w:after="80"/>
      </w:pPr>
      <w:r>
        <w:rPr>
          <w:b w:val="0"/>
          <w:i w:val="0"/>
        </w:rPr>
        <w:t>(a) Thuật ngữ 'United Kingdom' có nghĩa là Great Britain và Northern Ireland,</w:t>
      </w:r>
    </w:p>
    <w:p>
      <w:pPr>
        <w:spacing w:after="80"/>
      </w:pPr>
      <w:r>
        <w:rPr>
          <w:b w:val="0"/>
          <w:i w:val="0"/>
        </w:rPr>
        <w:t>không bao gồm Quần đảo Channel và Đảo Man.</w:t>
      </w:r>
    </w:p>
    <w:p>
      <w:pPr>
        <w:spacing w:after="80"/>
      </w:pPr>
      <w:r>
        <w:rPr>
          <w:b w:val="0"/>
          <w:i w:val="0"/>
        </w:rPr>
        <w:t>26. Thỏa thuận giữa Vương quốc Liên hiệp Anh và Bắc Ireland và Vương quốc Hà Lan, liên quan đến Aruba, về việc trao đổi thông tin đối với thuế ngày 5 tháng 11 năm 2010 (SI 2011/2435), điều 3(1). 27. Điều 4(1)(k). 28. Công ước về Hỗ trợ Hành chính Tương trợ trong các vấn đề thuế ngày 25 tháng 1 năm 1988 (ETS 127) (SI 2007/2126). 29. Báo cáo giải thích do ủy ban chuyên gia soạn thảo và chuyển đến Ủy ban Bộ trưởng của Hội đồng Châu Âu và Hội đồng OECD, đã được sửa đổi bởi Ủy ban Châu Âu về Hợp tác Pháp lý (CDCJ) và được phê duyệt bởi Ủy ban về Các vấn đề Tài khóa của OECD. Báo cáo giải thích được soạn thảo dưới thẩm quyền của CDCJ, trên cơ sở bản dự thảo đầu tiên do Ủy ban về Các vấn đề Tài khóa của OECD chuẩn bị. Các chuyên gia từ các quốc gia thành viên OECD không phải là thành viên của Hội đồng Châu Âu đã tham gia với tư cách quan sát viên. Báo cáo này không cấu thành một văn kiện đưa ra cách giải thích có thẩm quyền đối với văn bản của Công ước mặc dù nó có thể giúp hiểu rõ hơn các quy định của Công ước. 30. Điều 2(2). 31. Điều 2(3).</w:t>
      </w:r>
    </w:p>
    <w:p>
      <w:pPr>
        <w:spacing w:after="80"/>
      </w:pPr>
      <w:r>
        <w:rPr>
          <w:b w:val="0"/>
          <w:i w:val="0"/>
        </w:rPr>
        <w:t>159</w:t>
      </w:r>
    </w:p>
    <w:p>
      <w:pPr>
        <w:spacing w:after="80"/>
      </w:pPr>
      <w:r>
        <w:rPr>
          <w:b w:val="0"/>
          <w:i w:val="0"/>
        </w:rPr>
        <w:t>Điều này gần như khớp với định nghĩa trong Luật Giải thích 1978, Phụ lục 1, nơi UK được định nghĩa là 'Great Britain và Northern Ireland'. Các hiệp định ban đầu khác, chẳng hạn như Israel, điều 2(1)(a), có các điều khoản tương tự nhưng không có ngoại lệ đối với Quần đảo Channel và Đảo Man.</w:t>
      </w:r>
    </w:p>
    <w:p>
      <w:pPr>
        <w:spacing w:after="80"/>
      </w:pPr>
      <w:r>
        <w:rPr>
          <w:b w:val="0"/>
          <w:i w:val="0"/>
        </w:rPr>
        <w:t>Tuy nhiên, hầu như tất cả các hiệp định từ những năm 1960 đều mang một định nghĩa mở rộng hơn để bao gồm các vùng thuộc Thềm Lục địa của Vương quốc Anh.32 Ngay cả trong những hiệp định đó, khi không có ngoại lệ đối với Quần đảo Channel và Đảo Man, thì những nơi này cũng không thuộc Vương quốc Anh. Vương quốc Anh là một bên của Công ước về Lãnh hải và Vùng Tiếp giáp.33</w:t>
      </w:r>
    </w:p>
    <w:p>
      <w:pPr>
        <w:spacing w:after="80"/>
      </w:pPr>
      <w:r>
        <w:rPr>
          <w:b w:val="0"/>
          <w:i w:val="0"/>
        </w:rPr>
        <w:t xml:space="preserve">Theo Công ước này, chủ quyền của một quốc gia mở rộng ra ngoài lãnh thổ đất liền và vùng nước nội địa của mình đến một dải biển liền kề bờ biển được gọi là lãnh hải (xem điều 1(1)). Chiều rộng của khu vực cấu thành lãnh hải nói chung không được giải quyết thống nhất trong luật quốc tế và phạm vi chính xác có thể phụ thuộc vào các hiệp định cụ thể cho mục đích của những hiệp định đó và các đạo luật trong nước cụ thể. Nói chung, Vương quốc Anh tuân theo giới hạn ba dặm. Trong </w:t>
      </w:r>
      <w:r>
        <w:rPr>
          <w:b w:val="0"/>
          <w:i/>
        </w:rPr>
        <w:t>Clark v Oceanic Contractors Inc.</w:t>
      </w:r>
      <w:r>
        <w:rPr>
          <w:b w:val="0"/>
          <w:i w:val="0"/>
        </w:rPr>
        <w:t>,34 người ta chấp nhận rằng các nhiệm vụ của nhân viên được thực hiện trong khu vực Biển Bắc thuộc Vương quốc Anh là nằm ngoài Vương quốc Anh. Mặc dù thừa nhận rằng mọi đạo luật của Vương quốc Anh về nguyên tắc đều mang tính lãnh thổ, nhưng điều đó không giúp xác định ranh giới chính xác của lãnh thổ đó là gì.</w:t>
      </w:r>
    </w:p>
    <w:p>
      <w:pPr>
        <w:spacing w:after="80"/>
      </w:pPr>
      <w:r>
        <w:rPr>
          <w:b w:val="0"/>
          <w:i w:val="0"/>
        </w:rPr>
        <w:t>Có thể lưu ý rằng các quy định của hiệp định định nghĩa lãnh thổ của quốc gia ký kết khác không được phản chiếu tương ứng với các định nghĩa của Vương quốc Anh. Lãnh thổ của mỗi quốc gia ký kết thường được định nghĩa theo các chuẩn mực hiến pháp của chính quốc gia đó. Vì vậy, ví dụ, các quốc gia không giáp biển như Áo và Cộng hòa Séc không bao gồm bất kỳ thẩm quyền nào ngoài lãnh hải.35 Một số biến thể bất thường được tìm thấy ở Quần đảo Channel. Ví dụ, trong trường hợp Guernsey, nơi này được định nghĩa là 'bất kỳ hòn đảo nào mà Luật Thuế Thu nhập (Guernsey) 1950 đang có hiệu lực'.36 Trong trường hợp Jersey, mặc dù 'UK' được định nghĩa, nhưng 'Jersey' thì không.37 Trong một số trường hợp, điều này có thể làm phát sinh các vấn đề phức tạp. Ví dụ, điều 3(1)(a) của hiệp định năm 2011 với Trung Quốc định nghĩa 'Trung Quốc' có nghĩa là:</w:t>
      </w:r>
    </w:p>
    <w:p>
      <w:pPr>
        <w:spacing w:after="80"/>
      </w:pPr>
      <w:r>
        <w:rPr>
          <w:b w:val="0"/>
          <w:i w:val="0"/>
        </w:rPr>
        <w:t>Cộng hòa Nhân dân Trung Hoa và, khi được dùng theo nghĩa địa lý, có nghĩa là toàn bộ lãnh thổ của Cộng hòa Nhân dân Trung Hoa, bao gồm lãnh hải của mình, nơi các luật của Trung Quốc liên quan đến thuế được áp dụng, và bất kỳ khu vực nào ngoài lãnh hải của mình, trong đó Cộng hòa Nhân dân Trung Hoa có các quyền chủ quyền về thăm dò và khai thác tài nguyên của đáy biển và lòng đất dưới đáy biển cũng như các nguồn tài nguyên nước phía trên theo luật quốc tế.</w:t>
      </w:r>
    </w:p>
    <w:p>
      <w:pPr>
        <w:spacing w:after="80"/>
      </w:pPr>
      <w:r>
        <w:rPr>
          <w:b w:val="0"/>
          <w:i w:val="0"/>
        </w:rPr>
        <w:t xml:space="preserve">32. Xem Chương 13, §13.04. 33. Geneva, 29 tháng 4 năm 1958; TS (3) 1965; CMND. 2511. 34. </w:t>
      </w:r>
      <w:r>
        <w:rPr>
          <w:b w:val="0"/>
          <w:i/>
        </w:rPr>
        <w:t>Clark (H.M. Inspector of Taxes) v Oceanic Contractors Incorporated</w:t>
      </w:r>
      <w:r>
        <w:rPr>
          <w:b w:val="0"/>
          <w:i w:val="0"/>
        </w:rPr>
        <w:t xml:space="preserve"> [1982] BTC 417; [1983] STC35 (HL). 35. Công ước giữa Vương quốc Liên hiệp Anh và Bắc Ireland và Cộng hòa Áo về Tránh Đánh thuế Hai lần và Ngăn ngừa Trốn thuế đối với Thuế Thu nhập ngày 30 tháng 4 năm 1969 (SI 1970/1947), điều 3(1)(b), và Công ước giữa Chính phủ Vương quốc Liên hiệp Anh và Bắc Ireland và Chính phủ Cộng hòa Liên bang Séc và Slovakia về Tránh Đánh thuế Hai lần và Ngăn ngừa Trốn thuế đối với Thuế Thu nhập và Lãi vốn ngày 5 tháng 11 năm 1990 (SI 1991/2876), điều 3(1)(b). 36. Thỏa thuận giữa Chính phủ Hoàng gia và Các Bang Guernsey về Tránh Đánh thuế Hai lần và Ngăn ngừa Trốn thuế đối với Thuế Thu nhập ngày 24 tháng 6 năm 1952 (SI 1952/1215), điều 2(1)(b). 37. Xem </w:t>
      </w:r>
      <w:r>
        <w:rPr>
          <w:b w:val="0"/>
          <w:i/>
        </w:rPr>
        <w:t>British Tax Review</w:t>
      </w:r>
      <w:r>
        <w:rPr>
          <w:b w:val="0"/>
          <w:i w:val="0"/>
        </w:rPr>
        <w:t xml:space="preserve"> (1990), 302-312.</w:t>
      </w:r>
    </w:p>
    <w:p>
      <w:pPr>
        <w:spacing w:after="80"/>
      </w:pPr>
      <w:r>
        <w:rPr>
          <w:b w:val="0"/>
          <w:i w:val="0"/>
        </w:rPr>
        <w:t>160</w:t>
      </w:r>
    </w:p>
    <w:p>
      <w:pPr>
        <w:spacing w:after="80"/>
      </w:pPr>
      <w:r>
        <w:rPr>
          <w:b w:val="0"/>
          <w:i w:val="0"/>
        </w:rPr>
        <w:t>Một hiệp ước riêng biệt áp dụng cho Hồng Kông, và Vương quốc Anh là một bên tham gia một thỏa thuận riêng liên quan đến Đài Loan. Các giới hạn lãnh thổ được xác định chủ yếu dựa trên nơi luật thuế Trung Quốc được áp dụng. Điều này có khả năng bao gồm bất kỳ địa điểm nào được coi là tạo ra thu nhập có nguồn gốc từ Trung Quốc hoặc, đối với một cá nhân, cư dân tại địa điểm đó sẽ được coi là cư dân Trung Quốc.</w:t>
      </w:r>
    </w:p>
    <w:p>
      <w:pPr>
        <w:spacing w:after="80"/>
      </w:pPr>
      <w:r>
        <w:rPr>
          <w:b w:val="0"/>
          <w:i w:val="0"/>
        </w:rPr>
        <w:t>Theo luật quốc tế tập quán, chủ quyền của một quốc gia mở rộng đến vùng trời phía trên lãnh thổ đất liền và lãnh hải của quốc gia đó. Dường như không có giới hạn trên chung cho vùng trời. Có một số hiệp ước liên quan đến không gian vũ trụ. Theo Hiệp ước về các Nguyên tắc Điều chỉnh Hoạt động của các Quốc gia trong Việc Thăm dò và Sử dụng Không gian Vũ trụ, bao gồm Mặt trăng và các Thiên thể Khác, không gian vũ trụ được tự do thăm dò và sử dụng bởi tất cả các quốc gia.38 Không có giới hạn dưới được xác định rõ ràng. Điều này rõ ràng có ý nghĩa đối với các hoạt động được thực hiện trong không gian, đặc biệt là ở các tầng thấp hơn, ví dụ, liệu một vệ tinh địa tĩnh ở tầng thấp có tạo thành một cơ sở thường trú hay không.39</w:t>
      </w:r>
    </w:p>
    <w:p>
      <w:pPr>
        <w:spacing w:after="80"/>
      </w:pPr>
      <w:r>
        <w:rPr>
          <w:b w:val="0"/>
          <w:i w:val="0"/>
        </w:rPr>
        <w:t>Đường thủy nội địa tạo thành một phần của lãnh hải Vương quốc Anh. Điều này bao gồm các con sông, hồ và vùng biển nằm ở phía đất liền của đường mực nước thấp dọc theo bờ biển.40 Tuy nhiên, hoạt động của tàu thuyền trong các khu vực này được coi là tương đương với hoạt động vận tải quốc tế trong các hiệp ước theo mô hình OECD Model 8(2). Tuy nhiên, chính sách hiệp ước của Vương quốc Anh là loại trừ các hoạt động như vậy khỏi lợi ích của Điều 8.</w:t>
      </w:r>
    </w:p>
    <w:p>
      <w:pPr>
        <w:spacing w:after="80"/>
      </w:pPr>
      <w:r>
        <w:rPr>
          <w:b/>
          <w:i w:val="0"/>
        </w:rPr>
        <w:t>§5.04 PHẠM VI THỜI GIAN</w:t>
      </w:r>
    </w:p>
    <w:p>
      <w:pPr>
        <w:spacing w:after="80"/>
      </w:pPr>
      <w:r>
        <w:rPr>
          <w:b w:val="0"/>
          <w:i w:val="0"/>
        </w:rPr>
        <w:t>Theo luật quốc tế, một hiệp ước có hiệu lực vào ngày và theo cách thức được quy định bởi thỏa thuận giữa các bên, hoặc, nếu không có thỏa thuận cụ thể như vậy, ngay khi sự đồng ý bị ràng buộc bởi hiệp ước được thiết lập.41 Các hiệp ước thuế thường có hiệu lực theo các điều khoản sau:</w:t>
      </w:r>
    </w:p>
    <w:p>
      <w:pPr>
        <w:spacing w:after="80"/>
      </w:pPr>
      <w:r>
        <w:rPr>
          <w:b/>
          <w:i w:val="0"/>
        </w:rPr>
        <w:t>Điều 28: Hiệu lực</w:t>
      </w:r>
    </w:p>
    <w:p>
      <w:pPr>
        <w:spacing w:after="80"/>
      </w:pPr>
      <w:r>
        <w:rPr>
          <w:b w:val="0"/>
          <w:i w:val="0"/>
        </w:rPr>
        <w:t>Mỗi Quốc gia Ký kết sẽ thông báo cho quốc gia kia về việc hoàn thành các thủ tục theo luật của mình để đưa Thỏa thuận này vào hiệu lực. Thỏa thuận sẽ có hiệu lực vào ngày của thông báo muộn hơn trong số các thông báo này và sau đó sẽ có hiệu lực:</w:t>
      </w:r>
    </w:p>
    <w:p>
      <w:pPr>
        <w:spacing w:after="80"/>
      </w:pPr>
      <w:r>
        <w:rPr>
          <w:b w:val="0"/>
          <w:i w:val="0"/>
        </w:rPr>
        <w:t>(a) tại Thổ Nhĩ Kỳ, đối với thuế thu nhập và thuế doanh nghiệp, cho bất kỳ năm tài chính nào</w:t>
      </w:r>
    </w:p>
    <w:p>
      <w:pPr>
        <w:spacing w:after="80"/>
      </w:pPr>
      <w:r>
        <w:rPr>
          <w:b w:val="0"/>
          <w:i w:val="0"/>
        </w:rPr>
        <w:t>bắt đầu từ hoặc sau ngày 1 tháng 1 trong năm dương lịch tiếp theo năm mà thông báo muộn hơn trong số các thông báo này được đưa ra; và (b) tại Vương quốc Anh:</w:t>
      </w:r>
    </w:p>
    <w:p>
      <w:pPr>
        <w:spacing w:after="80"/>
      </w:pPr>
      <w:r>
        <w:rPr>
          <w:b w:val="0"/>
          <w:i w:val="0"/>
        </w:rPr>
        <w:t>(i) đối với thuế thu nhập và thuế lợi tức vốn, cho bất kỳ năm đánh giá nào</w:t>
      </w:r>
    </w:p>
    <w:p>
      <w:pPr>
        <w:spacing w:after="80"/>
      </w:pPr>
      <w:r>
        <w:rPr>
          <w:b w:val="0"/>
          <w:i w:val="0"/>
        </w:rPr>
        <w:t>bắt đầu từ hoặc sau ngày 6 tháng 4 trong năm dương lịch tiếp theo năm mà thông báo muộn hơn trong số các thông báo này được đưa ra;</w:t>
      </w:r>
    </w:p>
    <w:p>
      <w:pPr>
        <w:spacing w:after="80"/>
      </w:pPr>
      <w:r>
        <w:rPr>
          <w:b w:val="0"/>
          <w:i w:val="0"/>
        </w:rPr>
        <w:t>38. Ngày 27 tháng 1 năm 1967; TS 10 (1968); CMND. 3519.39. Xem Ủy ban Các vấn đề Tài chính OECD, Bình luận về Điều 5 của Công ước Thuế Mẫu OECD, đoạn 27 (2017).40. Lệnh về Lãnh hải năm 1964, các điều 2-5.41. VCLT, điều 24.</w:t>
      </w:r>
    </w:p>
    <w:p>
      <w:pPr>
        <w:spacing w:after="80"/>
      </w:pPr>
      <w:r>
        <w:rPr>
          <w:b w:val="0"/>
          <w:i w:val="0"/>
        </w:rPr>
        <w:t>161</w:t>
      </w:r>
    </w:p>
    <w:p>
      <w:pPr>
        <w:spacing w:after="80"/>
      </w:pPr>
      <w:r>
        <w:rPr>
          <w:b w:val="0"/>
          <w:i w:val="0"/>
        </w:rPr>
        <w:t>(ii) đối với thuế doanh nghiệp, cho bất kỳ năm tài chính nào bắt đầu từ hoặc sau</w:t>
      </w:r>
    </w:p>
    <w:p>
      <w:pPr>
        <w:spacing w:after="80"/>
      </w:pPr>
      <w:r>
        <w:rPr>
          <w:b w:val="0"/>
          <w:i w:val="0"/>
        </w:rPr>
        <w:t>ngày 1 tháng 4 trong năm dương lịch tiếp theo năm mà thông báo muộn hơn trong số các thông báo này được đưa ra.42</w:t>
      </w:r>
    </w:p>
    <w:p>
      <w:pPr>
        <w:spacing w:after="80"/>
      </w:pPr>
      <w:r>
        <w:rPr>
          <w:b w:val="0"/>
          <w:i w:val="0"/>
        </w:rPr>
        <w:t>Ngôn ngữ này đáp ứng các thủ tục hiến định cần thiết để mỗi quốc gia bị ràng buộc bởi hiệp ước.43 Mỗi quốc gia trở thành một bên ký kết và bị ràng buộc bởi hiệp ước vào ngày đó. Có sự phân biệt giữa thời điểm hiệp ước có hiệu lực và thời điểm hiệp ước bắt đầu có tác dụng đối với các loại thuế cụ thể. Các điều khoản của hiệp ước chỉ trở nên có hiệu lực thi hành đối với những loại thuế đó khi hiệp ước được nêu rõ là bắt đầu có tác dụng.</w:t>
      </w:r>
    </w:p>
    <w:p>
      <w:pPr>
        <w:spacing w:after="80"/>
      </w:pPr>
      <w:r>
        <w:rPr>
          <w:b w:val="0"/>
          <w:i w:val="0"/>
        </w:rPr>
        <w:t>Các hiệp ước thuế luôn được ký kết với thời hạn vô định và chỉ có thể bị chấm dứt bằng thông báo như sau:</w:t>
      </w:r>
    </w:p>
    <w:p>
      <w:pPr>
        <w:spacing w:after="80"/>
      </w:pPr>
      <w:r>
        <w:rPr>
          <w:b/>
          <w:i w:val="0"/>
        </w:rPr>
        <w:t>Điều 29: Chấm dứt</w:t>
      </w:r>
    </w:p>
    <w:p>
      <w:pPr>
        <w:spacing w:after="80"/>
      </w:pPr>
      <w:r>
        <w:rPr>
          <w:b w:val="0"/>
          <w:i w:val="0"/>
        </w:rPr>
        <w:t>Hiệp định này sẽ tiếp tục có hiệu lực cho đến khi bị một trong các Quốc gia ký kết chấm dứt. Mỗi Quốc gia ký kết có thể chấm dứt Hiệp định bằng cách gửi thông báo chấm dứt, thông qua kênh ngoại giao, ít nhất sáu tháng trước khi kết thúc bất kỳ năm dương lịch nào bắt đầu sau khi hết năm năm kể từ ngày Hiệp định có hiệu lực. Trong trường hợp đó, Hiệp định sẽ chấm dứt hiệu lực:</w:t>
      </w:r>
    </w:p>
    <w:p>
      <w:pPr>
        <w:spacing w:after="80"/>
      </w:pPr>
      <w:r>
        <w:rPr>
          <w:b w:val="0"/>
          <w:i w:val="0"/>
        </w:rPr>
        <w:t>(b) tại Thổ Nhĩ Kỳ, đối với thuế thu nhập và thuế doanh nghiệp, cho bất kỳ năm tài chính</w:t>
      </w:r>
    </w:p>
    <w:p>
      <w:pPr>
        <w:spacing w:after="80"/>
      </w:pPr>
      <w:r>
        <w:rPr>
          <w:b w:val="0"/>
          <w:i w:val="0"/>
        </w:rPr>
        <w:t>bắt đầu từ hoặc sau ngày 1 tháng 1 trong năm dương lịch tiếp theo năm mà thông báo được đưa ra; và (c) tại Vương quốc Anh:</w:t>
      </w:r>
    </w:p>
    <w:p>
      <w:pPr>
        <w:spacing w:after="80"/>
      </w:pPr>
      <w:r>
        <w:rPr>
          <w:b w:val="0"/>
          <w:i w:val="0"/>
        </w:rPr>
        <w:t>(i) đối với thuế thu nhập và thuế lợi tức vốn, cho bất kỳ năm đánh giá</w:t>
      </w:r>
    </w:p>
    <w:p>
      <w:pPr>
        <w:spacing w:after="80"/>
      </w:pPr>
      <w:r>
        <w:rPr>
          <w:b w:val="0"/>
          <w:i w:val="0"/>
        </w:rPr>
        <w:t>bắt đầu từ hoặc sau ngày 6 tháng 4 trong năm dương lịch tiếp theo năm mà thông báo được đưa ra; (ii) đối với thuế doanh nghiệp, cho bất kỳ năm tài chính bắt đầu từ hoặc sau</w:t>
      </w:r>
    </w:p>
    <w:p>
      <w:pPr>
        <w:spacing w:after="80"/>
      </w:pPr>
      <w:r>
        <w:rPr>
          <w:b w:val="0"/>
          <w:i w:val="0"/>
        </w:rPr>
        <w:t>ngày 1 tháng 4 trong năm dương lịch tiếp theo năm mà thông báo được đưa ra.44</w:t>
      </w:r>
    </w:p>
    <w:p>
      <w:pPr>
        <w:spacing w:after="80"/>
      </w:pPr>
      <w:r>
        <w:rPr>
          <w:b w:val="0"/>
          <w:i w:val="0"/>
        </w:rPr>
        <w:t xml:space="preserve">Mục đích của cả các điều khoản về hiệu lực và chấm dứt là để xác định khi nào các hiệp ước đang có hiệu lực. Các vấn đề về thời gian liên quan đến việc áp dụng hiệp ước đã được xem xét kỹ lưỡng trong </w:t>
      </w:r>
      <w:r>
        <w:rPr>
          <w:b w:val="0"/>
          <w:i/>
        </w:rPr>
        <w:t>Ben Nevis (Holdings) Ltd v Revenue &amp; Customs</w:t>
      </w:r>
      <w:r>
        <w:rPr>
          <w:b w:val="0"/>
          <w:i w:val="0"/>
        </w:rPr>
        <w:t>45</w:t>
      </w:r>
    </w:p>
    <w:p>
      <w:pPr>
        <w:spacing w:after="80"/>
      </w:pPr>
      <w:r>
        <w:rPr>
          <w:b w:val="0"/>
          <w:i w:val="0"/>
        </w:rPr>
        <w:t>liên quan đến việc áp dụng hồi tố Điều 25A của Hiệp ước Thuế Thu nhập Nam Phi - Vương quốc Anh (2002), được bổ sung bởi Nghị định thư ngày 8 tháng 11 năm 2010. Điều VI của Nghị định thư năm 2010 quy định một phần:</w:t>
      </w:r>
    </w:p>
    <w:p>
      <w:pPr>
        <w:spacing w:after="80"/>
      </w:pPr>
      <w:r>
        <w:rPr>
          <w:b w:val="0"/>
          <w:i w:val="0"/>
        </w:rPr>
        <w:t>Nghị định thư này sẽ có hiệu lực vào ngày muộn hơn trong các ngày thông báo này và sau đó sẽ có tác dụng tại cả hai Quốc gia ký kết:</w:t>
      </w:r>
    </w:p>
    <w:p>
      <w:pPr>
        <w:spacing w:after="80"/>
      </w:pPr>
      <w:r>
        <w:rPr>
          <w:b w:val="0"/>
          <w:i w:val="0"/>
        </w:rPr>
        <w:t>42.</w:t>
      </w:r>
      <w:r>
        <w:rPr>
          <w:b w:val="0"/>
          <w:i/>
        </w:rPr>
        <w:t>Hiệp định giữa Vương quốc Liên hiệp Anh và Bắc Ireland và Cộng hòa Thổ Nhĩ Kỳ về việc Tránh Đánh thuế Hai lần và Ngăn ngừa Trốn thuế Tài chính đối với Thuế Thu nhập và Lợi tức Vốn ngày 19 tháng 2 năm 1986</w:t>
      </w:r>
      <w:r>
        <w:rPr>
          <w:b w:val="0"/>
          <w:i w:val="0"/>
        </w:rPr>
        <w:t xml:space="preserve"> (SI 1988/932) (Hiệp ước Thổ Nhĩ Kỳ - Vương quốc Anh (1986)).43. Về thủ tục của Vương quốc Anh, xem Chương 2, §2.03. Về thủ tục của EU, xem Chương 3, §3.12.44. Hiệp ước Thuế Thu nhập Thổ Nhĩ Kỳ - Vương quốc Anh (1986).45.</w:t>
      </w:r>
      <w:r>
        <w:rPr>
          <w:b w:val="0"/>
          <w:i/>
        </w:rPr>
        <w:t>Ben Nevis (Holdings) Ltd &amp; Anor v Revenue and Customs Commissioners</w:t>
      </w:r>
      <w:r>
        <w:rPr>
          <w:b w:val="0"/>
          <w:i w:val="0"/>
        </w:rPr>
        <w:t xml:space="preserve"> [2013] STC 1579, [2013] BTC 485 [2013] EWCA Civ 578.</w:t>
      </w:r>
    </w:p>
    <w:p>
      <w:pPr>
        <w:spacing w:after="80"/>
      </w:pPr>
      <w:r>
        <w:rPr>
          <w:b w:val="0"/>
          <w:i w:val="0"/>
        </w:rPr>
        <w:t>162</w:t>
      </w:r>
    </w:p>
    <w:p>
      <w:pPr>
        <w:spacing w:after="80"/>
      </w:pPr>
      <w:r>
        <w:rPr>
          <w:b w:val="0"/>
          <w:i w:val="0"/>
        </w:rPr>
        <w:t>(c) liên quan đến các yêu cầu thu thuế được đề cập tại Điều IV của Nghị định thư này, về</w:t>
      </w:r>
    </w:p>
    <w:p>
      <w:pPr>
        <w:spacing w:after="80"/>
      </w:pPr>
      <w:r>
        <w:rPr>
          <w:b w:val="0"/>
          <w:i w:val="0"/>
        </w:rPr>
        <w:t>các yêu cầu hỗ trợ được đưa ra vào hoặc sau ngày Nghị định thư này có hiệu lực.</w:t>
      </w:r>
    </w:p>
    <w:p>
      <w:pPr>
        <w:spacing w:after="80"/>
      </w:pPr>
      <w:r>
        <w:rPr>
          <w:b w:val="0"/>
          <w:i w:val="0"/>
        </w:rPr>
        <w:t>Người ta lập luận rằng các quy định của nghị định thư liên quan đến yêu cầu về doanh thu không thể có hiệu lực trước khi hiệp ước mà nghị định thư sửa đổi có hiệu lực. Tuy nhiên, Tòa án phúc thẩm kết luận rằng Điều 27 của hiệp ước năm 2002 chỉ quy định thời điểm mà các biện pháp giảm nhẹ được quy định trong hiệp ước đó cho loại thuế được chỉ định có hiệu lực. Điều 25A của nghị định thư, liên quan đến hỗ trợ thu thuế, không bị giới hạn bởi hiệu lực thời gian của Điều 27 của hiệp ước năm 2002. Tòa án không coi kết luận này là việc áp dụng hồi tố hiệp ước. Tòa án cho rằng các bên đã thể hiện rõ trong Điều VI của Nghị định thư ý định của họ rằng Điều 25A sẽ áp dụng cho tất cả các yêu cầu hỗ trợ thực thi các khiếu nại thuế tuân thủ Điều 25A với điều kiện yêu cầu đó được đưa ra vào hoặc sau ngày Nghị định thư có hiệu lực.</w:t>
      </w:r>
    </w:p>
    <w:p>
      <w:pPr>
        <w:spacing w:after="80"/>
      </w:pPr>
      <w:r>
        <w:rPr>
          <w:b w:val="0"/>
          <w:i w:val="0"/>
        </w:rPr>
        <w:t>Theo quan điểm của tác giả, có thể đặt câu hỏi liệu kết luận này có thực thi Công ước Vienna về Luật Hiệp ước, Điều 28, trong đó quy định:</w:t>
      </w:r>
    </w:p>
    <w:p>
      <w:pPr>
        <w:spacing w:after="80"/>
      </w:pPr>
      <w:r>
        <w:rPr>
          <w:b/>
          <w:i w:val="0"/>
        </w:rPr>
        <w:t>Không hồi tố của hiệp ước</w:t>
      </w:r>
    </w:p>
    <w:p>
      <w:pPr>
        <w:spacing w:after="80"/>
      </w:pPr>
      <w:r>
        <w:rPr>
          <w:b w:val="0"/>
          <w:i w:val="0"/>
        </w:rPr>
        <w:t>Trừ khi có ý định khác xuất hiện từ hiệp ước hoặc được xác lập theo cách khác, các quy định của hiệp ước không ràng buộc một bên liên quan đến bất kỳ hành vi hoặc sự kiện nào đã xảy ra hoặc bất kỳ tình huống nào đã chấm dứt tồn tại trước ngày hiệp ước có hiệu lực đối với bên đó.</w:t>
      </w:r>
    </w:p>
    <w:p>
      <w:pPr>
        <w:spacing w:after="80"/>
      </w:pPr>
      <w:r>
        <w:rPr>
          <w:b w:val="0"/>
          <w:i w:val="0"/>
        </w:rPr>
        <w:t xml:space="preserve">Hành vi hoặc sự kiện đã xảy ra trước ngày hiệp ước có hiệu lực là nghĩa vụ thuế của người nộp thuế tại Nam Phi. Rõ ràng, các bên của hiệp ước có thể đồng ý ngược lại, nhưng quan điểm hợp lý hơn là cần có sự thể hiện ý định tích cực hơn để áp dụng trước ngày hiệp ước có hiệu lực.46 Vào ngày 30 tháng 10 năm 2012 (ba tháng sau khi Tòa án cấp cao ra phán quyết trong </w:t>
      </w:r>
      <w:r>
        <w:rPr>
          <w:b w:val="0"/>
          <w:i/>
        </w:rPr>
        <w:t>Ben Nevis</w:t>
      </w:r>
      <w:r>
        <w:rPr>
          <w:b w:val="0"/>
          <w:i w:val="0"/>
        </w:rPr>
        <w:t>),47 một nghị định thư sửa đổi Hiệp ước Ấn Độ-Anh ngày 25 tháng 1 năm 1993 đã được ký kết, quy định về hỗ trợ thu thuế.48 Quy định này được Điều 10(2) của Nghị định thư đó quy định rõ ràng là hồi tố.49</w:t>
      </w:r>
    </w:p>
    <w:p>
      <w:pPr>
        <w:spacing w:after="80"/>
      </w:pPr>
      <w:r>
        <w:rPr>
          <w:b w:val="0"/>
          <w:i w:val="0"/>
        </w:rPr>
        <w:t>46.</w:t>
      </w:r>
      <w:r>
        <w:rPr>
          <w:b w:val="0"/>
          <w:i/>
        </w:rPr>
        <w:t>Revenue and Customs Commissioners v Ben Nevis (Holdings) Ltd</w:t>
      </w:r>
      <w:r>
        <w:rPr>
          <w:b w:val="0"/>
          <w:i w:val="0"/>
        </w:rPr>
        <w:t xml:space="preserve"> [2012] BTC 240; [2012] EWHC1807 (Ch); [2012] STC 2157 (Ch. D).47.Xem Schwarz, J.</w:t>
      </w:r>
      <w:r>
        <w:rPr>
          <w:b w:val="0"/>
          <w:i/>
        </w:rPr>
        <w:t xml:space="preserve"> Tax Treaty Interpretation after Ben Nevis Holdings Ltd v Her Majesty’s Revenueand Customs</w:t>
      </w:r>
      <w:r>
        <w:rPr>
          <w:b w:val="0"/>
          <w:i w:val="0"/>
        </w:rPr>
        <w:t>, Bulletin for International Taxation, 68(1) 2014, tr. 20.48.Chèn Điều 28B mới vào Công ước giữa Chính phủ Vương quốc Anh và Bắc Ireland và Chính phủ Cộng hòa Ấn Độ về Tránh đánh thuế hai lần và Ngăn ngừa trốn thuế liên quan đến Thuế thu nhập và Lợi nhuận vốn, Công ước ngày 25 tháng 1 năm 1993 (SI 1993/1801).49.Xem thêm Chương 2, §2.08 về hồi tố và các biện pháp chuyển tiếp.</w:t>
      </w:r>
    </w:p>
    <w:p>
      <w:pPr>
        <w:spacing w:after="80"/>
      </w:pPr>
      <w:r>
        <w:rPr>
          <w:b w:val="0"/>
          <w:i w:val="0"/>
        </w:rPr>
        <w:t>163</w:t>
      </w:r>
    </w:p>
    <w:p>
      <w:pPr>
        <w:spacing w:before="240" w:after="80"/>
      </w:pPr>
      <w:r>
        <w:rPr>
          <w:b/>
          <w:sz w:val="32"/>
        </w:rPr>
        <w:t>CHƯƠNG 6Tiếp cận các lợi ích hiệp ước: Cư trú tài chính, Tư cách pháp nhân và Quốc tịch</w:t>
      </w:r>
    </w:p>
    <w:p>
      <w:pPr>
        <w:spacing w:after="80"/>
      </w:pPr>
      <w:r>
        <w:rPr>
          <w:b/>
          <w:i w:val="0"/>
        </w:rPr>
        <w:t>§6.01AI ĐƯỢC HƯỞNG LỢI ÍCH CỦA HIỆP ƯỚC THUẾ?</w:t>
      </w:r>
    </w:p>
    <w:p>
      <w:pPr>
        <w:spacing w:after="80"/>
      </w:pPr>
      <w:r>
        <w:rPr>
          <w:b w:val="0"/>
          <w:i w:val="0"/>
        </w:rPr>
        <w:t>Điểm khởi đầu của bất kỳ phân tích nào về phạm vi cá nhân của hiệp ước thuế là Điều 1 của Công ước mẫu OECD. Điều này quy định rằng ‘Công ước sẽ áp dụng cho những người là cư dân của một hoặc cả hai quốc gia ký kết’. Bình luận về Công ước mẫu OECD lưu ý rằng, về nguyên tắc, cư dân của một quốc gia phải được hưởng các lợi ích hiệp ước.</w:t>
      </w:r>
    </w:p>
    <w:p>
      <w:pPr>
        <w:spacing w:after="80"/>
      </w:pPr>
      <w:r>
        <w:rPr>
          <w:b w:val="0"/>
          <w:i w:val="0"/>
        </w:rPr>
        <w:t>Cách tiếp cận này của OECD được phản ánh trong các hiệp ước gần đây hơn của Anh. Phần lớn các hiệp ước mà Anh đã ký kết áp dụng Điều 1 của Công ước mẫu OECD. Tuy nhiên, có một số hiệp ước cũ hơn có trước các mô hình OECD mà Anh là một bên, vẫn còn hiệu lực và không bao gồm điều khoản mô tả phạm vi áp dụng của hiệp ước. Hầu hết các hiệp ước không có điều khoản tương đương với Điều 1 của Công ước mẫu OECD là với các quốc gia thuộc Khối Thịnh vượng chung. Mức độ mà một số hiệp ước giới hạn lợi ích của chúng chỉ cho một số loại cư dân nhất định được xem xét tại Chương 17, §§17.01ff.1</w:t>
      </w:r>
    </w:p>
    <w:p>
      <w:pPr>
        <w:spacing w:after="80"/>
      </w:pPr>
      <w:r>
        <w:rPr>
          <w:b/>
          <w:i w:val="0"/>
        </w:rPr>
        <w:t>§6.02TƯ CÁCH PHÁP NHÂN</w:t>
      </w:r>
    </w:p>
    <w:p>
      <w:pPr>
        <w:spacing w:after="80"/>
      </w:pPr>
      <w:r>
        <w:rPr>
          <w:b w:val="0"/>
          <w:i w:val="0"/>
        </w:rPr>
        <w:t>Trong hầu hết các trường hợp, cần phải vừa là ‘người’ vừa là cư dân của một hoặc cả hai quốc gia ký kết để đủ điều kiện hưởng lợi ích hiệp ước. Các hiệp ước thường định nghĩa ‘người’. Do đó, Điều 3(1)(b) của Hiệp ước Tunisia-Anh, theo Công ước mẫu OECD, mô tả</w:t>
      </w:r>
    </w:p>
    <w:p>
      <w:pPr>
        <w:spacing w:after="80"/>
      </w:pPr>
      <w:r>
        <w:rPr>
          <w:b w:val="0"/>
          <w:i w:val="0"/>
        </w:rPr>
        <w:t>1.Điều 1 của Hiệp ước Mỹ-Anh (2001) theo Công ước mẫu OECD một cách rộng rãi. Tuy nhiên, nó mở đầu phạm vi chung bằng: ‘trừ khi được quy định cụ thể’.</w:t>
      </w:r>
    </w:p>
    <w:p>
      <w:pPr>
        <w:spacing w:after="80"/>
      </w:pPr>
      <w:r>
        <w:rPr>
          <w:b w:val="0"/>
          <w:i w:val="0"/>
        </w:rPr>
        <w:t>165</w:t>
      </w:r>
    </w:p>
    <w:p>
      <w:pPr>
        <w:spacing w:after="80"/>
      </w:pPr>
      <w:r>
        <w:rPr>
          <w:b w:val="0"/>
          <w:i w:val="0"/>
        </w:rPr>
        <w:t>thuật ngữ bao gồm ‘một cá nhân, một công ty và bất kỳ tổ chức nào khác của người’.2 Trong một số hiệp ước, các công ty hợp danh bị loại trừ cụ thể khỏi định nghĩa,3 trong khi những hiệp ước khác bao gồm các công ty hợp danh và liên doanh khi chúng được coi là một đơn vị chịu thuế theo luật trong nước của quốc gia ký kết kia.4 Do đó, bất kỳ thực thể nào có tư cách pháp nhân sẽ là một người cho mục đích hiệp ước. Những cách diễn đạt này có thể được đối chiếu với các định nghĩa trong nước:</w:t>
      </w:r>
    </w:p>
    <w:p>
      <w:pPr>
        <w:spacing w:after="80"/>
      </w:pPr>
      <w:r>
        <w:rPr>
          <w:b w:val="0"/>
          <w:i w:val="0"/>
        </w:rPr>
        <w:t>‘Body of persons’ có nghĩa là bất kỳ thực thể chính trị, công ty hoặc tập thể nào, và bất kỳ công ty, hội đoàn, tổ chức tương trợ và hội đoàn thể nào dù có tư cách pháp nhân hay không…5 ‘Company’ được định nghĩa là… bất kỳ thực thể có tư cách pháp nhân hoặc hiệp hội không có tư cách pháp nhân, nhưng không bao gồm quan hệ đối tác.5</w:t>
      </w:r>
    </w:p>
    <w:p>
      <w:pPr>
        <w:spacing w:after="80"/>
      </w:pPr>
      <w:r>
        <w:rPr>
          <w:b w:val="0"/>
          <w:i w:val="0"/>
        </w:rPr>
        <w:t xml:space="preserve">Việc áp dụng các quy định tương tự đã được tòa án xem xét trong </w:t>
      </w:r>
      <w:r>
        <w:rPr>
          <w:b w:val="0"/>
          <w:i/>
        </w:rPr>
        <w:t>Padmore v IRC</w:t>
      </w:r>
      <w:r>
        <w:rPr>
          <w:b w:val="0"/>
          <w:i w:val="0"/>
        </w:rPr>
        <w:t>.6 Hiệp ước Jersey-UK7 có chứa một định nghĩa tương tự nhưng không hoàn toàn giống với OECD Model. Mặc dù ‘person’ được coi là bao gồm bất kỳ ‘body of persons, corporate or not corporate’ nào, nhưng không có định nghĩa nào về ‘body of persons’ xuất hiện trong hiệp ước. Tuy nhiên, Điều 2(3) của hiệp ước quy định rằng khi áp dụng hiệp ước bởi UK hoặc Jersey, bất kỳ thuật ngữ nào không được định nghĩa theo cách khác phải có nghĩa theo luật của UK hoặc Jersey, hoặc tùy trường hợp, liên quan đến các loại thuế là đối tượng của Hiệp ước, trừ khi ngữ cảnh yêu cầu khác. Một lần nữa, đây là cách tiếp cận của OECD.</w:t>
      </w:r>
    </w:p>
    <w:p>
      <w:pPr>
        <w:spacing w:after="80"/>
      </w:pPr>
      <w:r>
        <w:rPr>
          <w:b w:val="0"/>
          <w:i w:val="0"/>
        </w:rPr>
        <w:t>Quan hệ đối tác không có tư cách pháp nhân theo luật Jersey hoặc luật Anh. Mặc dù vậy, vào thời điểm đó, vì mục đích thuế thu nhập của UK, quan hệ đối tác được đánh thuế trên lợi nhuận kinh doanh của quan hệ đối tác và được đánh thuế riêng biệt với bất kỳ khoản thuế nào khác mà các thành viên phải chịu. Thuế thu nhập Jersey cũng được đánh giá tương tự. Nơi cư trú vì mục đích thuế được gán cho quan hệ đối tác dựa trên quản lý và kiểm soát theo cả luật UK và Jersey. Tòa án Phúc thẩm đã quyết định rằng định nghĩa về person là toàn diện và quan hệ đối tác, theo ngôn ngữ thông thường, là một body of persons. Tòa án từ chối áp dụng ý nghĩa trong nước.</w:t>
      </w:r>
    </w:p>
    <w:p>
      <w:pPr>
        <w:spacing w:after="80"/>
      </w:pPr>
      <w:r>
        <w:rPr>
          <w:b w:val="0"/>
          <w:i w:val="0"/>
        </w:rPr>
        <w:t xml:space="preserve">Sau phán quyết </w:t>
      </w:r>
      <w:r>
        <w:rPr>
          <w:b w:val="0"/>
          <w:i/>
        </w:rPr>
        <w:t>Padmore</w:t>
      </w:r>
      <w:r>
        <w:rPr>
          <w:b w:val="0"/>
          <w:i w:val="0"/>
        </w:rPr>
        <w:t>, UK đã tìm cách đưa các quy định vào các hiệp ước của mình nhằm bảo vệ quyền đánh thuế của mình đối với các thành viên cư trú tại UK đối với phần thu nhập và lợi nhuận của họ từ quan hệ đối tác nước ngoài, khi quan hệ đối tác đó đủ điều kiện được miễn thuế UK. Một ví dụ được tìm thấy trong Hiệp ước Uzbekistan, và nó đọc như sau:</w:t>
      </w:r>
    </w:p>
    <w:p>
      <w:pPr>
        <w:spacing w:after="80"/>
      </w:pPr>
      <w:r>
        <w:rPr>
          <w:b w:val="0"/>
          <w:i w:val="0"/>
        </w:rPr>
        <w:t xml:space="preserve">2. Công ước giữa Chính phủ Vương quốc Liên hiệp Anh và Bắc Ireland và Chính phủ Cộng hòa Tunisia về Việc tránh Đánh thuế Hai lần và Ngăn chặn Trốn thuế Liên quan đến Thuế Thu nhập và Lợi nhuận Vốn ngày 15 tháng 12 năm 1982 (SI 1984/133).3. Xem, ví dụ, Công ước giữa Chính phủ Vương quốc Liên hiệp Anh và Bắc Ireland và Chính phủ Cộng hòa Síp về Việc tránh Đánh thuế Hai lần và Ngăn chặn Trốn thuế Liên quan đến Thuế Thu nhập ngày 20 tháng 6 năm 1974 (SI 1975/425), điều 3(1)(h).4. Công ước giữa Chính phủ Vương quốc Liên hiệp Anh và Bắc Ireland và Chính phủ Ukraine về Việc tránh Đánh thuế Hai lần và Ngăn chặn Trốn thuế Liên quan đến Thuế Thu nhập và Lợi nhuận Vốn ngày 10 tháng 2 năm 1993 (SI 1993/1803), điều 3(2).5. ITA 2007, s. 989; CTA 2010, s. 1119.6. ITA 2007, s. 992; CTA 2010, s. 1121.7. </w:t>
      </w:r>
      <w:r>
        <w:rPr>
          <w:b w:val="0"/>
          <w:i/>
        </w:rPr>
        <w:t>Padmore v IRC</w:t>
      </w:r>
      <w:r>
        <w:rPr>
          <w:b w:val="0"/>
          <w:i w:val="0"/>
        </w:rPr>
        <w:t xml:space="preserve"> [1987] BTC 3, [1987] STC 36, Ch. D; [1989] BTC 221; [1989] STC 493 (1989) 62 TC352 CA.</w:t>
      </w:r>
    </w:p>
    <w:p>
      <w:pPr>
        <w:spacing w:after="80"/>
      </w:pPr>
      <w:r>
        <w:rPr>
          <w:b w:val="0"/>
          <w:i w:val="0"/>
        </w:rPr>
        <w:t>166</w:t>
      </w:r>
    </w:p>
    <w:p>
      <w:pPr>
        <w:spacing w:after="80"/>
      </w:pPr>
      <w:r>
        <w:rPr>
          <w:b w:val="0"/>
          <w:i w:val="0"/>
        </w:rPr>
        <w:t>24(1) Khi, theo bất kỳ quy định nào của Công ước này, một quan hệ đối tác, liên doanh hoặc thực thể khác được hưởng, với tư cách là cư dân của Uzbekistan, quyền miễn thuế tại Vương quốc Anh đối với bất kỳ thu nhập hoặc lợi nhuận vốn nào, quy định đó sẽ không được hiểu là hạn chế quyền của Vương quốc Anh trong việc đánh thuế bất kỳ thành viên nào của quan hệ đối tác, liên doanh hoặc thực thể khác là cư dân của Vương quốc Anh đối với phần thu nhập hoặc lợi nhuận vốn của họ; nhưng bất kỳ thu nhập hoặc lợi nhuận nào như vậy sẽ được coi, vì mục đích của Điều 22 của Công ước này, là thu nhập hoặc lợi nhuận từ các nguồn tại Uzbekistan.</w:t>
      </w:r>
    </w:p>
    <w:p>
      <w:pPr>
        <w:spacing w:after="80"/>
      </w:pPr>
      <w:r>
        <w:rPr>
          <w:b w:val="0"/>
          <w:i w:val="0"/>
        </w:rPr>
        <w:t>Tác động chính của quy định này là buộc phải minh bạch từ góc độ thuế UK đối với các thành viên UK trong quan hệ đối tác, liên doanh hoặc các thực thể khác. Vì các thực thể như vậy có thể không được coi là minh bạch ở quốc gia ký kết kia và phải chịu thuế địa phương, thu nhập hoặc lợi nhuận của các thành viên UK được coi là thu nhập từ nguồn nước ngoài cho mục đích áp dụng tín dụng thuế nước ngoài đã nộp. Phạm vi áp dụng chính xác của quy tắc có thể gây ra khó khăn. Điều này chỉ được giải quyết một phần bằng cách tham chiếu đến các định nghĩa trong, ví dụ, điều 3 của Hiệp ước Uzbekistan, trong đó coi quan hệ đối tác hoặc liên doanh theo luật Uzbekistan là một đơn vị chịu thuế (điều 3(2)). Thuật ngữ ‘company’ có nghĩa là bất kỳ thực thể có tư cách pháp nhân hoặc bất kỳ thực thể nào được coi là thực thể có tư cách pháp nhân vì mục đích thuế. Kết quả là, các thực thể không được coi là thực thể có tư cách pháp nhân vì mục đích thuế theo luật Uzbekistan (nhưng có thể là ‘đơn vị chịu thuế’) sẽ phải chịu sự đối xử minh bạch tại UK đối với các thành viên cư trú tại UK.</w:t>
      </w:r>
    </w:p>
    <w:p>
      <w:pPr>
        <w:spacing w:after="80"/>
      </w:pPr>
      <w:r>
        <w:rPr>
          <w:b w:val="0"/>
          <w:i w:val="0"/>
        </w:rPr>
        <w:t xml:space="preserve">Các hệ thống pháp luật UK cũng chứa đựng những bất thường về mặt này.8 Một quan hệ đối tác trách nhiệm hữu hạn được thành lập theo </w:t>
      </w:r>
      <w:r>
        <w:rPr>
          <w:b w:val="0"/>
          <w:i/>
        </w:rPr>
        <w:t>Limited Liability Partnerships Act</w:t>
      </w:r>
      <w:r>
        <w:rPr>
          <w:b w:val="0"/>
          <w:i w:val="0"/>
        </w:rPr>
        <w:t xml:space="preserve"> 2000 là một thực thể có tư cách pháp nhân với tư cách pháp lý tách biệt với các thành viên của nó. Tính minh bạch về thuế được đưa ra, không phải bằng cách coi Limited Liability Partnership (LLP) là minh bạch, mà bằng cách nói chung coi các hoạt động của nó vì mục đích thuế là không do nó thực hiện mà do các thành viên của nó thực hiện.9 Do đó, mặc dù bản thân LLP có thể là một ‘person’ trong điều 1, nó sẽ không phải là cư dân của một quốc gia ký kết từ góc độ thuế UK.10 Việc mở rộng thuật ngữ ‘person’ để bao gồm ‘body of persons’ làm cho một tư cách pháp nhân tập thể đủ điều kiện hưởng các lợi ích hiệp ước. Điều này bao gồm các người được ủy thác của một thỏa thuận, những người cùng nhau được coi như thể họ là một người duy nhất (khác biệt với những người là người được ủy thác của thỏa thuận theo thời gian).11 Trong nghị định thư của Hiệp ước India-UK ngày 30 tháng 10</w:t>
      </w:r>
    </w:p>
    <w:p>
      <w:pPr>
        <w:spacing w:after="80"/>
      </w:pPr>
      <w:r>
        <w:rPr>
          <w:b w:val="0"/>
          <w:i w:val="0"/>
        </w:rPr>
        <w:t>8. Thỏa thuận giữa Chính phủ của Bệ hạ và các Bang Jersey về Việc tránh Đánh thuế Hai lần và Ngăn chặn Trốn thuế Liên quan đến Thuế Thu nhập ngày 24 tháng 6 năm 1952 (SI 1952/1216).9. Có luật tương tự cho Scotland và Bắc Ireland.10. Xem ITTOIA 2005, s. 863.11. Ủy ban Phán quyết Bỉ đã phán quyết rằng các thành viên của LLP UK được hưởng các lợi ích của Hiệp ước Bỉ-UK nhưng LLP thì không (Ủy ban Phán quyết Bỉ Phán quyết Trước số 900.260 ngày 17 tháng 11 năm 2009; Phán quyết Trước số 2010.229 ngày 24 tháng 8 năm 2010 (IBFD Tax Research Database)). Vào ngày 28 tháng 2 năm 2012, Ủy ban Phán quyết Bỉ đã ban hành Phán quyết Trước số 2011.515 (IBFD Tax Research Database) về việc phân loại một quan hệ đối tác hữu hạn UK là minh bạch. Bộ Tài chính Nga Thư số 03-08-137 ngày 7 tháng 2 năm 2013 (IBFD Tax research Database) cũng đã làm rõ rằng một LLP được thành lập tại UK không đủ điều kiện là một ‘person’ cho mục đích của Hiệp ước Nga-UK, nhưng các thành viên có thể đủ điều kiện nếu bản thân họ là người theo Hiệp ước và là cư dân thuế UK. Trong một câu trả lời ràng buộc, số 16-0484006 (SKM 2017.628.SR) ngày 24 tháng 10 năm 2017, Skatteforvaltningen Đan Mạch (cơ quan thuế và hải quan) đã phán quyết rằng một quỹ đầu tư, được thành lập tại UK với tư cách là một</w:t>
      </w:r>
    </w:p>
    <w:p>
      <w:pPr>
        <w:spacing w:after="80"/>
      </w:pPr>
      <w:r>
        <w:rPr>
          <w:b w:val="0"/>
          <w:i w:val="0"/>
        </w:rPr>
        <w:t>167</w:t>
      </w:r>
    </w:p>
    <w:p>
      <w:pPr>
        <w:spacing w:after="80"/>
      </w:pPr>
      <w:r>
        <w:rPr>
          <w:b w:val="0"/>
          <w:i w:val="0"/>
        </w:rPr>
        <w:t>2012, tư cách pháp nhân cũng bao gồm ‘bất kỳ thực thể nào khác được coi là một đơn vị chịu thuế theo luật thuế hiện hành ở các Quốc gia Ký kết tương ứng’.12</w:t>
      </w:r>
    </w:p>
    <w:p>
      <w:pPr>
        <w:spacing w:after="80"/>
      </w:pPr>
      <w:r>
        <w:rPr>
          <w:b/>
          <w:i w:val="0"/>
        </w:rPr>
        <w:t>[A] Phân loại theo Hiệp ước</w:t>
      </w:r>
    </w:p>
    <w:p>
      <w:pPr>
        <w:spacing w:after="80"/>
      </w:pPr>
      <w:r>
        <w:rPr>
          <w:b w:val="0"/>
          <w:i w:val="0"/>
        </w:rPr>
        <w:t>Cách thức chính xác mà một thực thể được phân loại cho mục đích hiệp ước sẽ phụ thuộc vào hiệp ước cụ thể được đề cập. Điều 3(1)(b) của OECD Model định nghĩa một công ty là ‘bất kỳ thực thể có tư cách pháp nhân hoặc thực thể khác được coi là thực thể có tư cách pháp nhân vì mục đích thuế’. Mặc dù phần đầu tiên của định nghĩa tương tự như định nghĩa luật trong nước của UK, nó yêu cầu tình trạng của một thực thể có tư cách pháp nhân phải được xác định bằng cách tham chiếu đến các quy tắc thuế thay vì luật chung. Ngoài các quy định theo luật, luật thuế UK xác định tình trạng công ty bằng cách tham chiếu đến luật chung. Bản thân định nghĩa này không giải thích mục đích thuế của quốc gia ký kết nào có liên quan về mặt này. Quốc gia cư trú sẽ áp dụng luật của mình để quyết định liệu một ‘person’ có phải là cư dân của quốc gia ký kết đó hay không. Khi một thực thể nước ngoài được coi là một công ty cho mục đích UK và đủ điều kiện hưởng các lợi ích hiệp ước, ý nghĩa của việc phân loại này thay đổi tùy theo hiệp ước. Sau đó, nó đề cập đến quốc gia ký kết cho mục đích thuế của quốc gia ký kết nơi công ước sẽ được áp dụng. Nói cách khác, khi thuế UK được đề cập, việc phân loại UK có liên quan. Điều này, như được mô tả ở trên, chỉ ra luật chung trong nước của quốc gia ký kết kia. Hầu hết các hiệp ước UK, và thực sự là OECD Model, nói chung không phân biệt giữa các lợi ích dành cho công ty so với các đối tượng nộp thuế khác. Việc phân loại là một công ty chủ yếu sẽ xác định quyền được hưởng các lợi ích hiệp ước với tư cách là một người cư trú tại một Quốc gia Thành viên.</w:t>
      </w:r>
    </w:p>
    <w:p>
      <w:pPr>
        <w:spacing w:after="80"/>
      </w:pPr>
      <w:r>
        <w:rPr>
          <w:b w:val="0"/>
          <w:i w:val="0"/>
        </w:rPr>
        <w:t>Đặc điểm của một thực thể sẽ xác định không chỉ liệu nó hay một người khác có đủ điều kiện hưởng các lợi ích hiệp ước mà còn cả mối liên kết cần thiết giữa một nguồn thu nhập hoặc lợi nhuận có thể là đối tượng của lợi ích đó và người có liên quan.</w:t>
      </w:r>
    </w:p>
    <w:p>
      <w:pPr>
        <w:spacing w:after="80"/>
      </w:pPr>
      <w:r>
        <w:rPr>
          <w:b/>
          <w:i w:val="0"/>
        </w:rPr>
        <w:t>[B] Đặc điểm hóa Thực thể Nước ngoài</w:t>
      </w:r>
    </w:p>
    <w:p>
      <w:pPr>
        <w:spacing w:after="80"/>
      </w:pPr>
      <w:r>
        <w:rPr>
          <w:b w:val="0"/>
          <w:i w:val="0"/>
        </w:rPr>
        <w:t xml:space="preserve">Trong </w:t>
      </w:r>
      <w:r>
        <w:rPr>
          <w:b w:val="0"/>
          <w:i/>
        </w:rPr>
        <w:t>Padmore</w:t>
      </w:r>
      <w:r>
        <w:rPr>
          <w:b w:val="0"/>
          <w:i w:val="0"/>
        </w:rPr>
        <w:t>, cách xác định bản chất của thực thể là giống nhau cho cả mục đích trong nước Anh lẫn nước ngoài. Việc xác định một thực thể nước ngoài là công ty sẽ được quyết định (ở Anh) cho các mục đích nội địa theo các quy tắc xung đột pháp luật của Anh, bằng cách tham chiếu đến luật chung của quốc gia thành lập trong trường hợp thực thể là công ty. Luật Anh sẽ công nhận sự tồn tại của một công ty được thành lập hợp lệ ở nước ngoài như một vấn đề của thông luật.13 Việc thực thể đang xét có phải là công ty hay không sẽ phụ thuộc vào luật của quốc gia nơi nó được thành lập.</w:t>
      </w:r>
    </w:p>
    <w:p>
      <w:pPr>
        <w:spacing w:after="80"/>
      </w:pPr>
      <w:r>
        <w:rPr>
          <w:b w:val="0"/>
          <w:i w:val="0"/>
        </w:rPr>
        <w:t>Sự công nhận theo luật định duy nhất đối với quy tắc này được áp dụng nếu phát sinh câu hỏi liệu một thực thể được cho là có hoặc, tùy trường hợp, dường như đã mất tư cách pháp nhân theo luật của một vùng lãnh thổ không phải là quốc gia được công nhận, có nên hay không nên</w:t>
      </w:r>
    </w:p>
    <w:p>
      <w:pPr>
        <w:spacing w:after="80"/>
      </w:pPr>
      <w:r>
        <w:rPr>
          <w:b w:val="0"/>
          <w:i w:val="0"/>
        </w:rPr>
        <w:t>kế hoạch hợp đồng cấu thành một Undertaking for Collective Investment in Transferable Securities (UCITS) trong Chỉ thị 2009/65/EU, là minh bạch đến mức cổ phần trong một công ty Đan Mạch được nắm giữ trực tiếp bởi các nhà đầu tư cuối cùng chứ không phải bởi quỹ cho các mục đích hiệp ước thuế.12. TCGA 1992, s. 69; ITA 2007, s. 474.13.</w:t>
      </w:r>
      <w:r>
        <w:rPr>
          <w:b w:val="0"/>
          <w:i/>
        </w:rPr>
        <w:t>Padmore v Inland Revenue Commissioners</w:t>
      </w:r>
      <w:r>
        <w:rPr>
          <w:b w:val="0"/>
          <w:i w:val="0"/>
        </w:rPr>
        <w:t xml:space="preserve"> [1989] BTC 221; [1989] STC 493.</w:t>
      </w:r>
    </w:p>
    <w:p>
      <w:pPr>
        <w:spacing w:after="80"/>
      </w:pPr>
      <w:r>
        <w:rPr>
          <w:b w:val="0"/>
          <w:i w:val="0"/>
        </w:rPr>
        <w:t>168</w:t>
      </w:r>
    </w:p>
    <w:p>
      <w:pPr>
        <w:spacing w:after="80"/>
      </w:pPr>
      <w:r>
        <w:rPr>
          <w:b w:val="0"/>
          <w:i w:val="0"/>
        </w:rPr>
        <w:t xml:space="preserve">được coi là có tư cách pháp nhân như một pháp nhân hợp nhất theo luật của bất kỳ phần nào của Vương quốc Anh. Theo </w:t>
      </w:r>
      <w:r>
        <w:rPr>
          <w:b w:val="0"/>
          <w:i/>
        </w:rPr>
        <w:t>Foreign Corporations Act</w:t>
      </w:r>
      <w:r>
        <w:rPr>
          <w:b w:val="0"/>
          <w:i w:val="0"/>
        </w:rPr>
        <w:t xml:space="preserve"> 1991, nếu có vẻ như luật của quốc gia đó vào thời điểm đó được áp dụng bởi một hệ thống tòa án đã ổn định tại vùng lãnh thổ đó, thì câu hỏi này và các câu hỏi quan trọng khác liên quan đến thực thể phải được xác định và phải tính đến những luật đó như thể vùng lãnh thổ đó là một quốc gia được công nhận.</w:t>
      </w:r>
    </w:p>
    <w:p>
      <w:pPr>
        <w:spacing w:after="80"/>
      </w:pPr>
      <w:r>
        <w:rPr>
          <w:b w:val="0"/>
          <w:i w:val="0"/>
        </w:rPr>
        <w:t xml:space="preserve">Có rất ít án lệ trong lĩnh vực thuế hoặc luật chung về vấn đề này. Một thực thể mà theo luật riêng của nó sở hữu một số khía cạnh của tư cách pháp nhân riêng biệt có thể không nhất thiết được coi là một công ty. Trong </w:t>
      </w:r>
      <w:r>
        <w:rPr>
          <w:b w:val="0"/>
          <w:i/>
        </w:rPr>
        <w:t>Von Hellfeld v Rechnitzer &amp; Mayer Freres &amp; Co</w:t>
      </w:r>
      <w:r>
        <w:rPr>
          <w:b w:val="0"/>
          <w:i w:val="0"/>
        </w:rPr>
        <w:t xml:space="preserve">.,14 người ta cho rằng một công ty hợp danh Pháp không thể bị kiện dưới tên riêng của mình khi không có bằng chứng rằng theo luật Pháp, công ty hợp danh là một thực thể pháp lý khác biệt với các thành viên của nó. Trong </w:t>
      </w:r>
      <w:r>
        <w:rPr>
          <w:b w:val="0"/>
          <w:i/>
        </w:rPr>
        <w:t>Dreyfus v IRC</w:t>
      </w:r>
      <w:r>
        <w:rPr>
          <w:b w:val="0"/>
          <w:i w:val="0"/>
        </w:rPr>
        <w:t xml:space="preserve">,15 tòa án đã tham chiếu luật Pháp để xác định liệu một </w:t>
      </w:r>
      <w:r>
        <w:rPr>
          <w:b w:val="0"/>
          <w:i/>
        </w:rPr>
        <w:t>Societe en nom collectif</w:t>
      </w:r>
      <w:r>
        <w:rPr>
          <w:b w:val="0"/>
          <w:i w:val="0"/>
        </w:rPr>
        <w:t xml:space="preserve"> (SNC) có cấu thành một công ty hay không. Các thành viên cư trú tại Vương quốc Anh trong SNC đã chứng minh thành công rằng theo luật Pháp, một SNC là một pháp nhân. Do đó, các thành viên không phải chịu thuế siêu lợi nhuận của Vương quốc Anh đối với lợi nhuận của thực thể khi chúng phát sinh. Trong trường hợp đó, câu hỏi đặt ra là liệu thực thể đó là công ty hợp danh hay công ty. HMRC hiện coi SNC là minh bạch; xem thêm </w:t>
      </w:r>
      <w:r>
        <w:rPr>
          <w:b w:val="0"/>
          <w:i/>
        </w:rPr>
        <w:t>Ryall v du Bois Co. Ltd</w:t>
      </w:r>
      <w:r>
        <w:rPr>
          <w:b w:val="0"/>
          <w:i w:val="0"/>
        </w:rPr>
        <w:t>,16</w:t>
      </w:r>
    </w:p>
    <w:p>
      <w:pPr>
        <w:spacing w:after="80"/>
      </w:pPr>
      <w:r>
        <w:rPr>
          <w:b w:val="0"/>
          <w:i w:val="0"/>
        </w:rPr>
        <w:t xml:space="preserve">trong đó một </w:t>
      </w:r>
      <w:r>
        <w:rPr>
          <w:b w:val="0"/>
          <w:i/>
        </w:rPr>
        <w:t>Gesellschaft mit beschränkter Haftung</w:t>
      </w:r>
      <w:r>
        <w:rPr>
          <w:b w:val="0"/>
          <w:i w:val="0"/>
        </w:rPr>
        <w:t xml:space="preserve"> của Đức được đối xử tương tự như một công ty tư nhân Anh. Trong </w:t>
      </w:r>
      <w:r>
        <w:rPr>
          <w:b w:val="0"/>
          <w:i/>
        </w:rPr>
        <w:t>Oxnard Financing SA v Rahn &amp; Others</w:t>
      </w:r>
      <w:r>
        <w:rPr>
          <w:b w:val="0"/>
          <w:i w:val="0"/>
        </w:rPr>
        <w:t>,17 Tòa phúc thẩm Anh lưu ý rằng theo luật Thụy Sĩ, một công ty hợp danh chung của Thụy Sĩ được hưởng một mức độ tư cách pháp nhân cho phép nó ký kết hợp đồng dưới tên riêng của mình, nhưng nó không phải là một công ty vì nó không được thành lập theo luật định. Mức độ liên quan của những thuộc tính này được xác định bởi quy tắc pháp lý cụ thể được áp dụng. Trong trường hợp đó, quy tắc pháp lý là liệu các thủ tục tố tụng chống lại nó ở Anh phải được tiến hành bằng cách tham chiếu đến các thành viên cá nhân với tư cách là thành viên của hãng, hay bằng cách tham chiếu đến thực thể.</w:t>
      </w:r>
    </w:p>
    <w:p>
      <w:pPr>
        <w:spacing w:after="80"/>
      </w:pPr>
      <w:r>
        <w:rPr>
          <w:b w:val="0"/>
          <w:i w:val="0"/>
        </w:rPr>
        <w:t>Khi xác định bản chất của người hoặc thực thể nước ngoài, việc chọn luật thường chỉ đến luật riêng của người hoặc thực thể đó, cụ thể là luật của quốc gia mà theo luật của quốc gia đó nó được tạo ra.18 Corte Suprema di Cassazione (Tòa án Tối cao Ý) đã phán quyết rằng một tín thác được điều chỉnh bởi luật Anh và cư trú tại Vương quốc Anh là một người trong phạm vi Điều 3(1)(d) của Hiệp ước Thuế Thu nhập Ý-Anh trên cơ sở rằng cách đối xử ở cả hai quốc gia nên được tính đến.19 Theo luật Anh, một tín thác không phải là một người mà là một mối quan hệ, và nó được đối xử như một người danh nghĩa cho các mục đích thuế thu nhập của Vương quốc Anh.20</w:t>
      </w:r>
    </w:p>
    <w:p>
      <w:pPr>
        <w:spacing w:after="80"/>
      </w:pPr>
      <w:r>
        <w:rPr>
          <w:b w:val="0"/>
          <w:i w:val="0"/>
        </w:rPr>
        <w:t>14.</w:t>
      </w:r>
      <w:r>
        <w:rPr>
          <w:b w:val="0"/>
          <w:i/>
        </w:rPr>
        <w:t>Von Hellfeld v Rechnitzer &amp; Mayer Freres &amp; Co</w:t>
      </w:r>
      <w:r>
        <w:rPr>
          <w:b w:val="0"/>
          <w:i w:val="0"/>
        </w:rPr>
        <w:t xml:space="preserve"> [1914] 1 Ch. 748, CA</w:t>
      </w:r>
      <w:r>
        <w:rPr>
          <w:b w:val="0"/>
          <w:i/>
        </w:rPr>
        <w:t>.</w:t>
      </w:r>
      <w:r>
        <w:rPr>
          <w:b w:val="0"/>
          <w:i w:val="0"/>
        </w:rPr>
        <w:t>15.</w:t>
      </w:r>
      <w:r>
        <w:rPr>
          <w:b w:val="0"/>
          <w:i/>
        </w:rPr>
        <w:t>Dreyfus v Inland Revenue Commissioners</w:t>
      </w:r>
      <w:r>
        <w:rPr>
          <w:b w:val="0"/>
          <w:i w:val="0"/>
        </w:rPr>
        <w:t xml:space="preserve"> [1956] AC 39.16.</w:t>
      </w:r>
      <w:r>
        <w:rPr>
          <w:b w:val="0"/>
          <w:i/>
        </w:rPr>
        <w:t>Ryall v du Bois Co. Ltd</w:t>
      </w:r>
      <w:r>
        <w:rPr>
          <w:b w:val="0"/>
          <w:i w:val="0"/>
        </w:rPr>
        <w:t xml:space="preserve"> (1933) 18 TC 431.17.</w:t>
      </w:r>
      <w:r>
        <w:rPr>
          <w:b w:val="0"/>
          <w:i/>
        </w:rPr>
        <w:t>Oxnard Financing SA v Rahn &amp; Ors</w:t>
      </w:r>
      <w:r>
        <w:rPr>
          <w:b w:val="0"/>
          <w:i w:val="0"/>
        </w:rPr>
        <w:t xml:space="preserve"> [1998] EWCA Civ 594, [1998] 3 All ER 19.18.</w:t>
      </w:r>
      <w:r>
        <w:rPr>
          <w:b w:val="0"/>
          <w:i/>
        </w:rPr>
        <w:t>Rae (Inspector of Taxes) v Lazard Investment Co Ltd</w:t>
      </w:r>
      <w:r>
        <w:rPr>
          <w:b w:val="0"/>
          <w:i w:val="0"/>
        </w:rPr>
        <w:t xml:space="preserve"> (1963) 41 TC 1; [1963] 1 WLR 555 (HL);</w:t>
      </w:r>
      <w:r>
        <w:rPr>
          <w:b w:val="0"/>
          <w:i/>
        </w:rPr>
        <w:t xml:space="preserve"> FirstNationwidevRevenueandCustomsCommissioners</w:t>
      </w:r>
      <w:r>
        <w:rPr>
          <w:b w:val="0"/>
          <w:i w:val="0"/>
        </w:rPr>
        <w:t>[2012]BTC99;[2012]EWCACiv278;[2012] STC 1261.19.Corte Suprema di Cassazione (Tòa án Hành chính Tối cao Ý) Quyết định số 2617/2020 và số 2618/2020.20.ITA 2007, s. 474(1).</w:t>
      </w:r>
    </w:p>
    <w:p>
      <w:pPr>
        <w:spacing w:after="80"/>
      </w:pPr>
      <w:r>
        <w:rPr>
          <w:b w:val="0"/>
          <w:i w:val="0"/>
        </w:rPr>
        <w:t>169</w:t>
      </w:r>
    </w:p>
    <w:p>
      <w:pPr>
        <w:spacing w:after="80"/>
      </w:pPr>
      <w:r>
        <w:rPr>
          <w:b/>
          <w:i w:val="0"/>
        </w:rPr>
        <w:t>[C]Tính minh bạch về thuế</w:t>
      </w:r>
    </w:p>
    <w:p>
      <w:pPr>
        <w:spacing w:after="80"/>
      </w:pPr>
      <w:r>
        <w:rPr>
          <w:b w:val="0"/>
          <w:i w:val="0"/>
        </w:rPr>
        <w:t xml:space="preserve">Việc một thực thể không đủ điều kiện là một 'người' sẽ không tự động tạo ra tính minh bạch về thuế. Trong </w:t>
      </w:r>
      <w:r>
        <w:rPr>
          <w:b w:val="0"/>
          <w:i/>
        </w:rPr>
        <w:t>Memec plc v IRC</w:t>
      </w:r>
      <w:r>
        <w:rPr>
          <w:b w:val="0"/>
          <w:i w:val="0"/>
        </w:rPr>
        <w:t>,21 một công ty Anh (Plc) là thành viên im lặng trong một công ty hợp danh im lặng theo luật Đức với một công ty cư trú và được thành lập tại Đức (GmbH). Nó đã góp vốn vào GmbH và đổi lại có được quyền theo hợp đồng được thanh toán 87,84% lợi nhuận hàng năm của công ty hợp danh. Theo luật Đức, GmbH vẫn là chủ sở hữu tài sản kinh doanh và thu nhập từ những tài sản đó. Plc, với tư cách là thành viên im lặng, không có quyền sở hữu đối với tài sản. GmbH điều hành hoạt động kinh doanh. Một công ty hợp danh im lặng không có tư cách pháp nhân riêng biệt theo luật Đức.</w:t>
      </w:r>
    </w:p>
    <w:p>
      <w:pPr>
        <w:spacing w:after="80"/>
      </w:pPr>
      <w:r>
        <w:rPr>
          <w:b w:val="0"/>
          <w:i w:val="0"/>
        </w:rPr>
        <w:t>Tranh chấp liên quan đến việc liệu thu nhập có nên được xác định là cổ tức từ một công ty con kinh doanh của công ty hợp danh im lặng, có thể chia và phân phối sau khi trừ chi phí theo quy định của thỏa thuận hợp danh, hay nên được xác định là quyền theo hợp đồng của Plc theo thỏa thuận hợp danh để được thanh toán phần lợi nhuận hợp danh đã quy định.</w:t>
      </w:r>
    </w:p>
    <w:p>
      <w:pPr>
        <w:spacing w:after="80"/>
      </w:pPr>
      <w:r>
        <w:rPr>
          <w:b w:val="0"/>
          <w:i w:val="0"/>
        </w:rPr>
        <w:t>Sau khi xem xét việc phân loại các thực thể theo cả luật nước ngoài và luật Anh, Robert Walker J22 kết luận rằng thỏa thuận được thể hiện trong công ty hợp danh im lặng không minh bạch. Ông nói, tính minh bạch thường gắn liền với tình huống mà người nhận cuối cùng của thu nhập cơ sở đang xét có quyền lợi hưởng lợi đối với nó ngay từ đầu. Nếu thu nhập không bị biến đổi ở một giai đoạn trung gian nào đó, ví dụ, do người được ủy thác cần phải thực hiện quyền quyết định, hoặc do nó được đóng gói để đến tay người nhận cuối cùng dưới dạng một niên kim cố định hoặc hình thức khác khác với thu nhập cơ sở, thì thực thể đó là minh bạch. Quan điểm này cũng được Tòa phúc thẩm chia sẻ.</w:t>
      </w:r>
    </w:p>
    <w:p>
      <w:pPr>
        <w:spacing w:after="80"/>
      </w:pPr>
      <w:r>
        <w:rPr>
          <w:b w:val="0"/>
          <w:i w:val="0"/>
        </w:rPr>
        <w:t>Trong trường hợp này, công ty Anh không nhận được hoặc không trở thành người được hưởng cổ tức do công ty con kinh doanh chi trả. Nó chỉ được hưởng một khoản tiền được xác định bằng cách tham chiếu đến cổ tức chứ không phải chính cổ tức. Do đó, nó không thể đủ điều kiện trực tiếp cho việc giảm trừ theo hiệp ước bằng cách khấu trừ thuế cơ sở do công ty con kinh doanh nộp.23</w:t>
      </w:r>
    </w:p>
    <w:p>
      <w:pPr>
        <w:spacing w:after="80"/>
      </w:pPr>
      <w:r>
        <w:rPr>
          <w:b w:val="0"/>
          <w:i w:val="0"/>
        </w:rPr>
        <w:t>Đặc tính lai của các công ty hợp danh im lặng của Đức được đề cập trong Điều 2 của nghị định thư bổ sung cho Hiệp ước Đức-Anh (2010).24 Cổ tức và tiền lãi có thể bị đánh thuế tại quốc gia nguồn nơi chúng phát sinh, nếu chúng được phát sinh từ các quyền bao gồm thu nhập mà một thành viên im lặng ('stiller Gesellschafter') thu được từ việc tham gia với tư cách đó, và được khấu trừ khi xác định lợi nhuận của người mắc nợ đối với thu nhập đó.</w:t>
      </w:r>
    </w:p>
    <w:p>
      <w:pPr>
        <w:spacing w:after="80"/>
      </w:pPr>
      <w:r>
        <w:rPr>
          <w:b w:val="0"/>
          <w:i w:val="0"/>
        </w:rPr>
        <w:t>21.</w:t>
      </w:r>
      <w:r>
        <w:rPr>
          <w:b w:val="0"/>
          <w:i/>
        </w:rPr>
        <w:t>MemecplcvInlandRevenueCommissioners</w:t>
      </w:r>
      <w:r>
        <w:rPr>
          <w:b w:val="0"/>
          <w:i w:val="0"/>
        </w:rPr>
        <w:t>[1998]BTC251;[1998]STC754,CA.Xem thêm Chương 1, §1.04.22.</w:t>
      </w:r>
      <w:r>
        <w:rPr>
          <w:b w:val="0"/>
          <w:i/>
        </w:rPr>
        <w:t>Memec plc v Inland Revenue Commissioners</w:t>
      </w:r>
      <w:r>
        <w:rPr>
          <w:b w:val="0"/>
          <w:i w:val="0"/>
        </w:rPr>
        <w:t xml:space="preserve"> [1998] BTC 251; [1998] STC 754, CA.23.Tại Phòng Chancery</w:t>
      </w:r>
      <w:r>
        <w:rPr>
          <w:b w:val="0"/>
          <w:i/>
        </w:rPr>
        <w:t>MemecplcvInlandRevenueCommissioners</w:t>
      </w:r>
      <w:r>
        <w:rPr>
          <w:b w:val="0"/>
          <w:i w:val="0"/>
        </w:rPr>
        <w:t>[1996]BTC590;[1996]STC 1136.24.Xem thêm</w:t>
      </w:r>
      <w:r>
        <w:rPr>
          <w:b w:val="0"/>
          <w:i/>
        </w:rPr>
        <w:t xml:space="preserve"> Training Consultant v Revenue &amp; Customs</w:t>
      </w:r>
      <w:r>
        <w:rPr>
          <w:b w:val="0"/>
          <w:i w:val="0"/>
        </w:rPr>
        <w:t xml:space="preserve"> (2007) Sp C 584, [2007] UKSPC 584.</w:t>
      </w:r>
    </w:p>
    <w:p>
      <w:pPr>
        <w:spacing w:after="80"/>
      </w:pPr>
      <w:r>
        <w:rPr>
          <w:b w:val="0"/>
          <w:i w:val="0"/>
        </w:rPr>
        <w:t>170</w:t>
      </w:r>
    </w:p>
    <w:p>
      <w:pPr>
        <w:spacing w:after="80"/>
      </w:pPr>
      <w:r>
        <w:rPr>
          <w:b/>
          <w:i w:val="0"/>
        </w:rPr>
        <w:t>[D]Thực tiễn hành chính</w:t>
      </w:r>
    </w:p>
    <w:p>
      <w:pPr>
        <w:spacing w:after="80"/>
      </w:pPr>
      <w:r>
        <w:rPr>
          <w:b w:val="0"/>
          <w:i w:val="0"/>
        </w:rPr>
        <w:t xml:space="preserve">Thực tiễn hành chính của Vương quốc Anh đã áp dụng thuật ngữ </w:t>
      </w:r>
      <w:r>
        <w:rPr>
          <w:b w:val="0"/>
          <w:i/>
        </w:rPr>
        <w:t>Memec</w:t>
      </w:r>
      <w:r>
        <w:rPr>
          <w:b w:val="0"/>
          <w:i w:val="0"/>
        </w:rPr>
        <w:t xml:space="preserve"> trong việc xử lý phân loại thực thể. HMRC mô tả các thực thể là 'minh bạch' (transparent) hoặc 'không minh bạch' (opaque) về mặt thuế. Trong trường hợp một thực thể 'minh bạch', thành viên được coi là có quyền hưởng một phần thu nhập cơ bản của thực thể khi thu nhập đó phát sinh. Thành viên trong một thực thể 'không minh bạch' chỉ bị đánh thuế trên các khoản phân phối do thực thể thực hiện.25 HMRC đã công bố danh sách các thực thể mà cơ quan này đã xem xét và coi là minh bạch hoặc không minh bạch.26 Cơ quan này không coi các cụm từ 'minh bạch' và 'không minh bạch' là có thể hoán đổi với 'hợp danh' (partnership) hoặc 'pháp nhân' (body corporate). Do đó, mặc dù một hợp danh là minh bạch về mặt thuế đối với mục đích thuế thu nhập của Vương quốc Anh, một thực thể minh bạch về mặt thuế không nhất thiết phải là một hợp danh. </w:t>
      </w:r>
      <w:r>
        <w:rPr>
          <w:b w:val="0"/>
          <w:i/>
        </w:rPr>
        <w:t>Sổ tay Thuế Trước bạ</w:t>
      </w:r>
      <w:r>
        <w:rPr>
          <w:b w:val="0"/>
          <w:i w:val="0"/>
        </w:rPr>
        <w:t xml:space="preserve"> (Stamp Duty Manual) của HMRC cũng chứa danh sách các thực thể đã được xem xét là pháp nhân cho mục đích thuế trước bạ.27</w:t>
      </w:r>
    </w:p>
    <w:p>
      <w:pPr>
        <w:spacing w:after="80"/>
      </w:pPr>
      <w:r>
        <w:rPr>
          <w:b w:val="0"/>
          <w:i w:val="0"/>
        </w:rPr>
        <w:t>Các tiêu chí mà HMRC áp dụng để quyết định liệu một cư dân Vương quốc Anh có lợi ích trong một thực thể kinh doanh nước ngoài dẫn đến việc cư dân đó bị đánh thuế Vương quốc Anh trên phần lợi nhuận của thực thể khi chúng phát sinh, hay liệu họ chỉ bị đánh thuế khi phân phối, được xác định dựa trên các vấn đề như:</w:t>
      </w:r>
    </w:p>
    <w:p>
      <w:pPr>
        <w:spacing w:after="80"/>
      </w:pPr>
      <w:r>
        <w:rPr>
          <w:b w:val="0"/>
          <w:i w:val="0"/>
        </w:rPr>
        <w:t>(a)sự tồn tại pháp lý tách biệt với các thành viên của nó;(b)sự tồn tại của vốn cổ phần hoặc thứ gì đó khác phục vụ cùng</w:t>
      </w:r>
    </w:p>
    <w:p>
      <w:pPr>
        <w:spacing w:after="80"/>
      </w:pPr>
      <w:r>
        <w:rPr>
          <w:b w:val="0"/>
          <w:i w:val="0"/>
        </w:rPr>
        <w:t>chức năng như vốn cổ phần;(c)liệu hoạt động kinh doanh được thực hiện bởi chính thực thể hay</w:t>
      </w:r>
    </w:p>
    <w:p>
      <w:pPr>
        <w:spacing w:after="80"/>
      </w:pPr>
      <w:r>
        <w:rPr>
          <w:b w:val="0"/>
          <w:i w:val="0"/>
        </w:rPr>
        <w:t>cùng nhau bởi các thành viên;(d)liệu các thành viên có quyền chia sẻ lợi nhuận khi chúng phát sinh hay số tiền</w:t>
      </w:r>
    </w:p>
    <w:p>
      <w:pPr>
        <w:spacing w:after="80"/>
      </w:pPr>
      <w:r>
        <w:rPr>
          <w:b w:val="0"/>
          <w:i w:val="0"/>
        </w:rPr>
        <w:t>lợi nhuận mà họ được hưởng phụ thuộc vào quyết định của thực thể hoặc các thành viên sau thời kỳ mà lợi nhuận đã phát sinh để thực hiện phân phối lợi nhuận của mình;(e)thực thể hay các thành viên chịu trách nhiệm về các khoản nợ phát sinh do</w:t>
      </w:r>
    </w:p>
    <w:p>
      <w:pPr>
        <w:spacing w:after="80"/>
      </w:pPr>
      <w:r>
        <w:rPr>
          <w:b w:val="0"/>
          <w:i w:val="0"/>
        </w:rPr>
        <w:t>thực hiện hoạt động kinh doanh;(f)các tài sản được sử dụng để thực hiện hoạt động kinh doanh thuộc quyền sở hữu hưởng lợi của thực thể</w:t>
      </w:r>
    </w:p>
    <w:p>
      <w:pPr>
        <w:spacing w:after="80"/>
      </w:pPr>
      <w:r>
        <w:rPr>
          <w:b w:val="0"/>
          <w:i w:val="0"/>
        </w:rPr>
        <w:t>hay của các thành viên.28</w:t>
      </w:r>
    </w:p>
    <w:p>
      <w:pPr>
        <w:spacing w:after="80"/>
      </w:pPr>
      <w:r>
        <w:rPr>
          <w:b w:val="0"/>
          <w:i w:val="0"/>
        </w:rPr>
        <w:t>Tư cách pháp nhân, tức là sự tồn tại tách biệt với các thành viên của nó, là đủ để đáp ứng yêu cầu về tư cách pháp nhân trong các hiệp ước tuân theo Mô hình OECD.</w:t>
      </w:r>
    </w:p>
    <w:p>
      <w:pPr>
        <w:spacing w:after="80"/>
      </w:pPr>
      <w:r>
        <w:rPr>
          <w:b/>
          <w:i w:val="0"/>
        </w:rPr>
        <w:t>[E]Quyền lợi theo hiệp ước và các thực thể minh bạch</w:t>
      </w:r>
    </w:p>
    <w:p>
      <w:pPr>
        <w:spacing w:after="80"/>
      </w:pPr>
      <w:r>
        <w:rPr>
          <w:b w:val="0"/>
          <w:i w:val="0"/>
        </w:rPr>
        <w:t>Khi cả hai quốc gia ký kết đều coi một thực thể là một người (person) cho mục đích thuế thì thông thường sẽ ít xảy ra bất thường. Khi cách xử lý của mỗi quốc gia không khớp nhau thì có thể nảy sinh khó khăn. Ví dụ, thực tiễn hành chính mà HMRC áp dụng trong</w:t>
      </w:r>
    </w:p>
    <w:p>
      <w:pPr>
        <w:spacing w:after="80"/>
      </w:pPr>
      <w:r>
        <w:rPr>
          <w:b w:val="0"/>
          <w:i w:val="0"/>
        </w:rPr>
        <w:t>25.Nghị định thư sửa đổi ngày 30 tháng 3 năm 2010 đối với Hiệp ước Thuế Đức-Vương quốc Anh (2010).26.HMRC, International Manual, INTM180020.27.HMRC, International Manual, INTM180030.28.HMRC, Stamp Office Manual, SOM6.124.</w:t>
      </w:r>
    </w:p>
    <w:p>
      <w:pPr>
        <w:spacing w:after="80"/>
      </w:pPr>
      <w:r>
        <w:rPr>
          <w:b w:val="0"/>
          <w:i w:val="0"/>
        </w:rPr>
        <w:t>171</w:t>
      </w:r>
    </w:p>
    <w:p>
      <w:pPr>
        <w:spacing w:after="80"/>
      </w:pPr>
      <w:r>
        <w:rPr>
          <w:b w:val="0"/>
          <w:i w:val="0"/>
        </w:rPr>
        <w:t>Đối với các công ty trách nhiệm hữu hạn (LLC) của Hoa Kỳ, vì mục đích thuế của Vương quốc Anh, các LLC được thành lập theo luật của nhiều bang khác nhau của Hoa Kỳ nên được coi là các thực thể chịu thuế chứ không phải là minh bạch về mặt tài khóa (mặc dù LLC có thể minh bạch cho mục đích thuế của Hoa Kỳ và lợi nhuận của nó bị đánh thuế ở Hoa Kỳ trong tay các thành viên). Theo đó, Vương quốc Anh đánh thuế một thành viên Vương quốc Anh của một LLC dựa trên các khoản phân phối lợi nhuận do LLC thực hiện chứ không dựa trên thu nhập của LLC khi nó phát sinh. Về nguyên tắc, HMRC không công nhận các LLC đủ điều kiện hưởng các lợi ích theo hiệp ước, nhưng chấp nhận các yêu cầu theo hiệp ước từ các LLC trong phạm vi thu nhập được đề cập phải chịu thuế Hoa Kỳ trong tay những thành viên của LLC là cư dân Hoa Kỳ.29 Hệ quả logic của cách xử lý này là cho phép các lợi ích theo hiệp ước đối với một thành viên của một LLC Hoa Kỳ cư trú tại một quốc gia thứ ba, và không từ chối nó chỉ vì tham gia vào LLC.30 Cách tiếp cận tương tự có thể được các quốc gia ký kết thông qua thỏa thuận chung.31</w:t>
      </w:r>
    </w:p>
    <w:p>
      <w:pPr>
        <w:spacing w:after="80"/>
      </w:pPr>
      <w:r>
        <w:rPr>
          <w:b w:val="0"/>
          <w:i w:val="0"/>
        </w:rPr>
        <w:t xml:space="preserve">Việc áp dụng các tiêu chí của HMRC để xác định tính minh bạch đã được xem xét kỹ lưỡng trong </w:t>
      </w:r>
      <w:r>
        <w:rPr>
          <w:b w:val="0"/>
          <w:i/>
        </w:rPr>
        <w:t xml:space="preserve"> Anson v Revenue and Customs Commissioners </w:t>
      </w:r>
      <w:r>
        <w:rPr>
          <w:b w:val="0"/>
          <w:i w:val="0"/>
        </w:rPr>
        <w:t>32, nơi cả người nộp thuế và HMRC đều đồng ý rằng các tiêu chí này nên được áp dụng để xác định đặc tính của một LLC Delaware cho mục đích yêu cầu cứu trợ tín dụng. Người nộp thuế, một thành viên cư trú tại Vương quốc Anh của LLC Delaware, đã yêu cầu cứu trợ tại Vương quốc Anh đối với thuế thu nhập liên bang Hoa Kỳ mà LLC đã nộp trên lợi nhuận của mình tại Hoa Kỳ theo Điều 23(2) của Hiệp ước Hoa Kỳ-Vương quốc Anh (1980). Các chuyên gia về luật Delaware đồng ý rằng:</w:t>
      </w:r>
    </w:p>
    <w:p>
      <w:pPr>
        <w:spacing w:after="80"/>
      </w:pPr>
      <w:r>
        <w:rPr>
          <w:b w:val="0"/>
          <w:i w:val="0"/>
        </w:rPr>
        <w:t>– LLC được đề cập là một thực thể pháp lý;– hoạt động kinh doanh của nó được thực hiện bởi chính LLC chứ không phải bởi các thành viên của nó;– các tài sản được sử dụng để tiến hành hoạt động kinh doanh thuộc quyền sở hữu hưởng lợi của LLC</w:t>
      </w:r>
    </w:p>
    <w:p>
      <w:pPr>
        <w:spacing w:after="80"/>
      </w:pPr>
      <w:r>
        <w:rPr>
          <w:b w:val="0"/>
          <w:i w:val="0"/>
        </w:rPr>
        <w:t>chứ không phải của các thành viên;– các thành viên không có quyền lợi đối với tài sản cụ thể của LLC. LLC (chứ không phải</w:t>
      </w:r>
    </w:p>
    <w:p>
      <w:pPr>
        <w:spacing w:after="80"/>
      </w:pPr>
      <w:r>
        <w:rPr>
          <w:b w:val="0"/>
          <w:i w:val="0"/>
        </w:rPr>
        <w:t>các thành viên) phải chịu trách nhiệm về các khoản nợ phát sinh do tiến hành hoạt động kinh doanh;– các thành viên không có trách nhiệm đối với các nghĩa vụ của LLC.</w:t>
      </w:r>
    </w:p>
    <w:p>
      <w:pPr>
        <w:spacing w:after="80"/>
      </w:pPr>
      <w:r>
        <w:rPr>
          <w:b w:val="0"/>
          <w:i w:val="0"/>
        </w:rPr>
        <w:t>Các chuyên gia không đồng ý về việc liệu:</w:t>
      </w:r>
    </w:p>
    <w:p>
      <w:pPr>
        <w:spacing w:after="80"/>
      </w:pPr>
      <w:r>
        <w:rPr>
          <w:b w:val="0"/>
          <w:i w:val="0"/>
        </w:rPr>
        <w:t>– LLC có vốn cổ phần hay thứ gì đó phục vụ cùng chức năng như</w:t>
      </w:r>
    </w:p>
    <w:p>
      <w:pPr>
        <w:spacing w:after="80"/>
      </w:pPr>
      <w:r>
        <w:rPr>
          <w:b w:val="0"/>
          <w:i w:val="0"/>
        </w:rPr>
        <w:t>vốn cổ phần;– các thành viên có quyền lợi đối với lợi nhuận của LLC khi chúng phát sinh.</w:t>
      </w:r>
    </w:p>
    <w:p>
      <w:pPr>
        <w:spacing w:after="80"/>
      </w:pPr>
      <w:r>
        <w:rPr>
          <w:b w:val="0"/>
          <w:i w:val="0"/>
        </w:rPr>
        <w:t>Thẩm phán Avery Jones và ông Menzies-Conacher (thành viên) tại Tòa án Sơ thẩm đã phát hiện rằng lợi nhuận thuộc về các thành viên khi chúng phát sinh. Khi kết luận rằng thành viên cư trú tại Vương quốc Anh được quyền hưởng tín dụng cho thuế Hoa Kỳ, 'được tính dựa trên cùng lợi nhuận hoặc thu nhập' như thuế Vương quốc Anh trong Điều 23(2)(a) của hiệp ước Hoa Kỳ-Vương quốc Anh (1975)33</w:t>
      </w:r>
    </w:p>
    <w:p>
      <w:pPr>
        <w:spacing w:after="80"/>
      </w:pPr>
      <w:r>
        <w:rPr>
          <w:b w:val="0"/>
          <w:i w:val="0"/>
        </w:rPr>
        <w:t xml:space="preserve">29. HMRC, Sổ tay Quốc tế, INTM180010.30. Xem thêm Quyết định 17TACD2019 của Ủy viên Kháng cáo Thuế Ireland về việc liệu một LLC Delaware có phải là một công ty hay không, được thảo luận tại §6.04.31. Biên bản ghi nhớ hiểu biết giữa Thụy Sĩ và Vương quốc Anh về các phương tiện đầu tư ngày 12 tháng 2 năm 2008.32. </w:t>
      </w:r>
      <w:r>
        <w:rPr>
          <w:b w:val="0"/>
          <w:i/>
        </w:rPr>
        <w:t>Anson v Revenue and Customs Commissioners</w:t>
      </w:r>
      <w:r>
        <w:rPr>
          <w:b w:val="0"/>
          <w:i w:val="0"/>
        </w:rPr>
        <w:t xml:space="preserve"> [2015] UKSC 44, [2015] STC 1777, [2015] BTC 21.33. </w:t>
      </w:r>
      <w:r>
        <w:rPr>
          <w:b w:val="0"/>
          <w:i/>
        </w:rPr>
        <w:t>Ở giai đoạn đó dưới tên ẩn danh của nó, Swift v Revenue and Customs</w:t>
      </w:r>
      <w:r>
        <w:rPr>
          <w:b w:val="0"/>
          <w:i w:val="0"/>
        </w:rPr>
        <w:t xml:space="preserve"> [2010] SFTD 553 [2010] TC 00399 [2010] UKFTT 88 (TC).</w:t>
      </w:r>
    </w:p>
    <w:p>
      <w:pPr>
        <w:spacing w:after="80"/>
      </w:pPr>
      <w:r>
        <w:rPr>
          <w:b w:val="0"/>
          <w:i w:val="0"/>
        </w:rPr>
        <w:t>172</w:t>
      </w:r>
    </w:p>
    <w:p>
      <w:pPr>
        <w:spacing w:after="80"/>
      </w:pPr>
      <w:r>
        <w:rPr>
          <w:b w:val="0"/>
          <w:i w:val="0"/>
        </w:rPr>
        <w:t>và Điều 24(4) của hiệp ước Hoa Kỳ-Vương quốc Anh (2001),34 họ thích áp dụng các từ ngữ của hiệp ước hơn là hỏi liệu LLC có 'minh bạch hay không minh bạch'. Kết luận của họ rằng LLC không có bất cứ thứ gì tương đương với vốn cổ phần đã đi ngược lại việc mô tả phân bổ lợi nhuận như một cổ tức được trả bởi một công ty Hoa Kỳ trong Điều 23(2)(b). Do đó, trong khi việc được công nhận là một 'người' là một yêu cầu để nằm trong phạm vi của hiệp ước, điều này không trả lời tất cả các câu hỏi về việc áp dụng hiệp ước. Tòa án Tối cao đã tán thành cả kết luận của Tòa án Sơ thẩm và sự cần thiết phải tập trung vào các yêu cầu cụ thể của hiệp ước hơn là một cách tiếp cận khái niệm rộng rãi. Khó khăn trong việc giải quyết những câu hỏi như vậy được minh họa bởi thực tế rằng cả Tòa án Cấp cao và Tòa án Kháng cáo đều có quan điểm ngược lại, cụ thể là các thành viên LLC không có quyền sở hữu đối với lợi nhuận của LLC và rằng LLC không minh bạch.35</w:t>
      </w:r>
    </w:p>
    <w:p>
      <w:pPr>
        <w:spacing w:after="80"/>
      </w:pPr>
      <w:r>
        <w:rPr>
          <w:b w:val="0"/>
          <w:i w:val="0"/>
        </w:rPr>
        <w:t>Hiệp ước Thuế Thu nhập Hoa Kỳ-Vương quốc Anh (2001) là một hiệp ước ban đầu giải quyết trực tiếp tính minh bạch tài khóa. Điều 1(8) quy định rằng một khoản thu nhập có được thông qua một người minh bạch về mặt tài khóa theo luật của một trong hai quốc gia ký kết được coi là có được bởi một cư dân của một quốc gia ký kết trong phạm vi khoản đó được xử lý cho mục đích của luật thuế của quốc gia ký kết đó như thu nhập của cư dân. Do đó, một thực thể minh bạch cho mục đích thuế ở Hoa Kỳ hoặc Vương quốc Anh có thể được nhìn xuyên qua và khoản thu nhập được coi là của thành viên của thực thể minh bạch chứ không phải của chính thực thể đó. Một thành viên cư trú tại Hoa Kỳ của một LLC Hoa Kỳ được coi là minh bạch cho mục đích thuế Hoa Kỳ do đó sẽ đủ điều kiện hưởng các lợi ích theo hiệp ước đối với các khoản thu nhập từ nguồn Vương quốc Anh. Các quy định tương tự xuất hiện trong các hiệp ước được ký kết sau dự án BEPS của OECD, chẳng hạn như Điều 1(2) của hiệp ước đánh thuế hai lần Colombia–Vương quốc Anh và trong các hiệp ước Vương quốc Anh được MLI bao phủ.36 Quy tắc này được bao gồm trong các Mẫu OECD và UN năm 2017 như Điều 1(2).</w:t>
      </w:r>
    </w:p>
    <w:p>
      <w:pPr>
        <w:spacing w:after="80"/>
      </w:pPr>
      <w:r>
        <w:rPr>
          <w:b w:val="0"/>
          <w:i w:val="0"/>
        </w:rPr>
        <w:t xml:space="preserve">Điều khoản minh bạch tài khóa không loại bỏ tất cả các khác biệt trong cách xử lý thuế. Do đó nó không loại bỏ sự không khớp như đã phát sinh trong </w:t>
      </w:r>
      <w:r>
        <w:rPr>
          <w:b w:val="0"/>
          <w:i/>
        </w:rPr>
        <w:t xml:space="preserve"> Anson </w:t>
      </w:r>
      <w:r>
        <w:rPr>
          <w:b w:val="0"/>
          <w:i w:val="0"/>
        </w:rPr>
        <w:t xml:space="preserve">, nơi Hoa Kỳ coi LLC là minh bạch, nhưng cơ quan thuế Vương quốc Anh coi nó là không minh bạch. Việc áp dụng quy định này được nêu trong Biên bản Trao đổi ngày 24 tháng 7 năm 2001 liên quan đến Hiệp ước với tham chiếu đến các Điều 1(8) và 24. Trong </w:t>
      </w:r>
      <w:r>
        <w:rPr>
          <w:b w:val="0"/>
          <w:i/>
        </w:rPr>
        <w:t>Anson</w:t>
      </w:r>
      <w:r>
        <w:rPr>
          <w:b w:val="0"/>
          <w:i w:val="0"/>
        </w:rPr>
        <w:t>, người nộp thuế đã cố gắng, vào phút cuối, lập luận tại Tòa án Kháng cáo rằng biên bản trao đổi liên quan đến Điều 24 cho phép tín dụng được cấp cho một thành viên cư trú tại Vương quốc Anh của LLC được coi là minh bạch ở Hoa Kỳ đối với thuế Hoa Kỳ mà thành viên đã nộp trên lợi nhuận của LLC. Tòa án Kháng cáo đã từ chối cho phép lập luận điểm này, xử lý các vấn đề nội dung một cách tóm tắt.37 Thuật ngữ 'minh bạch về mặt tài khóa' không được giải thích. Biên bản Trao đổi ngày 24 tháng 7 năm 2001 với tham chiếu đến Điều 1(8) làm rõ rằng cách diễn đạt này không bị giới hạn ở các thực thể kinh doanh mà bao gồm, ví dụ, các thỏa thuận</w:t>
      </w:r>
    </w:p>
    <w:p>
      <w:pPr>
        <w:spacing w:after="80"/>
      </w:pPr>
      <w:r>
        <w:rPr>
          <w:b w:val="0"/>
          <w:i w:val="0"/>
        </w:rPr>
        <w:t xml:space="preserve">34. Ngày 31 tháng 12 (SI 1980/568).35. </w:t>
      </w:r>
      <w:r>
        <w:rPr>
          <w:b w:val="0"/>
          <w:i/>
        </w:rPr>
        <w:t>Anson v Revenue and Customs Commissioners</w:t>
      </w:r>
      <w:r>
        <w:rPr>
          <w:b w:val="0"/>
          <w:i w:val="0"/>
        </w:rPr>
        <w:t xml:space="preserve"> [2015] BTC 21, [2015] UKSC 44 tại các đoạn 44 và 121.36. Xem Chương 18, §18.03.37. </w:t>
      </w:r>
      <w:r>
        <w:rPr>
          <w:b w:val="0"/>
          <w:i/>
        </w:rPr>
        <w:t>Revenue and Customs Commissioners v Anson</w:t>
      </w:r>
      <w:r>
        <w:rPr>
          <w:b w:val="0"/>
          <w:i w:val="0"/>
        </w:rPr>
        <w:t xml:space="preserve"> [2012] BTC 1,552, [2012] UKUT 59 (TCC); [2012] STC 1014. Tại các đoạn 36 và 53. </w:t>
      </w:r>
      <w:r>
        <w:rPr>
          <w:b w:val="0"/>
          <w:i/>
        </w:rPr>
        <w:t>Revenue and Customs Commissioners v Anson</w:t>
      </w:r>
      <w:r>
        <w:rPr>
          <w:b w:val="0"/>
          <w:i w:val="0"/>
        </w:rPr>
        <w:t xml:space="preserve"> [2013] BTC 81, [2013] EWCA Civ 63 tại các đoạn 29 và 38.</w:t>
      </w:r>
    </w:p>
    <w:p>
      <w:pPr>
        <w:spacing w:after="80"/>
      </w:pPr>
      <w:r>
        <w:rPr>
          <w:b w:val="0"/>
          <w:i w:val="0"/>
        </w:rPr>
        <w:t>173</w:t>
      </w:r>
    </w:p>
    <w:p>
      <w:pPr>
        <w:spacing w:after="80"/>
      </w:pPr>
      <w:r>
        <w:rPr>
          <w:b w:val="0"/>
          <w:i w:val="0"/>
        </w:rPr>
        <w:t>và các tín thác (trust) nơi thu nhập và lợi tức được quy cho người lập tín thác (settlor), người chuyển nhượng khác hoặc người thụ hưởng.</w:t>
      </w:r>
    </w:p>
    <w:p>
      <w:pPr>
        <w:spacing w:after="80"/>
      </w:pPr>
      <w:r>
        <w:rPr>
          <w:b w:val="0"/>
          <w:i w:val="0"/>
        </w:rPr>
        <w:t>Các hiệp định sau này đã giải quyết vấn đề này chi tiết hơn. Ví dụ, việc phân loại theo quốc gia cư trú được coi là mang tính quyết định bởi Điều 4(5)(a) của Hiệp định Nhật Bản - Vương quốc Anh (2006), trong đó yêu cầu quốc gia nguồn phải dành các ưu đãi hiệp định cho cư dân của quốc gia kia, những người là thành viên của một thực thể minh bạch (transparent entity) được thành lập tại cùng quốc gia với các thành viên, bất kể cách thức mà nó sẽ được đối xử tại quốc gia nguồn. Tương tự, khi quốc gia cư trú của một thực thể và các thành viên của nó coi thực thể đó là đối tượng nộp thuế, thì quốc gia nguồn phải dành các ưu đãi hiệp định trên cơ sở đó, bất kể việc phân loại thực thể tại quốc gia nguồn như thế nào.38 Mặt khác, khi thực thể được thành lập tại quốc gia nguồn và thực thể đó được coi là không minh bạch tại quốc gia kia, thì các ưu đãi hiệp định không được áp dụng đối với thu nhập của nó.39</w:t>
      </w:r>
    </w:p>
    <w:p>
      <w:pPr>
        <w:spacing w:after="80"/>
      </w:pPr>
      <w:r>
        <w:rPr>
          <w:b w:val="0"/>
          <w:i w:val="0"/>
        </w:rPr>
        <w:t xml:space="preserve">Trong </w:t>
      </w:r>
      <w:r>
        <w:rPr>
          <w:b w:val="0"/>
          <w:i/>
        </w:rPr>
        <w:t>Linklaters LLP v Income Tax Officer,</w:t>
      </w:r>
      <w:r>
        <w:rPr>
          <w:b w:val="0"/>
          <w:i w:val="0"/>
        </w:rPr>
        <w:t xml:space="preserve">40 Tòa án Phúc thẩm Thuế Thu nhập Ấn Độ đã phán quyết rằng một công ty hợp danh (partnership) của Anh được hưởng các ưu đãi với tư cách là cư dân của Vương quốc Anh theo Điều 4(1) của Hiệp định Ấn Độ - Vương quốc Anh. Vụ án liên quan đến năm đánh giá thuế 1995-1996, trước khi việc tự khai thuế (self-assessment) được áp dụng tại Vương quốc Anh. Vào thời điểm đó, các công ty hợp danh là đối tượng nộp thuế, những người khai báo thu nhập và nộp thuế thay cho các thành viên hợp danh dựa trên các đặc điểm cá nhân của các thành viên hợp danh. Tòa án coi công ty hợp danh là một thực thể minh bạch về mặt thuế.41 Điều 3(2) yêu cầu một công ty hợp danh được coi là một đơn vị chịu thuế theo luật thuế nội địa Ấn Độ phải được coi là một "người" (person) cho các mục đích của hiệp định. Tòa án cho rằng trong ý nghĩa theo ngữ cảnh của nó, cụm từ 'chịu thuế do quốc tịch, cư trú, nơi quản lý hoặc bất kỳ tiêu chí nào có tính chất tương tự' đề cập đến tình huống trong đó một người chịu thuế tại một khu vực tài phán thuế nhờ một mối liên hệ gắn với địa phương dẫn đến việc đánh thuế theo kiểu cư trú. Sợi chỉ chung trong tất cả các yếu tố là tất cả đều bao gồm một mối liên hệ gắn với địa phương nào đó của người đó, dẫn đến việc đánh thuế theo kiểu cư trú, tức là đánh thuế đầy đủ và không chỉ đối với một nguồn giới hạn, đối với người đó. Tòa án đã phán quyết rằng công ty hợp danh đủ điều kiện hưởng các ưu đãi hiệp định, miễn là toàn bộ lợi nhuận của công ty hợp danh bị đánh thuế tại Vương quốc Anh, dù là trong tay của công ty hợp danh (mặc dù thu nhập chịu thuế được xác định dựa trên các đặc điểm cá nhân của các thành viên hợp danh), hay trực tiếp trong tay của các thành viên hợp danh.42 Chính sự kiện chịu thuế tại quốc gia cư trú, chứ không phải phương thức chịu thuế tại đó, mới là yếu tố quyết định.43 Trong </w:t>
      </w:r>
      <w:r>
        <w:rPr>
          <w:b w:val="0"/>
          <w:i/>
        </w:rPr>
        <w:t>P&amp;O Nedlloyd Ltd &amp; Ors v ADIT</w:t>
      </w:r>
      <w:r>
        <w:rPr>
          <w:b w:val="0"/>
          <w:i w:val="0"/>
        </w:rPr>
        <w:t>,44 Tòa án Tối cao Calcutta đã phán quyết rằng một công ty hợp danh giữa một công ty Vương quốc Anh và một công ty Hà Lan là một "người" theo</w:t>
      </w:r>
    </w:p>
    <w:p>
      <w:pPr>
        <w:spacing w:after="80"/>
      </w:pPr>
      <w:r>
        <w:rPr>
          <w:b w:val="0"/>
          <w:i w:val="0"/>
        </w:rPr>
        <w:t>38.</w:t>
      </w:r>
      <w:r>
        <w:rPr>
          <w:b w:val="0"/>
          <w:i/>
        </w:rPr>
        <w:t>Revenue and Customs Commissioners v Anson</w:t>
      </w:r>
      <w:r>
        <w:rPr>
          <w:b w:val="0"/>
          <w:i w:val="0"/>
        </w:rPr>
        <w:t xml:space="preserve"> [2013] BTC 81, [2013] EWCA Civ 6 tại các đoạn 87-93. Tòa án Tối cao cũng không xem xét vấn đề này [2015] UKSC 44 tại đoạn 49.39.Hiệp định giữa Vương quốc Anh và Bắc Ireland và Nhật Bản về Tránh đánh thuế hai lần và Ngăn ngừa trốn thuế tài chính đối với Thuế Thu nhập và Lợi tức vốn ngày 2 tháng 2 năm 2006 (SI 2006/1924), Điều 4(5)(b).40.Xem Hiệp định Nhật Bản - Vương quốc Anh (2006), Điều 4(5)(c), và Hiệp định Vương quốc Anh - Pháp (2008), trong đó giải thích chi tiết hơn về các khái niệm này.41.</w:t>
      </w:r>
      <w:r>
        <w:rPr>
          <w:b w:val="0"/>
          <w:i/>
        </w:rPr>
        <w:t>Linklaters LLP v Income Tax Officer - International Taxation Ward</w:t>
      </w:r>
      <w:r>
        <w:rPr>
          <w:b w:val="0"/>
          <w:i w:val="0"/>
        </w:rPr>
        <w:t xml:space="preserve"> 1(1)(2), Mumbai ITA Nos 4896/Mum/03, 5085/Mum/03 (www.itatonline.org) [2010] 13 ITLR 245.42.Xem §6.02 ở trên.43.Tại đoạn 79.44.</w:t>
      </w:r>
      <w:r>
        <w:rPr>
          <w:b w:val="0"/>
          <w:i/>
        </w:rPr>
        <w:t>P&amp;O Nedlloyd Ltd &amp; Ors v ADIT</w:t>
      </w:r>
      <w:r>
        <w:rPr>
          <w:b w:val="0"/>
          <w:i w:val="0"/>
        </w:rPr>
        <w:t>, Tòa án Tối cao, Calcutta (W.P. Nos 457 &amp; 458), ngày 7 tháng 11 năm 2014.</w:t>
      </w:r>
    </w:p>
    <w:p>
      <w:pPr>
        <w:spacing w:after="80"/>
      </w:pPr>
      <w:r>
        <w:rPr>
          <w:b w:val="0"/>
          <w:i w:val="0"/>
        </w:rPr>
        <w:t>174</w:t>
      </w:r>
    </w:p>
    <w:p>
      <w:pPr>
        <w:spacing w:after="80"/>
      </w:pPr>
      <w:r>
        <w:rPr>
          <w:b w:val="0"/>
          <w:i w:val="0"/>
        </w:rPr>
        <w:t>định nghĩa tại Điều 3(1)(f) và (2) của Hiệp định Ấn Độ - Vương quốc Anh, vì nó được coi là một "người" cho các mục đích của luật thuế nội địa Ấn Độ (mặc dù không phải cho các mục đích của luật thuế nội địa Vương quốc Anh). Theo đó, công ty hợp danh là "người" đủ điều kiện hưởng các ưu đãi hiệp định. Vấn đề này hiện đã được giải quyết bằng một sửa đổi đối với hiệp định thuế Ấn Độ - Vương quốc Anh, xóa bỏ việc coi công ty hợp danh là "người" này. Điều 4(1) được thay thế bởi Nghị định thư sửa đổi ngày 30 tháng 10 năm 2012, Điều 4, cũng có nội dung một phần như sau:</w:t>
      </w:r>
    </w:p>
    <w:p>
      <w:pPr>
        <w:spacing w:after="80"/>
      </w:pPr>
      <w:r>
        <w:rPr>
          <w:b w:val="0"/>
          <w:i w:val="0"/>
        </w:rPr>
        <w:t>(b) trong trường hợp thu nhập được tạo ra hoặc được trả bởi một công ty hợp danh, di sản (estate) hoặc tín thác (trust), thuật ngữ này chỉ áp dụng trong phạm vi thu nhập được tạo ra bởi công ty hợp danh, di sản hoặc tín thác đó phải chịu thuế tại Quốc gia đó như là thu nhập của một cư dân, dù là trong tay của chính nó hay trong tay của các thành viên hợp danh hoặc người thụ hưởng.</w:t>
      </w:r>
    </w:p>
    <w:p>
      <w:pPr>
        <w:spacing w:after="80"/>
      </w:pPr>
      <w:r>
        <w:rPr>
          <w:b/>
          <w:i w:val="0"/>
        </w:rPr>
        <w:t>§6.03 CƯ TRÚ</w:t>
      </w:r>
    </w:p>
    <w:p>
      <w:pPr>
        <w:spacing w:after="80"/>
      </w:pPr>
      <w:r>
        <w:rPr>
          <w:b w:val="0"/>
          <w:i w:val="0"/>
        </w:rPr>
        <w:t>Phần sau đây thảo luận về các vấn đề xoay quanh cư trú.</w:t>
      </w:r>
    </w:p>
    <w:p>
      <w:pPr>
        <w:spacing w:after="80"/>
      </w:pPr>
      <w:r>
        <w:rPr>
          <w:b/>
          <w:i w:val="0"/>
        </w:rPr>
        <w:t>[A] Các ưu đãi hiệp định chỉ dành cho cư dân của các Quốc gia ký kết?</w:t>
      </w:r>
    </w:p>
    <w:p>
      <w:pPr>
        <w:spacing w:after="80"/>
      </w:pPr>
      <w:r>
        <w:rPr>
          <w:b w:val="0"/>
          <w:i w:val="0"/>
        </w:rPr>
        <w:t xml:space="preserve">Theo luật Vương quốc Anh, việc thiếu các từ ngữ xác định phạm vi áp dụng của hiệp định có nghĩa là cư dân của các quốc gia thứ ba có thể được hưởng các ưu đãi của các hiệp định mà quốc gia cư trú của họ không phải là thành viên. Điểm này đã được Tòa án Tối cao nêu rõ trong </w:t>
      </w:r>
      <w:r>
        <w:rPr>
          <w:b w:val="0"/>
          <w:i/>
        </w:rPr>
        <w:t>IRC v Commerzbank AG và IRC v Banco do Brasil SA</w:t>
      </w:r>
      <w:r>
        <w:rPr>
          <w:b w:val="0"/>
          <w:i w:val="0"/>
        </w:rPr>
        <w:t>.45 Hiệp định Vương quốc Anh - Hoa Kỳ năm 1945 vào thời điểm đó không có điều khoản về phạm vi áp dụng chung. Điều XV quy định rằng:</w:t>
      </w:r>
    </w:p>
    <w:p>
      <w:pPr>
        <w:spacing w:after="80"/>
      </w:pPr>
      <w:r>
        <w:rPr>
          <w:b w:val="0"/>
          <w:i w:val="0"/>
        </w:rPr>
        <w:t>Cổ tức và tiền lãi được trả bởi một công ty của một bên ký kết sẽ được miễn thuế bởi bên ký kết kia, trừ trường hợp người nhận là công dân, cư dân hoặc công ty của bên ký kết kia. Việc miễn thuế này sẽ không áp dụng nếu công ty trả cổ tức hoặc tiền lãi đó là cư dân của bên ký kết kia.</w:t>
      </w:r>
    </w:p>
    <w:p>
      <w:pPr>
        <w:spacing w:after="80"/>
      </w:pPr>
      <w:r>
        <w:rPr>
          <w:b w:val="0"/>
          <w:i w:val="0"/>
        </w:rPr>
        <w:t xml:space="preserve">Vấn đề then chốt trong vụ án là liệu hai ngân hàng được thành lập tại Đức và Brazil tương ứng có được quyền yêu cầu hưởng ưu đãi miễn thuế Vương quốc Anh đối với tiền lãi được trả cho các chi nhánh tại Vương quốc Anh của họ bởi các công ty Hoa Kỳ theo Hiệp định Vương quốc Anh - Hoa Kỳ hay không. Cơ quan Thuế Nội địa (Inland Revenue) đã lập luận mạnh mẽ rằng các ưu đãi hiệp định không nên được dành cho những người không phải là cư dân hoặc công dân của Hoa Kỳ. Trước các Ủy viên Đặc biệt (Special Commissioners), luật sư của Cơ quan Thuế Nội địa lập luận rằng các ưu đãi không nên được dành như vậy trừ khi chúng được bao gồm một cách rõ ràng. Người ta lập luận rằng trong các hiệp định song phương, có một giả định chống lại ý định mang lại lợi ích cho các bên thứ ba. Điều này đã bị các Ủy viên Đặc biệt bác bỏ, và tương tự bởi Tòa án Tối cao. Trong vụ </w:t>
      </w:r>
      <w:r>
        <w:rPr>
          <w:b w:val="0"/>
          <w:i/>
        </w:rPr>
        <w:t>Banco do Brasil</w:t>
      </w:r>
      <w:r>
        <w:rPr>
          <w:b w:val="0"/>
          <w:i w:val="0"/>
        </w:rPr>
        <w:t>,46</w:t>
      </w:r>
    </w:p>
    <w:p>
      <w:pPr>
        <w:spacing w:after="80"/>
      </w:pPr>
      <w:r>
        <w:rPr>
          <w:b w:val="0"/>
          <w:i w:val="0"/>
        </w:rPr>
        <w:t xml:space="preserve">Ủy viên lưu ý rằng Quốc gia Brazil không liên quan và rằng tất cả các cá nhân tư nhân, bao gồm cả những người có liên hệ với quốc gia tham gia thỏa thuận, trong bối cảnh này đều là các bên thứ ba. Trong phán quyết </w:t>
      </w:r>
      <w:r>
        <w:rPr>
          <w:b w:val="0"/>
          <w:i/>
        </w:rPr>
        <w:t>Commerzbank</w:t>
      </w:r>
      <w:r>
        <w:rPr>
          <w:b w:val="0"/>
          <w:i w:val="0"/>
        </w:rPr>
        <w:t>, Ủy viên Đặc biệt đã</w:t>
      </w:r>
    </w:p>
    <w:p>
      <w:pPr>
        <w:spacing w:after="80"/>
      </w:pPr>
      <w:r>
        <w:rPr>
          <w:b w:val="0"/>
          <w:i w:val="0"/>
        </w:rPr>
        <w:t>45.</w:t>
      </w:r>
      <w:r>
        <w:rPr>
          <w:b w:val="0"/>
          <w:i/>
        </w:rPr>
        <w:t>Inland Revenue Commissioners v Commerzbank AG và Inland Revenue Commissioners v Banco do Brasil SA</w:t>
      </w:r>
      <w:r>
        <w:rPr>
          <w:b w:val="0"/>
          <w:i w:val="0"/>
        </w:rPr>
        <w:t xml:space="preserve"> [1990] BTC 172; [1990] STC 285, Ch. D.46.Tại 293.</w:t>
      </w:r>
    </w:p>
    <w:p>
      <w:pPr>
        <w:spacing w:after="80"/>
      </w:pPr>
      <w:r>
        <w:rPr>
          <w:b w:val="0"/>
          <w:i w:val="0"/>
        </w:rPr>
        <w:t>175</w:t>
      </w:r>
    </w:p>
    <w:p>
      <w:pPr>
        <w:spacing w:after="80"/>
      </w:pPr>
      <w:r>
        <w:rPr>
          <w:b w:val="0"/>
          <w:i w:val="0"/>
        </w:rPr>
        <w:t>oftheviewthatthequestionofthird-partyrightswasonlyconcernedwiththeacquisitionofrightsbythird-partystates.HepreferredtheviewofMcNair’s</w:t>
      </w:r>
      <w:r>
        <w:rPr>
          <w:b w:val="0"/>
          <w:i/>
        </w:rPr>
        <w:t>LawofTreaties</w:t>
      </w:r>
      <w:r>
        <w:rPr>
          <w:b w:val="0"/>
          <w:i w:val="0"/>
        </w:rPr>
        <w:t>47to the effect that, provided that the necessary implementation by municipallaw has been carried out, there is nothing to prevent the nationals of single ‘third states’intheabsenceofanyexpressorimpliedprovisiontothecontraryfromclaimingtherights or becoming subject to the obligations created by a treaty.</w:t>
      </w:r>
    </w:p>
    <w:p>
      <w:pPr>
        <w:spacing w:after="80"/>
      </w:pPr>
      <w:r>
        <w:rPr>
          <w:b w:val="0"/>
          <w:i w:val="0"/>
        </w:rPr>
        <w:t>It was also argued before the Commissioners that almost all of the articles of thetreaty were concerned with citizens, residents and corporations of contracting parties.The Commissioners found that this particular article was not. It was also argued by theInland Revenue before the Commissioners that there was a general principle of treatiesthat the branches of non-resident corporations should be taxed in the country in whichthey were situated. No support for this was found other than a reference to the OECDModel Convention and the Commissioner noted that unusual provisions do find theirway into treaties.</w:t>
      </w:r>
    </w:p>
    <w:p>
      <w:pPr>
        <w:spacing w:after="80"/>
      </w:pPr>
      <w:r>
        <w:rPr>
          <w:b w:val="0"/>
          <w:i w:val="0"/>
        </w:rPr>
        <w:t>In the case of Brazil, there was no treaty. The Special Commissioner merely notedthat this would mean that the Brazilian authorities could not participate in competentauthorityproceedings.TheInlandRevenuetriedtoarguethatinthecontextof</w:t>
      </w:r>
      <w:r>
        <w:rPr>
          <w:b w:val="0"/>
          <w:i/>
        </w:rPr>
        <w:t>Commerzbank</w:t>
      </w:r>
      <w:r>
        <w:rPr>
          <w:b w:val="0"/>
          <w:i w:val="0"/>
        </w:rPr>
        <w:t>,theGerman-USTreatyoperatedtoexemptfromUStaxationtheamountsofinterestpaidtothebranchwhichwerethesubjectoftheappeal.TheSpecial Commissioner regarded it as incongruous if the effect of an article of the UK-USTreaty were to depend on the existence of otherwise of a treaty between one or otherof those countries or one or more third countries.</w:t>
      </w:r>
    </w:p>
    <w:p>
      <w:pPr>
        <w:spacing w:after="80"/>
      </w:pPr>
      <w:r>
        <w:rPr>
          <w:b w:val="0"/>
          <w:i w:val="0"/>
        </w:rPr>
        <w:t>On appeal to the High Court, Mummery J was firmly of the view that the naturalandordinarymeaningofthewordsofart.XVwasclear.InterestpaidbyUScorporationswasexemptfromUKtaxexceptwheretherecipientwasaUKcitizen,residentorcorporation.Thiswassodespitethedespite the fact that the claim for treaty benefits was made by a Brazilian and German resident respectively.</w:t>
      </w:r>
    </w:p>
    <w:p>
      <w:pPr>
        <w:spacing w:after="80"/>
      </w:pPr>
      <w:r>
        <w:rPr>
          <w:b w:val="0"/>
          <w:i w:val="0"/>
        </w:rPr>
        <w:t>ThesubmissionbytheCrownwasthatthetreatyreadasawholedealtalmostexclusivelywiththerighttotaxorwaivetherighttotaxcitizensorresidentsofandcorporations of a contracting party. In the absence of express words to that effect, thisought to mean that the article in question should have been interpreted as not waivingthe right to tax a corporation of a non-contracting party. Mummery J noted, however,that the Crown did accept, by the time the case reached the High Court, that there wasno legal reason why a treaty cannot deal with rights and obligations of persons otherthan citizens, residents and corporations of the contracting parties. The court observedthatatthetime,thetreatydidnotcontainwordingequivalenttoart.1oftheOECDModel Convention.</w:t>
      </w:r>
    </w:p>
    <w:p>
      <w:pPr>
        <w:spacing w:after="80"/>
      </w:pPr>
      <w:r>
        <w:rPr>
          <w:b w:val="0"/>
          <w:i w:val="0"/>
        </w:rPr>
        <w:t>Mummery J concluded that this construction did not give rise to any manifestlyabsurdorunreasonableconsequences.Therewasnosufficientindicationinthepurpose of the treaty or in its surrounding circumstances or in the provisions other thanthe article in question to qualify the clear words. There were articles in the treaty whichdid not exclude persons from non-contracting parties from tax exemptions conferred by</w:t>
      </w:r>
    </w:p>
    <w:p>
      <w:pPr>
        <w:spacing w:after="80"/>
      </w:pPr>
      <w:r>
        <w:rPr>
          <w:b w:val="0"/>
          <w:i w:val="0"/>
        </w:rPr>
        <w:t>47.McNair, A.D.</w:t>
      </w:r>
      <w:r>
        <w:rPr>
          <w:b w:val="0"/>
          <w:i/>
        </w:rPr>
        <w:t xml:space="preserve"> The Law of Treaties</w:t>
      </w:r>
      <w:r>
        <w:rPr>
          <w:b w:val="0"/>
          <w:i w:val="0"/>
        </w:rPr>
        <w:t xml:space="preserve"> (1961).</w:t>
      </w:r>
    </w:p>
    <w:p>
      <w:pPr>
        <w:spacing w:after="80"/>
      </w:pPr>
      <w:r>
        <w:rPr>
          <w:b w:val="0"/>
          <w:i w:val="0"/>
        </w:rPr>
        <w:t>176</w:t>
      </w:r>
    </w:p>
    <w:p>
      <w:pPr>
        <w:spacing w:after="80"/>
      </w:pPr>
      <w:r>
        <w:rPr>
          <w:b w:val="0"/>
          <w:i w:val="0"/>
        </w:rPr>
        <w:t>the treaty. There are also articles which expressly identify those who come within thebenefitoftheprovisionsandconfinethescopeoftheprovisionstothosewhoarecitizensorresidentsofoneofthecontractingparties.Therewasnosuchexpressrestrictioninart.XV.Theexemptionwasthereforedefinedbyreferencetothecharacterofthesourceofincomeandnottoanycharacteristicoftherecipientoftheincome from that source.</w:t>
      </w:r>
    </w:p>
    <w:p>
      <w:pPr>
        <w:spacing w:after="80"/>
      </w:pPr>
      <w:r>
        <w:rPr>
          <w:b w:val="0"/>
          <w:i w:val="0"/>
        </w:rPr>
        <w:t>Thedecisionhasbeencriticised,particularlyonthebasisthatMcNair’sstate-mentdoesnotsupportthepropositionclaimedbythecourt.48Nonetheless,thedecision was not appealed and treaties should be read against the background of thisdecision.</w:t>
      </w:r>
    </w:p>
    <w:p>
      <w:pPr>
        <w:spacing w:after="80"/>
      </w:pPr>
      <w:r>
        <w:rPr>
          <w:b w:val="0"/>
          <w:i w:val="0"/>
        </w:rPr>
        <w:t>MostofthetreatiesthatdonotcontainapersonalscopearticlearewithCommonwealthcountriesandareveryold.Ineachofthesetreaties,thescopeofapplication generally emerges from the text of individual provisions and there do notappear to be any major lacunae of the kind which gave rise to the</w:t>
      </w:r>
      <w:r>
        <w:rPr>
          <w:b w:val="0"/>
          <w:i/>
        </w:rPr>
        <w:t xml:space="preserve"> Commerzbank</w:t>
      </w:r>
      <w:r>
        <w:rPr>
          <w:b w:val="0"/>
          <w:i w:val="0"/>
        </w:rPr>
        <w:t xml:space="preserve"> case.</w:t>
      </w:r>
    </w:p>
    <w:p>
      <w:pPr>
        <w:spacing w:after="80"/>
      </w:pPr>
      <w:r>
        <w:rPr>
          <w:b/>
          <w:i w:val="0"/>
        </w:rPr>
        <w:t>[B]Non-discrimination</w:t>
      </w:r>
    </w:p>
    <w:p>
      <w:pPr>
        <w:spacing w:after="80"/>
      </w:pPr>
      <w:r>
        <w:rPr>
          <w:b w:val="0"/>
          <w:i w:val="0"/>
        </w:rPr>
        <w:t>TheUKhasnotincludedthefinalsentenceofart.24(1)oftheOECDModelintoanytreaties. That sentence states specifically that nationals of a contracting state may notbe discriminated against even if they are not resident in either of the contracting statesinquestion.Thewordingistheonlyexpressrecognitionoftheextensionoftreatybenefits to residents of third countries in the model.</w:t>
      </w:r>
    </w:p>
    <w:p>
      <w:pPr>
        <w:spacing w:after="80"/>
      </w:pPr>
      <w:r>
        <w:rPr>
          <w:b/>
          <w:i w:val="0"/>
        </w:rPr>
        <w:t>§6.04WHO IS A RESIDENT FOR TREATY PURPOSES?</w:t>
      </w:r>
    </w:p>
    <w:p>
      <w:pPr>
        <w:spacing w:after="80"/>
      </w:pPr>
      <w:r>
        <w:rPr>
          <w:b w:val="0"/>
          <w:i w:val="0"/>
        </w:rPr>
        <w:t>The concept of ‘resident of a contracting state’ fulfils a crucial role in determining thetreaty’spersonalscopeofapplication.Inthemajorityoftreatieswhichcontainapersonal scope article, qualification as a resident of a contracting state is the</w:t>
      </w:r>
      <w:r>
        <w:rPr>
          <w:b w:val="0"/>
          <w:i/>
        </w:rPr>
        <w:t xml:space="preserve"> sine quanon</w:t>
      </w:r>
      <w:r>
        <w:rPr>
          <w:b w:val="0"/>
          <w:i w:val="0"/>
        </w:rPr>
        <w:t xml:space="preserve"> of a claim to treaty benefits. The approach to residence as adopted in UK treatieshasanimpactontheabilityofpersonsinthirdcountriestobenefitfromtreaties,inaddition to resolving dual-residence problems.</w:t>
      </w:r>
    </w:p>
    <w:p>
      <w:pPr>
        <w:spacing w:after="80"/>
      </w:pPr>
      <w:r>
        <w:rPr>
          <w:b/>
          <w:i w:val="0"/>
        </w:rPr>
        <w:t>[A]OECD Model Definition</w:t>
      </w:r>
    </w:p>
    <w:p>
      <w:pPr>
        <w:spacing w:after="80"/>
      </w:pPr>
      <w:r>
        <w:rPr>
          <w:b w:val="0"/>
          <w:i w:val="0"/>
        </w:rPr>
        <w:t>Đại đa số các hiệp định đều tuân theo các mẫu của OECD. Một số tuân theo Công ước mẫu OECD năm 1963 (1963 OECD Draft Convention), trong đó nêu rằng "cư dân của một Quốc gia ký kết" (resident of a contracting State) nghĩa là bất kỳ người nào mà theo luật của quốc gia đó phải chịu thuế tại đó vì lý do nơi cư trú (domicile), nơi thường trú (residence), nơi quản lý (place of management) hoặc bất kỳ tiêu chí nào khác có tính chất tương tự. Mẫu năm 1977 đã bổ sung thêm phần từ ngữ để loại trừ khỏi thuật ngữ này bất kỳ người nào chỉ phải chịu thuế tại quốc gia đó đối với thu nhập có nguồn gốc tại quốc gia đó hoặc vốn nằm tại đó mà thôi. Phiên bản hiện hành, như được thể hiện trong Hiệp định Iceland-Anh (Iceland-UK Treaty), có nội dung như sau:</w:t>
      </w:r>
    </w:p>
    <w:p>
      <w:pPr>
        <w:spacing w:after="80"/>
      </w:pPr>
      <w:r>
        <w:rPr>
          <w:b w:val="0"/>
          <w:i w:val="0"/>
        </w:rPr>
        <w:t>48.[1990]</w:t>
      </w:r>
      <w:r>
        <w:rPr>
          <w:b w:val="0"/>
          <w:i/>
        </w:rPr>
        <w:t xml:space="preserve"> British Tax Review</w:t>
      </w:r>
      <w:r>
        <w:rPr>
          <w:b w:val="0"/>
          <w:i w:val="0"/>
        </w:rPr>
        <w:t xml:space="preserve"> 388 tại 391.</w:t>
      </w:r>
    </w:p>
    <w:p>
      <w:pPr>
        <w:spacing w:after="80"/>
      </w:pPr>
      <w:r>
        <w:rPr>
          <w:b w:val="0"/>
          <w:i w:val="0"/>
        </w:rPr>
        <w:t>177</w:t>
      </w:r>
    </w:p>
    <w:p>
      <w:pPr>
        <w:spacing w:after="80"/>
      </w:pPr>
      <w:r>
        <w:rPr>
          <w:b/>
          <w:i w:val="0"/>
        </w:rPr>
        <w:t>Điều 4: Nơi cư trú về thuế (Fiscal domicile)</w:t>
      </w:r>
    </w:p>
    <w:p>
      <w:pPr>
        <w:spacing w:after="80"/>
      </w:pPr>
      <w:r>
        <w:rPr>
          <w:b w:val="0"/>
          <w:i w:val="0"/>
        </w:rPr>
        <w:t>4(1) Trong công ước này, thuật ngữ "cư dân của một Quốc gia ký kết" (resident of a Contracting State) nghĩa là bất kỳ người nào mà theo luật của Quốc gia đó, phải chịu thuế tại đó vì lý do nơi cư trú (domicile), nơi thường trú (residence), nơi quản lý (place of management) hoặc bất kỳ tiêu chí nào khác có tính chất tương tự. Nhưng thuật ngữ này không bao gồm bất kỳ người nào chỉ phải chịu thuế tại Quốc gia đó đối với thu nhập hoặc lợi nhuận từ vốn (capital gains) có nguồn gốc tại Quốc gia đó mà thôi.</w:t>
      </w:r>
    </w:p>
    <w:p>
      <w:pPr>
        <w:spacing w:after="80"/>
      </w:pPr>
      <w:r>
        <w:rPr>
          <w:b w:val="0"/>
          <w:i w:val="0"/>
        </w:rPr>
        <w:t xml:space="preserve">Bình luận của OECD (OECD Commentary) lưu ý rằng điều này nhằm áp dụng cho các hình thức ràng buộc cá nhân khác nhau với một quốc gia, vốn là cơ sở của việc đánh thuế toàn diện, tức là trên phạm vi toàn cầu.49 Ý nghĩa của cụm từ "phải chịu thuế" (liable to tax) và sự phân biệt giữa cụm từ đó với "thuộc diện chịu thuế" (subject to tax) đã được Tòa án sơ thẩm (First-tier Tribunal) xem xét trong vụ </w:t>
      </w:r>
      <w:r>
        <w:rPr>
          <w:b w:val="0"/>
          <w:i/>
        </w:rPr>
        <w:t>Weiser v Revenue and Customs Commissioners</w:t>
      </w:r>
      <w:r>
        <w:rPr>
          <w:b w:val="0"/>
          <w:i w:val="0"/>
        </w:rPr>
        <w:t>.50 Thẩm phán Roger Berner đã viện dẫn án lệ của Tòa án Tối cao Canada và Hà Lan rằng "phải chịu thuế" đòi hỏi người được đề cập phải thuộc diện chịu trách nhiệm thuế toàn diện như trách nhiệm mà một quốc gia áp đặt. "Thuộc diện chịu thuế" được thảo luận tại Chương 17, §17.09. "Phải chịu thuế" thông thường là một trách nhiệm thuế chung, trừu tượng đối với thu nhập toàn cầu của một người, ngay cả khi một số khoản mục nhất định được miễn thuế. Một người phải chịu thuế nếu các đặc điểm gắn kết của người đó với một quốc gia giống với các đặc điểm của những người hoàn toàn phải chịu thuế và thực tế thuộc diện chịu thuế, mặc dù người đó không thuộc diện chịu thuế đối với một phần hoặc toàn bộ thu nhập của mình nhờ các quy định đặc biệt của quốc gia nơi cư trú.51 Bình luận của OECD về câu thứ hai này đã được sửa đổi vào năm 1992 để tính đến Báo cáo về Công ty Dẫn vốn (Conduit Company Report). Bình luận giờ đây bày tỏ quan điểm rằng theo từ ngữ và tinh thần của nó, câu này sẽ loại trừ khỏi định nghĩa cư dân của một quốc gia ký kết các công ty do nước ngoài nắm giữ được miễn thuế đối với thu nhập nước ngoài của họ bằng các đặc quyền được thiết kế riêng để thu hút các công ty dẫn vốn.52</w:t>
      </w:r>
    </w:p>
    <w:p>
      <w:pPr>
        <w:spacing w:after="80"/>
      </w:pPr>
      <w:r>
        <w:rPr>
          <w:b w:val="0"/>
          <w:i w:val="0"/>
        </w:rPr>
        <w:t>Tuy nhiên, Bình luận thừa nhận rằng điều này có những khó khăn và hạn chế cố hữu. Do đó, nó phải được giải thích một cách hạn chế, bởi vì nếu không, nó có thể loại trừ khỏi phạm vi của các hiệp định tất cả cư dân của các quốc gia áp dụng nguyên tắc lãnh thổ trong hệ thống thuế của họ - một kết quả mà theo Bình luận, rõ ràng là không được mong muốn.53</w:t>
      </w:r>
    </w:p>
    <w:p>
      <w:pPr>
        <w:spacing w:after="80"/>
      </w:pPr>
      <w:r>
        <w:rPr>
          <w:b w:val="0"/>
          <w:i w:val="0"/>
        </w:rPr>
        <w:t>Trong bối cảnh mua bán hiệp định (treaty shopping), văn bản đã sửa đổi này trong Bình luận có vẻ là một phương pháp vụng về và kém hiệu quả để cố gắng hạn chế các quyền lợi theo hiệp định. Không rõ ràng chút nào rằng từ ngữ của điều khoản có hiệu lực như được lập luận trong Bình luận đã sửa đổi. Thật vậy, từ ngữ tự nhiên có thể thay vào đó gợi ý rằng tất cả những người nộp thuế chỉ trên cơ sở nguồn thu sẽ bị loại trừ khỏi các quyền lợi theo hiệp định, chứ không phải những công ty do nước ngoài nắm giữ cụ thể được thiết kế để thu hút các hoạt động dẫn vốn. Có vẻ khó có khả năng rằng cách tiếp cận như vậy sẽ được các tòa án ủng hộ chỉ dựa trên sức mạnh của bình luận, đặc biệt là xét đến các quy định chống tránh thuế khác hiện có và cụ thể là các quy tắc xuyên thấu (look-through) và loại trừ thực thể (excluded entity). Có thể khẳng định rằng những</w:t>
      </w:r>
    </w:p>
    <w:p>
      <w:pPr>
        <w:spacing w:after="80"/>
      </w:pPr>
      <w:r>
        <w:rPr>
          <w:b w:val="0"/>
          <w:i w:val="0"/>
        </w:rPr>
        <w:t>49. Ủy ban OECD về Các vấn đề Tài khóa, Bình luận về Điều 4 của Công ước mẫu về Thuế của OECD (OECD Model Tax Convention), đoạn 8 (22 tháng 7 năm 2010).50.</w:t>
      </w:r>
      <w:r>
        <w:rPr>
          <w:b w:val="0"/>
          <w:i/>
        </w:rPr>
        <w:t>Weiser v Revenue and Customs Commissioners</w:t>
      </w:r>
      <w:r>
        <w:rPr>
          <w:b w:val="0"/>
          <w:i w:val="0"/>
        </w:rPr>
        <w:t xml:space="preserve"> [2012] TC 02178; [2012] UKFTT 501 (TC); [2012] SFTD 1381.51. Tại đoạn 28. Xem Chương 17, §17.09 về ý nghĩa của "thuộc diện chịu thuế".52. Bình luận của OECD về Điều 4 của Công ước mẫu về Thuế của OECD, đoạn 8.2.53. Bình luận của OECD về Điều 4 của Công ước mẫu về Thuế của OECD, đoạn 8.3.</w:t>
      </w:r>
    </w:p>
    <w:p>
      <w:pPr>
        <w:spacing w:after="80"/>
      </w:pPr>
      <w:r>
        <w:rPr>
          <w:b w:val="0"/>
          <w:i w:val="0"/>
        </w:rPr>
        <w:t>178</w:t>
      </w:r>
    </w:p>
    <w:p>
      <w:pPr>
        <w:spacing w:after="80"/>
      </w:pPr>
      <w:r>
        <w:rPr>
          <w:b w:val="0"/>
          <w:i w:val="0"/>
        </w:rPr>
        <w:t>quy định cụ thể là phương pháp thực tế duy nhất để đối phó với vấn đề được nêu trong đoạn bình luận này. Lập trường đàm phán của Anh, được thể hiện trong các hiệp định được ký kết kể từ khi Bình luận của OECD được sửa đổi, cho thấy rằng cơ quan thuế (Revenue) đặt rất ít niềm tin vào cách giải thích này để ngăn chặn các hoạt động dẫn vốn.</w:t>
      </w:r>
    </w:p>
    <w:p>
      <w:pPr>
        <w:spacing w:after="80"/>
      </w:pPr>
      <w:r>
        <w:rPr>
          <w:b w:val="0"/>
          <w:i w:val="0"/>
        </w:rPr>
        <w:t>Do đó, điều khoản này hướng dẫn việc áp dụng luật trong nước của các quốc gia ký kết. Anh đánh thuế thu nhập, thuế doanh nghiệp và thuế lợi nhuận từ vốn đối với cư dân của mình trên phạm vi toàn cầu.54 Bất kỳ người nào là cư dân cho các mục đích này đều là cư dân của Anh theo nghĩa của Điều 4(1).</w:t>
      </w:r>
    </w:p>
    <w:p>
      <w:pPr>
        <w:spacing w:after="80"/>
      </w:pPr>
      <w:r>
        <w:rPr>
          <w:b w:val="0"/>
          <w:i w:val="0"/>
        </w:rPr>
        <w:t xml:space="preserve">Trách nhiệm thuế đề cập đến các loại thuế được liệt kê tại Điều 2 của Hiệp định.55 Trong vụ </w:t>
      </w:r>
      <w:r>
        <w:rPr>
          <w:b w:val="0"/>
          <w:i/>
        </w:rPr>
        <w:t>John P. McManus v CIR,</w:t>
      </w:r>
      <w:r>
        <w:rPr>
          <w:b w:val="0"/>
          <w:i w:val="0"/>
        </w:rPr>
        <w:t>56 Tòa án Khiếu nại Hoa Kỳ (US Court of Claims) đã bác bỏ lập luận rằng một công dân Ireland cư trú tại Thụy Sĩ và không đáp ứng các tiêu chí cư trú của Ireland đối với thuế thu nhập, thuế doanh nghiệp hoặc thuế lợi nhuận từ vốn, nhưng phải chịu khoản thu nơi cư trú của Ireland (Irish domicile levy), lại đủ điều kiện là cư dân của Ireland theo Điều 4(1)(a) của Hiệp định Ireland-Hoa Kỳ.</w:t>
      </w:r>
    </w:p>
    <w:p>
      <w:pPr>
        <w:spacing w:after="80"/>
      </w:pPr>
      <w:r>
        <w:rPr>
          <w:b w:val="0"/>
          <w:i w:val="0"/>
        </w:rPr>
        <w:t xml:space="preserve">Việc áp dụng chính xác các quy định này của Điều 4(1) đã bị đặt vào tình trạng nghi ngờ nào đó do kết quả của vụ </w:t>
      </w:r>
      <w:r>
        <w:rPr>
          <w:b w:val="0"/>
          <w:i/>
        </w:rPr>
        <w:t>Smallwood Trust v HMRC</w:t>
      </w:r>
      <w:r>
        <w:rPr>
          <w:b w:val="0"/>
          <w:i w:val="0"/>
        </w:rPr>
        <w:t>,57 liên quan đến việc áp dụng Điều 13(4) của Hiệp định Anh-Mauritius. Ở đó, quỹ tín thác (trust) được thừa nhận là cư dân Anh theo luật trong nước trong năm thuế được đề cập từ ngày 2 tháng 3 đến ngày 5 tháng 4 năm 2001 nhưng không phải là cư dân trước khi di cư đến Anh từ ngày 6 tháng 4 năm 2000 đến ngày 1 tháng 3 năm 2001. Nguồn gốc của sự nhầm lẫn này là một đề xuất, không do bên nào đưa ra, mà do Ủy viên Đặc biệt (Special Commissioner) đưa ra, người sau đó đã tiến hành phán quyết dựa trên lý thuyết của chính mình về việc áp dụng Điều 4(1).58 Đề xuất đó là nếu một người phải chịu thuế theo luật của một quốc gia tại đó vì lý do bất kỳ một trong các yếu tố "nơi cư trú", "nơi thường trú", "nơi quản lý" hoặc "bất kỳ tiêu chí nào khác có tính chất tương tự", thì người đó là cư dân của quốc gia đó theo Điều 4(1). Ông nói:</w:t>
      </w:r>
    </w:p>
    <w:p>
      <w:pPr>
        <w:spacing w:after="80"/>
      </w:pPr>
      <w:r>
        <w:rPr>
          <w:b w:val="0"/>
          <w:i w:val="0"/>
        </w:rPr>
        <w:t>Chúng tôi cho rằng sự phân biệt trong luật trong nước giữa nơi thường trú (residence) và nghĩa vụ chịu thuế (chargeability), đến mức nếu một người là cư dân trong một phần của năm thì người đó phải chịu thuế cho cả năm, là một sự phân biệt quá tinh tế để có thể đưa ra khi giải thích Hiệp định. Điều 4(1) đánh đồng hai khái niệm này bằng cách định nghĩa nơi cư trú theo hiệp định dựa trên trách nhiệm thuế (tức là giống với nghĩa vụ chịu thuế).59</w:t>
      </w:r>
    </w:p>
    <w:p>
      <w:pPr>
        <w:spacing w:after="80"/>
      </w:pPr>
      <w:r>
        <w:rPr>
          <w:b w:val="0"/>
          <w:i w:val="0"/>
        </w:rPr>
        <w:t>Ông tiếp tục:</w:t>
      </w:r>
    </w:p>
    <w:p>
      <w:pPr>
        <w:spacing w:after="80"/>
      </w:pPr>
      <w:r>
        <w:rPr>
          <w:b w:val="0"/>
          <w:i w:val="0"/>
        </w:rPr>
        <w:t xml:space="preserve">54.Xem CTA 2009, s. 5 trong trường hợp các công ty có nghĩa vụ nộp thuế thu nhập doanh nghiệp. Trong trường hợp nghĩa vụ nộp thuế thu nhập cá nhân, thẩm quyền xét xử này được mô tả xuyên suốt các quy định pháp luật liên quan: Xem tổng quát ITEPA 2003, s. 15 đối với thu nhập từ việc làm, ITTOIA 2005, s. 6 đối với thu nhập từ hoạt động kinh doanh, s. 269 đối với thu nhập từ tài sản, s. 368 đối với thu nhập từ tiết kiệm và đầu tư và s. 577 đối với thu nhập hỗn hợp. Trong trường hợp thuế lợi tức vốn, xem TCGA 1992 s. 2(1). Về luật cư trú của Vương quốc Anh, xem Schwarz, J. </w:t>
      </w:r>
      <w:r>
        <w:rPr>
          <w:b w:val="0"/>
          <w:i/>
        </w:rPr>
        <w:t>Booth and Schwarz: Residence, Domicile and United Kingdom Taxation</w:t>
      </w:r>
      <w:r>
        <w:rPr>
          <w:b w:val="0"/>
          <w:i w:val="0"/>
        </w:rPr>
        <w:t>, ấn bản thứ 20 (2018 Bloomsbury Professional).55.Xem Chương 5, §5.02 về các loại thuế được điều chỉnh bởi Điều 2.56.</w:t>
      </w:r>
      <w:r>
        <w:rPr>
          <w:b w:val="0"/>
          <w:i/>
        </w:rPr>
        <w:t>John P. McManus v Commissioner of Internal Revenue</w:t>
      </w:r>
      <w:r>
        <w:rPr>
          <w:b w:val="0"/>
          <w:i w:val="0"/>
        </w:rPr>
        <w:t>, Tòa án Yêu cầu Liên bang, Số 15-946T (ngày 3 tháng 3 năm 2017).57.</w:t>
      </w:r>
      <w:r>
        <w:rPr>
          <w:b w:val="0"/>
          <w:i/>
        </w:rPr>
        <w:t>Smallwood v Revenue &amp; Customs</w:t>
      </w:r>
      <w:r>
        <w:rPr>
          <w:b w:val="0"/>
          <w:i w:val="0"/>
        </w:rPr>
        <w:t xml:space="preserve"> [2008] UKSPC SPC669; [2009] EWHC 777 (Ch); [2010] EWCA Civ 778.58.</w:t>
      </w:r>
      <w:r>
        <w:rPr>
          <w:b w:val="0"/>
          <w:i/>
        </w:rPr>
        <w:t>Smallwood v Revenue and Customs Commissioners</w:t>
      </w:r>
      <w:r>
        <w:rPr>
          <w:b w:val="0"/>
          <w:i w:val="0"/>
        </w:rPr>
        <w:t xml:space="preserve"> [2008] UKSPC SPC669; [2008] STC (SCD) 629; (2008) Sp C 669 tại đoạn 88 và các đoạn 100-102.59.Tại đoạn 100.</w:t>
      </w:r>
    </w:p>
    <w:p>
      <w:pPr>
        <w:spacing w:after="80"/>
      </w:pPr>
      <w:r>
        <w:rPr>
          <w:b w:val="0"/>
          <w:i w:val="0"/>
        </w:rPr>
        <w:t>179</w:t>
      </w:r>
    </w:p>
    <w:p>
      <w:pPr>
        <w:spacing w:after="80"/>
      </w:pPr>
      <w:r>
        <w:rPr>
          <w:b w:val="0"/>
          <w:i w:val="0"/>
        </w:rPr>
        <w:t>Miễn là nghĩa vụ nộp thuế phát sinh vì một trong các mục được liệt kê, trong đó mục liên quan là cư trú, có nghĩa là trong ngữ cảnh này hành vi cư trú, thì không có sự phân biệt giữa Tư cách Cư trú theo Hiệp định (Treaty Residence) theo Điều 4(1) và nghĩa vụ nộp thuế.60</w:t>
      </w:r>
    </w:p>
    <w:p>
      <w:pPr>
        <w:spacing w:after="80"/>
      </w:pPr>
      <w:r>
        <w:rPr>
          <w:b w:val="0"/>
          <w:i w:val="0"/>
        </w:rPr>
        <w:t>Lập luận này được sử dụng để kết luận rằng việc đánh thuế lợi tức vốn trong TCGA 1992 s. 2(1), áp dụng cho 'các khoản lợi tức chịu thuế phát sinh cho [một người] trong một năm đánh giá mà trong bất kỳ phần nào của năm đó người đó cư trú tại Vương quốc Anh', có nghĩa là quỹ tín thác (trust) là một cư dân của Vương quốc Anh theo Điều 4(1) của hiệp định Vương quốc Anh-Mauritius không chỉ trong khoảng thời gian khoảng một tháng mà nó được thừa nhận là cư trú tại Vương quốc Anh mà trong suốt cả năm mà nó chịu thuế, bao gồm cả mười một tháng trước đó.</w:t>
      </w:r>
    </w:p>
    <w:p>
      <w:pPr>
        <w:spacing w:after="80"/>
      </w:pPr>
      <w:r>
        <w:rPr>
          <w:b w:val="0"/>
          <w:i w:val="0"/>
        </w:rPr>
        <w:t>Mặc dù cách tiếp cận này lẽ ra có lợi cho HMRC, họ đã không ủng hộ nó khi kháng cáo lên Tòa án Cấp cao.61 Thẩm phán Mann đã nhận xét ở đó rằng theo lập luận như vậy, Điều 4 có khả năng tạo ra một dạng cư trú kép giả định (notional dual residence) để được giải quyết bằng quy tắc phá vỡ thế cân bằng (tie-breaker). Ông nói điều này 'chứa đựng lập luận đáng ngờ cả về mặt logic lẫn tính vòng tròn. Sau khi đã thiết lập tiềm năng cho cư trú kép, các ủy viên sau đó bắt tay vào giải quyết nó bằng cách áp dụng quy tắc phá vỡ thế cân bằng'.62 Ông kết luận rằng luật Vương quốc Anh không coi quỹ tín thác là cư trú trong phần năm đó ngoài khoảng thời gian nó thực sự cư trú và rằng nó có các giai đoạn cư trú liên tiếp ngoài Vương quốc Anh rồi sau đó tại Vương quốc Anh. Kết quả là nó chỉ cư trú tại Mauritius trong khoảng thời gian liên quan.63</w:t>
      </w:r>
    </w:p>
    <w:p>
      <w:pPr>
        <w:spacing w:after="80"/>
      </w:pPr>
      <w:r>
        <w:rPr>
          <w:b w:val="0"/>
          <w:i w:val="0"/>
        </w:rPr>
        <w:t>Tại Tòa án Phúc thẩm,64 Thẩm phán Patten LJ nói:</w:t>
      </w:r>
    </w:p>
    <w:p>
      <w:pPr>
        <w:spacing w:after="80"/>
      </w:pPr>
      <w:r>
        <w:rPr>
          <w:b w:val="0"/>
          <w:i w:val="0"/>
        </w:rPr>
        <w:t>Định nghĩa về 'cư dân' trong Điều 4(1) được quy định rõ ràng là phụ thuộc vào Điều 4(3), do đó Điều 4(3) áp dụng bất cứ khi nào người chuyển nhượng có nghĩa vụ nộp thuế tại cả hai Quốc gia Ký kết liên quan đến khoản lợi tức. Điều 4(3), như tôi đã giải thích, tập trung vào nghĩa vụ nộp thuế bất kể khoảng thời gian cư trú theo luật quốc gia tạo ra nghĩa vụ đó. Nhìn theo cách này, việc phân biệt giữa các giai đoạn 'cư trú' liên tiếp và đồng thời trở nên vô nghĩa và không được phép. DTA chỉ quan tâm đến khả năng đánh thuế hai lần đối với cùng một khoản lợi tức chứ không quan tâm đến khoảng thời gian cư trú làm phát sinh khoản đó. Nếu tình huống đó xảy ra, thì Điều 4(3) hoạt động để giải quyết vấn đề như một phần của Điều 13(4) vốn kết hợp nó lại.65</w:t>
      </w:r>
    </w:p>
    <w:p>
      <w:pPr>
        <w:spacing w:after="80"/>
      </w:pPr>
      <w:r>
        <w:rPr>
          <w:b w:val="0"/>
          <w:i w:val="0"/>
        </w:rPr>
        <w:t>Điều này dường như ủng hộ phát hiện về cư trú kép theo Điều 4(1). Lập luận cô đọng này tách rời khỏi ngôn ngữ của hiệp định và đưa ra rất ít hướng dẫn về ý nghĩa của nó. Hàm ý là một người có thể là cư dân theo Điều 4(1) mà không phải là cư dân theo luật trong nước. Kết luận của Thẩm phán Hughes LJ thậm chí còn khó hiểu và mờ mịt hơn khi ông nói rằng:</w:t>
      </w:r>
    </w:p>
    <w:p>
      <w:pPr>
        <w:spacing w:after="80"/>
      </w:pPr>
      <w:r>
        <w:rPr>
          <w:b w:val="0"/>
          <w:i w:val="0"/>
        </w:rPr>
        <w:t>Trong Điều 4(1) của Hiệp định Đánh thuế Hai lần, thuật ngữ 'cư dân của một quốc gia ký kết' có nghĩa là một người mà theo luật của Quốc gia đó, có nghĩa vụ nộp thuế tại đó vì lý do … cư trú của người đó. Các ủy viên quản lý quỹ tín thác thì đúng là như vậy.</w:t>
      </w:r>
    </w:p>
    <w:p>
      <w:pPr>
        <w:spacing w:after="80"/>
      </w:pPr>
      <w:r>
        <w:rPr>
          <w:b w:val="0"/>
          <w:i w:val="0"/>
        </w:rPr>
        <w:t>60.Tại đoạn 101.61.</w:t>
      </w:r>
      <w:r>
        <w:rPr>
          <w:b w:val="0"/>
          <w:i/>
        </w:rPr>
        <w:t>Smallwood &amp; Anor (các ủy viên quản lý của Trevor Smallwood Settlement) v Revenue and Customs Commissioners</w:t>
      </w:r>
      <w:r>
        <w:rPr>
          <w:b w:val="0"/>
          <w:i w:val="0"/>
        </w:rPr>
        <w:t xml:space="preserve"> [2009] STC 1222, [2009] BTC 135, [2009] EWHC 777 (Ch) tại đoạn 22.62.Các đoạn 25 và 26.63.Tại đoạn 44.64.</w:t>
      </w:r>
      <w:r>
        <w:rPr>
          <w:b w:val="0"/>
          <w:i/>
        </w:rPr>
        <w:t>Revenue and Customs Commissioners v Smallwood &amp; Anor</w:t>
      </w:r>
      <w:r>
        <w:rPr>
          <w:b w:val="0"/>
          <w:i w:val="0"/>
        </w:rPr>
        <w:t xml:space="preserve"> [2010] BTC 637 [2010] EWCA Civ 778, [2010] STC 2045.65.Tại đoạn 43.</w:t>
      </w:r>
    </w:p>
    <w:p>
      <w:pPr>
        <w:spacing w:after="80"/>
      </w:pPr>
      <w:r>
        <w:rPr>
          <w:b w:val="0"/>
          <w:i w:val="0"/>
        </w:rPr>
        <w:t>180</w:t>
      </w:r>
    </w:p>
    <w:p>
      <w:pPr>
        <w:spacing w:after="80"/>
      </w:pPr>
      <w:r>
        <w:rPr>
          <w:b w:val="0"/>
          <w:i w:val="0"/>
        </w:rPr>
        <w:t xml:space="preserve">Theo quan điểm của tác giả, Thẩm phán Mann đã đi đúng hướng trong các trường hợp cư trú liên tiếp, mặc dù ông cũng không trình bày lý do một cách chi tiết. Lý do đơn giản là cả cư trú trong tương lai lẫn cư trú trong quá khứ đều không phải là 'tiêu chí có tính chất tương tự' với 'quốc tịch (domicile)', 'cư trú (residence)' hay 'nơi quản lý (place of management)'. Điều này được làm rõ qua việc sử dụng thì hiện tại trong định nghĩa 'một người mà theo luật của Quốc gia đó, có nghĩa vụ nộp thuế'. Trong Nghị định thư ngày 26 tháng 9 năm 2008 của hiệp định Vương quốc Anh-Hà Lan, Điều II, người ta đồng ý rằng trong trường hợp một cá nhân sống trên một con tàu, 'bất kỳ tiêu chí nào khác có tính chất tương tự' bao gồm cảng nhà của con tàu đó. Đây là một phản hồi phù hợp đối với các tiêu chí trong nước mà, xét về mặt giải thích, không giống với các tiêu chí được mô tả trong Điều 4(1). Điều 4(1) của hiệp định đánh thuế hai lần Mauritius-Vương quốc Anh cũng là cơ sở cho một lập luận mà HMRC đưa ra trong </w:t>
      </w:r>
      <w:r>
        <w:rPr>
          <w:b w:val="0"/>
          <w:i/>
        </w:rPr>
        <w:t>Lee &amp; Anor v Revenue and Customs,</w:t>
      </w:r>
      <w:r>
        <w:rPr>
          <w:b w:val="0"/>
          <w:i w:val="0"/>
        </w:rPr>
        <w:t xml:space="preserve">66 liên quan đến một kế hoạch tương tự như trong </w:t>
      </w:r>
      <w:r>
        <w:rPr>
          <w:b w:val="0"/>
          <w:i/>
        </w:rPr>
        <w:t>Smallwood</w:t>
      </w:r>
      <w:r>
        <w:rPr>
          <w:b w:val="0"/>
          <w:i w:val="0"/>
        </w:rPr>
        <w:t>. Lập luận là vì Vương quốc Anh và Mauritius đánh thuế những người khác nhau, nên hiệp định hoàn toàn không có hiệu lực áp dụng. Lập luận của HMRC dựa trên thực tế rằng Vương quốc Anh coi các ủy viên quản lý quỹ tín thác là người nộp thuế trong khi Mauritius coi 'quỹ tín thác' là người nộp thuế. Khi bác bỏ lập luận này, Tòa án Sơ thẩm (First-tier Tribunal) lưu ý rằng các hiệp định đánh thuế hai lần hoạt động dựa trên các loại thu nhập hoặc lợi tức chứ không dựa trên các loại người có nghĩa vụ nộp thuế, và rằng lập luận đó gán cho từ 'cư dân' một ý nghĩa mà nó không được dự định mang.67</w:t>
      </w:r>
    </w:p>
    <w:p>
      <w:pPr>
        <w:spacing w:after="80"/>
      </w:pPr>
      <w:r>
        <w:rPr>
          <w:b w:val="0"/>
          <w:i w:val="0"/>
        </w:rPr>
        <w:t xml:space="preserve">Việc áp dụng Điều 4(1) trong </w:t>
      </w:r>
      <w:r>
        <w:rPr>
          <w:b w:val="0"/>
          <w:i/>
        </w:rPr>
        <w:t>Hankinson v HMRC</w:t>
      </w:r>
      <w:r>
        <w:rPr>
          <w:b w:val="0"/>
          <w:i w:val="0"/>
        </w:rPr>
        <w:t>68 đơn giản hơn đáng kể. Ở đó, người nộp thuế, một cá nhân, được xác định là cư trú và thường trú tại Vương quốc Anh trong năm thuế đang xét và do đó là cư dân của Vương quốc Anh theo Điều 4(1) của Hiệp định Vương quốc Anh-Hà Lan.</w:t>
      </w:r>
    </w:p>
    <w:p>
      <w:pPr>
        <w:spacing w:after="80"/>
      </w:pPr>
      <w:r>
        <w:rPr>
          <w:b w:val="0"/>
          <w:i w:val="0"/>
        </w:rPr>
        <w:t>Sự tương tác giữa định nghĩa về cư dân của Hoa Kỳ trong Điều 4(1) của Hiệp định Thuế Thu nhập Ireland-Hoa Kỳ và quy tắc dành cho các thực thể minh bạch tương đương với Điều 1(2) của Mẫu OECD 2017 đã được các Ủy viên Kháng cáo Thuế Ireland xem xét chi tiết trong quyết định 17TACD2019. Các Ủy viên kết luận, thứ nhất, rằng LLC đang xét là một 'pháp nhân (body corporate)' và do đó là một công ty cho các mục đích thuế trong nước.69 Kết quả là nó cũng là một 'người' như được định nghĩa trong Điều 3(1)(a) của Hiệp định. Là một LLC theo luật Hoa Kỳ có một thành viên duy nhất, không chọn được đối xử như một công ty, nó bị bỏ qua cho các mục đích thuế thu nhập liên bang Hoa Kỳ. Việc cấp các quyền lợi theo hiệp định thông qua một người minh bạch về thuế đã được đưa vào Hiệp định bằng nghị định thư. Mặc dù theo cách giải thích nguyên văn của Điều 4(1), LLC không phải là cư dân của Hoa Kỳ vì bản thân nó không có nghĩa vụ nộp thuế tại Hoa Kỳ, các Ủy viên Kháng cáo kết luận rằng theo cách giải thích theo mục đích, một LLC có nghĩa vụ nộp thuế tại Hoa Kỳ vì toàn bộ thu nhập của nó được đánh thuế toàn diện tại Hoa Kỳ ở cấp độ thành viên của nó. Trên cơ sở này, không có quy tắc chung nào áp dụng cho tất cả các thực thể như vậy, mà phải được đánh giá theo các hoàn cảnh cụ thể của chúng.</w:t>
      </w:r>
    </w:p>
    <w:p>
      <w:pPr>
        <w:spacing w:after="80"/>
      </w:pPr>
      <w:r>
        <w:rPr>
          <w:b w:val="0"/>
          <w:i w:val="0"/>
        </w:rPr>
        <w:t>66.</w:t>
      </w:r>
      <w:r>
        <w:rPr>
          <w:b w:val="0"/>
          <w:i/>
        </w:rPr>
        <w:t>Lee &amp; Anor v Revenue and Customs</w:t>
      </w:r>
      <w:r>
        <w:rPr>
          <w:b w:val="0"/>
          <w:i w:val="0"/>
        </w:rPr>
        <w:t xml:space="preserve"> [2017] UKFTT 279, [2017] TC 05757.67.Tại các đoạn 91 và 92.68.</w:t>
      </w:r>
      <w:r>
        <w:rPr>
          <w:b w:val="0"/>
          <w:i/>
        </w:rPr>
        <w:t>Hankinson v Revenue and Customs</w:t>
      </w:r>
      <w:r>
        <w:rPr>
          <w:b w:val="0"/>
          <w:i w:val="0"/>
        </w:rPr>
        <w:t xml:space="preserve"> [2010] TC 00319 [2009] UKFTT 0384 (TC).69.TCA 1997, ss 4 và 411.</w:t>
      </w:r>
    </w:p>
    <w:p>
      <w:pPr>
        <w:spacing w:after="80"/>
      </w:pPr>
      <w:r>
        <w:rPr>
          <w:b w:val="0"/>
          <w:i w:val="0"/>
        </w:rPr>
        <w:t>181</w:t>
      </w:r>
    </w:p>
    <w:p>
      <w:pPr>
        <w:spacing w:after="80"/>
      </w:pPr>
      <w:r>
        <w:rPr>
          <w:b/>
          <w:i w:val="0"/>
        </w:rPr>
        <w:t>[B]Cư trú ở nước ngoài</w:t>
      </w:r>
    </w:p>
    <w:p>
      <w:pPr>
        <w:spacing w:after="80"/>
      </w:pPr>
      <w:r>
        <w:rPr>
          <w:b w:val="0"/>
          <w:i w:val="0"/>
        </w:rPr>
        <w:t xml:space="preserve">Câu hỏi liệu một người có cư trú tại quốc gia ký kết kia hay không cũng được xác định bằng cách áp dụng luật nội địa của quốc gia đó. Câu hỏi liệu người nộp thuế có cư trú tại quốc gia ký kết kia theo Điều 4(1) hay không đã được xem xét trong cả </w:t>
      </w:r>
      <w:r>
        <w:rPr>
          <w:b w:val="0"/>
          <w:i/>
        </w:rPr>
        <w:t>Smallwood và Hankinson</w:t>
      </w:r>
      <w:r>
        <w:rPr>
          <w:b w:val="0"/>
          <w:i w:val="0"/>
        </w:rPr>
        <w:t xml:space="preserve">. Trong </w:t>
      </w:r>
      <w:r>
        <w:rPr>
          <w:b w:val="0"/>
          <w:i/>
        </w:rPr>
        <w:t>Smallwood</w:t>
      </w:r>
      <w:r>
        <w:rPr>
          <w:b w:val="0"/>
          <w:i w:val="0"/>
        </w:rPr>
        <w:t>, các Ủy viên Đặc biệt (Special Commissioners) đã xem xét và áp dụng các quy định luật định của Mauritius dựa trên các bằng chứng.70</w:t>
      </w:r>
    </w:p>
    <w:p>
      <w:pPr>
        <w:spacing w:after="80"/>
      </w:pPr>
      <w:r>
        <w:rPr>
          <w:b w:val="0"/>
          <w:i w:val="0"/>
        </w:rPr>
        <w:t xml:space="preserve">Trong </w:t>
      </w:r>
      <w:r>
        <w:rPr>
          <w:b w:val="0"/>
          <w:i/>
        </w:rPr>
        <w:t>Hankinson</w:t>
      </w:r>
      <w:r>
        <w:rPr>
          <w:b w:val="0"/>
          <w:i w:val="0"/>
        </w:rPr>
        <w:t>, bằng chứng duy nhất về luật Hà Lan là ý kiến tư vấn của các kế toán viên Hà Lan rằng về nguyên tắc, cư trú là một vấn đề thuộc về tình tiết và hoàn cảnh thực tế. Ngoài ra, theo Nghị định của Bộ trưởng Bộ Tài chính ngày 29 tháng 5 năm 1995 số DB95/119M, những cư dân đủ điều kiện có quyền lựa chọn được coi là không cư trú. Người nộp thuế lập luận rằng các nguyên tắc chung nên được áp dụng cho tình trạng cư trú tại Hà Lan của ông mà không cần viện dẫn đến Nghị định, vốn là một quy định tùy chọn của luật Hà Lan. Tòa án đã quyết định rằng theo các nguyên tắc chung, ông sẽ không phải là cư dân Hà Lan, nhưng đã nhận xét, mang tính bổ sung (obiter), rằng 'Nghị định là một phần của luật Hà Lan để xác định liệu ông có "theo luật của Quốc gia đó, phải chịu thuế tại đó vì lý do nơi cư trú, nơi ở, v.v." hay không. Việc phải nộp đơn đăng ký trước khi Nghị định có hiệu lực không có nghĩa là nó không liên quan đến nghĩa vụ chịu thuế đó.'71 Theo quan điểm của tác giả, nó chỉ có thể liên quan đến việc thay thế tình trạng cư trú tại quốc gia ký kết trong trường hợp một người đã nộp đơn đăng ký thành công.</w:t>
      </w:r>
    </w:p>
    <w:p>
      <w:pPr>
        <w:spacing w:after="80"/>
      </w:pPr>
      <w:r>
        <w:rPr>
          <w:b w:val="0"/>
          <w:i w:val="0"/>
        </w:rPr>
        <w:t>Vương quốc Anh là một bên tham gia các hiệp ước với những quốc gia không đánh thuế dựa trên cơ sở cư trú. Các hiệp ước hiện đại thuộc loại này áp dụng một định nghĩa cư trú tự trị của hiệp ước. Do đó, trong Hiệp ước Hồng Kông - Vương quốc Anh, thuật ngữ 'cư dân của một Bên ký kết' có nghĩa là, trong trường hợp Đặc khu Hành chính Hồng Kông:</w:t>
      </w:r>
    </w:p>
    <w:p>
      <w:pPr>
        <w:spacing w:after="80"/>
      </w:pPr>
      <w:r>
        <w:rPr>
          <w:b w:val="0"/>
          <w:i w:val="0"/>
        </w:rPr>
        <w:t>(i) bất kỳ cá nhân nào thường trú tại Đặc khu Hành chính Hồng Kông;</w:t>
      </w:r>
    </w:p>
    <w:p>
      <w:pPr>
        <w:spacing w:after="80"/>
      </w:pPr>
      <w:r>
        <w:rPr>
          <w:b w:val="0"/>
          <w:i w:val="0"/>
        </w:rPr>
        <w:t>(ii) bất kỳ cá nhân nào lưu trú tại Đặc khu Hành chính Hồng Kông</w:t>
      </w:r>
    </w:p>
    <w:p>
      <w:pPr>
        <w:spacing w:after="80"/>
      </w:pPr>
      <w:r>
        <w:rPr>
          <w:b w:val="0"/>
          <w:i w:val="0"/>
        </w:rPr>
        <w:t>hơn 180 ngày trong một năm đánh giá hoặc hơn 300 ngày trong hai năm đánh giá liên tiếp, một trong số đó là năm đánh giá liên quan; (iii) một công ty được thành lập tại Đặc khu Hành chính Hồng Kông hoặc, nếu</w:t>
      </w:r>
    </w:p>
    <w:p>
      <w:pPr>
        <w:spacing w:after="80"/>
      </w:pPr>
      <w:r>
        <w:rPr>
          <w:b w:val="0"/>
          <w:i w:val="0"/>
        </w:rPr>
        <w:t>được thành lập bên ngoài Đặc khu Hành chính Hồng Kông, được quản lý và kiểm soát tập trung tại Đặc khu Hành chính Hồng Kông; (iv) bất kỳ người nào khác được thành lập theo luật của Đặc khu Hành chính</w:t>
      </w:r>
    </w:p>
    <w:p>
      <w:pPr>
        <w:spacing w:after="80"/>
      </w:pPr>
      <w:r>
        <w:rPr>
          <w:b w:val="0"/>
          <w:i w:val="0"/>
        </w:rPr>
        <w:t>Hồng Kông hoặc, nếu được thành lập bên ngoài Đặc khu Hành chính Hồng Kông, được quản lý và kiểm soát tập trung tại Đặc khu Hành chính Hồng Kông.72</w:t>
      </w:r>
    </w:p>
    <w:p>
      <w:pPr>
        <w:spacing w:after="80"/>
      </w:pPr>
      <w:r>
        <w:rPr>
          <w:b w:val="0"/>
          <w:i w:val="0"/>
        </w:rPr>
        <w:t>70.</w:t>
      </w:r>
      <w:r>
        <w:rPr>
          <w:b w:val="0"/>
          <w:i/>
        </w:rPr>
        <w:t>Smallwood v Revenue &amp; Customs</w:t>
      </w:r>
      <w:r>
        <w:rPr>
          <w:b w:val="0"/>
          <w:i w:val="0"/>
        </w:rPr>
        <w:t xml:space="preserve"> [2008] UKSPC SPC669; [2008] STC (SCD) 629; (2008) Sp C 669 tại các đoạn 80-82.71.</w:t>
      </w:r>
      <w:r>
        <w:rPr>
          <w:b w:val="0"/>
          <w:i/>
        </w:rPr>
        <w:t>Hankinson v Revenue and Customs</w:t>
      </w:r>
      <w:r>
        <w:rPr>
          <w:b w:val="0"/>
          <w:i w:val="0"/>
        </w:rPr>
        <w:t xml:space="preserve"> [2010] TC 00319 [2009] UKFTT 384 (TC) tại các đoạn 63 và 64.72.</w:t>
      </w:r>
      <w:r>
        <w:rPr>
          <w:b w:val="0"/>
          <w:i/>
        </w:rPr>
        <w:t>Agreement between the Government of the United Kingdom of Great Britain and Northern Ireland and the Government of the Hong Kong Special Administrative Region of the People's Republic of China for the Avoidance of Double Taxation and the Prevention of Fiscal Evasion with Respect to Taxes on Income and on Capital Gains of 21 June 2010</w:t>
      </w:r>
      <w:r>
        <w:rPr>
          <w:b w:val="0"/>
          <w:i w:val="0"/>
        </w:rPr>
        <w:t xml:space="preserve"> (SI 2010/2974), Điều 4(1)(a).</w:t>
      </w:r>
    </w:p>
    <w:p>
      <w:pPr>
        <w:spacing w:after="80"/>
      </w:pPr>
      <w:r>
        <w:rPr>
          <w:b w:val="0"/>
          <w:i w:val="0"/>
        </w:rPr>
        <w:t>182</w:t>
      </w:r>
    </w:p>
    <w:p>
      <w:pPr>
        <w:spacing w:after="80"/>
      </w:pPr>
      <w:r>
        <w:rPr>
          <w:b w:val="0"/>
          <w:i w:val="0"/>
        </w:rPr>
        <w:t>Các tiêu chí này được mô phỏng rộng rãi theo luật nội địa của Vương quốc Anh. Trong trường hợp cá nhân, chỉ những người thực sự hiện diện trong những khoảng thời gian đáng kể mới đủ điều kiện là cư dân Hồng Kông. Trong trường hợp công ty, khả năng cư trú kép tồn tại nếu quản lý và kiểm soát tập trung (central management and control - CMC) bị chia tách giữa hai quốc gia ký kết.73 Một công thức tương tự, nhưng dựa trên các khái niệm của hiệp ước, được tìm thấy trong Hiệp ước Bahrain - Vương quốc Anh74</w:t>
      </w:r>
    </w:p>
    <w:p>
      <w:pPr>
        <w:spacing w:after="80"/>
      </w:pPr>
      <w:r>
        <w:rPr>
          <w:b w:val="0"/>
          <w:i w:val="0"/>
        </w:rPr>
        <w:t>trong đó 'cư dân của một Quốc gia ký kết' có nghĩa là:</w:t>
      </w:r>
    </w:p>
    <w:p>
      <w:pPr>
        <w:spacing w:after="80"/>
      </w:pPr>
      <w:r>
        <w:rPr>
          <w:b w:val="0"/>
          <w:i w:val="0"/>
        </w:rPr>
        <w:t>Trong trường hợp Bahrain, bất kỳ cá nhân nào có nhà ở thường trú, trung tâm lợi ích thiết yếu, hoặc nơi cư trú thường xuyên tại Bahrain, và một công ty được thành lập hoặc có địa điểm quản lý hiệu quả tại Bahrain.</w:t>
      </w:r>
    </w:p>
    <w:p>
      <w:pPr>
        <w:spacing w:after="80"/>
      </w:pPr>
      <w:r>
        <w:rPr>
          <w:b w:val="0"/>
          <w:i w:val="0"/>
        </w:rPr>
        <w:t>Bằng việc sử dụng các cách diễn đạt được tìm thấy trong các quy định phá vỡ thế cân bằng (tiebreaker) của Điều 4(2) và (3) của mô hình OECD, mọi người thường sẽ chỉ đủ điều kiện là cư dân Bahrain cho mục đích của hiệp ước khi quy định phá vỡ thế cân bằng cũng chỉ về hướng đó.75</w:t>
      </w:r>
    </w:p>
    <w:p>
      <w:pPr>
        <w:spacing w:after="80"/>
      </w:pPr>
      <w:r>
        <w:rPr>
          <w:b/>
          <w:i w:val="0"/>
        </w:rPr>
        <w:t>[C]Các câu hỏi về thời gian</w:t>
      </w:r>
    </w:p>
    <w:p>
      <w:pPr>
        <w:spacing w:after="80"/>
      </w:pPr>
      <w:r>
        <w:rPr>
          <w:b w:val="0"/>
          <w:i w:val="0"/>
        </w:rPr>
        <w:t xml:space="preserve">Ba câu hỏi về thời điểm khác nhau nảy sinh khi áp dụng Điều 4(1). Trong vụ </w:t>
      </w:r>
      <w:r>
        <w:rPr>
          <w:b w:val="0"/>
          <w:i/>
        </w:rPr>
        <w:t>Small-wood</w:t>
      </w:r>
      <w:r>
        <w:rPr>
          <w:b w:val="0"/>
          <w:i w:val="0"/>
        </w:rPr>
        <w:t>, việc gộp chung chúng lại chính là cốt lõi của khó khăn mà các tòa án gặp phải khi áp dụng hiệp ước một cách chính xác. Những câu hỏi này không được đề cập một cách rõ ràng trong điều khoản. Thứ nhất, phải xác định thời điểm để kiểm tra việc cư trú. Thứ hai, phải xác định khoảng thời gian, nếu có, của tình trạng cư trú kép, và thứ ba, phải xem xét thời điểm hoặc khoảng thời gian mà các sự kiện liên quan đến việc áp dụng các quy tắc phá vỡ thế cân bằng (tiebreakers) trong Điều 4(2) và 4(3) phải được kiểm tra.</w:t>
      </w:r>
    </w:p>
    <w:p>
      <w:pPr>
        <w:spacing w:after="80"/>
      </w:pPr>
      <w:r>
        <w:rPr>
          <w:b w:val="0"/>
          <w:i w:val="0"/>
        </w:rPr>
        <w:t xml:space="preserve">Thời điểm để kiểm tra việc cư trú được Thẩm phán Mann xác định rõ ràng tại Tòa án Cấp cao. ‘[N]gười ta phải tìm ra một ngày mà tại đó việc cư trú phải được đánh giá. Không có ứng viên thực tế nào khác cho thời điểm đó ngoài ngày phát sinh lợi nhuận.’76 Như vậy, thời điểm để kiểm tra việc cư trú là khi điều khoản phân chia liên quan của hiệp ước được đưa ra áp dụng. Trong </w:t>
      </w:r>
      <w:r>
        <w:rPr>
          <w:b w:val="0"/>
          <w:i/>
        </w:rPr>
        <w:t>Smallwood</w:t>
      </w:r>
      <w:r>
        <w:rPr>
          <w:b w:val="0"/>
          <w:i w:val="0"/>
        </w:rPr>
        <w:t>, sự kiện đó là ‘việc chuyển nhượng tài sản’. Mặc dù Thẩm phán Patten, tại Tòa án Phúc thẩm, đã bác bỏ cách tiếp cận ‘ảnh chụp nhanh’ này, lưu ý rằng điều khoản phân chia trong Điều 13(4) không giới hạn rõ ràng thời điểm kiểm tra vào thời điểm chuyển nhượng, lập luận của ông không thuyết phục và dường như đã gộp ba vấn đề về thời điểm thành một77 và cuối cùng ông đã áp dụng cách tiếp cận của các Ủy viên Đặc biệt.78 Ông đã bác bỏ lập luận của HMRC rằng khoảng thời gian cư trú làm phát sinh nghĩa vụ thuế của Vương quốc Anh là liên tiếp sau khoảng thời gian cư trú thuế tại Mauritius trước đó tính đến và bao gồm cả ngày chuyển nhượng. Từ đó ngầm hiểu rằng thời điểm</w:t>
      </w:r>
    </w:p>
    <w:p>
      <w:pPr>
        <w:spacing w:after="80"/>
      </w:pPr>
      <w:r>
        <w:rPr>
          <w:b w:val="0"/>
          <w:i w:val="0"/>
        </w:rPr>
        <w:t xml:space="preserve">73. Xem §6.05; Schwarz, J. </w:t>
      </w:r>
      <w:r>
        <w:rPr>
          <w:b w:val="0"/>
          <w:i/>
        </w:rPr>
        <w:t>Booth and Schwarz: Residence, Domicile and UK Taxation,</w:t>
      </w:r>
      <w:r>
        <w:rPr>
          <w:b w:val="0"/>
          <w:i w:val="0"/>
        </w:rPr>
        <w:t xml:space="preserve"> tái bản lần thứ 20 (2018), Chương 7. 74. </w:t>
      </w:r>
      <w:r>
        <w:rPr>
          <w:b w:val="0"/>
          <w:i/>
        </w:rPr>
        <w:t>Agreement between the Government of the United Kingdom of Great Britain and Northern Ireland and the Government of the Kingdom of Bahrain for the Avoidance of Double Taxation and the Prevention of Fiscal Evasion with Respect to Taxes on Income and on Capital Gains of 10 March 2010</w:t>
      </w:r>
      <w:r>
        <w:rPr>
          <w:b w:val="0"/>
          <w:i w:val="0"/>
        </w:rPr>
        <w:t xml:space="preserve"> (SI 2012/3075). 75. Xem §6.05. 76. </w:t>
      </w:r>
      <w:r>
        <w:rPr>
          <w:b w:val="0"/>
          <w:i/>
        </w:rPr>
        <w:t>Smallwood &amp; Anor (trustees of the Trevor Smallwood Settlement) v Revenue and Customs Commissioners</w:t>
      </w:r>
      <w:r>
        <w:rPr>
          <w:b w:val="0"/>
          <w:i w:val="0"/>
        </w:rPr>
        <w:t xml:space="preserve"> [2009] STC 1222, [2009] BTC 135, [2009] EWHC 777 (Ch) tại đoạn 36. 77. </w:t>
      </w:r>
      <w:r>
        <w:rPr>
          <w:b w:val="0"/>
          <w:i/>
        </w:rPr>
        <w:t>Revenue and Customs Commissioners v Smallwood &amp; Anor</w:t>
      </w:r>
      <w:r>
        <w:rPr>
          <w:b w:val="0"/>
          <w:i w:val="0"/>
        </w:rPr>
        <w:t xml:space="preserve"> [2010] STC 2045, [2010] BTC 637 [2010] EWCA Civ 778 tại các đoạn 40-43. 78. Tại đoạn 46.</w:t>
      </w:r>
    </w:p>
    <w:p>
      <w:pPr>
        <w:spacing w:after="80"/>
      </w:pPr>
      <w:r>
        <w:rPr>
          <w:b w:val="0"/>
          <w:i w:val="0"/>
        </w:rPr>
        <w:t>183</w:t>
      </w:r>
    </w:p>
    <w:p>
      <w:pPr>
        <w:spacing w:after="80"/>
      </w:pPr>
      <w:r>
        <w:rPr>
          <w:b w:val="0"/>
          <w:i w:val="0"/>
        </w:rPr>
        <w:t>thời điểm chuyển nhượng hoặc chuyển nhượng tài sản là thời điểm mà việc cư trú trở nên liên quan. Các phán quyết đồng thuận của các Thẩm phán Hughes và Ward LLJ79 về vấn đề này quá ngắn gọn để có thể mang lại bất kỳ sự rõ ràng nào cho lập luận. Các trường hợp mà việc cư trú phải được kiểm tra vào thời điểm khác với thời điểm sự kiện chịu thuế như được xác định bởi điều khoản phân chia liên quan80 là những trường hợp ngoại lệ. Chúng có khả năng chỉ giới hạn ở những trường hợp có sự không khớp về thời điểm giữa sự kiện chịu thuế trong các điều khoản phân chia của hiệp ước và các điều khoản loại trừ đánh thuế hai lần.81</w:t>
      </w:r>
    </w:p>
    <w:p>
      <w:pPr>
        <w:spacing w:after="80"/>
      </w:pPr>
      <w:r>
        <w:rPr>
          <w:b w:val="0"/>
          <w:i w:val="0"/>
        </w:rPr>
        <w:t>Các câu hỏi về thời điểm không được các Ủy viên Đặc biệt giải quyết một cách có hệ thống vì họ bị phân tâm bởi sự tương tác giữa việc cư trú và khả năng bị đánh thuế. Ít nhất thì khi xác định các khoảng thời gian đang tranh chấp, họ có đề cập đến ‘giai đoạn Mauritius’ như là khoảng thời gian mà quỹ tín thác (theo quan điểm của họ) cư trú tại Mauritius theo luật nội địa của nước này và khoảng thời gian mà quỹ tín thác phải chịu thuế lợi tức vốn theo luật nội địa của Vương quốc Anh.82 Thẩm phán Mann tại Tòa án Cấp cao coi việc tạo ra khoảng thời gian cư trú tại Vương quốc Anh kéo dài khả năng bị đánh thuế trong khi không cư trú tại Vương quốc Anh là sai lầm.83</w:t>
      </w:r>
    </w:p>
    <w:p>
      <w:pPr>
        <w:spacing w:after="80"/>
      </w:pPr>
      <w:r>
        <w:rPr>
          <w:b w:val="0"/>
          <w:i w:val="0"/>
        </w:rPr>
        <w:t xml:space="preserve">Ngược lại, trong </w:t>
      </w:r>
      <w:r>
        <w:rPr>
          <w:b w:val="0"/>
          <w:i/>
        </w:rPr>
        <w:t>Hankinson</w:t>
      </w:r>
      <w:r>
        <w:rPr>
          <w:b w:val="0"/>
          <w:i w:val="0"/>
        </w:rPr>
        <w:t>, Tòa án Sơ thẩm (First-tier Tribunal) dễ dàng hơn trong việc xác định khoảng thời gian mà người nộp thuế cư trú tại Vương quốc Anh để chịu thuế thu nhập theo luật nội địa của Vương quốc Anh và khoảng thời gian (được cho là) người nộp thuế cư trú tại Hà Lan theo luật nội địa của nước này.84 Trong mỗi trường hợp, khoảng thời gian mà hai quy tắc nội địa đều đòi quyền đánh thuế người nộp thuế trên cơ sở cư trú chính là khoảng thời gian cư trú kép. Cách thức giải quyết tình trạng cư trú kép này, bao gồm cả câu hỏi về thời điểm, được thảo luận trong §6.05.</w:t>
      </w:r>
    </w:p>
    <w:p>
      <w:pPr>
        <w:spacing w:after="80"/>
      </w:pPr>
      <w:r>
        <w:rPr>
          <w:b w:val="0"/>
          <w:i w:val="0"/>
        </w:rPr>
        <w:t>Yếu tố thời điểm thứ ba, tức là thời điểm hoặc khoảng thời gian mà các sự kiện liên quan đến việc áp dụng các quy tắc phá vỡ thế cân bằng trong Điều 4(2) và 4(3) phải được xác định, chỉ nảy sinh nếu, tại thời điểm kiểm tra, người đó là cư dân của cả hai quốc gia ký kết. Điều này được xem xét trong §6.05.</w:t>
      </w:r>
    </w:p>
    <w:p>
      <w:pPr>
        <w:spacing w:after="80"/>
      </w:pPr>
      <w:r>
        <w:rPr>
          <w:b/>
          <w:i w:val="0"/>
        </w:rPr>
        <w:t>[D]Định nghĩa Thuộc địa</w:t>
      </w:r>
    </w:p>
    <w:p>
      <w:pPr>
        <w:spacing w:after="80"/>
      </w:pPr>
      <w:r>
        <w:rPr>
          <w:b w:val="0"/>
          <w:i w:val="0"/>
        </w:rPr>
        <w:t>Các hiệp ước cũ hơn, theo mô hình thuộc địa, áp dụng một cách tiếp cận hoàn toàn khác đối với câu hỏi về cư trú. Chúng thường quy định rằng cư dân Vương quốc Anh là bất kỳ người nào cư trú tại Vương quốc Anh vì mục đích thuế của Vương quốc Anh và không cư trú tại quốc gia ký kết kia vì mục đích thuế của quốc gia đó và ngược lại. Trong trường hợp các công ty, chúng thường được coi là cư trú tại Vương quốc Anh vì mục đích hiệp ước, nếu hoạt động kinh doanh của chúng được quản lý và kiểm soát tại Vương quốc Anh, và cư trú tại quốc gia ký kết kia nếu hoạt động kinh doanh được quản lý và kiểm soát tại quốc gia ký kết đó. Ví dụ, hiệp ước giữa Vương quốc Anh với Grenada có nội dung:</w:t>
      </w:r>
    </w:p>
    <w:p>
      <w:pPr>
        <w:spacing w:after="80"/>
      </w:pPr>
      <w:r>
        <w:rPr>
          <w:b w:val="0"/>
          <w:i w:val="0"/>
        </w:rPr>
        <w:t xml:space="preserve">79. Tại các đoạn 65 và 72 tương ứng. 80. Xem Chương 8. 81. Xem Chương 15. 82. </w:t>
      </w:r>
      <w:r>
        <w:rPr>
          <w:b w:val="0"/>
          <w:i/>
        </w:rPr>
        <w:t>Trevor Smallwood Trust v R &amp; C Commrs</w:t>
      </w:r>
      <w:r>
        <w:rPr>
          <w:b w:val="0"/>
          <w:i w:val="0"/>
        </w:rPr>
        <w:t xml:space="preserve"> [2008] UKSPC SPC669, [2008] STC (SCD) 629 (2008) Sp C 669 tại đoạn 78. 83. </w:t>
      </w:r>
      <w:r>
        <w:rPr>
          <w:b w:val="0"/>
          <w:i/>
        </w:rPr>
        <w:t>Smallwood &amp; Anor (trustees of the Trevor Smallwood Settlement) v Revenue and Customs Commissioners</w:t>
      </w:r>
      <w:r>
        <w:rPr>
          <w:b w:val="0"/>
          <w:i w:val="0"/>
        </w:rPr>
        <w:t xml:space="preserve"> [2009] BTC 135 [2009] EWHC 777 [2009] STC 1222 (Ch) tại đoạn 43. 84. </w:t>
      </w:r>
      <w:r>
        <w:rPr>
          <w:b w:val="0"/>
          <w:i/>
        </w:rPr>
        <w:t>Hankinson v Revenue and Customs</w:t>
      </w:r>
      <w:r>
        <w:rPr>
          <w:b w:val="0"/>
          <w:i w:val="0"/>
        </w:rPr>
        <w:t xml:space="preserve"> [2010] TC 00319 [2009] UKFTT 384 (TC) tại đoạn 57.</w:t>
      </w:r>
    </w:p>
    <w:p>
      <w:pPr>
        <w:spacing w:after="80"/>
      </w:pPr>
      <w:r>
        <w:rPr>
          <w:b w:val="0"/>
          <w:i w:val="0"/>
        </w:rPr>
        <w:t>184</w:t>
      </w:r>
    </w:p>
    <w:p>
      <w:pPr>
        <w:spacing w:after="80"/>
      </w:pPr>
      <w:r>
        <w:rPr>
          <w:b w:val="0"/>
          <w:i w:val="0"/>
        </w:rPr>
        <w:t>2(g) Các thuật ngữ ‘cư dân Vương quốc Anh’ và ‘cư dân Grenada’ lần lượt có nghĩa là bất kỳ người nào cư trú tại Vương quốc Anh vì mục đích thuế của Vương quốc Anh và không cư trú tại Grenada vì mục đích thuế của Grenada và bất kỳ người nào cư trú tại Grenada vì mục đích thuế của Grenada và không cư trú tại Vương quốc Anh vì mục đích thuế của Vương quốc Anh; và một công ty sẽ được coi là cư trú tại Vương quốc Anh nếu hoạt động kinh doanh của nó được quản lý và kiểm soát tại Vương quốc Anh và là cư dân Grenada nếu hoạt động kinh doanh của nó được quản lý và kiểm soát tại Grenada.</w:t>
      </w:r>
    </w:p>
    <w:p>
      <w:pPr>
        <w:spacing w:after="80"/>
      </w:pPr>
      <w:r>
        <w:rPr>
          <w:b w:val="0"/>
          <w:i w:val="0"/>
        </w:rPr>
        <w:t xml:space="preserve">Quan điểm của HMRC là một công ty được coi là cư trú vì mục đích của các hiệp ước như vậy khi nó được quản lý và kiểm soát thay vì theo tiêu chí đầu tiên, vốn đề cập đến luật nội địa của các quốc gia ký kết. Theo quan điểm của họ, một công ty được quản lý và kiểm soát tại Vương quốc Anh và quốc gia ký kết kia nằm ngoài phạm vi của hiệp ước.85 Việc áp dụng thực tế dạng điều khoản cư trú này đã được đưa ra trước tòa án trong vụ </w:t>
      </w:r>
      <w:r>
        <w:rPr>
          <w:b w:val="0"/>
          <w:i/>
        </w:rPr>
        <w:t>Forth Investments Ltd v IRC</w:t>
      </w:r>
      <w:r>
        <w:rPr>
          <w:b w:val="0"/>
          <w:i w:val="0"/>
        </w:rPr>
        <w:t xml:space="preserve">.86 Vụ này liên quan đến một công ty được thành lập tại Barbados theo </w:t>
      </w:r>
      <w:r>
        <w:rPr>
          <w:b w:val="0"/>
          <w:i/>
        </w:rPr>
        <w:t>International Business Companies (Exemption from Income Tax) Act</w:t>
      </w:r>
      <w:r>
        <w:rPr>
          <w:b w:val="0"/>
          <w:i w:val="0"/>
        </w:rPr>
        <w:t xml:space="preserve"> năm 1965. Về cơ bản, đạo luật đó cho phép các công ty Barbados thuộc sở hữu nước ngoài và không hoạt động kinh doanh tại Barbados được nộp thuế với mức thuế suất giảm là 2,5%. Khác với phiên bản hiện tại, Hiệp ước Barbados-Vương quốc Anh năm 1949 không loại trừ các công ty kinh doanh quốc tế khỏi việc yêu cầu các quyền lợi theo hiệp ước.</w:t>
      </w:r>
    </w:p>
    <w:p>
      <w:pPr>
        <w:spacing w:after="80"/>
      </w:pPr>
      <w:r>
        <w:rPr>
          <w:b w:val="0"/>
          <w:i w:val="0"/>
        </w:rPr>
        <w:t xml:space="preserve">Trong vụ </w:t>
      </w:r>
      <w:r>
        <w:rPr>
          <w:b w:val="0"/>
          <w:i/>
        </w:rPr>
        <w:t>Forth Investments</w:t>
      </w:r>
      <w:r>
        <w:rPr>
          <w:b w:val="0"/>
          <w:i w:val="0"/>
        </w:rPr>
        <w:t>, bằng chứng cho thấy cổ phần trong công ty đã được phát hành cho một công ty Bahamas. Người ta phát hiện ra rằng cấu trúc này là một phần của một dàn xếp phức tạp nhằm trốn thuế tại Vương quốc Anh và cuối cùng một cá nhân cư trú tại Vương quốc Anh đã chấp nhận trách nhiệm theo ICTA 1970, s.478.87 Mặc dù dàn xếp này không phải là đối tượng của vụ án nhưng nó có khả năng đã tạo ra một mức độ hoài nghi nhất định về các sự kiện được trình bày.</w:t>
      </w:r>
    </w:p>
    <w:p>
      <w:pPr>
        <w:spacing w:after="80"/>
      </w:pPr>
      <w:r>
        <w:rPr>
          <w:b w:val="0"/>
          <w:i w:val="0"/>
        </w:rPr>
        <w:t>Cơ quan Thuế Nội địa (Inland Revenue) đã từ chối cho phép yêu cầu này với lý do rằng họ không thấy thỏa mãn rằng công ty cư trú tại Barbados. Công ty đã nộp một mẫu yêu cầu theo hiệp ước đã được điền đầy đủ cùng với một giấy chứng nhận xác thực từ Phó Ủy viên Thuế Nội địa Barbados. Chỉ một số thông tin bổ sung hỗ trợ cho yêu cầu đã được nộp, bao gồm tên và địa chỉ của các giám đốc, danh sách các cuộc họp hội đồng quản trị và bản sao của một số nhưng không phải tất cả biên bản của các cuộc họp đó. Vụ án cuối cùng xoay quanh tính có thể chấp nhận được của bằng chứng rằng hoạt động kinh doanh của công ty được quản lý và kiểm soát tại Barbados và giấy chứng nhận của cơ quan thuế Barbados rằng công ty là cư dân Barbados. Tòa án cũng bác bỏ lập luận rằng công ty phải được coi là cư trú tại Barbados nếu người ta chấp nhận rằng công ty phải chịu thuế tại Barbados vì nó chỉ phải chịu thuế nếu nó cư trú và điều này đã được Cơ quan Thuế Nội địa chấp nhận. Lập luận này bị Thẩm phán Brightman coi là vòng vo, và việc cư trú không được xác định là đã được Cơ quan Thuế chấp nhận.</w:t>
      </w:r>
    </w:p>
    <w:p>
      <w:pPr>
        <w:spacing w:after="80"/>
      </w:pPr>
      <w:r>
        <w:rPr>
          <w:b w:val="0"/>
          <w:i w:val="0"/>
        </w:rPr>
        <w:t>85. HMRC, thay đổi quan điểm về cách giải thích các điều khoản cư trú trong mười sáu Hiệp định Đánh thuế Hai lần www.gov.uk/government/publications/double-taxation-agreements-developments-and-planned-negotiations/change-of-view-on-the-interpretation-of-the-residence-articles-in-sixteen-double-taxation-agreements truy cập ngày 6 tháng 8 năm 2017.86.</w:t>
      </w:r>
      <w:r>
        <w:rPr>
          <w:b w:val="0"/>
          <w:i/>
        </w:rPr>
        <w:t>Forth Investments Ltd v Inland Revenue Commissioners</w:t>
      </w:r>
      <w:r>
        <w:rPr>
          <w:b w:val="0"/>
          <w:i w:val="0"/>
        </w:rPr>
        <w:t xml:space="preserve"> (1971-1977) 50 TC 617; [1976] STC 399, Ch. D.87.Giờ đây là ITA 2007, s. 721.</w:t>
      </w:r>
    </w:p>
    <w:p>
      <w:pPr>
        <w:spacing w:after="80"/>
      </w:pPr>
      <w:r>
        <w:rPr>
          <w:b w:val="0"/>
          <w:i w:val="0"/>
        </w:rPr>
        <w:t>185</w:t>
      </w:r>
    </w:p>
    <w:p>
      <w:pPr>
        <w:spacing w:after="80"/>
      </w:pPr>
      <w:r>
        <w:rPr>
          <w:b w:val="0"/>
          <w:i w:val="0"/>
        </w:rPr>
        <w:t>Vụ án được quyết định chỉ dựa trên các vấn đề về chứng cứ. Tuy nhiên, có thể ngầm hiểu trong phán quyết rằng tòa án cho rằng mình có quyền xem xét định nghĩa cư trú theo hiệp định hoàn toàn tách biệt với cách nó được xử lý theo luật thuế của quốc gia ký kết kia. Công ty được cơ quan thuế Barbados coi là cư dân của Barbados. Điều này không mang tính quyết định, thậm chí không có ảnh hưởng, và bằng chứng về việc xử lý thuế tại Barbados đã bị bác bỏ vì là lời đồn đại. Không có ý kiến nào cho rằng điều này có nghĩa là tiêu chí cư trú đầu tiên trong hiệp định đã được thỏa mãn. Việc loại trừ bằng chứng là vì lý do thủ tục và không nên đọc quá nhiều vào phán quyết. Mặc dù vậy, định nghĩa cư trú theo hiệp định chỉ dựa trên quản lý và kiểm soát đã được áp dụng để xác định nơi cư trú của công ty cho mục đích hiệp định.88</w:t>
      </w:r>
    </w:p>
    <w:p>
      <w:pPr>
        <w:spacing w:after="80"/>
      </w:pPr>
      <w:r>
        <w:rPr>
          <w:b w:val="0"/>
          <w:i w:val="0"/>
        </w:rPr>
        <w:t>Do đó, không giống như tiêu chí của OECD, vốn chỉ dẫn chiếu đến định nghĩa nội địa của các quốc gia ký kết, hiệp định kiểu thuộc địa áp dụng định nghĩa riêng của mình về cư trú của công ty. Trong khi hầu hết các quốc gia thuộc Khối Thịnh vượng chung áp dụng một dạng tiêu chí quản lý và kiểm soát đối với cư trú của công ty, có lẽ một tòa án Vương quốc Anh sẽ giải thích khái niệm này theo án lệ của Vương quốc Anh; có thể có sự khác biệt trong cách tiếp cận giữa Vương quốc Anh và một quốc gia nước ngoài, dẫn đến việc một công ty được coi là cư dân cho mục đích hiệp định mặc dù không nhất thiết phải như vậy cho mục đích luật nội địa của quốc gia ký kết kia. Các hiệp định này đề cập đến 'quản lý và kiểm soát' chứ không phải 'quản lý và kiểm soát trung tâm'.89</w:t>
      </w:r>
    </w:p>
    <w:p>
      <w:pPr>
        <w:spacing w:after="80"/>
      </w:pPr>
      <w:r>
        <w:rPr>
          <w:b/>
          <w:i w:val="0"/>
        </w:rPr>
        <w:t>[E]Cư dân được coi là</w:t>
      </w:r>
    </w:p>
    <w:p>
      <w:pPr>
        <w:spacing w:after="80"/>
      </w:pPr>
      <w:r>
        <w:rPr>
          <w:b w:val="0"/>
          <w:i w:val="0"/>
        </w:rPr>
        <w:t>Ít nhất là trong các hiệp định với các quốc gia công nghiệp lớn, thông lệ đã trở thành mở rộng định nghĩa cư trú vượt ra ngoài định nghĩa trong điều 4(1) của Mẫu OECD. Cư trú được định nghĩa trong điều 4(1) của Hiệp định Mỹ-Anh năm 2001 theo cách nhất quán hơn với Mẫu OECD nhưng bao gồm cả việc dẫn chiếu đến quốc tịch. Một số điểm không chắc chắn trong việc giải thích từ ngữ của OECD cũng được giải quyết. Những điểm này bao gồm việc đưa vào cụ thể các chương trình hưu trí và các chương trình phúc lợi nhân viên khác được miễn thuế, cũng như các tổ chức tôn giáo, từ thiện, khoa học và các tổ chức khác có thể cũng được miễn</w:t>
      </w:r>
    </w:p>
    <w:p>
      <w:pPr>
        <w:spacing w:after="80"/>
      </w:pPr>
      <w:r>
        <w:rPr>
          <w:b w:val="0"/>
          <w:i w:val="0"/>
        </w:rPr>
        <w:t xml:space="preserve">88.Xem </w:t>
      </w:r>
      <w:r>
        <w:rPr>
          <w:b w:val="0"/>
          <w:i/>
        </w:rPr>
        <w:t xml:space="preserve"> Smallwood v Revenue and Customs Commissioners</w:t>
      </w:r>
      <w:r>
        <w:rPr>
          <w:b w:val="0"/>
          <w:i w:val="0"/>
        </w:rPr>
        <w:t xml:space="preserve"> [2008] UKSPC SPC669; [2008] STC (SCD) 629; (2008) Sp C 669, đoạn 68, trong đó giấy chứng nhận cư trú từ cơ quan thuế Mauritius không bị phản đối và là bằng chứng duy nhất về cư trú tại Mauritius cùng với tờ khai thuế và bằng chứng nộp thuế.89.Xem </w:t>
      </w:r>
      <w:r>
        <w:rPr>
          <w:b w:val="0"/>
          <w:i/>
        </w:rPr>
        <w:t xml:space="preserve"> Smallwood v Revenue and Customs Commissioners</w:t>
      </w:r>
      <w:r>
        <w:rPr>
          <w:b w:val="0"/>
          <w:i w:val="0"/>
        </w:rPr>
        <w:t xml:space="preserve"> [2008] UKSPC SPC669; [2008] STC (SCD) 629; (2008) Sp C 669 tại các đoạn 120 và 121 để biết </w:t>
      </w:r>
      <w:r>
        <w:rPr>
          <w:b w:val="0"/>
          <w:i/>
        </w:rPr>
        <w:t xml:space="preserve"> obiter dicta</w:t>
      </w:r>
      <w:r>
        <w:rPr>
          <w:b w:val="0"/>
          <w:i w:val="0"/>
        </w:rPr>
        <w:t xml:space="preserve"> về ngôn ngữ thuộc địa.</w:t>
      </w:r>
    </w:p>
    <w:p>
      <w:pPr>
        <w:spacing w:after="80"/>
      </w:pPr>
      <w:r>
        <w:rPr>
          <w:b w:val="0"/>
          <w:i w:val="0"/>
        </w:rPr>
        <w:t>186</w:t>
      </w:r>
    </w:p>
    <w:p>
      <w:pPr>
        <w:spacing w:after="80"/>
      </w:pPr>
      <w:r>
        <w:rPr>
          <w:b w:val="0"/>
          <w:i w:val="0"/>
        </w:rPr>
        <w:t>khỏi thuế theo luật nội địa.90 Cách tiếp cận tương tự cũng được tìm thấy trong Hiệp định Nhật-Anh (2006),91 và Hiệp định Pháp-Anh (2008) có nội dung như sau:</w:t>
      </w:r>
    </w:p>
    <w:p>
      <w:pPr>
        <w:spacing w:after="80"/>
      </w:pPr>
      <w:r>
        <w:rPr>
          <w:b w:val="0"/>
          <w:i w:val="0"/>
        </w:rPr>
        <w:t>4(4) Thuật ngữ 'cư dân của một Quốc gia ký kết' sẽ bao gồm, khi Quốc gia ký kết đó là Pháp, bất kỳ công ty hợp danh, nhóm người hoặc bất kỳ thực thể tương tự nào khác:</w:t>
      </w:r>
    </w:p>
    <w:p>
      <w:pPr>
        <w:spacing w:after="80"/>
      </w:pPr>
      <w:r>
        <w:rPr>
          <w:b w:val="0"/>
          <w:i w:val="0"/>
        </w:rPr>
        <w:t>(a) có nơi quản lý thực tế tại Pháp;(b) phải chịu thuế tại Pháp; và</w:t>
      </w:r>
    </w:p>
    <w:p>
      <w:pPr>
        <w:spacing w:after="80"/>
      </w:pPr>
      <w:r>
        <w:rPr>
          <w:b w:val="0"/>
          <w:i w:val="0"/>
        </w:rPr>
        <w:t>(c) tất cả các cổ đông, thành viên liên kết hoặc thành viên của thực thể đó, theo luật thuế</w:t>
      </w:r>
    </w:p>
    <w:p>
      <w:pPr>
        <w:spacing w:after="80"/>
      </w:pPr>
      <w:r>
        <w:rPr>
          <w:b w:val="0"/>
          <w:i w:val="0"/>
        </w:rPr>
        <w:t>của Pháp, phải chịu trách nhiệm thuế cá nhân tại đó đối với phần lợi nhuận của họ từ công ty hợp danh, nhóm người hoặc thực thể tương tự khác đó.</w:t>
      </w:r>
    </w:p>
    <w:p>
      <w:pPr>
        <w:spacing w:after="80"/>
      </w:pPr>
      <w:r>
        <w:rPr>
          <w:b/>
          <w:i w:val="0"/>
        </w:rPr>
        <w:t>§6.05 CƯ TRÚ KÉP: TIÊU CHÍ PHÁ VỠ THẾ CÂN BẰNG</w:t>
      </w:r>
    </w:p>
    <w:p>
      <w:pPr>
        <w:spacing w:after="80"/>
      </w:pPr>
      <w:r>
        <w:rPr>
          <w:b w:val="0"/>
          <w:i w:val="0"/>
        </w:rPr>
        <w:t>Một người là cư dân của cả hai quốc gia ký kết thì thuộc phạm vi cá nhân của các hiệp định. Khi điều này xảy ra, các hiệp định hiện đại tìm cách giải quyết vấn đề theo hướng có lợi cho một trong các quốc gia ký kết nhằm mục đích áp dụng hiệp định theo điều 4(2) của Mẫu OECD, đối với cá nhân, và điều 4(3), trong các trường hợp khác. Một khi nơi cư trú được giải quyết theo hướng có lợi cho một trong các quốc gia ký kết, hiệp định được đọc như thể người đó chỉ là cư dân của quốc gia đó. Cư trú kép có thể phát sinh trong hai bối cảnh. Thứ nhất, cư trú liên tục đồng thời sẽ xảy ra khi cả hai quốc gia coi người đó là cư dân trong lãnh thổ của mình trong cùng một khoảng thời gian theo luật nội địa tương ứng của họ. Điều này sẽ phát sinh, ví dụ, từ các tiêu chí xung đột giữa Vương quốc Anh và quốc gia ký kết kia. Do đó, một cá nhân có thể sống ở Pháp nhưng bằng cách thường xuyên đến thăm Vương quốc Anh trong thời gian ngắn kết hợp với các yếu tố kết nối khác, cá nhân đó sẽ được coi92 là cư dân tại Vương quốc Anh. Điều này sẽ xảy ra mặc dù cũng là cư dân tại Pháp cho mục đích thuế của Pháp.</w:t>
      </w:r>
    </w:p>
    <w:p>
      <w:pPr>
        <w:spacing w:after="80"/>
      </w:pPr>
      <w:r>
        <w:rPr>
          <w:b w:val="0"/>
          <w:i w:val="0"/>
        </w:rPr>
        <w:t>Trường hợp thứ hai của cư trú kép là khi một người cư trú liên tiếp tại hai quốc gia bằng cách chuyển từ quốc gia này sang quốc gia kia giữa năm thuế, và kết quả là, là cư dân của cả hai quốc gia nhưng vào những thời điểm khác nhau. Trường hợp thứ hai này đặc biệt quan trọng trong thực tiễn hiệp định của Vương quốc Anh vì cách xử lý thuế bất thường trong những giai đoạn cư trú và không cư trú như vậy trong một năm thuế duy nhất theo luật nội địa đối với mục đích thuế thu nhập.93 Trong những trường hợp như vậy, sẽ cần thiết phải kiểm tra nơi cư trú của người nộp thuế tại thời điểm khoản thu nhập hoặc lợi nhuận liên quan phát sinh, chẳng hạn như khi một khoản cổ tức</w:t>
      </w:r>
    </w:p>
    <w:p>
      <w:pPr>
        <w:spacing w:after="80"/>
      </w:pPr>
      <w:r>
        <w:rPr>
          <w:b w:val="0"/>
          <w:i w:val="0"/>
        </w:rPr>
        <w:t>90.Ví dụ, xem Công ước giữa Chính phủ Vương quốc Liên hiệp Anh và Bắc Ireland và Chính phủ Cộng hòa Chile về Việc tránh đánh thuế hai lần và Ngăn ngừa trốn thuế liên quan đến Thuế thu nhập và Thuế lợi tức vốn, Công ước ngày 12 tháng 7 năm 2003 (SI 2003/3200): ‘Điều 4(5) Bất kể bất kỳ quy định nào khác của Công ước này, một quỹ đầu tư được thành lập và quản lý tại Chile theo luật số 18.657 (Quỹ Đầu tư Vốn Nước ngoài) của Chile hoặc bất kỳ luật tương tự về cơ bản nào được ban hành tại Chile sau khi ký Công ước này, vì mục đích của Công ước này, sẽ được coi là cư dân của Chile và phải chịu thuế theo luật của Chile đối với thu nhập, lợi nhuận hoặc lợi tức phát sinh từ tài sản hoặc đầu tư tại Chile, hoặc đối với việc chuyển tiền ra nước ngoài từ thu nhập, lợi nhuận hoặc lợi tức đó.’ 91. Điều 4(1). 92. FA 2013, Sch. 43, Bài kiểm tra Cư trú Theo luật định. 93. FA 2013, Sch. 43, Xử lý Năm Chia tách.</w:t>
      </w:r>
    </w:p>
    <w:p>
      <w:pPr>
        <w:spacing w:after="80"/>
      </w:pPr>
      <w:r>
        <w:rPr>
          <w:b w:val="0"/>
          <w:i w:val="0"/>
        </w:rPr>
        <w:t>187</w:t>
      </w:r>
    </w:p>
    <w:p>
      <w:pPr>
        <w:spacing w:after="80"/>
      </w:pPr>
      <w:r>
        <w:rPr>
          <w:b w:val="0"/>
          <w:i w:val="0"/>
        </w:rPr>
        <w:t>được trả cho mục đích áp dụng điều khoản cổ tức (OECD Model, điều 10) hoặc khi một tài sản được chuyển nhượng cho mục đích áp dụng điều khoản lợi tức vốn (OECD Model, điều 13).</w:t>
      </w:r>
    </w:p>
    <w:p>
      <w:pPr>
        <w:spacing w:after="80"/>
      </w:pPr>
      <w:r>
        <w:rPr>
          <w:b w:val="0"/>
          <w:i w:val="0"/>
        </w:rPr>
        <w:t xml:space="preserve">Những tình huống này đã xảy ra trong </w:t>
      </w:r>
      <w:r>
        <w:rPr>
          <w:b w:val="0"/>
          <w:i/>
        </w:rPr>
        <w:t>Trevor Smallwood Trust v HMRC</w:t>
      </w:r>
      <w:r>
        <w:rPr>
          <w:b w:val="0"/>
          <w:i w:val="0"/>
        </w:rPr>
        <w:t>,94 trong đó quỹ tín thác được đề cập là cư dân của Mauritius theo luật nội địa Mauritius từ ngày 19 tháng 12 năm 2000 đến ngày 2 tháng 3 năm 2001 (‘Giai đoạn Mauritius’) và là cư dân của Vương quốc Anh theo luật nội địa Vương quốc Anh từ ngày 2 tháng 3 đến ngày 5 tháng 4 năm 2001 (‘Giai đoạn Vương quốc Anh’). Cả cơ quan thuế và người nộp thuế đều đồng ý rằng có thể áp dụng hiệp ước đối với cư trú trong một phần của năm nhưng không đồng ý về hậu quả.95 Người nộp thuế lập luận rằng chỉ cư trú cho mục đích hiệp ước tại thời điểm chuyển nhượng là có liên quan hoặc theo cách khác (mà cơ quan thuế đồng ý) là toàn bộ Giai đoạn Mauritius. Cả hai bên đều đồng ý rằng hậu quả là, trong Giai đoạn Mauritius, người được ủy thác chỉ là cư dân của Mauritius cho mục đích của hiệp ước. Cả hai bên cũng đồng ý rằng, nếu có cư trú kép, thì phải được xử lý bằng cách áp dụng quy tắc phá vỡ thế cân bằng và điều này nên được áp dụng riêng cho từng giai đoạn.96 Các Ủy viên Đặc biệt thích dựa vào giả thuyết thứ ba của riêng họ rằng ‘nghĩa vụ thuế được đánh đồng với cư trú theo hiệp ước trong Điều 4(1)’. Nói cách khác, việc phải chịu thuế theo TCGA 1992, s.2, có nghĩa là cư trú cho mục đích hiệp ước mặc dù s. 2 chỉ yêu cầu cư trú trong một phần của năm, và việc chuyển nhượng không cần phải diễn ra trong phần đó. Nếu đúng như vậy, người không cư trú là cư dân Vương quốc Anh trong suốt năm thuế, và do đó quy tắc phá vỡ thế cân bằng luôn được áp dụng. Cách tiếp cận thứ ba này không được hỗ trợ bởi từ ngữ của TCGA 1992, s.2, cũng không bởi art.4(1) và rõ ràng trái với mục đích của toàn bộ hiệp ước nói chung và art. 4 nói riêng. Khi đi đến kết luận này, các Ủy viên Đặc biệt tuyên bố có sự ủng hộ (một cách sai lầm) từ đoạn 10 của Bình luận về art. 4 của OECD Model được thêm vào năm 2000 (sau khi Hiệp ước Mauritius-Vương quốc Anh được ký kết):</w:t>
      </w:r>
    </w:p>
    <w:p>
      <w:pPr>
        <w:spacing w:after="80"/>
      </w:pPr>
      <w:r>
        <w:rPr>
          <w:b w:val="0"/>
          <w:i w:val="0"/>
        </w:rPr>
        <w:t>Các sự kiện mà các quy tắc đặc biệt [tức là quy tắc phá vỡ thế cân bằng trong điều 4(2) áp dụng cho cá nhân] sẽ áp dụng là những sự kiện tồn tại trong khoảng thời gian khi cư trú của người nộp thuế ảnh hưởng đến nghĩa vụ thuế, có thể ít hơn một kỳ chịu thuế toàn bộ. Ví dụ, trong một năm dương lịch, một cá nhân là cư dân của Quốc gia A theo luật thuế của Quốc gia đó từ ngày 1 tháng 1 đến ngày 31 tháng 3, sau đó chuyển đến Quốc gia B. Vì cá nhân đó cư trú tại Quốc gia B hơn 183 ngày, cá nhân đó được luật thuế của Quốc gia B coi là cư dân Quốc gia B cho cả năm. Áp dụng các quy tắc đặc biệt cho giai đoạn từ ngày 1 tháng 1 đến ngày 31 tháng 3, cá nhân đó là cư dân của Quốc gia A. Do đó, cả Quốc gia A và Quốc gia B nên coi cá nhân đó là cư dân Quốc gia A cho giai đoạn đó, và là cư dân Quốc gia B từ ngày 1 tháng 4 đến ngày 31 tháng 12.</w:t>
      </w:r>
    </w:p>
    <w:p>
      <w:pPr>
        <w:spacing w:after="80"/>
      </w:pPr>
      <w:r>
        <w:rPr>
          <w:b w:val="0"/>
          <w:i w:val="0"/>
        </w:rPr>
        <w:t>Đoạn được trích dẫn ủng hộ kết luận ngược lại, cụ thể là việc xử lý năm chia tách là kết quả thích hợp trong các trường hợp cư trú liên tiếp khi người nộp thuế là cư dân của cả hai quốc gia trong suốt năm thuế theo cả hai luật nội địa. Tại Tòa án Phúc thẩm, Thẩm phán Patten LJ cho rằng sự phân biệt giữa liên tiếp và đồng thời là ‘vô nghĩa và không được phép’ trên cơ sở rằng art.4(3) ‘tập trung vào nghĩa vụ thuế bất kể khoảng thời gian cư trú theo luật quốc gia tạo ra</w:t>
      </w:r>
    </w:p>
    <w:p>
      <w:pPr>
        <w:spacing w:after="80"/>
      </w:pPr>
      <w:r>
        <w:rPr>
          <w:b w:val="0"/>
          <w:i w:val="0"/>
        </w:rPr>
        <w:t xml:space="preserve">94. </w:t>
      </w:r>
      <w:r>
        <w:rPr>
          <w:b w:val="0"/>
          <w:i/>
        </w:rPr>
        <w:t>Smallwood v Revenue and Customs Commissioners</w:t>
      </w:r>
      <w:r>
        <w:rPr>
          <w:b w:val="0"/>
          <w:i w:val="0"/>
        </w:rPr>
        <w:t xml:space="preserve"> [2008] UKSPC SPC669; [2008] STC (SCD) 629; (2008) Sp C 669. 95. Xem Chương 12, §12.01. 96. Ngôn ngữ của TCGA 1992, s. 83A được soạn thảo dựa trên giả định này. Xem Chương 12, §12.04.</w:t>
      </w:r>
    </w:p>
    <w:p>
      <w:pPr>
        <w:spacing w:after="80"/>
      </w:pPr>
      <w:r>
        <w:rPr>
          <w:b w:val="0"/>
          <w:i w:val="0"/>
        </w:rPr>
        <w:t>188</w:t>
      </w:r>
    </w:p>
    <w:p>
      <w:pPr>
        <w:spacing w:after="80"/>
      </w:pPr>
      <w:r>
        <w:rPr>
          <w:b w:val="0"/>
          <w:i w:val="0"/>
        </w:rPr>
        <w:t>nghĩa vụ đó’.97 Vì art.4(3) hoàn toàn không đề cập đến nghĩa vụ thuế, kết luận này thật khó theo dõi.</w:t>
      </w:r>
    </w:p>
    <w:p>
      <w:pPr>
        <w:spacing w:after="80"/>
      </w:pPr>
      <w:r>
        <w:rPr>
          <w:b/>
          <w:i w:val="0"/>
        </w:rPr>
        <w:t>[A]Giải quyết Cư trú Kép: Cá nhân</w:t>
      </w:r>
    </w:p>
    <w:p>
      <w:pPr>
        <w:spacing w:after="80"/>
      </w:pPr>
      <w:r>
        <w:rPr>
          <w:b w:val="0"/>
          <w:i w:val="0"/>
        </w:rPr>
        <w:t xml:space="preserve">Luật nội địa về cư trú của cá nhân dễ dẫn đến các vấn đề cư trú kép. Về mặt lịch sử,98 thứ nhất, cư trú trong một phần của năm thuế có nghĩa là cư trú cho cả năm thuế. Không có quy tắc luật định nào phân bổ thuế thu nhập cho các năm đến và đi như một vấn đề pháp lý giữa các giai đoạn cư trú và không cư trú. Thứ hai, Vương quốc Anh áp dụng hai bài kiểm tra cư trú riêng biệt trong bối cảnh này, cụ thể là </w:t>
      </w:r>
      <w:r>
        <w:rPr>
          <w:b w:val="0"/>
          <w:i/>
        </w:rPr>
        <w:t>cư trú đơn thuần</w:t>
      </w:r>
      <w:r>
        <w:rPr>
          <w:b w:val="0"/>
          <w:i w:val="0"/>
        </w:rPr>
        <w:t xml:space="preserve"> và cư trú thông thường. Thứ ba, câu hỏi về cư trú về cơ bản là một vấn đề thực tế và mức độ. Đặc biệt, hoàn cảnh các chuyến thăm của người nộp thuế đến Vương quốc Anh có thể có tính chất như vậy hoặc có thể kéo dài hoặc lặp đi lặp lại, đến mức khiến người nộp thuế trở thành cư dân mặc dù trung bình họ chỉ dành hơn một phần tư năm thuế ở Vương quốc Anh.99 Hơn nữa, những chuyến thăm như vậy cũng có thể khiến người nộp thuế trở thành cư dân thông thường.100 Điều này có nghĩa là những người thường xuyên đến Vương quốc Anh, trong một thiểu số đáng kể thời gian của họ, sẽ trở thành cư dân.</w:t>
      </w:r>
    </w:p>
    <w:p>
      <w:pPr>
        <w:spacing w:after="80"/>
      </w:pPr>
      <w:r>
        <w:rPr>
          <w:b w:val="0"/>
          <w:i w:val="0"/>
        </w:rPr>
        <w:t>Rủi ro cư trú kép vẫn còn cao theo bài kiểm tra cư trú theo luật định được áp dụng từ ngày 6 tháng 4 năm 2013. Những người thường xuyên đến Vương quốc Anh trong một thiểu số đáng kể thời gian của họ sẽ tiếp tục trở thành cư dân Vương quốc Anh nếu họ có các mối liên hệ khác với Vương quốc Anh. Tính chất máy móc và cứng nhắc của bài kiểm tra cư trú theo luật định sẽ có nghĩa là những cá nhân có hoàn cảnh cá nhân không phù hợp chính xác với bài kiểm tra có thể là cư dân Vương quốc Anh trong những trường hợp họ có mối liên hệ khiêm tốn với Vương quốc Anh và là cư dân của một quốc gia khác theo nghĩa thông thường của thuật ngữ đó.</w:t>
      </w:r>
    </w:p>
    <w:p>
      <w:pPr>
        <w:spacing w:after="80"/>
      </w:pPr>
      <w:r>
        <w:rPr>
          <w:b w:val="0"/>
          <w:i w:val="0"/>
        </w:rPr>
        <w:t>Việc giải quyết cư trú kép trong các hiệp ước của Vương quốc Anh không hề đồng nhất. Trong trường hợp các cá nhân cư trú kép, điều này được giải quyết trong các hiệp ước theo mô hình OECD Model. Một ví dụ điển hình được tìm thấy trong art. 3(2) của Hiệp ước Pháp-Vương quốc Anh, có nội dung như sau:</w:t>
      </w:r>
    </w:p>
    <w:p>
      <w:pPr>
        <w:spacing w:after="80"/>
      </w:pPr>
      <w:r>
        <w:rPr>
          <w:b w:val="0"/>
          <w:i w:val="0"/>
        </w:rPr>
        <w:t>Khi do các quy định của khoản (1) một cá nhân là cư dân của cả hai Quốc gia Ký kết, thì trường hợp này sẽ được xác định theo các quy tắc sau:</w:t>
      </w:r>
    </w:p>
    <w:p>
      <w:pPr>
        <w:spacing w:after="80"/>
      </w:pPr>
      <w:r>
        <w:rPr>
          <w:b w:val="0"/>
          <w:i w:val="0"/>
        </w:rPr>
        <w:t>(d) Người đó sẽ được coi là cư dân của Quốc gia Ký kết nơi người đó có</w:t>
      </w:r>
    </w:p>
    <w:p>
      <w:pPr>
        <w:spacing w:after="80"/>
      </w:pPr>
      <w:r>
        <w:rPr>
          <w:b w:val="0"/>
          <w:i w:val="0"/>
        </w:rPr>
        <w:t>một ngôi nhà thường trú dành cho mình. Nếu người đó có một ngôi nhà thường trú dành cho mình ở cả hai Quốc gia Ký kết, người đó sẽ được coi là cư dân của Quốc gia Ký kết mà người đó có các mối quan hệ cá nhân và kinh tế gần gũi nhất (trung tâm lợi ích thiết yếu). (e) Nếu Quốc gia Ký kết nơi người đó có trung tâm lợi ích thiết yếu không thể được</w:t>
      </w:r>
    </w:p>
    <w:p>
      <w:pPr>
        <w:spacing w:after="80"/>
      </w:pPr>
      <w:r>
        <w:rPr>
          <w:b w:val="0"/>
          <w:i w:val="0"/>
        </w:rPr>
        <w:t>anh ta được xem là cư dân của Quốc gia Ký kết mà anh ta có nơi ở thường xuyên, hoặc nếu anh ta không có nơi ở thường xuyên tại bất kỳ Quốc gia Ký kết nào, anh ta sẽ được xem là cư dân của Quốc gia Ký kết mà anh ta có nơi cư trú thường xuyên.</w:t>
      </w:r>
    </w:p>
    <w:p>
      <w:pPr>
        <w:spacing w:after="80"/>
      </w:pPr>
      <w:r>
        <w:rPr>
          <w:b w:val="0"/>
          <w:i w:val="0"/>
        </w:rPr>
        <w:t>97. Tại đoạn 43. 98. Cho đến ngày 6 tháng 4 khi bài kiểm tra cư trú theo luật định bắt đầu, xem FA 2013, Sch. 45. 99.</w:t>
      </w:r>
      <w:r>
        <w:rPr>
          <w:b w:val="0"/>
          <w:i/>
        </w:rPr>
        <w:t>Lysaght v IRC</w:t>
      </w:r>
      <w:r>
        <w:rPr>
          <w:b w:val="0"/>
          <w:i w:val="0"/>
        </w:rPr>
        <w:t xml:space="preserve"> [1928] AC 234. 100.</w:t>
      </w:r>
      <w:r>
        <w:rPr>
          <w:b w:val="0"/>
          <w:i/>
        </w:rPr>
        <w:t>Levene v IRC</w:t>
      </w:r>
      <w:r>
        <w:rPr>
          <w:b w:val="0"/>
          <w:i w:val="0"/>
        </w:rPr>
        <w:t xml:space="preserve"> [1928] AC 217.</w:t>
      </w:r>
    </w:p>
    <w:p>
      <w:pPr>
        <w:spacing w:after="80"/>
      </w:pPr>
      <w:r>
        <w:rPr>
          <w:b w:val="0"/>
          <w:i w:val="0"/>
        </w:rPr>
        <w:t>189</w:t>
      </w:r>
    </w:p>
    <w:p>
      <w:pPr>
        <w:spacing w:after="80"/>
      </w:pPr>
      <w:r>
        <w:rPr>
          <w:b w:val="0"/>
          <w:i w:val="0"/>
        </w:rPr>
        <w:t>(f) Nếu anh ta có nơi cư trú thường xuyên tại cả hai Quốc gia Ký kết hoặc không có nơi cư trú thường xuyên tại cả hai quốc gia đó, anh ta</w:t>
      </w:r>
    </w:p>
    <w:p>
      <w:pPr>
        <w:spacing w:after="80"/>
      </w:pPr>
      <w:r>
        <w:rPr>
          <w:b w:val="0"/>
          <w:i w:val="0"/>
        </w:rPr>
        <w:t>sẽ được xem là cư dân của Quốc gia Ký kết mà anh ta là công dân. (g) Nếu anh ta là công dân của cả hai Quốc gia Ký kết hoặc không phải công dân của cả hai quốc gia đó, thì</w:t>
      </w:r>
    </w:p>
    <w:p>
      <w:pPr>
        <w:spacing w:after="80"/>
      </w:pPr>
      <w:r>
        <w:rPr>
          <w:b w:val="0"/>
          <w:i w:val="0"/>
        </w:rPr>
        <w:t>các cơ quan có thẩm quyền của các Quốc gia Ký kết sẽ giải quyết vấn đề bằng thỏa thuận chung.</w:t>
      </w:r>
    </w:p>
    <w:p>
      <w:pPr>
        <w:spacing w:after="80"/>
      </w:pPr>
      <w:r>
        <w:rPr>
          <w:b w:val="0"/>
          <w:i w:val="0"/>
        </w:rPr>
        <w:t>Chỉ có hai vụ án ở Vương quốc Anh liên quan đến việc áp dụng điều khoản phá vỡ thế cân bằng (tiebreaker).</w:t>
      </w:r>
      <w:r>
        <w:rPr>
          <w:b w:val="0"/>
          <w:i/>
        </w:rPr>
        <w:t>Squirrell v HMRC</w:t>
      </w:r>
      <w:r>
        <w:rPr>
          <w:b w:val="0"/>
          <w:i w:val="0"/>
        </w:rPr>
        <w:t>101 đề cập đến Điều 4(2) nhưng không thỏa đáng ở chỗ người nộp thuế không có người đại diện và chỉ đưa ra những lập luận bằng văn bản gây nhầm lẫn. Tuy nhiên, những bình luận hữu ích của Ủy viên Đặc biệt (Special Commissioner) đã làm sáng tỏ một khía cạnh quan trọng trong hoạt động của điều khoản phá vỡ thế cân bằng. Người nộp thuế là công dân Vương quốc Anh kết hôn với một công dân Hoa Kỳ. Ông sống và làm việc tại Vương quốc Anh cho đến ngày 17 tháng 10 năm 2000, khi ông rời đi để sống ở Hoa Kỳ cùng vợ. Ông là cư dân và cư dân thường xuyên (ordinarily resident) tại Vương quốc Anh cho đến ngày 17 tháng 10 năm 2000 và không phải là cư dân cũng như không phải cư dân thường xuyên kể từ ngày hôm sau. Ông làm việc cho British Airways plc cho đến ngày 31 tháng 3 năm 2000. Vào ngày 1 tháng 4 năm 2000, ông nhận được một khoản thanh toán chấm dứt hợp đồng, thay cho thông báo trước, trị giá 92,957.89 GBP, từ đó thuế thu nhập Vương quốc Anh ở mức 23% đã được khấu trừ theo PAYE. Ông yêu cầu miễn thuế Vương quốc Anh theo Hiệp ước (1975) giữa Vương quốc Anh và Hoa Kỳ với lý do khoản thu nhập này đã bị đánh thuế ở Hoa Kỳ chung với thu nhập của vợ ông, người phải chịu thuế ở đó trong suốt cả năm với tư cách là công dân. Tuy nhiên, không có yêu cầu nào được đưa ra ở cả hai quốc gia để xác định tình trạng cư trú của ông theo Điều 4(2) cho các mục đích của hiệp ước và nếu không có điều đó thì hiệp ước không thể được áp dụng. Tuy nhiên, kết quả từ quan điểm của Vương quốc Anh là như nhau vì nó sẽ bị đánh thuế ở Vương quốc Anh theo Điều 15 (Thu nhập từ việc làm) hoặc vì cư trú hoặc thực hiện nhiệm vụ tại Vương quốc Anh khi thu nhập đó được kiếm được. Ủy viên Đặc biệt lưu ý rằng người nộp thuế đã nộp đơn xin miễn trừ theo hiệp ước ở sai quốc gia.102</w:t>
      </w:r>
    </w:p>
    <w:p>
      <w:pPr>
        <w:spacing w:after="80"/>
      </w:pPr>
      <w:r>
        <w:rPr>
          <w:b w:val="0"/>
          <w:i w:val="0"/>
        </w:rPr>
        <w:t xml:space="preserve">Trong </w:t>
      </w:r>
      <w:r>
        <w:rPr>
          <w:b w:val="0"/>
          <w:i/>
        </w:rPr>
        <w:t>Hankinson</w:t>
      </w:r>
      <w:r>
        <w:rPr>
          <w:b w:val="0"/>
          <w:i w:val="0"/>
        </w:rPr>
        <w:t xml:space="preserve">,103 Tòa án Sơ thẩm (First-tier Tribunal) đã bình luận, </w:t>
      </w:r>
      <w:r>
        <w:rPr>
          <w:b w:val="0"/>
          <w:i/>
        </w:rPr>
        <w:t>obiter</w:t>
      </w:r>
      <w:r>
        <w:rPr>
          <w:b w:val="0"/>
          <w:i w:val="0"/>
        </w:rPr>
        <w:t>, về việc áp dụng điều khoản phá vỡ thế cân bằng một lần nữa và chủ yếu dựa vào Bình luận của OECD tại thời điểm hiệp ước được ký kết.104 Liên quan đến các khía cạnh thời gian, thẩm phán lưu ý rằng có thể được phép xem xét các sự kiện trong một khoảng thời gian ngoài khoảng thời gian mà cá nhân đó là cư dân của cả hai quốc gia khi áp dụng các yếu tố của điều khoản phá vỡ thế cân bằng, khi thích hợp. Ông suy đoán rằng điều đó có thể không phù hợp với bài kiểm tra nơi ở thường xuyên (permanent home) trong Điều 4(2)(a) nhưng lại phù hợp với nơi cư trú thường xuyên (habitual abode) trong Điều 4(2)(c).105 Người nộp thuế không ở lại quốc gia nào (Vương quốc Anh hoặc Hà Lan) trong khoảng thời gian chồng lấn vì ông đang ở Barbados và Tòa án đã kết luận đúng rằng ông không có nơi cư trú thường xuyên tại cả hai quốc gia trong khoảng thời gian chồng lấn đó. Trong năm thuế Vương quốc Anh 1998-1999, ông ở Hà Lan khoảng 130 đêm và ở Vương quốc Anh 82 đêm và các khoảng thời gian này khá đều đặn</w:t>
      </w:r>
    </w:p>
    <w:p>
      <w:pPr>
        <w:spacing w:after="80"/>
      </w:pPr>
      <w:r>
        <w:rPr>
          <w:b w:val="0"/>
          <w:i w:val="0"/>
        </w:rPr>
        <w:t>101.</w:t>
      </w:r>
      <w:r>
        <w:rPr>
          <w:b w:val="0"/>
          <w:i/>
        </w:rPr>
        <w:t>Squirrell v Revenue and Customs</w:t>
      </w:r>
      <w:r>
        <w:rPr>
          <w:b w:val="0"/>
          <w:i w:val="0"/>
        </w:rPr>
        <w:t xml:space="preserve"> [2005] UKSPC SPC493; (2005) SpC493; [2005] STC (SCD) 717. 102. Ngụ ý trong nhận xét này là thời điểm đúng để xác định cư trú cho các mục đích của hiệp ước là vào thời điểm điều khoản phân phối đang được viện dẫn, cụ thể là khi các nhiệm vụ được thực hiện. 103.</w:t>
      </w:r>
      <w:r>
        <w:rPr>
          <w:b w:val="0"/>
          <w:i/>
        </w:rPr>
        <w:t>Hankinson v Revenue and Customs</w:t>
      </w:r>
      <w:r>
        <w:rPr>
          <w:b w:val="0"/>
          <w:i w:val="0"/>
        </w:rPr>
        <w:t xml:space="preserve"> [2010] TC 00319 [2009] UKFTT 384 (TC). 104. Tại đoạn 66. 105. Tại đoạn 60.</w:t>
      </w:r>
    </w:p>
    <w:p>
      <w:pPr>
        <w:spacing w:after="80"/>
      </w:pPr>
      <w:r>
        <w:rPr>
          <w:b w:val="0"/>
          <w:i w:val="0"/>
        </w:rPr>
        <w:t>190</w:t>
      </w:r>
    </w:p>
    <w:p>
      <w:pPr>
        <w:spacing w:after="80"/>
      </w:pPr>
      <w:r>
        <w:rPr>
          <w:b w:val="0"/>
          <w:i w:val="0"/>
        </w:rPr>
        <w:t>cách nhau. Gây tranh cãi hơn, họ coi cả hai đều là thường xuyên.106 Điều này không phù hợp với đoạn 19 của Bình luận OECD, vốn sẽ coi Hà Lan, nơi người nộp thuế dành nhiều thời gian hơn, là thường xuyên. Lời chỉ trích của Tòa án về kết quả này dựa trên cơ sở rằng hiệp ước đề cập đến khả năng nơi cư trú thường xuyên ở cả hai hoặc không ở quốc gia nào, điều mà hầu như sẽ không bao giờ xảy ra nếu đếm số ngày, là không đúng chỗ. Nếu các sự kiện và hoàn cảnh rộng lớn của bài kiểm tra trung tâm lợi ích thiết yếu (centre of vital interests) trong Điều 4(2)(b) không tạo ra kết quả, thì việc đếm số ngày mang tính máy móc hơn ở mỗi quốc gia sẽ làm được điều đó. Chỉ trong những trường hợp ngoại lệ mà nó không làm được, thì bài kiểm tra quốc tịch mang tính pháp lý trong Điều 4(2)(d) mới được áp dụng.</w:t>
      </w:r>
    </w:p>
    <w:p>
      <w:pPr>
        <w:spacing w:after="80"/>
      </w:pPr>
      <w:r>
        <w:rPr>
          <w:b w:val="0"/>
          <w:i w:val="0"/>
        </w:rPr>
        <w:t>Thậm chí còn gây tranh cãi hơn, Tòa án cho rằng năm thuế Vương quốc Anh là khoảng thời gian thích hợp để xem xét các sự kiện khi áp dụng điều khoản phá vỡ thế cân bằng nhưng lại bỏ qua năm thuế của Hà Lan. Năm thuế Vương quốc Anh kết thúc vào ngày 5 tháng 4, không khớp với hầu hết các quốc gia khác. Nếu khoảng thời gian được các tòa án Vương quốc Anh kiểm tra là năm thuế Vương quốc Anh mà loại trừ năm thuế của quốc gia ký kết kia, thì việc áp dụng không đối xứng chắc chắn sẽ phát sinh. Mặc dù có thể có những trường hợp thích hợp để xem xét các sự kiện trong khoảng thời gian ngoài khoảng thời gian chồng lấn, nhưng phải áp dụng một cách tiếp cận cân bằng và đối xứng.</w:t>
      </w:r>
    </w:p>
    <w:p>
      <w:pPr>
        <w:spacing w:after="80"/>
      </w:pPr>
      <w:r>
        <w:rPr>
          <w:b w:val="0"/>
          <w:i w:val="0"/>
        </w:rPr>
        <w:t xml:space="preserve">Trong </w:t>
      </w:r>
      <w:r>
        <w:rPr>
          <w:b w:val="0"/>
          <w:i/>
        </w:rPr>
        <w:t>Yates v Revenue and Customs Commissioners,</w:t>
      </w:r>
      <w:r>
        <w:rPr>
          <w:b w:val="0"/>
          <w:i w:val="0"/>
        </w:rPr>
        <w:t>107 Bà Yates chuyển đến Tây Ban Nha vì lý do sức khỏe và bà đã thuê một căn hộ ở đó cho mục đích này vào năm 2000. Chồng bà, một cư dân Vương quốc Anh, dự định sẽ sống cùng bà ở Tây Ban Nha khi công việc kinh doanh của ông cho phép. Điều đó đã không bao giờ xảy ra và ông chỉ dành một số cuối tuần và ngày lễ ở Tây Ban Nha. Cho đến năm 2008, bà Yates đi đến Vương quốc Anh, ở cùng ông và cuối cùng trở về Vương quốc Anh để sống cùng ông vĩnh viễn vào năm 2008. Trong những năm xen giữa, bà dành nhiều thời gian ở Tây Ban Nha hơn ở Vương quốc Anh. Tòa án Sơ thẩm phán quyết rằng bà Yates là cư dân Tây Ban Nha cho các mục đích thuế Tây Ban Nha trong tất cả các năm (trừ năm 2002) dựa trên bằng chứng chuyên gia về luật Tây Ban Nha và bất chấp việc thiếu bằng chứng về bất kỳ quan điểm nào của các cơ quan chức năng Tây Ban Nha về vấn đề này. Bà cũng là cư dân Vương quốc Anh theo luật nội địa Vương quốc Anh trong suốt khoảng thời gian đó.</w:t>
      </w:r>
    </w:p>
    <w:p>
      <w:pPr>
        <w:spacing w:after="80"/>
      </w:pPr>
      <w:r>
        <w:rPr>
          <w:b w:val="0"/>
          <w:i w:val="0"/>
        </w:rPr>
        <w:t>Thẩm phán Walters QC phán quyết rằng bà là cư dân Vương quốc Anh cho các mục đích của Hiệp ước Thuế Thu nhập Tây Ban Nha-Vương quốc Anh (1975)108 Mặc dù ý nghĩa của các bài kiểm tra trong Điều 4(2) không được thảo luận chi tiết, nhưng việc phân tích các yếu tố thực tế liên quan đến từng bài kiểm tra cho thấy cách tiếp cận của Tòa án. Mỗi bài kiểm tra được xem xét dưới đây.</w:t>
      </w:r>
    </w:p>
    <w:p>
      <w:pPr>
        <w:spacing w:after="80"/>
      </w:pPr>
      <w:r>
        <w:rPr>
          <w:b/>
          <w:i/>
        </w:rPr>
        <w:t>[1] Nơi ở thường xuyên</w:t>
      </w:r>
    </w:p>
    <w:p>
      <w:pPr>
        <w:spacing w:after="80"/>
      </w:pPr>
      <w:r>
        <w:rPr>
          <w:b w:val="0"/>
          <w:i w:val="0"/>
        </w:rPr>
        <w:t>Ngôi nhà ở Vương quốc Anh mà bà đã chia sẻ với chồng trước đây là nhà của họ và bà ở đó trong những chuyến đi đến Vương quốc Anh. Bà thuê một căn hộ ở Tây Ban Nha vào năm 2002 và năm 2003, mua một căn hộ ba phòng ngủ mà bà sở hữu và sử dụng trong suốt</w:t>
      </w:r>
    </w:p>
    <w:p>
      <w:pPr>
        <w:spacing w:after="80"/>
      </w:pPr>
      <w:r>
        <w:rPr>
          <w:b w:val="0"/>
          <w:i w:val="0"/>
        </w:rPr>
        <w:t>106. Tại đoạn 69.107.</w:t>
      </w:r>
      <w:r>
        <w:rPr>
          <w:b w:val="0"/>
          <w:i/>
        </w:rPr>
        <w:t>Yates v Revenue and Customs Commissioners</w:t>
      </w:r>
      <w:r>
        <w:rPr>
          <w:b w:val="0"/>
          <w:i w:val="0"/>
        </w:rPr>
        <w:t xml:space="preserve"> [2012] TC02220; [2012] UKFTT568(TC), 15 ITLR 205.108. Công ước giữa Vương quốc Liên hiệp Anh và Bắc Ireland và Tây Ban Nha về việc tránh đánh thuế hai lần và ngăn ngừa trốn thuế liên quan đến thuế thu nhập và vốn ngày 21 tháng 10 năm 1975 (SI 1976/1919).</w:t>
      </w:r>
    </w:p>
    <w:p>
      <w:pPr>
        <w:spacing w:after="80"/>
      </w:pPr>
      <w:r>
        <w:rPr>
          <w:b w:val="0"/>
          <w:i w:val="0"/>
        </w:rPr>
        <w:t>191</w:t>
      </w:r>
    </w:p>
    <w:p>
      <w:pPr>
        <w:spacing w:after="80"/>
      </w:pPr>
      <w:r>
        <w:rPr>
          <w:b w:val="0"/>
          <w:i w:val="0"/>
        </w:rPr>
        <w:t>khoảng thời gian đó. Tòa án đã bác bỏ lập luận của HMRC rằng các căn hộ ở Tây Ban Nha không phải là ‘nhà’ vì chúng không có phẩm chất là ‘nơi trú ngụ của đời sống gia đình’ dùng để phân biệt một ngôi nhà với một tổ ấm. Tòa án nhận thấy các căn hộ ở Tây Ban Nha có phẩm chất là ‘nhà’ của bà, và do đó, bà Yates có một tổ ấm thường trú dành cho mình ở cả Tây Ban Nha và Vương quốc Anh.109</w:t>
      </w:r>
    </w:p>
    <w:p>
      <w:pPr>
        <w:spacing w:after="80"/>
      </w:pPr>
      <w:r>
        <w:rPr>
          <w:b/>
          <w:i/>
        </w:rPr>
        <w:t>[2] Trung tâm lợi ích thiết yếu</w:t>
      </w:r>
    </w:p>
    <w:p>
      <w:pPr>
        <w:spacing w:after="80"/>
      </w:pPr>
      <w:r>
        <w:rPr>
          <w:b w:val="0"/>
          <w:i w:val="0"/>
        </w:rPr>
        <w:t xml:space="preserve">Tòa án Vương quốc Anh trong </w:t>
      </w:r>
      <w:r>
        <w:rPr>
          <w:b w:val="0"/>
          <w:i/>
        </w:rPr>
        <w:t>Yates</w:t>
      </w:r>
      <w:r>
        <w:rPr>
          <w:b w:val="0"/>
          <w:i w:val="0"/>
        </w:rPr>
        <w:t xml:space="preserve"> đã dựa vào Bình luận của OECD để giải thích các mối quan hệ cá nhân và kinh tế:</w:t>
      </w:r>
    </w:p>
    <w:p>
      <w:pPr>
        <w:spacing w:after="80"/>
      </w:pPr>
      <w:r>
        <w:rPr>
          <w:b w:val="0"/>
          <w:i w:val="0"/>
        </w:rPr>
        <w:t>Do đó, sẽ xem xét các mối quan hệ gia đình và xã hội, nghề nghiệp, các hoạt động chính trị, văn hóa hoặc hoạt động khác, nơi kinh doanh, nơi mà người đó quản lý tài sản của mình, v.v. Các hoàn cảnh phải được xem xét một cách tổng thể, nhưng rõ ràng là những cân nhắc dựa trên các hành vi cá nhân của cá nhân phải được đặc biệt chú ý. Nếu một người có nhà ở một Quốc gia thiết lập ngôi nhà thứ hai ở Quốc gia kia trong khi vẫn giữ ngôi nhà thứ nhất, việc người đó giữ ngôi nhà thứ nhất trong môi trường mà người đó luôn sinh sống, nơi người đó đã làm việc, và nơi người đó có gia đình và tài sản, có thể, cùng với các yếu tố khác, chứng minh rằng người đó đã giữ trung tâm lợi ích thiết yếu của mình ở Quốc gia thứ nhất.110</w:t>
      </w:r>
    </w:p>
    <w:p>
      <w:pPr>
        <w:spacing w:after="80"/>
      </w:pPr>
      <w:r>
        <w:rPr>
          <w:b w:val="0"/>
          <w:i w:val="0"/>
        </w:rPr>
        <w:t xml:space="preserve">Một nơi ở không thể sinh sống được thì không được coi là có sẵn cho các mục đích của điều 4(2)(a). Trong </w:t>
      </w:r>
      <w:r>
        <w:rPr>
          <w:b w:val="0"/>
          <w:i/>
        </w:rPr>
        <w:t>O’Brien v Quigley</w:t>
      </w:r>
      <w:r>
        <w:rPr>
          <w:b w:val="0"/>
          <w:i w:val="0"/>
        </w:rPr>
        <w:t>,111 người nộp thuế, vốn là cư dân Ireland, đã chuyển đến Bồ Đào Nha vào tháng 5 năm 2020 đến một ngôi nhà do ông tự xây dựng ở đó. Tài sản cá nhân đã ở Bồ Đào Nha. Ngôi nhà hiện tại của ông ở Ireland được cho thuê trên cơ sở giao dịch độc lập. Một bất động sản nhà ở tại Ireland đã được một công ty do người nộp thuế kiểm soát mua lại, ngay sau khi chuyển đi. Việc sở hữu bởi một công ty không được coi là có liên quan bởi cả hai</w:t>
      </w:r>
    </w:p>
    <w:p>
      <w:pPr>
        <w:spacing w:after="80"/>
      </w:pPr>
      <w:r>
        <w:rPr>
          <w:b w:val="0"/>
          <w:i w:val="0"/>
        </w:rPr>
        <w:t xml:space="preserve">109. Tại đoạn 116. Hội đồng Nhà nước Pháp (Tòa án Hành chính Tối cao) đã phán quyết rằng việc sử dụng thực tế ngôi nhà, chứ không phải các mối quan hệ pháp lý giữa ngôi nhà và người nộp thuế, là yếu tố quyết định. Trong Vụ án số 300733 (ngày 11 tháng 12 năm 2009) (Cơ sở dữ liệu Nghiên cứu Thuế IBFD), một cặp vợ chồng đã sử dụng hai căn hộ, một ở Vương quốc Anh và một ở Pháp. Vợ chồng là người thuê hợp pháp của căn hộ ở Vương quốc Anh và con trai của họ là người thuê hợp pháp của căn hộ ở Pháp. Vợ chồng có một tổ ấm thường trú dành cho mình ở cả hai quốc gia ký kết theo điều 3(2)(a) của Hiệp ước Pháp-Vương quốc Anh (1968). Mặt khác, Tòa án Tối cao Cassazione của Ý (Tòa án Hành chính Tối cao Ý) Vụ án 13803, ngày 7 tháng 11 năm 2001, (Cơ sở dữ liệu Nghiên cứu Thuế IBFD), đã phán quyết liên quan đến điều 4(2)(a) của Hiệp ước Ý-Vương quốc Anh (1988) rằng chỉ một ngôi nhà lớn ở London, được sử dụng rõ ràng để ở, mới có thể được coi là một tổ ấm thường trú, so với một căn hộ nhỏ (pied à terre) ở Milan đã được mua nhưng chưa bao giờ được người nộp thuế sinh sống. Trong </w:t>
      </w:r>
      <w:r>
        <w:rPr>
          <w:b w:val="0"/>
          <w:i/>
        </w:rPr>
        <w:t>Toralf Tresland v Government of Norway</w:t>
      </w:r>
      <w:r>
        <w:rPr>
          <w:b w:val="0"/>
          <w:i w:val="0"/>
        </w:rPr>
        <w:t xml:space="preserve"> (tòa án quận Nedre Telemark (Na Uy)), ngày 22 tháng 4 năm 1999 (Cơ sở dữ liệu Nghiên cứu Thuế IBFD), một bất động sản được coi là tổ ấm thường trú theo điều 4(2)(a) của Hiệp ước Thuế Na Uy-Vương quốc Anh (1969) nếu gia đình của người đó (vợ/chồng và con cái) coi đó là nơi cư trú của họ, nếu đặc điểm và cách trang trí của bất động sản phù hợp để được coi là nơi cư trú thường xuyên trong thời gian dài hơn chứ không chỉ để ở thỉnh thoảng cho việc học tập, thể thao hoặc giải trí, v.v., và rằng nó cũng được sử dụng thường xuyên làm nhà ở, ví dụ, liên quan đến công việc. Không có yêu cầu rằng người đó phải sở hữu bất động sản. Nhà thuê cũng được bao gồm nhưng bất động sản phải có sẵn ngay cả khi cá nhân không ở đó. Việc đánh giá nên dựa trên các tiêu chí khách quan chứ không phải ý định chủ quan của người nộp thuế.110. Xem Ủy ban OECD về Các vấn đề Tài chính, Bình luận về Điều 4 của Công ước Mẫu OECD về Thuế, đoạn 15 (ngày 22 tháng 7 năm 2010).111. </w:t>
      </w:r>
      <w:r>
        <w:rPr>
          <w:b w:val="0"/>
          <w:i/>
        </w:rPr>
        <w:t>O’Brien v Quigley</w:t>
      </w:r>
      <w:r>
        <w:rPr>
          <w:b w:val="0"/>
          <w:i w:val="0"/>
        </w:rPr>
        <w:t xml:space="preserve"> [2013] IEHC 398; [2013] 1 IR 790.</w:t>
      </w:r>
    </w:p>
    <w:p>
      <w:pPr>
        <w:spacing w:after="80"/>
      </w:pPr>
      <w:r>
        <w:rPr>
          <w:b w:val="0"/>
          <w:i w:val="0"/>
        </w:rPr>
        <w:t>192</w:t>
      </w:r>
    </w:p>
    <w:p>
      <w:pPr>
        <w:spacing w:after="80"/>
      </w:pPr>
      <w:r>
        <w:rPr>
          <w:b w:val="0"/>
          <w:i w:val="0"/>
        </w:rPr>
        <w:t xml:space="preserve">bên. Khi mua lại, các đơn vị nhà bếp và bếp nấu tích hợp đã bị dỡ bỏ. Các công trình xây dựng và cải tạo quy mô lớn đã được thực hiện từ tháng 6 năm 2000 và suốt năm 2001. Người nộp thuế và gia đình ông đã ở trong ngôi nhà trong các chuyến thăm Ireland bắt đầu từ tháng 2 năm 2003 và sau đó họ chuyển vào ở. Người nộp thuế thừa nhận rằng ông và vợ có thể, nếu họ chọn, đã chuyển vào ngôi nhà vào thời điểm mua, nhưng ngôi nhà sẽ không phù hợp cho gia đình ông. Tòa án Tối cao Ireland đã giữ nguyên quyết định của Ủy viên Kháng nghị Thuế rằng người nộp thuế có một tổ ấm thường trú dành cho mình trong khoảng thời gian liên quan theo điều 4(2)(a) của hiệp ước đánh thuế hai lần Ireland-Bồ Đào Nha. Tòa án đã bác bỏ lập luận rằng quyết định cải tạo ngôi nhà và làm cho nó không thể sinh sống được có nghĩa là nó nằm trong tầm kiểm soát và định đoạt của ông, biến nó thành nhà của ông. Tòa án cũng phán quyết rằng một tổ ấm có thể có sẵn mà không bao giờ được sử dụng. Ngược lại, trong quyết định của Ủy viên Kháng nghị Thuế Ireland 36TACD2019,112 người nộp thuế đã chuyển ngôi nhà của mình ở Ireland cho một quỹ tín thác cho phép con gái ông ở đó. Cô ấy đảm nhận việc quản lý ngôi nhà và trả các hóa đơn. Ngôi nhà vẫn giữ nguyên như cũ. Con gái vẫn ở trong phòng ngủ của riêng mình. Đồ đạc vẫn ở nguyên vị trí và một số đồ dùng cá nhân và ảnh đã được chuyển lên gác mái. Khi người nộp thuế đến thăm Ireland, ông ở khách sạn và không hỏi con gái liệu ông có thể ở trong bất động sản không. Các Ủy viên Kháng nghị kết luận rằng có một mối liên kết cá nhân mang lại cho ngôi nhà phẩm chất của một tổ ấm. Tổ ấm có sẵn trong những hoàn cảnh này ngay cả khi nó không được sử dụng. Không có bằng chứng cho thấy quyền cư trú của con gái là độc quyền hoặc rằng cô ấy sẽ từ chối cho cha mình vào nếu ông yêu cầu. </w:t>
      </w:r>
      <w:r>
        <w:rPr>
          <w:b w:val="0"/>
          <w:i/>
        </w:rPr>
        <w:t>O’Brien</w:t>
      </w:r>
      <w:r>
        <w:rPr>
          <w:b w:val="0"/>
          <w:i w:val="0"/>
        </w:rPr>
        <w:t xml:space="preserve"> được phân biệt trên cơ sở rằng ngôi nhà ở đó không thể sinh sống được.</w:t>
      </w:r>
    </w:p>
    <w:p>
      <w:pPr>
        <w:spacing w:after="80"/>
      </w:pPr>
      <w:r>
        <w:rPr>
          <w:b w:val="0"/>
          <w:i w:val="0"/>
        </w:rPr>
        <w:t>Ở đó, các Ủy viên Kháng nghị nhận thấy rằng người nộp thuế cũng có một tổ ấm thường trú ở Malta, nơi ông có một ngôi nhà khang trang, được trang bị đầy đủ, phù hợp với yêu cầu và mức sống của ông. Nó có sẵn theo các điều khoản của một hợp đồng thuê, và do đó người nộp thuế có một tổ ấm thường trú dành cho mình ở cả hai quốc gia theo điều 4(2)(a) của hiệp ước đánh thuế hai lần Ireland-Malta.</w:t>
      </w:r>
    </w:p>
    <w:p>
      <w:pPr>
        <w:spacing w:after="80"/>
      </w:pPr>
      <w:r>
        <w:rPr>
          <w:b w:val="0"/>
          <w:i w:val="0"/>
        </w:rPr>
        <w:t>Yếu tố chính kết nối bà Yates với Tây Ban Nha là mong muốn cư trú ở đó vì lý do sức khỏe. Tuy nhiên, chồng bà, người vẫn là cư dân Vương quốc Anh tại nhà của họ ở Vương quốc Anh, là trung tâm lợi ích thiết yếu của bà. Mối quan hệ đó là nền tảng cho quyết định chuyển đến Tây Ban Nha của bà vì bà đã làm như vậy ngay sau đó với cơ sở rằng cuối cùng ông sẽ cùng bà đến đó. Khi rõ ràng rằng ông sẽ không làm như vậy trong tương lai gần và, vì mối quan hệ của bà với ông lúc đó đang căng thẳng, bà đã trở về sống ở Vương quốc Anh bất chấp ảnh hưởng đến sức khỏe của bà. Chồng bà cũng là trung tâm trong các mối quan hệ kinh tế của bà. Công việc duy nhất của bà ở Tây Ban Nha là do ông cung cấp và bà dựa vào sự hỗ trợ tài chính trực tiếp hoặc gián tiếp từ ông. Ông quản lý các vấn đề tài chính quan trọng của bà và các thỏa thuận ngân hàng chính của bà ở Vương quốc Anh. Bà nhận trợ cấp sinh hoạt khuyết tật của nhà nước Vương quốc Anh được trả vào tài khoản ngân hàng Vương quốc Anh của bà. Các mối quan hệ cá nhân khác với cha mẹ bà sống ở Vương quốc Anh và anh chị em của bà, những người sống ở Vương quốc Anh, ngoại trừ một chị gái ở Ý, có ý nghĩa rất lớn đối với bà. Chúng vượt xa</w:t>
      </w:r>
    </w:p>
    <w:p>
      <w:pPr>
        <w:spacing w:after="80"/>
      </w:pPr>
      <w:r>
        <w:rPr>
          <w:b w:val="0"/>
          <w:i w:val="0"/>
        </w:rPr>
        <w:t>112. Quyết định của Ủy viên Kháng nghị Thuế 36TACD2019.</w:t>
      </w:r>
    </w:p>
    <w:p>
      <w:pPr>
        <w:spacing w:after="80"/>
      </w:pPr>
      <w:r>
        <w:rPr>
          <w:b w:val="0"/>
          <w:i w:val="0"/>
        </w:rPr>
        <w:t>193</w:t>
      </w:r>
    </w:p>
    <w:p>
      <w:pPr>
        <w:spacing w:after="80"/>
      </w:pPr>
      <w:r>
        <w:rPr>
          <w:b w:val="0"/>
          <w:i w:val="0"/>
        </w:rPr>
        <w:t>về tầm quan trọng và ý nghĩa so với bất kỳ mối quan hệ xã hội nào mà bà có thể đã hình thành ở Tây Ban Nha.113</w:t>
      </w:r>
    </w:p>
    <w:p>
      <w:pPr>
        <w:spacing w:after="80"/>
      </w:pPr>
      <w:r>
        <w:rPr>
          <w:b w:val="0"/>
          <w:i w:val="0"/>
        </w:rPr>
        <w:t>Trong quyết định của Ủy viên Kháng nghị Thuế 36TACD2019, người nộp thuế và gia đình trực hệ và mở rộng của ông đều là người Ireland, cũng như các doanh nghiệp của ông. Ông có lịch sử làm việc và kinh doanh và giữ các vị trí giám đốc ở Ireland. Các thành viên câu lạc bộ gia đình ở Ireland. Ông có bạn bè, người quen và đồng nghiệp ở đó. Ông duy trì bảo hiểm y tế Ireland và có nhiều tài sản cá nhân ở Ireland hơn ở Malta. Có lẽ điều nói lên nhiều nhất là sự vắng mặt của các lợi ích thiết yếu ở Malta, dẫn đến việc trung tâm lợi ích thiết yếu của ông theo điều 4(2)(a) của hiệp ước đánh thuế hai lần Ireland-Malta là Ireland.</w:t>
      </w:r>
    </w:p>
    <w:p>
      <w:pPr>
        <w:spacing w:after="80"/>
      </w:pPr>
      <w:r>
        <w:rPr>
          <w:b/>
          <w:i/>
        </w:rPr>
        <w:t>[3]Nơi cư trú thường xuyên</w:t>
      </w:r>
    </w:p>
    <w:p>
      <w:pPr>
        <w:spacing w:after="80"/>
      </w:pPr>
      <w:r>
        <w:rPr>
          <w:b w:val="0"/>
          <w:i w:val="0"/>
        </w:rPr>
        <w:t>Bà Yates dành thời gian ở Tây Ban Nha nhiều hơn đáng kể so với ở Vương quốc Anh trong những năm gần đây, ngoại trừ năm 2002 và năm tính thuế 2002/2003. Thẩm phán nhận xét rằng có lẽ ông sẽ kết luận rằng bà có nơi cư trú thường xuyên ở Tây Ban Nha, chứ không phải ở Vương quốc Anh, nếu ông cần phải áp dụng tiêu chí đó.114</w:t>
      </w:r>
    </w:p>
    <w:p>
      <w:pPr>
        <w:spacing w:after="80"/>
      </w:pPr>
      <w:r>
        <w:rPr>
          <w:b w:val="0"/>
          <w:i w:val="0"/>
        </w:rPr>
        <w:t>Bà Yates là công dân Vương quốc Anh và không phải là công dân Tây Ban Nha.115</w:t>
      </w:r>
    </w:p>
    <w:p>
      <w:pPr>
        <w:spacing w:after="80"/>
      </w:pPr>
      <w:r>
        <w:rPr>
          <w:b w:val="0"/>
          <w:i w:val="0"/>
        </w:rPr>
        <w:t xml:space="preserve">Tiêu chí phá vỡ thế cân bằng (tiebreaker) đã được xác định trong </w:t>
      </w:r>
      <w:r>
        <w:rPr>
          <w:b w:val="0"/>
          <w:i/>
        </w:rPr>
        <w:t>Yates</w:t>
      </w:r>
      <w:r>
        <w:rPr>
          <w:b w:val="0"/>
          <w:i w:val="0"/>
        </w:rPr>
        <w:t xml:space="preserve"> bằng cách áp dụng trung tâm lợi ích thiết yếu (centre of vital interests) theo Điều 4(2)(a). Mặc dù từng tiêu chí đều được Tòa án xem xét, các tiêu chí tiếp theo trong Điều 4(2)(b)-(d) không được áp dụng. Các tiêu chí phải được áp dụng tuần tự. Nếu một tiêu chí trước đó giải quyết được tình trạng cư trú kép theo hướng có lợi cho một trong các quốc gia ký kết, thì các tiêu chí sau đó không còn liên quan. Trong khi tiêu chí cư trú theo luật định trong nước tập trung vào các tiêu chí cố định và các khoảng thời gian được quy định cụ thể,116 thì các tiêu chí phá vỡ thế cân bằng theo hiệp ước đối với cá nhân cho phép điều tra rộng hơn. Cụ thể, việc xác định trung tâm lợi ích thiết yếu của một cá nhân sẽ cho phép xem xét bất kỳ sự kiện nào cho thấy mối liên hệ của cá nhân đó với một quốc gia.</w:t>
      </w:r>
    </w:p>
    <w:p>
      <w:pPr>
        <w:spacing w:after="80"/>
      </w:pPr>
      <w:r>
        <w:rPr>
          <w:b/>
          <w:i w:val="0"/>
        </w:rPr>
        <w:t>[B]Cư trú kép: Các công ty</w:t>
      </w:r>
    </w:p>
    <w:p>
      <w:pPr>
        <w:spacing w:after="80"/>
      </w:pPr>
      <w:r>
        <w:rPr>
          <w:b w:val="0"/>
          <w:i w:val="0"/>
        </w:rPr>
        <w:t>Mặc dù các hiệp ước được xây dựng theo Mô hình OECD (OECD Model) có chứa các điều khoản phá vỡ thế cân bằng, nhưng một số hiệp ước ban đầu thì không. Những hiệp ước theo mô hình thuộc địa (xem Hiệp ước Grenada-Vương quốc Anh ở trên) định nghĩa cư trú theo cả hai hướng khẳng định và phủ định. Một cư dân của một quốc gia ký kết là cư dân của một quốc gia ký kết mà không đồng thời là cư dân của quốc gia ký kết kia. Hiệu lực của các hiệp ước này là những người cư trú kép bị loại khỏi các quyền lợi theo hiệp ước. Hiệp ước Hoa Kỳ-Vương quốc Anh (1975) có chứa một điều khoản phá vỡ thế cân bằng liên quan đến cá nhân và quỹ tín thác (Điều 4(2) và (3)). Không có điều khoản nào để giải quyết tình trạng cư trú kép của các công ty. Các công ty cư trú kép được đề cập cụ thể tại Điều 1(2). Chúng</w:t>
      </w:r>
    </w:p>
    <w:p>
      <w:pPr>
        <w:spacing w:after="80"/>
      </w:pPr>
      <w:r>
        <w:rPr>
          <w:b w:val="0"/>
          <w:i w:val="0"/>
        </w:rPr>
        <w:t>113. Tại các đoạn 127-132. Corte Suprema di Cassazione (Tòa án Hành chính Tối cao Ý) đã mô tả trung tâm lợi ích thiết yếu trong Điều 4(2)(a) của Hiệp ước Ý-Vương quốc Anh (1988) là ‘nơi mà cá nhân có mối liên hệ chặt chẽ hơn, theo các lợi ích cá nhân và kinh tế của mình’ (Vụ án 13803, ngày 7 tháng 11 năm 2001) (Cơ sở dữ liệu Nghiên cứu Thuế IBFD). 114. Tại đoạn 134. 115. Tại đoạn 74. 116. Các tiêu chí là địa điểm làm việc, chỗ ở, sự hiện diện của gia đình, thời gian ở Vương quốc Anh trong những năm trước đó và nơi dành nhiều thời gian nhất. FA 2013, Sch. 43.</w:t>
      </w:r>
    </w:p>
    <w:p>
      <w:pPr>
        <w:spacing w:after="80"/>
      </w:pPr>
      <w:r>
        <w:rPr>
          <w:b w:val="0"/>
          <w:i w:val="0"/>
        </w:rPr>
        <w:t>194</w:t>
      </w:r>
    </w:p>
    <w:p>
      <w:pPr>
        <w:spacing w:after="80"/>
      </w:pPr>
      <w:r>
        <w:rPr>
          <w:b w:val="0"/>
          <w:i w:val="0"/>
        </w:rPr>
        <w:t>không được quyền yêu cầu bất kỳ khoản giảm trừ hay miễn thuế nào theo hiệp ước, với một số ngoại lệ cụ thể hạn chế. Các định nghĩa tương tự về cư trú cũng được tìm thấy trong Hiệp ước Vương quốc Anh-Hoa Kỳ năm 1946, với tiêu chí bổ sung là quốc tịch. Điều này đã gây ra những khó khăn đáng kể trong việc áp dụng.117 Hiệp ước Hoa Kỳ-Vương quốc Anh (2001) không cung cấp tiêu chí phá vỡ thế cân bằng nào cho những người không phải là cá nhân mà là cư dân của cả hai quốc gia ký kết. Khi xảy ra tình trạng cư trú kép của những người không phải là cá nhân, Điều 4(5) của hiệp ước đó yêu cầu các cơ quan có thẩm quyền của các quốc gia ký kết phải cố gắng xác định bằng thỏa thuận chung cách thức áp dụng hiệp ước đối với những người đó. Nếu họ không làm được điều đó, những người đó không được quyền yêu cầu bất kỳ quyền lợi nào theo hiệp ước, ngoại trừ những quyền lợi được quy định tại khoản 4 của Điều 24(4), Điều 25 (Không phân biệt đối xử) và Điều 26 (Thủ tục Thỏa thuận Chung).</w:t>
      </w:r>
    </w:p>
    <w:p>
      <w:pPr>
        <w:spacing w:after="80"/>
      </w:pPr>
      <w:r>
        <w:rPr>
          <w:b/>
          <w:i w:val="0"/>
        </w:rPr>
        <w:t>[C]Quản lý và Kiểm soát Trung tâm</w:t>
      </w:r>
    </w:p>
    <w:p>
      <w:pPr>
        <w:spacing w:after="80"/>
      </w:pPr>
      <w:r>
        <w:rPr>
          <w:b w:val="0"/>
          <w:i w:val="0"/>
        </w:rPr>
        <w:t xml:space="preserve">Từ ngày 15 tháng 3 năm 1988, một công ty được thành lập tại Vương quốc Anh được coi là cư trú tại đó.118 Một số ngoại lệ hạn chế nhất định áp dụng cho một số công ty được thành lập tại Vương quốc Anh mà trước ngày đó cư trú bên ngoài Vương quốc Anh.119 Các công ty được thành lập bên ngoài Vương quốc Anh vẫn tiếp tục chịu sự điều chỉnh của tiêu chí án lệ, vốn được áp dụng cho tất cả các công ty trước ngày 15 tháng 3 năm 1988. Tiêu chí này đã được nêu rõ vào đầu thế kỷ hai mươi trong </w:t>
      </w:r>
      <w:r>
        <w:rPr>
          <w:b w:val="0"/>
          <w:i/>
        </w:rPr>
        <w:t>De Beers Consolidated Mines v Howe</w:t>
      </w:r>
      <w:r>
        <w:rPr>
          <w:b w:val="0"/>
          <w:i w:val="0"/>
        </w:rPr>
        <w:t>,120 trong đó Lord Loreburn nói:</w:t>
      </w:r>
    </w:p>
    <w:p>
      <w:pPr>
        <w:spacing w:after="80"/>
      </w:pPr>
      <w:r>
        <w:rPr>
          <w:b w:val="0"/>
          <w:i w:val="0"/>
        </w:rPr>
        <w:t>Một công ty cư trú, vì mục đích thuế thu nhập, tại nơi mà hoạt động kinh doanh thực sự của nó được tiến hành … Tôi coi đó là quy tắc đúng đắn; và hoạt động kinh doanh thực sự được tiến hành tại nơi mà quản lý và kiểm soát trung tâm thực sự tồn tại.</w:t>
      </w:r>
    </w:p>
    <w:p>
      <w:pPr>
        <w:spacing w:after="80"/>
      </w:pPr>
      <w:r>
        <w:rPr>
          <w:b w:val="0"/>
          <w:i w:val="0"/>
        </w:rPr>
        <w:t>Các vụ án tiếp theo đã liên tục áp dụng tiêu chí CMC. Câu hỏi về nơi CMC thực sự tồn tại là một câu hỏi về sự kiện. Nó được phân biệt với nơi mà hoạt động thương mại hay kinh doanh của công ty được tiến hành. Theo luật trong nước của Vương quốc Anh, một công ty có thể cư trú tại hai khu vực pháp lý.121 Do đó, CMC có thể được phân chia trên cơ sở địa lý, đến mức một công ty có thể có tình trạng cư trú kép theo luật trong nước.</w:t>
      </w:r>
    </w:p>
    <w:p>
      <w:pPr>
        <w:spacing w:after="80"/>
      </w:pPr>
      <w:r>
        <w:rPr>
          <w:b/>
          <w:i w:val="0"/>
        </w:rPr>
        <w:t>[D]Quản lý và Kiểm soát</w:t>
      </w:r>
    </w:p>
    <w:p>
      <w:pPr>
        <w:spacing w:after="80"/>
      </w:pPr>
      <w:r>
        <w:rPr>
          <w:b w:val="0"/>
          <w:i w:val="0"/>
        </w:rPr>
        <w:t>Các hiệp ước theo mô hình thuộc địa đề cập đến ‘quản lý và kiểm soát’, chứ không phải ‘quản lý và kiểm soát trung tâm’. Có thể lập luận rằng hai khái niệm này là khác biệt – với ‘quản lý và kiểm soát trung tâm’ theo luật trong nước đề cập đến cấp thẩm quyền ra quyết định cao nhất và ‘quản lý và kiểm soát’ đề cập đến cấp quản lý thấp hơn đối với hoạt động kinh doanh của công ty. Sức hấp dẫn của cách tiếp cận như vậy là</w:t>
      </w:r>
    </w:p>
    <w:p>
      <w:pPr>
        <w:spacing w:after="80"/>
      </w:pPr>
      <w:r>
        <w:rPr>
          <w:b w:val="0"/>
          <w:i w:val="0"/>
        </w:rPr>
        <w:t xml:space="preserve">117. Xem </w:t>
      </w:r>
      <w:r>
        <w:rPr>
          <w:b w:val="0"/>
          <w:i/>
        </w:rPr>
        <w:t>Strathalmond v IRC</w:t>
      </w:r>
      <w:r>
        <w:rPr>
          <w:b w:val="0"/>
          <w:i w:val="0"/>
        </w:rPr>
        <w:t xml:space="preserve"> (1972) 48 TC 537, </w:t>
      </w:r>
      <w:r>
        <w:rPr>
          <w:b w:val="0"/>
          <w:i/>
        </w:rPr>
        <w:t>Avery Jones v IRC</w:t>
      </w:r>
      <w:r>
        <w:rPr>
          <w:b w:val="0"/>
          <w:i w:val="0"/>
        </w:rPr>
        <w:t xml:space="preserve"> (1973-1978) 51 TC 443; [1976] STC 290 và </w:t>
      </w:r>
      <w:r>
        <w:rPr>
          <w:b w:val="0"/>
          <w:i/>
        </w:rPr>
        <w:t>IRC v Exxon Corporation</w:t>
      </w:r>
      <w:r>
        <w:rPr>
          <w:b w:val="0"/>
          <w:i w:val="0"/>
        </w:rPr>
        <w:t xml:space="preserve"> [1982] BTC 182; [1982] STC 356. 118. FA 1988, s. 66 (nay là CTA 2009, s. 14). 119. CTA 2009, Sch. 2, các đoạn 13 và 14. 120. </w:t>
      </w:r>
      <w:r>
        <w:rPr>
          <w:b w:val="0"/>
          <w:i/>
        </w:rPr>
        <w:t>De Beers Consolidated Mines v Howe</w:t>
      </w:r>
      <w:r>
        <w:rPr>
          <w:b w:val="0"/>
          <w:i w:val="0"/>
        </w:rPr>
        <w:t xml:space="preserve"> (1906) 5 TC 198. 121. </w:t>
      </w:r>
      <w:r>
        <w:rPr>
          <w:b w:val="0"/>
          <w:i/>
        </w:rPr>
        <w:t>Swedish Central Railway Co. Ltd v Thompson</w:t>
      </w:r>
      <w:r>
        <w:rPr>
          <w:b w:val="0"/>
          <w:i w:val="0"/>
        </w:rPr>
        <w:t xml:space="preserve"> (1925) 9 TC 342 [1925] AC 495, HL;.</w:t>
      </w:r>
    </w:p>
    <w:p>
      <w:pPr>
        <w:spacing w:after="80"/>
      </w:pPr>
      <w:r>
        <w:rPr>
          <w:b w:val="0"/>
          <w:i w:val="0"/>
        </w:rPr>
        <w:t>195</w:t>
      </w:r>
    </w:p>
    <w:p>
      <w:pPr>
        <w:spacing w:after="80"/>
      </w:pPr>
      <w:r>
        <w:rPr>
          <w:b w:val="0"/>
          <w:i w:val="0"/>
        </w:rPr>
        <w:t>rằng nó có thể hỗ trợ giải quyết một số xung đột về cư trú kép. Nếu hai cách diễn đạt này đồng nghĩa, thì chỉ một nhóm xung đột hạn chế hơn về cư trú được đề cập đến.</w:t>
      </w:r>
    </w:p>
    <w:p>
      <w:pPr>
        <w:spacing w:after="80"/>
      </w:pPr>
      <w:r>
        <w:rPr>
          <w:b/>
          <w:i w:val="0"/>
        </w:rPr>
        <w:t>[E]Nơi Quản lý Hữu hiệu</w:t>
      </w:r>
    </w:p>
    <w:p>
      <w:pPr>
        <w:spacing w:after="80"/>
      </w:pPr>
      <w:r>
        <w:rPr>
          <w:b w:val="0"/>
          <w:i w:val="0"/>
        </w:rPr>
        <w:t>Quy tắc phá vỡ thế cân bằng truyền thống trong trường hợp cư trú kép của những người không phải cá nhân theo Mô hình OECD được tìm thấy tại Điều 4(3) của Hiệp ước Ý, và nội dung như sau:</w:t>
      </w:r>
    </w:p>
    <w:p>
      <w:pPr>
        <w:spacing w:after="80"/>
      </w:pPr>
      <w:r>
        <w:rPr>
          <w:b w:val="0"/>
          <w:i w:val="0"/>
        </w:rPr>
        <w:t>4(3) Khi vì lý do các quy định tại khoản (1) của Điều này, một người không phải cá nhân là cư dân của cả hai Quốc gia Ký kết, thì người đó được coi là cư dân của Quốc gia Ký kết nơi đặt trụ sở quản lý hữu hiệu của mình.</w:t>
      </w:r>
    </w:p>
    <w:p>
      <w:pPr>
        <w:spacing w:after="80"/>
      </w:pPr>
      <w:r>
        <w:rPr>
          <w:b w:val="0"/>
          <w:i w:val="0"/>
        </w:rPr>
        <w:t>Có rất ít cơ sở pháp lý về việc áp dụng quy tắc phá vỡ thế cân bằng trong luật pháp Vương quốc Anh. Như một vấn đề thực tiễn hành chính, Cục Thuế Nội địa (Inland Revenue) đã thay đổi quan điểm của mình giữa các Mô hình Công ước năm 1997 và 1992. Có thời điểm, quan điểm của họ là khái niệm 'quản lý và kiểm soát trung tâm' (central management and control) của Vương quốc Anh có nghĩa giống như 'nơi quản lý hữu hiệu' (place of effective management - POEM); có một ghi chú về vấn đề này trong phần bình luận về Công ước Tránh đánh thuế hai lần của Mô hình OECD năm 1977. HMRC hiện không còn tin rằng điều đó nhất thiết phải như vậy, và ghi chú đó đã không xuất hiện trong ấn bản năm 1992 của Mô hình OECD. POEM, theo họ, thường được hiểu là nơi đặt trụ sở chính – không phải trụ sở chính theo nghĩa văn phòng đăng ký mà là nguồn chỉ đạo trung tâm, nơi mà người ta kỳ vọng tìm thấy, ví dụ, giám đốc tài chính, giám đốc kinh doanh và, nếu có, giám đốc điều hành. Hồ sơ công ty thường được tìm thấy ở đó cùng với đội ngũ nhân viên hành chính cấp cao.122</w:t>
      </w:r>
    </w:p>
    <w:p>
      <w:pPr>
        <w:spacing w:after="80"/>
      </w:pPr>
      <w:r>
        <w:rPr>
          <w:b w:val="0"/>
          <w:i w:val="0"/>
        </w:rPr>
        <w:t>Cục Thuế cho rằng quan điểm sửa đổi của họ về quản lý hữu hiệu gần với các tiêu chí quản lý của các Quốc gia Thành viên Liên minh Châu Âu khác hơn là CMC. Tuy nhiên, Cục Thuế tin rằng không dễ tách rời quản lý hữu hiệu khỏi CMC, và trong phần lớn các trường hợp, chúng sẽ nằm ở cùng một nơi.</w:t>
      </w:r>
    </w:p>
    <w:p>
      <w:pPr>
        <w:spacing w:after="80"/>
      </w:pPr>
      <w:r>
        <w:rPr>
          <w:b w:val="0"/>
          <w:i w:val="0"/>
        </w:rPr>
        <w:t>Thực tiễn hành chính hiện hành được quy định trong Tuyên bố Thực tiễn SP1/90, khoản 22, nội dung như sau:</w:t>
      </w:r>
    </w:p>
    <w:p>
      <w:pPr>
        <w:spacing w:after="80"/>
      </w:pPr>
      <w:r>
        <w:rPr>
          <w:b w:val="0"/>
          <w:i w:val="0"/>
        </w:rPr>
        <w:t>Phần Bình luận tại khoản 3 của Điều 4 Mô hình OECD ghi nhận quan điểm của Vương quốc Anh rằng, trong các hiệp định (chẳng hạn như các hiệp định với một số quốc gia thuộc Khối Thịnh vượng chung) coi một công ty là cư dân tại một quốc gia nơi 'hoạt động kinh doanh của công ty được quản lý và kiểm soát', cách diễn đạt này có nghĩa là 'việc quản lý hữu hiệu của doanh nghiệp'. Việc xem xét chi tiết hơn về vấn đề này dưới góc độ cách tiếp cận của các hệ thống pháp luật Lục địa và luật Cộng đồng đối với vấn đề cư trú của công ty đã khiến Cục Thuế sửa đổi quan điểm này. Hiện nay người ta cho rằng quản lý hữu hiệu có thể, trong một số trường hợp, được tìm thấy ở một nơi khác với nơi quản lý và kiểm soát trung tâm. Điều này có thể xảy ra, ví dụ, khi một công ty được điều hành bởi các giám đốc điều hành đặt trụ sở ở nước ngoài, nhưng quyền chỉ đạo cuối cùng lại thuộc về các giám đốc không điều hành họp tại Vương quốc Anh. Trong những trường hợp như vậy, nơi quản lý hữu hiệu của công ty có thể ở nước ngoài nhưng,</w:t>
      </w:r>
    </w:p>
    <w:p>
      <w:pPr>
        <w:spacing w:after="80"/>
      </w:pPr>
      <w:r>
        <w:rPr>
          <w:b w:val="0"/>
          <w:i w:val="0"/>
        </w:rPr>
        <w:t>122. HMRC, Sổ tay Thuế Quốc tế, INTM348.</w:t>
      </w:r>
    </w:p>
    <w:p>
      <w:pPr>
        <w:spacing w:after="80"/>
      </w:pPr>
      <w:r>
        <w:rPr>
          <w:b w:val="0"/>
          <w:i w:val="0"/>
        </w:rPr>
        <w:t>196</w:t>
      </w:r>
    </w:p>
    <w:p>
      <w:pPr>
        <w:spacing w:after="80"/>
      </w:pPr>
      <w:r>
        <w:rPr>
          <w:b w:val="0"/>
          <w:i w:val="0"/>
        </w:rPr>
        <w:t>tùy thuộc vào quyền hạn chính xác của các giám đốc không điều hành, công ty có thể được quản lý và kiểm soát tập trung (và do đó là cư dân) tại Vương quốc Anh.</w:t>
      </w:r>
    </w:p>
    <w:p>
      <w:pPr>
        <w:spacing w:after="80"/>
      </w:pPr>
      <w:r>
        <w:rPr>
          <w:b w:val="0"/>
          <w:i w:val="0"/>
        </w:rPr>
        <w:t>HMRC hiện nay nói rằng 'quản lý hữu hiệu thường sẽ nằm ở cùng quốc gia với quản lý và kiểm soát trung tâm nhưng có thể nằm ở trung tâm hoạt động thực sự của công ty, nơi mà quản lý và kiểm soát trung tâm được thực hiện ở nơi khác'.123</w:t>
      </w:r>
    </w:p>
    <w:p>
      <w:pPr>
        <w:spacing w:after="80"/>
      </w:pPr>
      <w:r>
        <w:rPr>
          <w:b w:val="0"/>
          <w:i w:val="0"/>
        </w:rPr>
        <w:t xml:space="preserve">Quyết định tư pháp đầu tiên của Vương quốc Anh đề cập đến quy tắc phá vỡ thế cân bằng là </w:t>
      </w:r>
      <w:r>
        <w:rPr>
          <w:b w:val="0"/>
          <w:i/>
        </w:rPr>
        <w:t>Trustees of Wensleydale's Settlement v IRC.</w:t>
      </w:r>
      <w:r>
        <w:rPr>
          <w:b w:val="0"/>
          <w:i w:val="0"/>
        </w:rPr>
        <w:t xml:space="preserve">124 Vụ án xoay quanh việc liệu các ủy thác viên của một quỹ tín thác có được coi là cư dân tại Cộng hòa Ireland nhờ quy tắc phá vỡ thế cân bằng trong Hiệp ước Vương quốc Anh-Ireland hay không. Trong vụ án đó, người ta đã tham chiếu đến </w:t>
      </w:r>
      <w:r>
        <w:rPr>
          <w:b w:val="0"/>
          <w:i/>
        </w:rPr>
        <w:t>Klaus Vogel về các Công ước Tránh đánh thuế hai lần</w:t>
      </w:r>
      <w:r>
        <w:rPr>
          <w:b w:val="0"/>
          <w:i w:val="0"/>
        </w:rPr>
        <w:t xml:space="preserve"> trong đó nói rằng 'nơi quản lý' trong thực tiễn hiệp ước của Đức rất giống với 'nơi quản lý hữu hiệu' vì cái trước phụ thuộc vào các điều kiện thực tế. Điều này tuân theo án lệ của Đức, trong đó xác lập rằng nơi quản lý là trung tâm của ban quản lý cấp cao nhất, tức là nơi các chính sách quan trọng của ban quản lý thực sự được đưa ra.</w:t>
      </w:r>
    </w:p>
    <w:p>
      <w:pPr>
        <w:spacing w:after="80"/>
      </w:pPr>
      <w:r>
        <w:rPr>
          <w:b w:val="0"/>
          <w:i w:val="0"/>
        </w:rPr>
        <w:t xml:space="preserve">Trong vụ án </w:t>
      </w:r>
      <w:r>
        <w:rPr>
          <w:b w:val="0"/>
          <w:i/>
        </w:rPr>
        <w:t>Wensleydale</w:t>
      </w:r>
      <w:r>
        <w:rPr>
          <w:b w:val="0"/>
          <w:i w:val="0"/>
        </w:rPr>
        <w:t>, cả người nộp thuế và Cục Thuế Nội địa đều đồng ý rằng 'trung tâm của ban quản lý cấp cao nhất' là một mô tả tốt về POEM. Các vụ án liên quan đến 'quản lý và kiểm soát trung tâm' đã được viện dẫn về vấn đề này. Dựa trên các tình tiết, Ủy viên Đặc biệt nhận thấy rằng các ủy thác viên cư trú tại Ireland chỉ hành động như vậy trên danh nghĩa chứ không phải trong thực tế. Mặc dù ủy thác viên đã ký tất cả các tài liệu được đặt trước mặt bà, Ủy viên Đặc biệt tin rằng bà sẽ làm theo bất cứ điều gì mà người lập quỹ yêu cầu. Do đó, sự khác biệt trong vụ án này là giữa việc quản lý hữu hiệu so với việc quản lý có vẻ ngoài hoặc không hữu hiệu. Vụ án này ít giúp ích trong việc giải quyết sự khác biệt giữa 'quản lý và kiểm soát trung tâm' và quản lý hữu hiệu, đặc biệt vì cả người nộp thuế và Cục Thuế Nội địa đều đưa ra các vụ án làm cơ sở pháp lý liên quan đến khái niệm CMC trong luật nội địa.</w:t>
      </w:r>
    </w:p>
    <w:p>
      <w:pPr>
        <w:spacing w:after="80"/>
      </w:pPr>
      <w:r>
        <w:rPr>
          <w:b w:val="0"/>
          <w:i/>
        </w:rPr>
        <w:t>Wood v Holden</w:t>
      </w:r>
      <w:r>
        <w:rPr>
          <w:b w:val="0"/>
          <w:i w:val="0"/>
        </w:rPr>
        <w:t>125 liên quan đến một công ty được thành lập tại Hà Lan có một công ty tín thác Hà Lan làm giám đốc duy nhất. Công ty này cuối cùng thuộc sở hữu của các ủy thác viên không cư trú tại Vương quốc Anh vì lợi ích của ông và bà Wood. Công ty chỉ thực hiện việc mua và bán cổ phần như một phần của thỏa thuận tránh thuế thu nhập từ chuyển nhượng vốn do một công ty kế toán có trụ sở tại Vương quốc Anh thiết kế và thực hiện. Cục Thuế cho rằng công ty là cư dân Vương quốc Anh. Trước các Ủy viên Đặc biệt,126 lập luận của Cục Thuế là công ty tín thác Hà Lan thực tế không đưa ra quyết định mà chỉ làm những gì được ông R hoặc công ty kế toán được cấp phép có trụ sở tại Vương quốc Anh hành động thay mặt ông yêu cầu. Các Ủy viên Đặc biệt Wallace và Brice đồng ý, cho rằng chỉ riêng các hành vi ký kết nghị quyết hoặc tài liệu của các giám đốc là không đủ để tạo thành quản lý thực tế. Điều cần thiết, theo họ, là một quyết định hữu hiệu về việc liệu các nghị quyết có nên được thông qua và các tài liệu có nên được ký kết hoặc thực hiện hay không. Người nộp thuế lập luận rằng liên quan đến Điều 4(3) của Hiệp ước Vương quốc Anh-Hà Lan, 'thực tế</w:t>
      </w:r>
    </w:p>
    <w:p>
      <w:pPr>
        <w:spacing w:after="80"/>
      </w:pPr>
      <w:r>
        <w:rPr>
          <w:b w:val="0"/>
          <w:i w:val="0"/>
        </w:rPr>
        <w:t>123.HMRC, Sổ tay Thuế Quốc tế, INTM120070.124.</w:t>
      </w:r>
      <w:r>
        <w:rPr>
          <w:b w:val="0"/>
          <w:i/>
        </w:rPr>
        <w:t>Trustees of Wensleydale’s Settlement v IRC</w:t>
      </w:r>
      <w:r>
        <w:rPr>
          <w:b w:val="0"/>
          <w:i w:val="0"/>
        </w:rPr>
        <w:t xml:space="preserve"> (1996) Sp C 73; [1996] STC SCD 241.125.(</w:t>
      </w:r>
      <w:r>
        <w:rPr>
          <w:b w:val="0"/>
          <w:i/>
        </w:rPr>
        <w:t>Wood v Holden</w:t>
      </w:r>
      <w:r>
        <w:rPr>
          <w:b w:val="0"/>
          <w:i w:val="0"/>
        </w:rPr>
        <w:t xml:space="preserve"> [2006] STC 443 [2006] BTC 208; [2006] EWCA Civ 26.126.Ở giai đoạn đó dưới tên ẩn danh của nó,</w:t>
      </w:r>
      <w:r>
        <w:rPr>
          <w:b w:val="0"/>
          <w:i/>
        </w:rPr>
        <w:t xml:space="preserve"> R v Holden</w:t>
      </w:r>
      <w:r>
        <w:rPr>
          <w:b w:val="0"/>
          <w:i w:val="0"/>
        </w:rPr>
        <w:t xml:space="preserve"> [2004] UKSC SPC 422 (2004) Sp C 422.</w:t>
      </w:r>
    </w:p>
    <w:p>
      <w:pPr>
        <w:spacing w:after="80"/>
      </w:pPr>
      <w:r>
        <w:rPr>
          <w:b w:val="0"/>
          <w:i w:val="0"/>
        </w:rPr>
        <w:t>197</w:t>
      </w:r>
    </w:p>
    <w:p>
      <w:pPr>
        <w:spacing w:after="80"/>
      </w:pPr>
      <w:r>
        <w:rPr>
          <w:b w:val="0"/>
          <w:i w:val="0"/>
        </w:rPr>
        <w:t>quản lý’ đồng nghĩa với ‘quản lý hiệu quả’. Tuy nhiên, các Ủy viên Đặc biệt (Special Commissioners) đã chấp nhận lập luận của Cơ quan Thuế (Revenue) rằng trong bối cảnh của vụ án này không có sự khác biệt giữa CMC và POEM. Bối cảnh là chỉ có hai quyết định được đưa ra bởi công ty: việc mua và bán một số cổ phần nhất định. POEM, họ kết luận, ‘phải là nơi mà các quyết định quản lý hiệu quả được đưa ra’. Họ không tìm thấy dấu hiệu nào cho thấy bất kỳ quyết định quản lý hiệu quả nào được đưa ra ở Hà Lan.127 Phát hiện này xuất phát từ cách hiểu của họ về CMC.</w:t>
      </w:r>
    </w:p>
    <w:p>
      <w:pPr>
        <w:spacing w:after="80"/>
      </w:pPr>
      <w:r>
        <w:rPr>
          <w:b w:val="0"/>
          <w:i w:val="0"/>
        </w:rPr>
        <w:t>Quyết định của họ đã bị đảo ngược bởi cả Tòa án Cấp cao (High Court) và Tòa án Phúc thẩm (Court of Appeal) liên quan đến CMC với lý do rằng việc gây ảnh hưởng đến chính sách công ty bởi những người không được ủy quyền đưa ra quyết định như một phần của các cơ quan hiến định của công ty không phải là việc thực thi CMC, ít nhất là trong các trường hợp mà chức năng của các cơ quan đó chưa bị ‘chiếm đoạt’. Mặc dù vụ án được quyết định trên cơ sở luật trong nước, Park J, tại Tòa án Cấp cao, đã bình luận về POEM và đưa ra tiêu chí kiểm tra như sau:</w:t>
      </w:r>
    </w:p>
    <w:p>
      <w:pPr>
        <w:spacing w:after="80"/>
      </w:pPr>
      <w:r>
        <w:rPr>
          <w:b w:val="0"/>
          <w:i w:val="0"/>
        </w:rPr>
        <w:t>Điều 4(3) yêu cầu phải xác định được một ‘nơi’ quản lý hiệu quả, và nơi đó phải nằm ở một trong hai Quốc gia [và] khi áp dụng từ ngữ chi tiết của điều 4(3) thì ‘nơi … nằm’ ở Vương quốc Anh nào là ‘nơi quản lý hiệu quả’ của Eulalia?128</w:t>
      </w:r>
    </w:p>
    <w:p>
      <w:pPr>
        <w:spacing w:after="80"/>
      </w:pPr>
      <w:r>
        <w:rPr>
          <w:b w:val="0"/>
          <w:i w:val="0"/>
        </w:rPr>
        <w:t>Tòa án Phúc thẩm không đề cập đến điểm này.</w:t>
      </w:r>
      <w:r>
        <w:rPr>
          <w:b w:val="0"/>
          <w:i/>
        </w:rPr>
        <w:t>IndofoodInternationalFinanceLtdvJPMorganChaseBankNA</w:t>
      </w:r>
      <w:r>
        <w:rPr>
          <w:b w:val="0"/>
          <w:i w:val="0"/>
        </w:rPr>
        <w:t>129 liên quan đến Hiệp định Thuế Indonesia-Hà Lan trong một tranh chấp thương mại được điều chỉnh bởi luật Anh, trong đó vấn đề là liệu ‘các biện pháp hợp lý’ có thể được thực hiện khi Hiệp định Thuế Indonesia-Mauritius chấm dứt, qua đó làm tăng tỷ lệ thuế khấu trừ. Công ty được quyền mua lại các trái phiếu trong trường hợp thuế tăng trừ khi các biện pháp đó có thể được thực hiện. Các trái chủ lập luận rằng việc xen vào một công ty Hà Lan giữa tổ chức phát hành và công ty mẹ là một biện pháp như vậy. Thủ tướng Sir Andrew Morritt đã bày tỏ quan điểm sau:</w:t>
      </w:r>
    </w:p>
    <w:p>
      <w:pPr>
        <w:spacing w:after="80"/>
      </w:pPr>
      <w:r>
        <w:rPr>
          <w:b w:val="0"/>
          <w:i w:val="0"/>
        </w:rPr>
        <w:t>Như luật sư của tổ chức phát hành đã chỉ ra, tiêu chí kiểm tra, như được giải thích bởi Bình luận của OECD, đề cập đến nơi mà các quyết định ‘then chốt’ được đưa ra. Các quy định của chứng thư tín thác và, đặc biệt hơn, của các điều kiện trái phiếu cho thấy rõ ràng rằng chúng phải được đưa ra bởi bên bảo lãnh mẹ. Mặc dù tôi không nghi ngờ rằng hội đồng quản trị của Newco sẽ được phép quyết định phải làm gì với các khoản phí xử lý và vốn cổ phần và sẽ chịu trách nhiệm tuân thủ các yêu cầu của luật Hà Lan, nhưng đó khó có thể là các quyết định ‘then chốt’. Giả sử rằng tổ chức phát hành và Newco cư trú ở Hà Lan và câu hỏi đặt ra là có nên xen vào Newco hay không, theo quan điểm của tôi, rõ ràng không còn nghi ngờ gì rằng quyết định như vậy và các điều khoản của bất kỳ sự xen vào nào sẽ không được giao cho tổ chức phát hành hoặc Newco mà sẽ được quyết định bởi hội đồng quản trị của bên bảo lãnh mẹ. Cụ thể, nó sẽ không được giao cho hội đồng quản trị của tổ chức phát hành hoặc của Newco để quyết định có nên chuyển nhượng hoặc chấp nhận lợi ích của thỏa thuận cho vay giữa bên bảo lãnh mẹ và tổ chức phát hành hay không và nếu có thì theo các điều khoản nào. Các câu hỏi liên quan đến bất kỳ sự di chuyển, thay thế hoặc xen vào sau đó của một công ty khác giữa bên bảo lãnh mẹ</w:t>
      </w:r>
    </w:p>
    <w:p>
      <w:pPr>
        <w:spacing w:after="80"/>
      </w:pPr>
      <w:r>
        <w:rPr>
          <w:b w:val="0"/>
          <w:i w:val="0"/>
        </w:rPr>
        <w:t>127.Tại đoạn 146.128.Tại đoạn 77.129.</w:t>
      </w:r>
      <w:r>
        <w:rPr>
          <w:b w:val="0"/>
          <w:i/>
        </w:rPr>
        <w:t>Indofood International Finance Ltd v JP Morgan Chase Bank NA</w:t>
      </w:r>
      <w:r>
        <w:rPr>
          <w:b w:val="0"/>
          <w:i w:val="0"/>
        </w:rPr>
        <w:t xml:space="preserve"> [2006] STC 1195 [2006] BTC8003; [2006] EWCA Civ 158.</w:t>
      </w:r>
    </w:p>
    <w:p>
      <w:pPr>
        <w:spacing w:after="80"/>
      </w:pPr>
      <w:r>
        <w:rPr>
          <w:b w:val="0"/>
          <w:i w:val="0"/>
        </w:rPr>
        <w:t>198</w:t>
      </w:r>
    </w:p>
    <w:p>
      <w:pPr>
        <w:spacing w:after="80"/>
      </w:pPr>
      <w:r>
        <w:rPr>
          <w:b w:val="0"/>
          <w:i w:val="0"/>
        </w:rPr>
        <w:t>và Newco hoặc giữa Newco và tổ chức phát hành sẽ được quyết định bởi hội đồng quản trị của bên bảo lãnh mẹ. Theo quan điểm của tôi, rõ ràng rằng nơi quản lý hiệu quả của tổ chức phát hành là Indonesia và nơi quản lý hiệu quả của Newco, nếu được xen vào giữa bên bảo lãnh mẹ và tổ chức phát hành, cũng sẽ là Indonesia.130</w:t>
      </w:r>
    </w:p>
    <w:p>
      <w:pPr>
        <w:spacing w:after="80"/>
      </w:pPr>
      <w:r>
        <w:rPr>
          <w:b w:val="0"/>
          <w:i w:val="0"/>
        </w:rPr>
        <w:t>Hai thẩm phán khác trong Tòa án Phúc thẩm từ chối quyết định vụ án về điểm này nhưng Chadwick LJ sẽ không cho rằng Newco cư trú ở Indonesia. Ông nhận xét:</w:t>
      </w:r>
    </w:p>
    <w:p>
      <w:pPr>
        <w:spacing w:after="80"/>
      </w:pPr>
      <w:r>
        <w:rPr>
          <w:b w:val="0"/>
          <w:i w:val="0"/>
        </w:rPr>
        <w:t>Không cần thiết phải quyết định liệu tòa án Indonesia có cho rằng Newco không cư trú ở Hà Lan với lý do rằng ‘quản lý hiệu quả’ của nó (trong bối cảnh điều 4(4) của DTA Hà Lan) nằm ở Indonesia hay không. Về điểm đó, kết luận tạm thời của tôi khác với kết luận của Thủ tướng; nhưng tôi không nghĩ rằng việc phân tích chi tiết sẽ mang lại mục đích hữu ích nào. Tôi không muốn quyết định điểm này trong vụ án hiện tại. Tuy nhiên, tôi nên thêm rằng nếu tôi đi đến kết luận rằng theo cán cân xác suất, Tòa án Thuế Indonesia sẽ cho rằng Newco cư trú ở Hà Lan, thì tôi sẽ không nghi ngờ gì rằng điểm này cân bằng đến mức tinh tế đến nỗi sẽ không hợp lý khi mong đợi một tổ chức thương mại tham gia vào các thỏa thuận dẫn đến, một cách tất yếu, nhu cầu kiểm tra điểm đó trong tố tụng.131</w:t>
      </w:r>
    </w:p>
    <w:p>
      <w:pPr>
        <w:spacing w:after="80"/>
      </w:pPr>
      <w:r>
        <w:rPr>
          <w:b w:val="0"/>
          <w:i w:val="0"/>
        </w:rPr>
        <w:t>Vụ án không thỏa đáng ở một số khía cạnh, bao gồm việc không có dấu hiệu nào cho thấy Newco được coi là cư trú ở Indonesia theo luật trong nước của nước này, vì vậy quy tắc phá vỡ thế cân bằng (tiebreaker) sẽ không được áp dụng và tòa án Anh được hỏi rằng tòa án Indonesia sẽ quyết định gì liên quan đến một công ty Hà Lan giả định.Trong</w:t>
      </w:r>
      <w:r>
        <w:rPr>
          <w:b w:val="0"/>
          <w:i/>
        </w:rPr>
        <w:t>TrevorSmallwoodTrustsvHMRC</w:t>
      </w:r>
      <w:r>
        <w:rPr>
          <w:b w:val="0"/>
          <w:i w:val="0"/>
        </w:rPr>
        <w:t>,132 sau khi quyết định rằng các tín thác có hai nơi cư trú, các Ủy viên Đặc biệt, Tiến sĩ Avery Jones và Brice, sau đó chuyển sang ý nghĩa của POEM trong điều 4(3) của Hiệp định Anh-Mauritius. Các sự kiện tương tự như</w:t>
      </w:r>
      <w:r>
        <w:rPr>
          <w:b w:val="0"/>
          <w:i/>
        </w:rPr>
        <w:t xml:space="preserve"> Woodv Holden</w:t>
      </w:r>
      <w:r>
        <w:rPr>
          <w:b w:val="0"/>
          <w:i w:val="0"/>
        </w:rPr>
        <w:t xml:space="preserve"> ở chỗ chúng liên quan đến một thỏa thuận mà một cá nhân cư trú tại Anh tìm cách tránh thuế lợi tức vốn đối với việc bán cổ phần, lần này thuộc sở hữu của một tín thác mà nơi cư trú đang bị xem xét. Người nộp thuế và Cơ quan Thuế tranh cãi về việc liệu, hoặc ở mức độ nào, POEM khác với CMC. Điều này, các Ủy viên Đặc biệt cho rằng, đã bỏ lỡ điểm mấu chốt:</w:t>
      </w:r>
    </w:p>
    <w:p>
      <w:pPr>
        <w:spacing w:after="80"/>
      </w:pPr>
      <w:r>
        <w:rPr>
          <w:b w:val="0"/>
          <w:i w:val="0"/>
        </w:rPr>
        <w:t>Hai khái niệm phục vụ các mục đích hoàn toàn khác nhau. CMC xác định liệu một công ty có cư trú ở Anh hay không; POEM là một quy tắc phá vỡ thế cân bằng mà mục đích là giải quyết các trường hợp cư trú kép bằng cách xác định nơi cư trú nằm ở quốc gia nào trong hai quốc gia. CMC về cơ bản là một bài kiểm tra một quốc gia; mục đích không phải là quyết định nơi cư trú nằm ở đâu, mà là liệu nó có nằm ở Anh hay không. POEM, mặt khác, phải liên quan đến những gì xảy ra ở cả hai quốc gia vì mục đích của nó là giải quyết nơi cư trú theo luật trong nước ở cả hai quốc gia, do bất kỳ lý do gì, có thể bao gồm việc thành lập ở một quốc gia và quản lý ở quốc gia kia, hoặc các ý nghĩa khác nhau của quản lý được áp dụng ở mỗi quốc gia, hoặc các</w:t>
      </w:r>
    </w:p>
    <w:p>
      <w:pPr>
        <w:spacing w:after="80"/>
      </w:pPr>
      <w:r>
        <w:rPr>
          <w:b w:val="0"/>
          <w:i w:val="0"/>
        </w:rPr>
        <w:t>130.Tại đoạn 57.131.Tại đoạn 75.132.</w:t>
      </w:r>
      <w:r>
        <w:rPr>
          <w:b w:val="0"/>
          <w:i/>
        </w:rPr>
        <w:t>Smallwood v Revenue and Customs Commissioners</w:t>
      </w:r>
      <w:r>
        <w:rPr>
          <w:b w:val="0"/>
          <w:i w:val="0"/>
        </w:rPr>
        <w:t xml:space="preserve"> [2008] UKSPC SPC 669; [2008] STC (SCD)629 (2008) Sp C 669.</w:t>
      </w:r>
    </w:p>
    <w:p>
      <w:pPr>
        <w:spacing w:after="80"/>
      </w:pPr>
      <w:r>
        <w:rPr>
          <w:b w:val="0"/>
          <w:i w:val="0"/>
        </w:rPr>
        <w:t>199</w:t>
      </w:r>
    </w:p>
    <w:p>
      <w:pPr>
        <w:spacing w:after="80"/>
      </w:pPr>
      <w:r>
        <w:rPr>
          <w:b w:val="0"/>
          <w:i w:val="0"/>
        </w:rPr>
        <w:t>cách giải thích cùng một ý nghĩa của việc quản lý được áp dụng ở mỗi bang, hay việc quản lý bị chia cắt.133</w:t>
      </w:r>
    </w:p>
    <w:p>
      <w:pPr>
        <w:spacing w:after="80"/>
      </w:pPr>
      <w:r>
        <w:rPr>
          <w:b w:val="0"/>
          <w:i w:val="0"/>
        </w:rPr>
        <w:t>Về ý nghĩa của từ 'effective' (hữu hiệu), họ nói:</w:t>
      </w:r>
    </w:p>
    <w:p>
      <w:pPr>
        <w:spacing w:after="80"/>
      </w:pPr>
      <w:r>
        <w:rPr>
          <w:b w:val="0"/>
          <w:i w:val="0"/>
        </w:rPr>
        <w:t xml:space="preserve">Effective được dùng ở chỗ khác trong OECD Model và trong Hiệp định với cụm 'effectively connected' (kết nối hữu hiệu) trong các điều 10, 11 và 12, một cách dùng tiếng Anh khá kỳ lạ. Chúng tôi cho rằng 'effective' nên được hiểu theo nghĩa của từ tiếng Pháp </w:t>
      </w:r>
      <w:r>
        <w:rPr>
          <w:b w:val="0"/>
          <w:i/>
        </w:rPr>
        <w:t>effective</w:t>
      </w:r>
      <w:r>
        <w:rPr>
          <w:b w:val="0"/>
          <w:i w:val="0"/>
        </w:rPr>
        <w:t xml:space="preserve"> (</w:t>
      </w:r>
      <w:r>
        <w:rPr>
          <w:b w:val="0"/>
          <w:i/>
        </w:rPr>
        <w:t>siège de direction effective</w:t>
      </w:r>
      <w:r>
        <w:rPr>
          <w:b w:val="0"/>
          <w:i w:val="0"/>
        </w:rPr>
        <w:t>) - vốn hàm ý thực chất, vì tiếng Pháp là phiên bản chính thức còn lại của mẫu, dù không phải của Hiệp định. … Theo đó, xét theo nghĩa thông thường của các từ trong ngữ cảnh và dưới ánh sáng mục đích, mục tiêu của chúng, chúng tôi tiếp cận vấn đề POEM như việc xem xét việc quản lý thực chất của người được ủy thác với tư cách người được ủy thác nằm ở bang nào.134</w:t>
      </w:r>
    </w:p>
    <w:p>
      <w:pPr>
        <w:spacing w:after="80"/>
      </w:pPr>
      <w:r>
        <w:rPr>
          <w:b w:val="0"/>
          <w:i w:val="0"/>
        </w:rPr>
        <w:t xml:space="preserve">Dựa trên cách diễn đạt trong </w:t>
      </w:r>
      <w:r>
        <w:rPr>
          <w:b w:val="0"/>
          <w:i/>
        </w:rPr>
        <w:t>Trustees of Wensleydale's Settlement v IRC</w:t>
      </w:r>
      <w:r>
        <w:rPr>
          <w:b w:val="0"/>
          <w:i w:val="0"/>
        </w:rPr>
        <w:t xml:space="preserve">,135 họ lấy 'realistic, positive management' (quản lý thực tế, tích cực) làm POEM. Bất chấp phân tích sắc bén như vậy, các Special Commissioner lại rơi vào đúng cái bẫy mà Special Commissioner Wallace và Brice đã mắc trong </w:t>
      </w:r>
      <w:r>
        <w:rPr>
          <w:b w:val="0"/>
          <w:i/>
        </w:rPr>
        <w:t>Wood v Holden</w:t>
      </w:r>
      <w:r>
        <w:rPr>
          <w:b w:val="0"/>
          <w:i w:val="0"/>
        </w:rPr>
        <w:t>: nhầm lẫn giữa ảnh hưởng của các kế toán viên có trụ sở tại UK - những người quảng bá kế hoạch này - và khách hàng của họ với chính những người được ủy thác, những người theo luật tín thác mới là người quản lý tín thác.</w:t>
      </w:r>
    </w:p>
    <w:p>
      <w:pPr>
        <w:spacing w:after="80"/>
      </w:pPr>
      <w:r>
        <w:rPr>
          <w:b w:val="0"/>
          <w:i w:val="0"/>
        </w:rPr>
        <w:t xml:space="preserve">Tại Tòa phúc thẩm,136 Patten LJ nói rằng cách tiếp cận vấn đề này mà Chadwick LJ đề xuất trong </w:t>
      </w:r>
      <w:r>
        <w:rPr>
          <w:b w:val="0"/>
          <w:i/>
        </w:rPr>
        <w:t>Wood v Holden</w:t>
      </w:r>
      <w:r>
        <w:rPr>
          <w:b w:val="0"/>
          <w:i w:val="0"/>
        </w:rPr>
        <w:t xml:space="preserve"> liên quan đến việc cấu thành quản lý phải là phép thử đúng.137 Do đó, ảnh hưởng của những người không được giao trách nhiệm quản lý công ty không phải là quản lý cho mục đích này.138</w:t>
      </w:r>
    </w:p>
    <w:p>
      <w:pPr>
        <w:spacing w:after="80"/>
      </w:pPr>
      <w:r>
        <w:rPr>
          <w:b w:val="0"/>
          <w:i w:val="0"/>
        </w:rPr>
        <w:t xml:space="preserve">Ngược lại, </w:t>
      </w:r>
      <w:r>
        <w:rPr>
          <w:b w:val="0"/>
          <w:i/>
        </w:rPr>
        <w:t>Laerstate BV v Revenue and Customs Commissioners</w:t>
      </w:r>
      <w:r>
        <w:rPr>
          <w:b w:val="0"/>
          <w:i w:val="0"/>
        </w:rPr>
        <w:t>139 liên quan đến việc mua và bán cổ phần trong Lonrho plc của người nộp thuế, một công ty do ông Bock sở hữu toàn phần, một cư dân Đức đã dành thời gian ở UK cả vì các giao dịch đó lẫn với tư cách tổng giám đốc điều hành của Lonrho plc. Ông Bock là một trong hai giám đốc trong phần lớn thời gian được đề cập. Tòa án xét thấy các hoạt động của ông Bock liên quan đến các vấn đề chính sách, chiến lược và quản lý trong suốt thời gian ông là giám đốc của người nộp thuế và cả sau khi ông thôi làm giám đốc. Những hoạt động này bao gồm cả các hoạt động diễn ra ngoài các cuộc họp hội đồng quản trị hoặc bất kỳ cơ cấu ra quyết định chính thức nào. Sau khi ông thôi làm giám đốc của công ty nộp thuế, giám đốc còn lại, ông Trapman, đã ký các tài liệu cần thiết nhưng không đưa ra</w:t>
      </w:r>
    </w:p>
    <w:p>
      <w:pPr>
        <w:spacing w:after="80"/>
      </w:pPr>
      <w:r>
        <w:rPr>
          <w:b w:val="0"/>
          <w:i w:val="0"/>
        </w:rPr>
        <w:t xml:space="preserve">133. Tại đoạn 111.134. Tại đoạn 112.135. Tại đoạn 6.136. </w:t>
      </w:r>
      <w:r>
        <w:rPr>
          <w:b w:val="0"/>
          <w:i/>
        </w:rPr>
        <w:t>Revenue and Customs Commissioners v Smallwood &amp; Anor</w:t>
      </w:r>
      <w:r>
        <w:rPr>
          <w:b w:val="0"/>
          <w:i w:val="0"/>
        </w:rPr>
        <w:t xml:space="preserve"> [2010] STC 2045, [2010] BTC 637 [2010] EWCA Civ 788.137. Tại đoạn 61.138. Hughes LJ tại đoạn 68 và Ward LJ tại đoạn 72 đồng tình về nơi quản lý hữu hiệu của các công ty (không phải vấn đề trong vụ án này), nhưng không đồng tình về tín thác, xem phần dưới. Vestre Landsret của Đan Mạch (Tòa phúc thẩm cấp cao, Phân khu phía Tây) đã xét rằng các quyết định mang tính quyết định liên quan đến một công ty con sở hữu toàn phần do công ty mẹ Đan Mạch đưa ra có nghĩa là nơi quản lý hữu hiệu của công ty con là Đan Mạch theo điều 4(3) của Hiệp định Đan Mạch-UK (1980). Việc nắm giữ 28% cổ phần trong một công ty khác là không đủ để kết luận rằng công ty đó được quản lý hữu hiệu tại đó. (Vụ 2498/1992, </w:t>
      </w:r>
      <w:r>
        <w:rPr>
          <w:b w:val="0"/>
          <w:i/>
        </w:rPr>
        <w:t>Vestre Landsret Tydsskrift for Skatter og Afgifter</w:t>
      </w:r>
      <w:r>
        <w:rPr>
          <w:b w:val="0"/>
          <w:i w:val="0"/>
        </w:rPr>
        <w:t xml:space="preserve"> 1995 số 577, tại 1202-1207 (IBFD Tax Research Database)).139. </w:t>
      </w:r>
      <w:r>
        <w:rPr>
          <w:b w:val="0"/>
          <w:i/>
        </w:rPr>
        <w:t>Laerstate BV v Revenue and Customs Commissioners</w:t>
      </w:r>
      <w:r>
        <w:rPr>
          <w:b w:val="0"/>
          <w:i w:val="0"/>
        </w:rPr>
        <w:t xml:space="preserve"> [2009] TC 00162 [2009] UKFTT 209 (TC).</w:t>
      </w:r>
    </w:p>
    <w:p>
      <w:pPr>
        <w:spacing w:after="80"/>
      </w:pPr>
      <w:r>
        <w:rPr>
          <w:b w:val="0"/>
          <w:i w:val="0"/>
        </w:rPr>
        <w:t>200</w:t>
      </w:r>
    </w:p>
    <w:p>
      <w:pPr>
        <w:spacing w:after="80"/>
      </w:pPr>
      <w:r>
        <w:rPr>
          <w:b w:val="0"/>
          <w:i w:val="0"/>
        </w:rPr>
        <w:t>các quyết định. Tòa án xét thấy các hoạt động của ông Bock 'cấu thành việc quản lý cấp cao nhất thực chất (hay việc quản lý thực tế, tích cực) của Người kháng cáo, còn các hoạt động của ông Trapman chỉ giới hạn ở việc ký tài liệu khi được bảo làm và xử lý các vấn đề thường nhật như sổ sách kế toán. Như vậy, nơi quản lý hữu hiệu là ở UK'.140</w:t>
      </w:r>
    </w:p>
    <w:p>
      <w:pPr>
        <w:spacing w:after="80"/>
      </w:pPr>
      <w:r>
        <w:rPr>
          <w:b w:val="0"/>
          <w:i w:val="0"/>
        </w:rPr>
        <w:t xml:space="preserve">Trong </w:t>
      </w:r>
      <w:r>
        <w:rPr>
          <w:b w:val="0"/>
          <w:i/>
        </w:rPr>
        <w:t>Laerstate</w:t>
      </w:r>
      <w:r>
        <w:rPr>
          <w:b w:val="0"/>
          <w:i w:val="0"/>
        </w:rPr>
        <w:t>, các bên bất đồng về khoảng thời gian để áp dụng POEM. Người nộp thuế lập luận rằng nên áp dụng tại thời điểm của mỗi sự kiện liên quan, chẳng hạn ngày thực hiện quyền chọn. HMRC lập luận rằng nên áp dụng trong suốt giai đoạn cư trú kép. Tòa án nhận xét rằng đây có thể là sự phân biệt không tạo ra khác biệt, vì bản chất của phép thử POEM là nó phải được áp dụng dựa trên các sự kiện được xem xét trong một khoảng thời gian. Dù áp dụng khoảng thời gian nào, họ kết luận, vụ án đó cũng sẽ cho cùng kết quả, nên không cần theo đuổi điểm này. Theo quan điểm của tác giả, vụ án này cũng gộp ba vấn đề thời gian thành một.141</w:t>
      </w:r>
    </w:p>
    <w:p>
      <w:pPr>
        <w:spacing w:after="80"/>
      </w:pPr>
      <w:r>
        <w:rPr>
          <w:b w:val="0"/>
          <w:i w:val="0"/>
        </w:rPr>
        <w:t xml:space="preserve">Các vụ </w:t>
      </w:r>
      <w:r>
        <w:rPr>
          <w:b w:val="0"/>
          <w:i/>
        </w:rPr>
        <w:t>Laerstate</w:t>
      </w:r>
      <w:r>
        <w:rPr>
          <w:b w:val="0"/>
          <w:i w:val="0"/>
        </w:rPr>
        <w:t xml:space="preserve"> và </w:t>
      </w:r>
      <w:r>
        <w:rPr>
          <w:b w:val="0"/>
          <w:i/>
        </w:rPr>
        <w:t>Smallwood</w:t>
      </w:r>
      <w:r>
        <w:rPr>
          <w:b w:val="0"/>
          <w:i w:val="0"/>
        </w:rPr>
        <w:t xml:space="preserve"> cho thấy những thời điểm khác nhau có thể phù hợp cho giai đoạn mà các hành vi quản lý được xem xét khi áp dụng phép thử POEM. Ví dụ, trong trường hợp cư trú kép đồng thời suốt một năm thuế, việc xem xét các hành vi quản lý trong suốt năm đó có thể là phù hợp. Trong trường hợp cư trú liên tiếp, khi trong một năm thuế người nộp thuế rời đi giữa năm, chỉ giai đoạn chồng lấn bắt đầu từ ngày rời đi mới là phù hợp.</w:t>
      </w:r>
    </w:p>
    <w:p>
      <w:pPr>
        <w:spacing w:after="80"/>
      </w:pPr>
      <w:r>
        <w:rPr>
          <w:b w:val="0"/>
          <w:i w:val="0"/>
        </w:rPr>
        <w:t>Có lẽ một vụ án rõ ràng hơn về các tình tiết đã đến trước tòa án Hà Lan liên quan đến điều 4(3) của Hiệp định Hà Lan-UK (1967). Ở đó, một công ty được thành lập theo luật Hà Lan và do một công ty mẹ cư trú tại Hà Lan sở hữu toàn phần, kinh doanh dịch vụ tuyển dụng và lựa chọn nhân sự tại UK và cung cấp nhân lực cho các doanh nghiệp ở các nước khác, bao gồm Hà Lan. Công ty con có một văn phòng tại UK, đầy đủ nhân sự với một 'operational manager' (quản lý vận hành) cư trú tại UK làm việc ở đó. Tất cả nhân viên khác đều không mang quốc tịch Hà Lan. Công ty con được quản lý hành chính tại UK. Sổ sách kế toán của nó được giữ bằng đồng sterling và được kiểm toán tại UK. Giám đốc duy nhất của công ty con là một giám đốc của công ty mẹ, người dù cư trú tại Hà Lan nhưng thực hiện mọi nhiệm vụ giám đốc của mình tại UK. Tòa phúc thẩm Amsterdam xét rằng công ty con cư trú tại UK theo điều 4(3). Cuối cùng, khi kháng cáo lên Hoge Raad der Nederlanden (Tòa án tối cao), phán quyết đó là không cần thiết vì Tòa án tối cao xét rằng tình trạng cư trú theo hiệp định không liên quan đến câu hỏi theo luật nội địa về việc liệu một công ty không cư trú có thể tạo thành một phần của một 'fiscal unity' (thực thể hợp nhất thuế) hay không.142</w:t>
      </w:r>
    </w:p>
    <w:p>
      <w:pPr>
        <w:spacing w:after="80"/>
      </w:pPr>
      <w:r>
        <w:rPr>
          <w:b w:val="0"/>
          <w:i w:val="0"/>
        </w:rPr>
        <w:t xml:space="preserve">Ý nghĩa của 'place of effective management' (nơi quản lý hữu hiệu) và việc áp dụng nó trong các hiệp định đánh thuế hai lần Australia-UK và Australia-Switzerland đã được Tòa án tối cao Australia xem xét trong </w:t>
      </w:r>
      <w:r>
        <w:rPr>
          <w:b w:val="0"/>
          <w:i/>
        </w:rPr>
        <w:t>Bywater Investments Ltd and others v Commissioner of</w:t>
      </w:r>
    </w:p>
    <w:p>
      <w:pPr>
        <w:spacing w:after="80"/>
      </w:pPr>
      <w:r>
        <w:rPr>
          <w:b w:val="0"/>
          <w:i w:val="0"/>
        </w:rPr>
        <w:t>140. Tại đoạn 50.141. Tại đoạn 49.142. Hoge Raad der Nederlanden (Tòa án tối cao Hà Lan) (Vụ 24.738) ngày 29 tháng 6 năm 1988 (BNB 1988/331; VN 1988/2261) (IBFD Tax Research Database).</w:t>
      </w:r>
    </w:p>
    <w:p>
      <w:pPr>
        <w:spacing w:after="80"/>
      </w:pPr>
      <w:r>
        <w:rPr>
          <w:b w:val="0"/>
          <w:i w:val="0"/>
        </w:rPr>
        <w:t>201</w:t>
      </w:r>
    </w:p>
    <w:p>
      <w:pPr>
        <w:spacing w:after="80"/>
      </w:pPr>
      <w:r>
        <w:rPr>
          <w:b w:val="0"/>
          <w:i/>
        </w:rPr>
        <w:t>Taxation</w:t>
      </w:r>
      <w:r>
        <w:rPr>
          <w:b w:val="0"/>
          <w:i w:val="0"/>
        </w:rPr>
        <w:t>143 trong những hoàn cảnh cực đoan. Vụ án liên quan, trong số những trường hợp khác, đến hai công ty được thành lập tại UK mà các giám đốc là một cặp vợ chồng cư trú tại Thụy Sĩ. Cổ phần trong các công ty được nắm giữ bởi những người được ủy thác (nominee) vì lợi ích của một cá nhân cư trú tại Australia. Cả hai công ty đều thu được lợi nhuận đáng kể từ việc giao dịch cổ phiếu trên sàn chứng khoán Australia. Tòa án sơ thẩm xét thấy hoạt động kinh doanh thực chất của cả hai công ty đều được tiến hành từ Sydney bởi người cư trú Australia. Bằng chứng rằng ông ta điều hành mọi khía cạnh của hoạt động kinh doanh là vô cùng áp đảo, bất chấp việc ông ta đã cố gắng hết sức để che giấu sự thật đó. Vai trò của các giám đốc Thụy Sĩ bị xét là một 'fac¸ade' (vỏ bọc) và 'fake' (giả tạo).</w:t>
      </w:r>
    </w:p>
    <w:p>
      <w:pPr>
        <w:spacing w:after="80"/>
      </w:pPr>
      <w:r>
        <w:rPr>
          <w:b w:val="0"/>
          <w:i w:val="0"/>
        </w:rPr>
        <w:t xml:space="preserve">Khi kháng cáo, Tòa án Tối cao Australia đã phán quyết rằng vị trí của các cơ quan chính thức của một công ty không quyết định ‘nơi quản lý hiệu quả’ (place of effective management) của công ty đó. Điều này xuất phát từ các điều khoản rõ ràng của cụm từ đó cũng như mục tiêu và mục đích của hiệp ước.144 Bình luận của OECD đã xác nhận điều này khi đề cập đến nơi công ty </w:t>
      </w:r>
      <w:r>
        <w:rPr>
          <w:b w:val="0"/>
          <w:i/>
        </w:rPr>
        <w:t>thực sự</w:t>
      </w:r>
      <w:r>
        <w:rPr>
          <w:b w:val="0"/>
          <w:i w:val="0"/>
        </w:rPr>
        <w:t xml:space="preserve"> được quản lý và nơi </w:t>
      </w:r>
      <w:r>
        <w:rPr>
          <w:b w:val="0"/>
          <w:i/>
        </w:rPr>
        <w:t>các quyết định quản lý then chốt và quyết định thương mại cần thiết cho việc điều hành hoạt động kinh doanh của thực thể được đưa ra trên thực chất</w:t>
      </w:r>
      <w:r>
        <w:rPr>
          <w:b w:val="0"/>
          <w:i w:val="0"/>
        </w:rPr>
        <w:t xml:space="preserve">. Bình luận kết luận rằng </w:t>
      </w:r>
      <w:r>
        <w:rPr>
          <w:b w:val="0"/>
          <w:i/>
        </w:rPr>
        <w:t>mọi sự kiện và tình huống liên quan</w:t>
      </w:r>
      <w:r>
        <w:rPr>
          <w:b w:val="0"/>
          <w:i w:val="0"/>
        </w:rPr>
        <w:t xml:space="preserve"> phải được xem xét.145 Tòa án lưu ý rằng theo luật nội địa Thụy Sĩ, POEM của một công ty là nơi các quyết định kinh doanh hàng ngày được đưa ra. Người ta cũng đồng ý rằng, trong bối cảnh đó, các quyết định chiến lược có liên quan, mặc dù không liên quan bằng các quyết định hàng ngày, và các hoạt động hành chính thì không liên quan.146 Tòa án đã từ chối áp dụng ý nghĩa này cho thuật ngữ trong các hiệp ước. Theo luật nội địa Australia, các công ty được xác định là cư dân Australia vì CMC của họ được thực hiện ở đó. Không có bất kỳ hình thức quản lý nào ở Anh, nơi các công ty được thành lập và việc quản lý ở Thụy Sĩ chỉ là một ‘vỏ bọc’. POEM theo cả hai hiệp ước đều ở Australia. Sự kiện liên quan đến việc bỏ qua các cơ quan của công ty chính là việc quản lý giả tạo.147</w:t>
      </w:r>
    </w:p>
    <w:p>
      <w:pPr>
        <w:spacing w:after="80"/>
      </w:pPr>
      <w:r>
        <w:rPr>
          <w:b/>
          <w:i w:val="0"/>
        </w:rPr>
        <w:t>[F] Bài thảo luận của OECD</w:t>
      </w:r>
    </w:p>
    <w:p>
      <w:pPr>
        <w:spacing w:after="80"/>
      </w:pPr>
      <w:r>
        <w:rPr>
          <w:b w:val="0"/>
          <w:i w:val="0"/>
        </w:rPr>
        <w:t>Vào tháng 2 năm 2001, OECD đã công bố một bài viết, ‘Tác động của cuộc cách mạng truyền thông đối với việc áp dụng “nơi quản lý hiệu quả” như một quy tắc phá vỡ thế cân bằng’. Bài viết lưu ý rằng không có định nghĩa nào về ‘nơi quản lý hiệu quả’, và hướng dẫn cực kỳ hạn chế được đưa ra về ý nghĩa của nó trong phần bình luận. Bài viết bình luận về khái niệm CMC, như được áp dụng ở các nước nói tiếng Anh, cũng như khái niệm ‘nơi quản lý’ được một số nước Lục địa áp dụng. Bài viết</w:t>
      </w:r>
    </w:p>
    <w:p>
      <w:pPr>
        <w:spacing w:after="80"/>
      </w:pPr>
      <w:r>
        <w:rPr>
          <w:b w:val="0"/>
          <w:i w:val="0"/>
        </w:rPr>
        <w:t>143.</w:t>
      </w:r>
      <w:r>
        <w:rPr>
          <w:b w:val="0"/>
          <w:i/>
        </w:rPr>
        <w:t>Bywater Investments Ltd và những người khác v Commissioner of Taxation; Hua Wang Bank Berhad v Commissioner of Taxation</w:t>
      </w:r>
      <w:r>
        <w:rPr>
          <w:b w:val="0"/>
          <w:i w:val="0"/>
        </w:rPr>
        <w:t xml:space="preserve"> [2016] HCA 45, 19 ITLR 287.144. Tại các đoạn 164-166.145. Tại đoạn 168.146. Tại đoạn 183.147. Phán quyết của Tòa phúc thẩm Anh trong </w:t>
      </w:r>
      <w:r>
        <w:rPr>
          <w:b w:val="0"/>
          <w:i/>
        </w:rPr>
        <w:t>Revenue and Customs v Development Securities Plc &amp; Ors</w:t>
      </w:r>
      <w:r>
        <w:rPr>
          <w:b w:val="0"/>
          <w:i w:val="0"/>
        </w:rPr>
        <w:t xml:space="preserve"> [2020] EWCA Civ 1705 (một vụ án về luật nội địa Anh) minh họa những khó khăn trong việc xác định chính xác các quyết định được đưa ra ở đâu và bởi ai. Trong vụ án đó, Tòa án quyết định rằng công ty mẹ ở Anh đã chỉ thị hoặc hướng dẫn công ty con được thành lập tại Jersey. Những quan điểm khác nhau về lập luận và kết luận trái ngược của Tòa án cấp trên (</w:t>
      </w:r>
      <w:r>
        <w:rPr>
          <w:b w:val="0"/>
          <w:i/>
        </w:rPr>
        <w:t>Development Securities plc và những người khác v HMRC</w:t>
      </w:r>
      <w:r>
        <w:rPr>
          <w:b w:val="0"/>
          <w:i w:val="0"/>
        </w:rPr>
        <w:t xml:space="preserve"> [2019] UKUT 169 (TCC)) về những suy luận đúng đắn cần rút ra từ các sự kiện, trong một cuộc điều tra về cơ bản là dựa trên sự kiện, làm nổi bật vấn đề này.</w:t>
      </w:r>
    </w:p>
    <w:p>
      <w:pPr>
        <w:spacing w:after="80"/>
      </w:pPr>
      <w:r>
        <w:rPr>
          <w:b w:val="0"/>
          <w:i w:val="0"/>
        </w:rPr>
        <w:t>202</w:t>
      </w:r>
    </w:p>
    <w:p>
      <w:pPr>
        <w:spacing w:after="80"/>
      </w:pPr>
      <w:r>
        <w:rPr>
          <w:b w:val="0"/>
          <w:i w:val="0"/>
        </w:rPr>
        <w:t>không đưa ra sự phân biệt rõ ràng giữa các khái niệm CMC, nơi quản lý và POEM, mặc dù nó thừa nhận rằng phân tích dựa trên kinh nghiệm của một số lượng hạn chế các quốc gia.</w:t>
      </w:r>
    </w:p>
    <w:p>
      <w:pPr>
        <w:spacing w:after="80"/>
      </w:pPr>
      <w:r>
        <w:rPr>
          <w:b w:val="0"/>
          <w:i w:val="0"/>
        </w:rPr>
        <w:t>Tuy nhiên, mối quan ngại cơ bản là, do kết quả của cuộc cách mạng truyền thông và công nghệ, cách mọi người điều hành hoạt động kinh doanh của họ đang thay đổi một cách căn bản. Nhờ công nghệ viễn thông tinh vi và giao thông nhanh chóng, hiệu quả, một người hoặc một nhóm người không còn cần phải hiện diện vật lý hoặc gặp nhau ở một địa điểm cụ thể để điều hành hoạt động kinh doanh. Tính di động gia tăng và sự phi tập trung chức năng này có thể có tác động đáng kể đến tỷ lệ các công ty cư trú kép và việc áp dụng các quy tắc phá vỡ thế cân bằng POEM. Quan điểm của cơ quan thuế (Revenue) về vấn đề này được hiểu là khi các giám đốc sử dụng các công nghệ truyền thông hiện đại, như hội nghị truyền hình, điện thoại hoặc các tiện ích trò chuyện qua e-mail, để tiến hành các cuộc họp hội đồng quản trị, nếu một phần của việc ra quyết định diễn ra ở Anh, thì công ty là cư dân Anh. Theo quan điểm của cơ quan thuế, nếu một giám đốc có mặt ở Anh khi điều này diễn ra, thì như vậy là đủ. Điều này, theo họ, sau đó có thể được giải quyết bằng việc áp dụng quy tắc phá vỡ thế cân bằng trong bối cảnh cư trú kép liên quan đến các quốc gia có hiệp ước.</w:t>
      </w:r>
    </w:p>
    <w:p>
      <w:pPr>
        <w:spacing w:after="80"/>
      </w:pPr>
      <w:r>
        <w:rPr>
          <w:b w:val="0"/>
          <w:i w:val="0"/>
        </w:rPr>
        <w:t xml:space="preserve">Bài viết của OECD đã được xem xét trong </w:t>
      </w:r>
      <w:r>
        <w:rPr>
          <w:b w:val="0"/>
          <w:i/>
        </w:rPr>
        <w:t>Trevor Smallwood Trusts v HMRC</w:t>
      </w:r>
      <w:r>
        <w:rPr>
          <w:b w:val="0"/>
          <w:i w:val="0"/>
        </w:rPr>
        <w:t xml:space="preserve">,148 và các sửa đổi đối với Bình luận của OECD đối với Điều 4, đoạn 24.4, được đưa vào phiên bản năm 2008. Các Ủy viên Đặc biệt đã suy ra từ đó rằng chủ đề này không thoát khỏi tranh cãi trong nội bộ OECD. Những điểm nổi lên từ cả </w:t>
      </w:r>
      <w:r>
        <w:rPr>
          <w:b w:val="0"/>
          <w:i/>
        </w:rPr>
        <w:t>Smallwood</w:t>
      </w:r>
      <w:r>
        <w:rPr>
          <w:b w:val="0"/>
          <w:i w:val="0"/>
        </w:rPr>
        <w:t xml:space="preserve"> và bài viết của OECD là: thứ nhất, mục đích của bài kiểm tra POEM là để giải quyết các trường hợp cư trú kép và phải được giải thích cho phù hợp. (Do đó chỉ có thể có một POEM.) Thứ hai, trong một thế giới mà nơi cư trú thường được xác định bằng việc thành lập công ty hoặc một số hình thức kiểm tra quản lý, thì quản lý chiếm ưu thế hơn việc thành lập công ty.149 Thứ ba, nó không giống với CMC, mặc dù cả hai có thể hiện diện ở cùng một quốc gia. Thứ tư, cần phải cân nhắc những gì xảy ra ở cả hai quốc gia. Các yếu tố sẽ không giống nhau trong mọi trường hợp. ‘Một số hình thức quản lý’, chẳng hạn như điều hành một tài khoản ngân hàng dưới tên của các người được ủy thác, có trọng lượng ít hơn so với việc quản lý thực tế, tích cực.150 Thứ năm, các điểm từ các vụ án khác là một ‘nơi’ mà việc quản lý hiệu quả được tiến hành là một chỉ báo tốt, đặc biệt khi không có nơi nào như vậy ở quốc gia kia. Thứ sáu, khái niệm ‘quản lý’ trong trường hợp một pháp nhân tất yếu phải được hiểu bằng việc tham chiếu đến việc quản lý được thực hiện thông qua các cơ quan hiến định của chính nó đang thực hiện các chức năng của chúng theo luật quản lý của nó (chẳng hạn như hội đồng quản trị) trừ khi các chức năng của các cơ quan hiến định đó bị ‘chiếm đoạt’. Thuật ngữ ‘chiếm đoạt’ được sử dụng để chỉ các tình huống mà việc quản lý và kiểm soát được thực hiện độc lập với, hoặc không quan tâm đến, các cơ quan hiến định đó; và, theo đó, phải phân biệt giữa việc đề xuất, tư vấn và gây ảnh hưởng đến các quyết định mà các cơ quan hiến định đưa ra và việc đưa ra những quyết định đó.</w:t>
      </w:r>
    </w:p>
    <w:p>
      <w:pPr>
        <w:spacing w:after="80"/>
      </w:pPr>
      <w:r>
        <w:rPr>
          <w:b w:val="0"/>
          <w:i w:val="0"/>
        </w:rPr>
        <w:t xml:space="preserve">148. Tại các đoạn 125-127.149. Không nghi ngờ gì rằng vì lý do này mà các hiệp ước với Hoa Kỳ đã không bao gồm một bài kiểm tra như vậy. Bài kiểm tra nội địa của Hoa Kỳ chỉ là việc thành lập công ty, vì vậy tất cả các trường hợp cư trú kép sẽ tự động mặc định thuộc về Anh, quốc gia áp dụng bài kiểm tra dựa trên quản lý.150. Xem </w:t>
      </w:r>
      <w:r>
        <w:rPr>
          <w:b w:val="0"/>
          <w:i/>
        </w:rPr>
        <w:t>Trustees of Wensleydale’s Settlement v IRC</w:t>
      </w:r>
      <w:r>
        <w:rPr>
          <w:b w:val="0"/>
          <w:i w:val="0"/>
        </w:rPr>
        <w:t xml:space="preserve"> (1996) Sp C 73, [1996] STC SCD 241, đoạn 6.</w:t>
      </w:r>
    </w:p>
    <w:p>
      <w:pPr>
        <w:spacing w:after="80"/>
      </w:pPr>
      <w:r>
        <w:rPr>
          <w:b w:val="0"/>
          <w:i w:val="0"/>
        </w:rPr>
        <w:t>203</w:t>
      </w:r>
    </w:p>
    <w:p>
      <w:pPr>
        <w:spacing w:after="80"/>
      </w:pPr>
      <w:r>
        <w:rPr>
          <w:b/>
          <w:i w:val="0"/>
        </w:rPr>
        <w:t>[G] Các trường hợp tam giác</w:t>
      </w:r>
    </w:p>
    <w:p>
      <w:pPr>
        <w:spacing w:after="80"/>
      </w:pPr>
      <w:r>
        <w:rPr>
          <w:b w:val="0"/>
          <w:i w:val="0"/>
        </w:rPr>
        <w:t xml:space="preserve">Liệu một người cư trú ở quốc gia thứ ba có thể đặt việc quản lý và kiểm soát hoạt động kinh doanh của mình tại một quốc gia có hiệp ước theo mô hình thuộc địa để được hưởng lợi từ một Hiệp ước Anh cụ thể áp dụng công thức này không? Khi xem xét câu hỏi này, cần đặc biệt lưu ý rằng theo luật nội địa Anh,151 một công ty có thể cư trú ở hai nơi cùng một lúc. Do đó, không phải là không thể tưởng tượng rằng một công ty có thể được hưởng các quyền lợi theo hiệp ước theo mô hình này, ngay cả khi nó cũng cư trú ở một quốc gia thứ ba. Trong vụ án </w:t>
      </w:r>
      <w:r>
        <w:rPr>
          <w:b w:val="0"/>
          <w:i/>
        </w:rPr>
        <w:t>Commerzbank</w:t>
      </w:r>
      <w:r>
        <w:rPr>
          <w:b w:val="0"/>
          <w:i w:val="0"/>
        </w:rPr>
        <w:t>, người ta đã chỉ ra rằng các hiệp ước giữa hai công ty không phải của Anh sẽ không có ảnh hưởng đến việc áp dụng một hiệp ước giữa Anh và một quốc gia ký kết. Do đó, việc áp dụng các điều khoản phá vỡ thế cân bằng trong một hiệp ước giữa hai quốc gia khác sẽ không có ảnh hưởng đến việc áp dụng Hiệp ước Anh. Ngoại lệ duy nhất có thể có thể liên quan đến một điều khoản nước ngoài tương tự như CTA 2009, s. 18.</w:t>
      </w:r>
    </w:p>
    <w:p>
      <w:pPr>
        <w:spacing w:after="80"/>
      </w:pPr>
      <w:r>
        <w:rPr>
          <w:b/>
          <w:i w:val="0"/>
        </w:rPr>
        <w:t>[H] Cư trú kép: Các quỹ tín thác</w:t>
      </w:r>
    </w:p>
    <w:p>
      <w:pPr>
        <w:spacing w:after="80"/>
      </w:pPr>
      <w:r>
        <w:rPr>
          <w:b w:val="0"/>
          <w:i w:val="0"/>
        </w:rPr>
        <w:t>Một quỹ tín thác không phải là một cá nhân, vì vậy cư trú kép được giải quyết bằng Điều 4(3). Các quỹ tín thác có một số điểm tương đồng với các công ty trong bối cảnh này. Một công ty là một pháp nhân. Một quỹ tín thác không phải là một người mà là một mối quan hệ, và nó được coi như một người mang tính khái niệm cho các mục đích thuế của Anh. Do đó, các người được ủy thác của một quỹ tín thác được tập thể coi như một ‘người được coi là’ duy nhất cho các mục đích của các Đạo luật Thuế Thu nhập, trừ khi ngữ cảnh yêu cầu khác.152 Theo các khái niệm luật Anh, trong khi một công ty, theo hiến chương của nó, thường được quản lý bởi các giám đốc của nó, thì một quỹ tín thác được quản lý bởi các người được ủy thác của nó. Các quy tắc nội địa để xác định nơi cư trú của các quỹ tín thác có thể dễ dàng làm phát sinh các câu hỏi về cư trú kép. Không giống như nơi cư trú của một công ty, nơi cư trú của một quỹ tín thác được xác định bằng việc tham chiếu đến nơi cư trú của các người được ủy thác của nó, chứ không phải nơi nó được quản lý và kiểm soát. Đối với mục đích thuế thu nhập và thuế lợi tức vốn, tình hình rất rõ ràng khi tất cả các người được ủy thác đều là cư dân hoặc không phải cư dân. Nơi cư trú của quỹ tín thác theo nơi cư trú của họ. Tuy nhiên, khi có nhiều hơn một người được ủy thác, các người được ủy thác sẽ được coi là cư dân Anh nếu một người là cư dân Anh (bất kể số lượng người được ủy thác không phải cư dân) và người lập quỹ tín thác là hoặc đã là cư dân, thường trú hoặc có hộ khẩu tại Anh vào thời điểm lập quỹ tín thác.153 Ngược lại, nếu người lập quỹ tín thác không phải là cư dân, thường trú hoặc có hộ khẩu, thì quỹ tín thác là không phải cư dân bất chấp sự hiện diện của bất kỳ số lượng người được ủy thác nào là cư dân Anh, miễn là có một người được ủy thác không phải cư dân duy nhất. Một quy tắc tương tự áp dụng cho nơi cư trú của các di sản của người đã khuất.154 Do đó, các người được ủy thác có thể là cư dân Anh ngay cả khi đa số ở ngoài Anh và việc quản lý quỹ tín thác diễn ra ngoài Anh. Khả năng cư trú kép là đáng kể trong những trường hợp như vậy. Khả năng cư trú kép cũng tăng lên trong trường hợp các người được ủy thác không phải cư dân</w:t>
      </w:r>
    </w:p>
    <w:p>
      <w:pPr>
        <w:spacing w:after="80"/>
      </w:pPr>
      <w:r>
        <w:rPr>
          <w:b w:val="0"/>
          <w:i w:val="0"/>
        </w:rPr>
        <w:t>151.</w:t>
      </w:r>
      <w:r>
        <w:rPr>
          <w:b w:val="0"/>
          <w:i/>
        </w:rPr>
        <w:t>Swedish Central Railway Co. Ltd v Thompson</w:t>
      </w:r>
      <w:r>
        <w:rPr>
          <w:b w:val="0"/>
          <w:i w:val="0"/>
        </w:rPr>
        <w:t xml:space="preserve"> (1925) 9 TC 342; [1925] AC 495, HL. Xem HMRC, International Tax Handbook, IHT338.152. ITA 2007, s. 474(1).153. ITA 2007, s. 476; TCGA 1992, s. 69A.154. ITA 2007, s. 834.</w:t>
      </w:r>
    </w:p>
    <w:p>
      <w:pPr>
        <w:spacing w:after="80"/>
      </w:pPr>
      <w:r>
        <w:rPr>
          <w:b w:val="0"/>
          <w:i w:val="0"/>
        </w:rPr>
        <w:t>204</w:t>
      </w:r>
    </w:p>
    <w:p>
      <w:pPr>
        <w:spacing w:after="80"/>
      </w:pPr>
      <w:r>
        <w:rPr>
          <w:b w:val="0"/>
          <w:i w:val="0"/>
        </w:rPr>
        <w:t>hành động như vậy trong quá trình hoạt động kinh doanh được thực hiện thông qua một cơ sở thường trú tại Vương quốc Anh. Những người được ủy thác như vậy được coi là cư dân Vương quốc Anh.155</w:t>
      </w:r>
    </w:p>
    <w:p>
      <w:pPr>
        <w:spacing w:after="80"/>
      </w:pPr>
      <w:r>
        <w:rPr>
          <w:b w:val="0"/>
          <w:i w:val="0"/>
        </w:rPr>
        <w:t xml:space="preserve">Trong </w:t>
      </w:r>
      <w:r>
        <w:rPr>
          <w:b w:val="0"/>
          <w:i/>
        </w:rPr>
        <w:t>Trustees of Wensleydale's Settlement v IRC</w:t>
      </w:r>
      <w:r>
        <w:rPr>
          <w:b w:val="0"/>
          <w:i w:val="0"/>
        </w:rPr>
        <w:t xml:space="preserve">,156 một người được ủy thác là luật sư người Anh cư trú tại Vương quốc Anh và người kia là vợ của một luật sư người Ireland cư trú tại Ireland. Ủy viên đặc biệt David Shirley phát hiện rằng POEM không nằm ở Ireland, nơi việc quản lý dường như chỉ giới hạn ở việc vận hành một tài khoản ngân hàng so với nơi các quyết định thực tế được đưa ra. Trong </w:t>
      </w:r>
      <w:r>
        <w:rPr>
          <w:b w:val="0"/>
          <w:i/>
        </w:rPr>
        <w:t>Trevor Smallwood Trust v HMRC</w:t>
      </w:r>
      <w:r>
        <w:rPr>
          <w:b w:val="0"/>
          <w:i w:val="0"/>
        </w:rPr>
        <w:t>,157 không có người được ủy thác cư trú hỗn hợp nào vào bất kỳ thời điểm nào. Tuy nhiên, tại Tòa phúc thẩm,158 Hughes LJ, với sự đồng ý của Ward LJ, đã áp dụng một cách tiếp cận rất khác so với cách tiếp cận được thực hiện liên quan đến các công ty được mô tả ở trên. Ở đây, ông dựa vào quy tắc nội địa coi những người được ủy thác như một nhóm người. TCGA 1992, s. 69(1) quy định rằng, liên quan đến tài sản đã được thiết lập, 'những người được ủy thác của quỹ tín thác sẽ, vì mục đích của Đạo luật này, được coi là một nhóm người duy nhất và liên tục (khác biệt với người có thể là người được ủy thác tùy từng thời điểm)'. POEM mà ông nói 'mà trường hợp này liên quan đến là,... của những người được ủy thác như một nhóm liên tục'.159 Trên thực tế, ông nói:</w:t>
      </w:r>
    </w:p>
    <w:p>
      <w:pPr>
        <w:spacing w:after="80"/>
      </w:pPr>
      <w:r>
        <w:rPr>
          <w:b w:val="0"/>
          <w:i w:val="0"/>
        </w:rPr>
        <w:t>Kế hoạch này được thiết kế tại Vương quốc Anh bởi ông Smallwood [người được ủy thác trong giai đoạn ở Vương quốc Anh] theo lời khuyên của KPMG Bristol. Các bước được thực hiện trong kế hoạch đã được sắp xếp cẩn thận xuyên suốt từ Vương quốc Anh, cả bởi KPMG và bởi Quilter. Và một phần không thể thiếu của kế hoạch là quỹ tín thác phải được xuất khẩu sang Mauritius chỉ trong một thời gian ngắn tạm thời và sau đó được trả lại Vương quốc Anh trong cùng năm tài chính, điều này đã xảy ra. Ông Smallwood vẫn ở Vương quốc Anh suốt thời gian đó. Có một kế hoạch quản lý quỹ tín thác này vượt xa việc quản lý hàng ngày do những người được ủy thác đương nhiệm thực hiện, và quyền kiểm soát nó nằm ở Vương quốc Anh.160</w:t>
      </w:r>
    </w:p>
    <w:p>
      <w:pPr>
        <w:spacing w:after="80"/>
      </w:pPr>
      <w:r>
        <w:rPr>
          <w:b w:val="0"/>
          <w:i w:val="0"/>
        </w:rPr>
        <w:t xml:space="preserve">Trong </w:t>
      </w:r>
      <w:r>
        <w:rPr>
          <w:b w:val="0"/>
          <w:i/>
        </w:rPr>
        <w:t>Lee &amp; Anor v HMRC,</w:t>
      </w:r>
      <w:r>
        <w:rPr>
          <w:b w:val="0"/>
          <w:i w:val="0"/>
        </w:rPr>
        <w:t xml:space="preserve">161 liên quan đến một kế hoạch tương tự như trong </w:t>
      </w:r>
      <w:r>
        <w:rPr>
          <w:b w:val="0"/>
          <w:i/>
        </w:rPr>
        <w:t>Smallwood</w:t>
      </w:r>
      <w:r>
        <w:rPr>
          <w:b w:val="0"/>
          <w:i w:val="0"/>
        </w:rPr>
        <w:t xml:space="preserve">, Thẩm phán Colin Bishopp tại Tòa án sơ thẩm (First-tier Tribunal) lưu ý rằng quyết định đa số của Tòa phúc thẩm trong </w:t>
      </w:r>
      <w:r>
        <w:rPr>
          <w:b w:val="0"/>
          <w:i/>
        </w:rPr>
        <w:t>Smallwood</w:t>
      </w:r>
      <w:r>
        <w:rPr>
          <w:b w:val="0"/>
          <w:i w:val="0"/>
        </w:rPr>
        <w:t>162 là dựa trên các giới hạn về khả năng của tòa phúc thẩm can thiệp vào các phát hiện về sự kiện. Ông nhận xét rằng những gì Hughes LJ nói 'gợi ý rằng ông đồng ý với các Ủy viên đặc biệt về kết quả nhưng ông không nói rõ ràng như vậy và người ta không thể hoàn toàn chắc chắn rằng ông đã đồng ý với họ'.163 Bất chấp những nghi ngờ đó, Tòa án sơ thẩm phát hiện rằng các quyết định thực sự quan trọng liên quan đến quỹ tín thác được đưa ra tại Vương quốc Anh và chỉ được thực hiện tại Mauritius.164 POEM do đó nằm ở Vương quốc Anh. Trong phạm vi mà bất kỳ cơ quan 'hiến định' nào của quỹ tín thác nằm ở Vương quốc Anh, thì đó là những người thiết lập quỹ có quyền bổ nhiệm một người được ủy thác mới. Điều này</w:t>
      </w:r>
    </w:p>
    <w:p>
      <w:pPr>
        <w:spacing w:after="80"/>
      </w:pPr>
      <w:r>
        <w:rPr>
          <w:b w:val="0"/>
          <w:i w:val="0"/>
        </w:rPr>
        <w:t xml:space="preserve">155. ITA 2007, s. 475(6). 156. </w:t>
      </w:r>
      <w:r>
        <w:rPr>
          <w:b w:val="0"/>
          <w:i/>
        </w:rPr>
        <w:t>Trustees of Wensleydale's Settlement v Inland Revenue Commissioners</w:t>
      </w:r>
      <w:r>
        <w:rPr>
          <w:b w:val="0"/>
          <w:i w:val="0"/>
        </w:rPr>
        <w:t xml:space="preserve"> (1996) Sp C 73. 157. </w:t>
      </w:r>
      <w:r>
        <w:rPr>
          <w:b w:val="0"/>
          <w:i/>
        </w:rPr>
        <w:t>Smallwood v Revenue and Customs Commissioners</w:t>
      </w:r>
      <w:r>
        <w:rPr>
          <w:b w:val="0"/>
          <w:i w:val="0"/>
        </w:rPr>
        <w:t xml:space="preserve"> [2008] UKSPC SPC669; [2008] STC (SCD) 629; (2008) Sp C 669. 158. </w:t>
      </w:r>
      <w:r>
        <w:rPr>
          <w:b w:val="0"/>
          <w:i/>
        </w:rPr>
        <w:t>Revenue and Customs Commissioners v Smallwood &amp; Anor</w:t>
      </w:r>
      <w:r>
        <w:rPr>
          <w:b w:val="0"/>
          <w:i w:val="0"/>
        </w:rPr>
        <w:t xml:space="preserve"> [2010] STC 2045, [2010] BTC 637 [2010] EWCA Civ 788. 159. Tại đoạn 69. 160. Tại đoạn 70. 161. </w:t>
      </w:r>
      <w:r>
        <w:rPr>
          <w:b w:val="0"/>
          <w:i/>
        </w:rPr>
        <w:t>Lee &amp; Anor v Revenue and Customs</w:t>
      </w:r>
      <w:r>
        <w:rPr>
          <w:b w:val="0"/>
          <w:i w:val="0"/>
        </w:rPr>
        <w:t xml:space="preserve"> [2017] UKFTT 0279, [2017] TC 05757. 162. Hughes LJ (người mà Ward LJ đồng ý mà không giải thích thêm). 163. Tại đoạn 73. 164. Tại đoạn 81.</w:t>
      </w:r>
    </w:p>
    <w:p>
      <w:pPr>
        <w:spacing w:after="80"/>
      </w:pPr>
      <w:r>
        <w:rPr>
          <w:b w:val="0"/>
          <w:i w:val="0"/>
        </w:rPr>
        <w:t>205</w:t>
      </w:r>
    </w:p>
    <w:p>
      <w:pPr>
        <w:spacing w:after="80"/>
      </w:pPr>
      <w:r>
        <w:rPr>
          <w:b w:val="0"/>
          <w:i w:val="0"/>
        </w:rPr>
        <w:t xml:space="preserve">tương tự như quỹ tín thác trong </w:t>
      </w:r>
      <w:r>
        <w:rPr>
          <w:b w:val="0"/>
          <w:i/>
        </w:rPr>
        <w:t>Smallwood</w:t>
      </w:r>
      <w:r>
        <w:rPr>
          <w:b w:val="0"/>
          <w:i w:val="0"/>
        </w:rPr>
        <w:t xml:space="preserve">. Cả hai người thiết lập quỹ (những người nộp thuế trong trường hợp này) đều không đưa ra bằng chứng và lời khai của các nhân chứng khác của họ không hoàn toàn thỏa đáng, bao gồm cả lời khai của giám đốc công ty tín thác Mauritius. Phát hiện quan trọng về sự kiện là thông tin được cung cấp cho các giám đốc công ty tín thác bởi người thiết lập quỹ và luật sư của ông ta có trụ sở tại Vương quốc Anh không chỉ là lời khuyên, như trong </w:t>
      </w:r>
      <w:r>
        <w:rPr>
          <w:b w:val="0"/>
          <w:i/>
        </w:rPr>
        <w:t>Wood v Holden,</w:t>
      </w:r>
      <w:r>
        <w:rPr>
          <w:b w:val="0"/>
          <w:i w:val="0"/>
        </w:rPr>
        <w:t xml:space="preserve"> mà đã vượt qua ngưỡng trở thành chỉ thị.165</w:t>
      </w:r>
    </w:p>
    <w:p>
      <w:pPr>
        <w:spacing w:after="80"/>
      </w:pPr>
      <w:r>
        <w:rPr>
          <w:b w:val="0"/>
          <w:i w:val="0"/>
        </w:rPr>
        <w:t>Liên quan đến câu hỏi thời gian thứ ba,166 tức là thời điểm hoặc khoảng thời gian khi các sự kiện liên quan đến việc áp dụng quy tắc phá vỡ thế cân bằng trong điều 4(3) phải được xem xét, bằng chứng tập trung vào khoảng thời gian sau khi người được ủy thác cư trú tại Jersey đã nghỉ hưu để nhường chỗ cho người được ủy thác Mauritius và đến lượt nó nghỉ hưu, để nhường chỗ cho người được ủy thác cư trú tại Vương quốc Anh, tất cả đều xảy ra trong một năm thuế duy nhất của Vương quốc Anh.167 Nếu người ta chấp nhận rằng quỹ tín thác cư trú tại cả hai quốc gia ký kết trong suốt khoảng thời gian đó, thì điều này không có gì đáng ngạc nhiên ngoài thực tế là những người được ủy thác ở Jersey trong phần lớn năm thuế từ ngày 6 tháng 4 đến ngày 19 tháng 12, và thực sự kể từ khi quỹ tín thác được thiết lập hơn mười năm trước đó.168</w:t>
      </w:r>
    </w:p>
    <w:p>
      <w:pPr>
        <w:spacing w:after="80"/>
      </w:pPr>
      <w:r>
        <w:rPr>
          <w:b w:val="0"/>
          <w:i w:val="0"/>
        </w:rPr>
        <w:t>Vì POEM yêu cầu so sánh giữa việc quản lý được thực hiện tại hai quốc gia ký kết, việc quản lý tại một quốc gia thứ ba sẽ không liên quan. Vị thế hiệp ước liên quan đến lợi nhuận vốn của những người được ủy thác trong một năm không cư trú một phần theo hiệp ước đã bị ghi đè trong FA 2005, hiện là TCGA 1992, s. 83A.169</w:t>
      </w:r>
    </w:p>
    <w:p>
      <w:pPr>
        <w:spacing w:after="80"/>
      </w:pPr>
      <w:r>
        <w:rPr>
          <w:b/>
          <w:i w:val="0"/>
        </w:rPr>
        <w:t>[I]Cư trú kép: Hợp danh</w:t>
      </w:r>
    </w:p>
    <w:p>
      <w:pPr>
        <w:spacing w:after="80"/>
      </w:pPr>
      <w:r>
        <w:rPr>
          <w:b w:val="0"/>
          <w:i w:val="0"/>
        </w:rPr>
        <w:t>Một hợp danh không được coi là một thực thể riêng biệt và tách biệt với các thành viên hợp danh của nó, và nghĩa vụ thuế được xác định dựa trên các thành viên hợp danh cho mục đích thuế Vương quốc Anh.170 Do đó, câu hỏi về cư trú kép của một hợp danh không phát sinh. Bối cảnh duy nhất mà cư trú của một hợp danh có thể phát sinh là liên quan đến việc ghi đè theo hiệp ước đối với các thành viên hợp danh cư trú tại Vương quốc Anh của các công ty cư trú nước ngoài.171 Hiệu lực của các quy định này là làm cho các thành viên hợp danh cư trú tại Vương quốc Anh phải chịu thuế thu nhập đối với phần lợi nhuận hợp danh của họ bất chấp sự hiện diện của một hiệp ước. Cư trú cho mục đích này được xác định bởi 'quyền kiểm soát và quản lý' hoạt động kinh doanh được thực hiện bởi hợp danh.172</w:t>
      </w:r>
    </w:p>
    <w:p>
      <w:pPr>
        <w:spacing w:after="80"/>
      </w:pPr>
      <w:r>
        <w:rPr>
          <w:b w:val="0"/>
          <w:i w:val="0"/>
        </w:rPr>
        <w:t xml:space="preserve">Tòa án sơ thẩm phán quyết rằng bài kiểm tra thích hợp cho vị trí kiểm soát và quản lý hoạt động kinh doanh của một hợp danh là bài kiểm tra được các tòa án áp dụng liên quan đến cư trú của các công ty trong </w:t>
      </w:r>
      <w:r>
        <w:rPr>
          <w:b w:val="0"/>
          <w:i/>
        </w:rPr>
        <w:t>Mark Higgins Rallying (a firm) v Revenue &amp; Customs</w:t>
      </w:r>
      <w:r>
        <w:rPr>
          <w:b w:val="0"/>
          <w:i w:val="0"/>
        </w:rPr>
        <w:t>.173</w:t>
      </w:r>
    </w:p>
    <w:p>
      <w:pPr>
        <w:spacing w:after="80"/>
      </w:pPr>
      <w:r>
        <w:rPr>
          <w:b w:val="0"/>
          <w:i w:val="0"/>
        </w:rPr>
        <w:t xml:space="preserve">165. Tại đoạn 76. 166. Xem §6.04. 167. </w:t>
      </w:r>
      <w:r>
        <w:rPr>
          <w:b w:val="0"/>
          <w:i/>
        </w:rPr>
        <w:t>Revenue and Customs Commissioners v Smallwood &amp; Anor</w:t>
      </w:r>
      <w:r>
        <w:rPr>
          <w:b w:val="0"/>
          <w:i w:val="0"/>
        </w:rPr>
        <w:t xml:space="preserve"> [2010] STC 2045 [2010] EWCA Civ 788, [2010] BTC 637 tại các đoạn 7 và 8. 168. Tại đoạn 2. 169. Xem Chương 12, §12.04. Nếu phát hiện về cư trú kép theo điều 4(1) trong </w:t>
      </w:r>
      <w:r>
        <w:rPr>
          <w:b w:val="0"/>
          <w:i/>
        </w:rPr>
        <w:t>Smallwood</w:t>
      </w:r>
      <w:r>
        <w:rPr>
          <w:b w:val="0"/>
          <w:i w:val="0"/>
        </w:rPr>
        <w:t xml:space="preserve"> là đúng, thì một quy định như vậy sẽ là không cần thiết. 170. ITTOIA 2005, s. 848. 171. ITTOIA 2005, s. 858(1)(a)(i). 172. Xem tổng quát </w:t>
      </w:r>
      <w:r>
        <w:rPr>
          <w:b w:val="0"/>
          <w:i/>
        </w:rPr>
        <w:t>Padmore v IRC</w:t>
      </w:r>
      <w:r>
        <w:rPr>
          <w:b w:val="0"/>
          <w:i w:val="0"/>
        </w:rPr>
        <w:t xml:space="preserve"> [1987] BTC 3; [1987] STC 36, Ch. D. 173. </w:t>
      </w:r>
      <w:r>
        <w:rPr>
          <w:b w:val="0"/>
          <w:i/>
        </w:rPr>
        <w:t>Mark Higgins Rallying (a firm) v Revenue and Customs</w:t>
      </w:r>
      <w:r>
        <w:rPr>
          <w:b w:val="0"/>
          <w:i w:val="0"/>
        </w:rPr>
        <w:t xml:space="preserve"> [2011] TC 01200 [2011] UKFTT 340 (TC).</w:t>
      </w:r>
    </w:p>
    <w:p>
      <w:pPr>
        <w:spacing w:after="80"/>
      </w:pPr>
      <w:r>
        <w:rPr>
          <w:b w:val="0"/>
          <w:i w:val="0"/>
        </w:rPr>
        <w:t>206</w:t>
      </w:r>
    </w:p>
    <w:p>
      <w:pPr>
        <w:spacing w:after="80"/>
      </w:pPr>
      <w:r>
        <w:rPr>
          <w:b/>
          <w:i w:val="0"/>
        </w:rPr>
        <w:t>[J]Giải quyết hành chính về cư trú kép</w:t>
      </w:r>
    </w:p>
    <w:p>
      <w:pPr>
        <w:spacing w:after="80"/>
      </w:pPr>
      <w:r>
        <w:rPr>
          <w:b w:val="0"/>
          <w:i w:val="0"/>
        </w:rPr>
        <w:t>Một số hiệp ước không áp dụng POEM như một cơ chế để giải quyết cư trú kép. Đây là một xu hướng ngày càng tăng trong các hiệp ước và nghị định thư của Vương quốc Anh được đàm phán từ năm 2001, như được thể hiện qua các hiệp ước với Canada, Chile, Nhật Bản, Lithuania, Macedonia, Moldova, Hà Lan, Singapore và Hoa Kỳ. Một ví dụ hiện tại là Hiệp ước Vương quốc Anh-Lithuania, trong đó viết:</w:t>
      </w:r>
    </w:p>
    <w:p>
      <w:pPr>
        <w:spacing w:after="80"/>
      </w:pPr>
      <w:r>
        <w:rPr>
          <w:b w:val="0"/>
          <w:i w:val="0"/>
        </w:rPr>
        <w:t>4(3) Nếu do quy định tại khoản (1) của Điều này mà một người không phải là cá nhân là đối tượng cư trú của cả hai Quốc gia ký kết, thì cơ quan có thẩm quyền của các Quốc gia ký kết phải cố gắng giải quyết vấn đề bằng thỏa thuận song phương. Trong trường hợp không có thỏa thuận như vậy, vì mục đích của công ước, người đó sẽ không được quyền yêu cầu bất kỳ khoản giảm trừ hoặc miễn thuế nào được quy định bởi công ước này.</w:t>
      </w:r>
    </w:p>
    <w:p>
      <w:pPr>
        <w:spacing w:after="80"/>
      </w:pPr>
      <w:r>
        <w:rPr>
          <w:b w:val="0"/>
          <w:i w:val="0"/>
        </w:rPr>
        <w:t>Một cách tiếp cận tương tự được đưa ra như một lựa chọn trong Điều 4(1) của MLI và sẽ áp dụng cho các hiệp ước được sửa đổi bởi nó.174</w:t>
      </w:r>
    </w:p>
    <w:p>
      <w:pPr>
        <w:spacing w:after="80"/>
      </w:pPr>
      <w:r>
        <w:rPr>
          <w:b w:val="0"/>
          <w:i w:val="0"/>
        </w:rPr>
        <w:t>HMRC nói về các quy định như vậy:</w:t>
      </w:r>
    </w:p>
    <w:p>
      <w:pPr>
        <w:spacing w:after="80"/>
      </w:pPr>
      <w:r>
        <w:rPr>
          <w:b w:val="0"/>
          <w:i w:val="0"/>
        </w:rPr>
        <w:t>Không phải tất cả các quy tắc phá vỡ thế bế tắc (tie-breaker) đều dựa vào bài kiểm tra nơi quản lý hiệu quả (place of effective management). Ví dụ, các quy tắc phá vỡ thế bế tắc trong hiệp định với Canada và hiệp ước năm 2003 với Hoa Kỳ phụ thuộc vào thỏa thuận giữa Cơ quan có thẩm quyền của hai quốc gia. Trong trường hợp như vậy, quy tắc tại CTA 2009, s. 18 không thể được HMRC áp dụng một cách đơn phương. Nó chỉ có thể được áp dụng khi các Cơ quan có thẩm quyền tương ứng đã đưa ra phán quyết về nơi cư trú và nơi cư trú đã được chính thức trao cho quốc gia kia. Như đã rõ từ ngữ của luật, việc không có yêu cầu từ một công ty sẽ không ngăn cản s. 18 được áp dụng sau phán quyết của Cơ quan có thẩm quyền. Tuy nhiên, có khả năng là các cuộc đàm phán song phương thường sẽ được khởi xướng sau các cuộc thảo luận giữa công ty và ít nhất một trong các cơ quan thuế liên quan.175</w:t>
      </w:r>
    </w:p>
    <w:p>
      <w:pPr>
        <w:spacing w:after="80"/>
      </w:pPr>
      <w:r>
        <w:rPr>
          <w:b w:val="0"/>
          <w:i w:val="0"/>
        </w:rPr>
        <w:t>Về nguyên tắc, cách tiếp cận này để giải quyết tình trạng cư trú kép là không thỏa đáng ở một số khía cạnh. Thứ nhất, người nộp thuế không thể tự đánh giá tình trạng cơ bản của mình. Thứ hai, trong hầu hết các trường hợp không có nghĩa vụ nào đối với các quốc gia ký kết phải đạt được thỏa thuận.176 Thứ ba, không có tiêu chí nào được chỉ định để cung cấp hướng dẫn cho bất kỳ thỏa thuận khả thi nào.177 Những vấn đề được tạo ra bởi việc không có tiêu chí đã được thống nhất được làm nổi bật trong hướng dẫn do HMRC công bố, trong đó nêu ra các yếu tố khả thi mà họ có thể sẽ xem xét khi làm việc với các cơ quan có thẩm quyền nước ngoài về vấn đề này.178</w:t>
      </w:r>
    </w:p>
    <w:p>
      <w:pPr>
        <w:spacing w:after="80"/>
      </w:pPr>
      <w:r>
        <w:rPr>
          <w:b w:val="0"/>
          <w:i w:val="0"/>
        </w:rPr>
        <w:t>Thứ tư, trừ khi và cho đến khi đạt được thỏa thuận song phương, người nộp thuế cư trú kép có thể bị loại khỏi các quyền lợi của hiệp ước. Đây là một lời mời gọi cho hành vi tùy tiện và cứng nhắc, càng trầm trọng hơn bởi tính bí mật của quá trình, mà ngay cả khi chỉ từ một</w:t>
      </w:r>
    </w:p>
    <w:p>
      <w:pPr>
        <w:spacing w:after="80"/>
      </w:pPr>
      <w:r>
        <w:rPr>
          <w:b w:val="0"/>
          <w:i w:val="0"/>
        </w:rPr>
        <w:t>174. Xem Chương 18, §18.04. 175. HMRC, Sổ tay Thuế Quốc tế, INTM120070. 176. HMRC, Sổ tay Thuế Quốc tế, INTM120080. 177. Một ngoại lệ được tìm thấy trong Điều 4(3) của Hiệp ước Anh-Canada (1978), trong đó yêu cầu phải xem xét 'nơi quản lý hiệu quả, nơi thành lập hoặc được thành lập theo cách khác và bất kỳ yếu tố liên quan nào khác'. Tính chung chung của danh sách này thực tế không thêm gì cả. 178. HMRC, Sổ tay Thuế Quốc tế, INTM120085.</w:t>
      </w:r>
    </w:p>
    <w:p>
      <w:pPr>
        <w:spacing w:after="80"/>
      </w:pPr>
      <w:r>
        <w:rPr>
          <w:b w:val="0"/>
          <w:i w:val="0"/>
        </w:rPr>
        <w:t>207</w:t>
      </w:r>
    </w:p>
    <w:p>
      <w:pPr>
        <w:spacing w:after="80"/>
      </w:pPr>
      <w:r>
        <w:rPr>
          <w:b w:val="0"/>
          <w:i w:val="0"/>
        </w:rPr>
        <w:t>quốc gia ký kết có thể có những hậu quả sâu sắc và không có biện pháp khắc phục nào cho người nộp thuế. Điều 4(3) của Hiệp ước Canada-Anh quy định rằng nếu các cơ quan có thẩm quyền không thể đồng ý về nơi cư trú, họ 'phải cố gắng xác định bằng thỏa thuận song phương cách áp dụng Công ước cho người đó'. Điều 4(4) của Hiệp ước Hà Lan-Anh rộng lượng hơn: 'Trong trường hợp không có thỏa thuận song phương của các cơ quan có thẩm quyền của các Quốc gia ký kết, người đó sẽ không được coi là cư dân của bất kỳ Quốc gia ký kết nào vì mục đích yêu cầu bất kỳ quyền lợi nào được cung cấp bởi Công ước, ngoại trừ những quyền lợi được cung cấp bởi Điều 21 (Loại bỏ đánh thuế hai lần), Điều 24 (Không phân biệt đối xử) và Điều 25 (Thủ tục thỏa thuận song phương).' Trọng tài ràng buộc bắt buộc được cung cấp cho tất cả các vấn đề khác trong Hiệp ước Hà Lan-Anh (1980) bị loại trừ liên quan đến cư trú kép của công ty một cách độc quyền.179 Thứ năm, việc thay thế POEM bằng thỏa thuận song phương của các cơ quan có thẩm quyền thông qua việc đàm phán lại một hiệp ước hoặc sửa đổi bởi MLI sẽ tự động dẫn đến cư trú kép cho đến khi đạt được thỏa thuận. HMRC chỉ ra rằng họ sẽ không xem xét lại bất kỳ phán quyết cư trú trước MLI nào đối với các công ty cư trú kép khi một hiệp ước được sửa đổi theo cách này bởi MLI miễn là tất cả các sự kiện quan trọng vẫn giữ nguyên và các thỏa thuận không vi phạm bài kiểm tra mục đích chính.180</w:t>
      </w:r>
    </w:p>
    <w:p>
      <w:pPr>
        <w:spacing w:after="80"/>
      </w:pPr>
      <w:r>
        <w:rPr>
          <w:b/>
          <w:i w:val="0"/>
        </w:rPr>
        <w:t>[K]Tác động của Cư trú Hiệp ước đối với Luật Nội địa</w:t>
      </w:r>
    </w:p>
    <w:p>
      <w:pPr>
        <w:spacing w:after="80"/>
      </w:pPr>
      <w:r>
        <w:rPr>
          <w:b w:val="0"/>
          <w:i w:val="0"/>
        </w:rPr>
        <w:t xml:space="preserve">Mặc dù việc đủ điều kiện là cư dân của một quốc gia ký kết theo luật nội địa của quốc gia đó là điều kiện tiên quyết để đủ điều kiện là cư dân hiệp ước theo Điều 4(1), việc giải quyết tình trạng cư trú kép bằng cách áp dụng các quy định phá vỡ thế bế tắc của hiệp ước không làm thay đổi tỷ lệ cư trú trong luật nội địa. Trong </w:t>
      </w:r>
      <w:r>
        <w:rPr>
          <w:b w:val="0"/>
          <w:i/>
        </w:rPr>
        <w:t>Black v The Queen</w:t>
      </w:r>
      <w:r>
        <w:rPr>
          <w:b w:val="0"/>
          <w:i w:val="0"/>
        </w:rPr>
        <w:t>,181 người nộp thuế là cư dân của Canada và Vương quốc Anh theo luật nội địa của cả hai quốc gia. Người ta đồng ý rằng theo quy tắc phá vỡ thế bế tắc trong Điều 4(2) của Hiệp ước Thuế Canada-Anh, ông phải được đối xử như một cư dân Vương quốc Anh. Tòa án Thuế Canada đã phán quyết rằng cụm từ 'vì mục đích của Công ước' trong Điều 4(1) có nghĩa là việc xác định quốc gia cư trú chỉ dành cho mục đích hiệp ước.</w:t>
      </w:r>
    </w:p>
    <w:p>
      <w:pPr>
        <w:spacing w:after="80"/>
      </w:pPr>
      <w:r>
        <w:rPr>
          <w:b w:val="0"/>
          <w:i w:val="0"/>
        </w:rPr>
        <w:t>Khi một công ty được coi là cư dân tại Vương quốc Anh vì mục đích thuế nội địa nhưng được coi là cư dân bên ngoài Vương quốc Anh và không cư trú tại Vương quốc Anh vì mục đích của bất kỳ hiệp ước nào, thì nó được coi là không cư trú tại Vương quốc Anh cho tất cả các mục đích thuế nội địa.182 Việc đối xử này là tự động và không cần yêu cầu giảm trừ theo hiệp ước liên quan.183</w:t>
      </w:r>
    </w:p>
    <w:p>
      <w:pPr>
        <w:spacing w:after="80"/>
      </w:pPr>
      <w:r>
        <w:rPr>
          <w:b w:val="0"/>
          <w:i w:val="0"/>
        </w:rPr>
        <w:t>Một công ty cư trú tại Vương quốc Anh do nơi thành lập hoặc nơi CMC của nó rõ ràng sẽ là cư dân của Vương quốc Anh theo định nghĩa này. Nếu CMC cũng ở một khu vực pháp lý khác, công ty vẫn sẽ là cư dân Vương quốc Anh, ít nhất là vì mục đích của Điều 4(1) của OECD Model.</w:t>
      </w:r>
    </w:p>
    <w:p>
      <w:pPr>
        <w:spacing w:after="80"/>
      </w:pPr>
      <w:r>
        <w:rPr>
          <w:b w:val="0"/>
          <w:i w:val="0"/>
        </w:rPr>
        <w:t xml:space="preserve">179. Điều 25(6). 180. HMRC, Sổ tay Thuế Quốc tế, INTM120070. Xem Chương 18, §18.02 về bài kiểm tra mục đích chính. 181. </w:t>
      </w:r>
      <w:r>
        <w:rPr>
          <w:b w:val="0"/>
          <w:i/>
        </w:rPr>
        <w:t>Black v The Queen</w:t>
      </w:r>
      <w:r>
        <w:rPr>
          <w:b w:val="0"/>
          <w:i w:val="0"/>
        </w:rPr>
        <w:t xml:space="preserve"> 2014 TCC 12 (CanLII); được xác nhận với tên gọi </w:t>
      </w:r>
      <w:r>
        <w:rPr>
          <w:b w:val="0"/>
          <w:i/>
        </w:rPr>
        <w:t>Black v Canada</w:t>
      </w:r>
      <w:r>
        <w:rPr>
          <w:b w:val="0"/>
          <w:i w:val="0"/>
        </w:rPr>
        <w:t>, 2014 FCA 275 (CanLII); đơn xin lên Tòa án Tối cao Canada bị từ chối. 182. CTA 2009, s. 18. 183. CTA 2009, s. 18(4).</w:t>
      </w:r>
    </w:p>
    <w:p>
      <w:pPr>
        <w:spacing w:after="80"/>
      </w:pPr>
      <w:r>
        <w:rPr>
          <w:b w:val="0"/>
          <w:i w:val="0"/>
        </w:rPr>
        <w:t>208</w:t>
      </w:r>
    </w:p>
    <w:p>
      <w:pPr>
        <w:spacing w:after="80"/>
      </w:pPr>
      <w:r>
        <w:rPr>
          <w:b w:val="0"/>
          <w:i w:val="0"/>
        </w:rPr>
        <w:t>Trong trường hợp của các cá nhân, FA 2013, Phần 4 đối xử với các cá nhân là cư dân không cư trú theo hiệp ước như những người không cư trú vì mục đích của các khoản thuế thu nhập và thuế lợi tức vốn đối với một số thu nhập và lợi nhuận nhất định của những người tạm thời không cư trú quay trở lại. Việc đối xử tương tự cũng áp dụng cho những người tạm thời không cư trú quay trở lại mà cơ sở chuyển tiền áp dụng trong ITTOIA 2005, s. 832A(4).</w:t>
      </w:r>
    </w:p>
    <w:p>
      <w:pPr>
        <w:spacing w:after="80"/>
      </w:pPr>
      <w:r>
        <w:rPr>
          <w:b/>
          <w:i w:val="0"/>
        </w:rPr>
        <w:t>§6.06 ĐIỀU KHOẢN BẢO LƯU</w:t>
      </w:r>
    </w:p>
    <w:p>
      <w:pPr>
        <w:spacing w:after="80"/>
      </w:pPr>
      <w:r>
        <w:rPr>
          <w:b w:val="0"/>
          <w:i w:val="0"/>
        </w:rPr>
        <w:t>Mặc dù, theo nguyên tắc chung, những người cư trú tại một quốc gia ký kết được hưởng các quyền lợi theo hiệp định, nhưng trong trường hợp ngoại lệ, một quốc gia ký kết có thể bảo lưu quyền đánh thuế đối với cư dân của chính mình bất chấp các điều khoản của hiệp định. Hiệp định US-UK (2001) bảo lưu quyền này theo các điều khoản sau:</w:t>
      </w:r>
    </w:p>
    <w:p>
      <w:pPr>
        <w:spacing w:after="80"/>
      </w:pPr>
      <w:r>
        <w:rPr>
          <w:b w:val="0"/>
          <w:i w:val="0"/>
        </w:rPr>
        <w:t>1(4) Bất chấp bất kỳ quy định nào của Công ước này ngoại trừ khoản 5 của Điều này, một Quốc gia ký kết có thể đánh thuế cư dân của mình (theo xác định tại Điều 4 (Cư trú)), và do quốc tịch có thể đánh thuế công dân của mình, như thể Công ước này chưa có hiệu lực.</w:t>
      </w:r>
    </w:p>
    <w:p>
      <w:pPr>
        <w:spacing w:after="80"/>
      </w:pPr>
      <w:r>
        <w:rPr>
          <w:b w:val="0"/>
          <w:i w:val="0"/>
        </w:rPr>
        <w:t xml:space="preserve">Một bảo lưu tương tự đã có trong Hiệp định US-UK (1975) nhưng không có trong hiệp định đầu tiên được ký kết giữa hai quốc gia vào năm 1945.184 Khi giải thích mục đích và cách vận hành của một điều khoản như vậy, Tòa phúc thẩm Hoa Kỳ đã nói trong </w:t>
      </w:r>
      <w:r>
        <w:rPr>
          <w:b w:val="0"/>
          <w:i/>
        </w:rPr>
        <w:t>American Trust Company v Collector of Internal Revenue and United States of America:</w:t>
      </w:r>
      <w:r>
        <w:rPr>
          <w:b w:val="0"/>
          <w:i w:val="0"/>
        </w:rPr>
        <w:t>185</w:t>
      </w:r>
    </w:p>
    <w:p>
      <w:pPr>
        <w:spacing w:after="80"/>
      </w:pPr>
      <w:r>
        <w:rPr>
          <w:b w:val="0"/>
          <w:i w:val="0"/>
        </w:rPr>
        <w:t>Mục đích của 'điều khoản bảo lưu', như chúng tôi hiểu, là để làm rõ rằng Hoa Kỳ bảo lưu quyền bao gồm tất cả các khoản thu nhập chịu thuế theo luật thuế của mình. Do đó, nếu ở đây chúng ta đang xử lý một hiệp định có chứa điều khoản bảo lưu, có thể sẽ đạt được một kết quả khác. Như vậy, có vẻ như điều khoản bảo lưu đã được đưa vào một số hiệp định với mục đích rõ ràng là nhằm giới hạn các khoản miễn trừ.186</w:t>
      </w:r>
    </w:p>
    <w:p>
      <w:pPr>
        <w:spacing w:after="80"/>
      </w:pPr>
      <w:r>
        <w:rPr>
          <w:b w:val="0"/>
          <w:i w:val="0"/>
        </w:rPr>
        <w:t>Trong trường hợp đó, việc Hiệp định US-UK không chứa 'điều khoản bảo lưu' được tìm thấy trong mười sáu trong số hai mươi hiệp định thuế mà Hoa Kỳ đàm phán là một chi tiết có ý nghĩa. Các hiệp định có chứa 'điều khoản bảo lưu' thông thường đã được Hoa Kỳ đàm phán cả trước và sau hiệp định với Vương quốc Anh. Việc thiếu điều khoản này trong Hiệp định US-UK được tòa án coi là bằng chứng thêm cho thấy ý định miễn thuế hoàn toàn đối với thu nhập từ lợi tức vốn thuộc về cư dân Vương quốc Anh, ngay cả khi theo luật nội địa Hoa Kỳ, khoản lợi tức đó được coi là của một cư dân Hoa Kỳ.</w:t>
      </w:r>
    </w:p>
    <w:p>
      <w:pPr>
        <w:spacing w:after="80"/>
      </w:pPr>
      <w:r>
        <w:rPr>
          <w:b w:val="0"/>
          <w:i w:val="0"/>
        </w:rPr>
        <w:t xml:space="preserve">Đánh thuế hai lần có thể phát sinh trong các trường hợp mà quyền đánh thuế công dân hoặc cư dân của một quốc gia được bảo lưu và hiệp định cho phép quốc gia ký kết kia đánh thuế. Kết quả là, các ngoại lệ được quy định tại Điều 1(5) của Hiệp định US-UK (2001). Những ngoại lệ này bao gồm việc loại bỏ đánh thuế hai lần thông qua tín dụng thuế theo Điều 23. Trong </w:t>
      </w:r>
      <w:r>
        <w:rPr>
          <w:b w:val="0"/>
          <w:i/>
        </w:rPr>
        <w:t>Bayfine UK</w:t>
      </w:r>
    </w:p>
    <w:p>
      <w:pPr>
        <w:spacing w:after="80"/>
      </w:pPr>
      <w:r>
        <w:rPr>
          <w:b w:val="0"/>
          <w:i w:val="0"/>
        </w:rPr>
        <w:t xml:space="preserve">184. Công ước Thuế Thu nhập giữa Hoa Kỳ và Vương quốc Liên hiệp Anh và Bắc Ireland ngày 16 tháng 4 năm 1945. 185. </w:t>
      </w:r>
      <w:r>
        <w:rPr>
          <w:b w:val="0"/>
          <w:i/>
        </w:rPr>
        <w:t>American Trust Company v Collector of Internal Revenue and United States of America</w:t>
      </w:r>
      <w:r>
        <w:rPr>
          <w:b w:val="0"/>
          <w:i w:val="0"/>
        </w:rPr>
        <w:t xml:space="preserve">, 247 F.2d 149, (9th Cir. 1957), ngày 8 tháng 7 năm 1957. Tương tự, trong </w:t>
      </w:r>
      <w:r>
        <w:rPr>
          <w:b w:val="0"/>
          <w:i/>
        </w:rPr>
        <w:t>Xilinx, Inc. v CIR</w:t>
      </w:r>
      <w:r>
        <w:rPr>
          <w:b w:val="0"/>
          <w:i w:val="0"/>
        </w:rPr>
        <w:t>, 567 F.3d 482 (9th Cir. 2009), tòa án nhận xét rằng Hiệp định Ireland-US cho phép rõ ràng một quốc gia ký kết áp dụng luật nội địa của mình đối với công dân của chính mình, ngay cả khi những luật đó xung đột với hiệp định. 186. Tại đoạn 33.</w:t>
      </w:r>
    </w:p>
    <w:p>
      <w:pPr>
        <w:spacing w:after="80"/>
      </w:pPr>
      <w:r>
        <w:rPr>
          <w:b w:val="0"/>
          <w:i w:val="0"/>
        </w:rPr>
        <w:t>209</w:t>
      </w:r>
    </w:p>
    <w:p>
      <w:pPr>
        <w:spacing w:after="80"/>
      </w:pPr>
      <w:r>
        <w:rPr>
          <w:b w:val="0"/>
          <w:i/>
        </w:rPr>
        <w:t>Products; Bayfine UK v R &amp; C Commrs</w:t>
      </w:r>
      <w:r>
        <w:rPr>
          <w:b w:val="0"/>
          <w:i w:val="0"/>
        </w:rPr>
        <w:t>187 các Ủy viên Đặc biệt cho rằng điều khoản bảo lưu sửa đổi các quy định phân chia quyền đánh thuế của hiệp định bằng cách quy định rằng nếu quốc gia có quyền đánh thuế độc quyền là Vương quốc Anh, thì Hoa Kỳ có thể đánh thuế cư dân và công dân của mình như thể hiệp định chưa có hiệu lực, với hệ quả là cả hai quốc gia đều có thể đánh thuế thu nhập trên toàn thế giới theo Hiệp định. Khả năng này được công nhận trong các quy tắc tín dụng thuế nước ngoài tại Điều 23 bằng cách sửa đổi các quy tắc nguồn được coi là trong điều đó. Điều này, họ kết luận, chứng minh tính chất thứ cấp của việc đánh thuế theo điều khoản bảo lưu, hoặc với tư cách là 'quốc gia cư trú thứ cấp', hoặc, nếu việc đánh thuế dựa trên quốc tịch, thì đó là thứ cấp so với việc đánh thuế dựa trên cư trú. Đối với mục đích tín dụng thuế của Hoa Kỳ, quy tắc nguồn được coi là chuyển nguồn sang Vương quốc Anh. Tòa phúc thẩm đồng ý với các Ủy viên Đặc biệt rằng cách tiếp cận của các Ủy viên Đặc biệt là đúng về mặt định hướng, nhưng không cho rằng cần thiết phải nói theo thuật ngữ quyền đánh thuế sơ cấp hay thứ cấp – quốc gia thực thi quyền theo điều khoản bảo lưu phải nhường bước.188</w:t>
      </w:r>
    </w:p>
    <w:p>
      <w:pPr>
        <w:spacing w:after="80"/>
      </w:pPr>
      <w:r>
        <w:rPr>
          <w:b w:val="0"/>
          <w:i w:val="0"/>
        </w:rPr>
        <w:t>Một dạng điều khoản bảo lưu hạn chế được tìm thấy trong các điều khoản về lợi tức vốn của một số hiệp định Vương quốc Anh. Ví dụ, Điều 13(6) của Hiệp định Thuế Switzerland-UK quy định rằng:</w:t>
      </w:r>
    </w:p>
    <w:p>
      <w:pPr>
        <w:spacing w:after="80"/>
      </w:pPr>
      <w:r>
        <w:rPr>
          <w:b w:val="0"/>
          <w:i w:val="0"/>
        </w:rPr>
        <w:t>Các quy định của khoản 5 (quyền đánh thuế nói chung chỉ dành cho quốc gia cư trú của người chuyển nhượng) sẽ không ảnh hưởng đến quyền của Vương quốc Anh đánh thuế theo luật của mình đối với lợi tức từ việc chuyển nhượng bất kỳ tài sản nào đối với một người là, và đã từng là cư dân của Vương quốc Anh vào bất kỳ thời điểm nào trong sáu năm tài chính trước đó, hoặc đối với một người là cư dân của Vương quốc Anh vào bất kỳ thời điểm nào trong năm tài chính mà tài sản được chuyển nhượng.</w:t>
      </w:r>
    </w:p>
    <w:p>
      <w:pPr>
        <w:spacing w:after="80"/>
      </w:pPr>
      <w:r>
        <w:rPr>
          <w:b w:val="0"/>
          <w:i w:val="0"/>
        </w:rPr>
        <w:t>Nếu đánh thuế hai lần xảy ra trong những trường hợp như vậy, không có cơ chế giảm thuế nào được quy định trong hiệp định ngoài việc thông qua thỏa thuận song phương giữa các cơ quan có thẩm quyền.189</w:t>
      </w:r>
    </w:p>
    <w:p>
      <w:pPr>
        <w:spacing w:after="80"/>
      </w:pPr>
      <w:r>
        <w:rPr>
          <w:b w:val="0"/>
          <w:i w:val="0"/>
        </w:rPr>
        <w:t>Nguồn gốc của điều khoản này là hệ thống của Hoa Kỳ đánh thuế công dân của mình bất kể họ có cư trú tại Hoa Kỳ hay không. Việc mở rộng quyền bảo lưu cho cư dân của một quốc gia ký kết làm phát sinh một số điều bất thường đi ngược lại mục tiêu của các hiệp định thuế hai lần. Điều này được làm nổi bật bởi Điều 11(1) của MLI, điều khoản này đưa ra một điều khoản bảo lưu như một quy định tùy chọn cho các hiệp định mà nó sửa đổi. Mười ngoại lệ đối với quyền bảo lưu được quy định tại Điều 11(1) để giải quyết những điều bất thường này.190</w:t>
      </w:r>
    </w:p>
    <w:p>
      <w:pPr>
        <w:spacing w:after="80"/>
      </w:pPr>
      <w:r>
        <w:rPr>
          <w:b/>
          <w:i w:val="0"/>
        </w:rPr>
        <w:t>§6.07 QUỐC TỊCH</w:t>
      </w:r>
    </w:p>
    <w:p>
      <w:pPr>
        <w:spacing w:after="80"/>
      </w:pPr>
      <w:r>
        <w:rPr>
          <w:b w:val="0"/>
          <w:i w:val="0"/>
        </w:rPr>
        <w:t>Nói một cách tổng quát, quốc tịch không phải là yếu tố quan trọng đối với nghĩa vụ thuế ở Vương quốc Anh. Mặc dù vậy, quốc tịch lại có ý nghĩa đối với một số khía cạnh của các hiệp định thuế. Nó đại diện cho tiêu chí dự phòng để xác định nơi cư trú của một cá nhân cho mục đích hiệp định trước</w:t>
      </w:r>
    </w:p>
    <w:p>
      <w:pPr>
        <w:spacing w:after="80"/>
      </w:pPr>
      <w:r>
        <w:rPr>
          <w:b w:val="0"/>
          <w:i w:val="0"/>
        </w:rPr>
        <w:t>187.</w:t>
      </w:r>
      <w:r>
        <w:rPr>
          <w:b w:val="0"/>
          <w:i/>
        </w:rPr>
        <w:t>BayfineUKProducts;BayfineUKvR&amp;CCommrs</w:t>
      </w:r>
      <w:r>
        <w:rPr>
          <w:b w:val="0"/>
          <w:i w:val="0"/>
        </w:rPr>
        <w:t>[2008]UKSPCSPC719(2008)SpC719;[2009] STC (SCD) 43.188.</w:t>
      </w:r>
      <w:r>
        <w:rPr>
          <w:b w:val="0"/>
          <w:i/>
        </w:rPr>
        <w:t>BayfineUKvRevenueandCustomsCommissioners</w:t>
      </w:r>
      <w:r>
        <w:rPr>
          <w:b w:val="0"/>
          <w:i w:val="0"/>
        </w:rPr>
        <w:t>[2011]BTC242;[2011]EWCACiv304;[2011] STC 717, paras 50 and 52.189.Xem Chương 20, §§20.04ff.190.Xem Chương 18, §18.03[B].</w:t>
      </w:r>
    </w:p>
    <w:p>
      <w:pPr>
        <w:spacing w:after="80"/>
      </w:pPr>
      <w:r>
        <w:rPr>
          <w:b w:val="0"/>
          <w:i w:val="0"/>
        </w:rPr>
        <w:t>210</w:t>
      </w:r>
    </w:p>
    <w:p>
      <w:pPr>
        <w:spacing w:after="80"/>
      </w:pPr>
      <w:r>
        <w:rPr>
          <w:b w:val="0"/>
          <w:i w:val="0"/>
        </w:rPr>
        <w:t>vấn đề này sẽ được cơ quan có thẩm quyền giải quyết.191 Điều này cũng có thể xác định nghĩa vụ thuế đối với dịch vụ chính phủ theo Điều 19.192 Điều này cũng liên quan đến một số điều khoản cấm phân biệt đối xử theo Điều 24, bao gồm việc trao quyền tài phán cho quốc gia mà người đó mang quốc tịch theo thủ tục thỏa thuận song phương. Điều này cũng có thể liên quan đến việc đánh thuế lương hưu an sinh xã hội193 và việc đánh thuế nhân viên chính phủ.194</w:t>
      </w:r>
    </w:p>
    <w:p>
      <w:pPr>
        <w:spacing w:after="80"/>
      </w:pPr>
      <w:r>
        <w:rPr>
          <w:b w:val="0"/>
          <w:i w:val="0"/>
        </w:rPr>
        <w:t>Hình thức định nghĩa thường được sử dụng từ năm 1981 được phản ánh trong Hiệp ước Mauritius-UK ngày 11 tháng 2 năm 1981. Điều 3(1)(c) quy định:</w:t>
      </w:r>
    </w:p>
    <w:p>
      <w:pPr>
        <w:spacing w:after="80"/>
      </w:pPr>
      <w:r>
        <w:rPr>
          <w:b w:val="0"/>
          <w:i w:val="0"/>
        </w:rPr>
        <w:t>(a) thuật ngữ 'quốc tịch' (national) có nghĩa là:</w:t>
      </w:r>
    </w:p>
    <w:p>
      <w:pPr>
        <w:spacing w:after="80"/>
      </w:pPr>
      <w:r>
        <w:rPr>
          <w:b w:val="0"/>
          <w:i w:val="0"/>
        </w:rPr>
        <w:t>(i) đối với UK, bất kỳ công dân nào của UK và các Thuộc địa (Colonies), hoặc bất kỳ</w:t>
      </w:r>
    </w:p>
    <w:p>
      <w:pPr>
        <w:spacing w:after="80"/>
      </w:pPr>
      <w:r>
        <w:rPr>
          <w:b w:val="0"/>
          <w:i w:val="0"/>
        </w:rPr>
        <w:t>thần dân Anh (British subject) nào không có quốc tịch đó hoặc quốc tịch của bất kỳ quốc gia hay lãnh thổ thuộc Khối Thịnh vượng chung (Commonwealth) nào khác, với điều kiện là trong cả hai trường hợp, người đó có quyền cư trú tại UK; và bất kỳ pháp nhân, hợp danh, hiệp hội hoặc thực thể nào khác có được địa vị đó theo luật đang có hiệu lực tại UK;</w:t>
      </w:r>
    </w:p>
    <w:p>
      <w:pPr>
        <w:spacing w:after="80"/>
      </w:pPr>
      <w:r>
        <w:rPr>
          <w:b w:val="0"/>
          <w:i w:val="0"/>
        </w:rPr>
        <w:t xml:space="preserve">Quốc tịch là một khái niệm rắc rối trong các hiệp ước của UK, phần lớn là do sự phức tạp của quốc tịch Anh phát sinh từ quá khứ thuộc địa. Các hiệp ước ban đầu với các thuộc địa hoặc cựu thuộc địa thường không đề cập đến quốc tịch. Các hiệp ước ban đầu khác có đề cập đến quốc tịch nhưng không có định nghĩa.195 Một số hiệp ước ban đầu khác, chẳng hạn như Cyprus-UK (1974), định nghĩa quốc tịch UK là 'bất kỳ công dân nào của UK và các thuộc địa có được địa vị đó từ mối liên hệ của mình với UK' (Điều 3(1)(j)(ii)). Trong </w:t>
      </w:r>
      <w:r>
        <w:rPr>
          <w:b w:val="0"/>
          <w:i/>
        </w:rPr>
        <w:t>Avery Jones v IRC</w:t>
      </w:r>
      <w:r>
        <w:rPr>
          <w:b w:val="0"/>
          <w:i w:val="0"/>
        </w:rPr>
        <w:t>,196 người ta đã phán quyết rằng quốc tịch 'của UK và các thuộc địa' là khái niệm quốc tịch duy nhất trong luật UK. Do đó, việc đề cập đến công dân UK trong một hiệp ước có nghĩa là đề cập đến quốc tịch đó. Vì vậy, hiện nay có hai loại cá nhân đủ điều kiện là công dân theo hầu hết các hiệp ước:</w:t>
      </w:r>
    </w:p>
    <w:p>
      <w:pPr>
        <w:spacing w:after="80"/>
      </w:pPr>
      <w:r>
        <w:rPr>
          <w:b w:val="0"/>
          <w:i w:val="0"/>
        </w:rPr>
        <w:t>– Công dân Anh (British citizens); và – Công dân Khối Thịnh vượng chung (Commonwealth citizens) có quyền cư trú tại UK.197</w:t>
      </w:r>
    </w:p>
    <w:p>
      <w:pPr>
        <w:spacing w:after="80"/>
      </w:pPr>
      <w:r>
        <w:rPr>
          <w:b w:val="0"/>
          <w:i w:val="0"/>
        </w:rPr>
        <w:t>Quốc tịch cũng có thể được trao cho những người và mối quan hệ khác vì mục đích hiệp ước. Địa vị này thường chỉ liên quan đến vấn đề không phân biệt đối xử. Do đó, một hợp danh, hiệp hội hoặc thực thể khác có được địa vị đó theo luật đang có hiệu lực tại UK là công dân UK vì mục đích hiệp ước. Điều này bao gồm các công ty và</w:t>
      </w:r>
    </w:p>
    <w:p>
      <w:pPr>
        <w:spacing w:after="80"/>
      </w:pPr>
      <w:r>
        <w:rPr>
          <w:b w:val="0"/>
          <w:i w:val="0"/>
        </w:rPr>
        <w:t>191.Xem §6.04.192.Xem Chương 11, §11.14 và §11.17.193.Xem Chương 11, §11.15.194.Xem Chương 11, §11.14.195.Xem Công ước giữa Chính phủ Vương quốc Liên hiệp Anh và Bắc Ireland và Chính phủ Israel về Việc tránh Đánh thuế Hai lần và Ngăn ngừa Trốn thuế đối với Thuế Thu nhập ngày 26 tháng 9 năm 1962 (SI 1963/616) và Hiệp ước Germany-UK (1964). Đặc biệt xem Germany, nơi một số điều khoản hiệp ước được điều chỉnh một phần bởi quốc tịch.196.</w:t>
      </w:r>
      <w:r>
        <w:rPr>
          <w:b w:val="0"/>
          <w:i/>
        </w:rPr>
        <w:t>Avery Jones (Rowley's Administrator) v Inland Revenue Commissioners</w:t>
      </w:r>
      <w:r>
        <w:rPr>
          <w:b w:val="0"/>
          <w:i w:val="0"/>
        </w:rPr>
        <w:t xml:space="preserve"> (1976) 51 TC 443.197.Xem ví dụ, Công ước giữa Chính phủ Vương quốc Liên hiệp Anh và Bắc Ireland và Chính phủ Cộng hòa Argentina về Việc tránh Đánh thuế Hai lần và Ngăn ngừa Trốn thuế đối với Thuế Thu nhập và Vốn ngày 3 tháng 1 năm 1996 (SI 1997/1777), Điều 3(1)(c)(i).</w:t>
      </w:r>
    </w:p>
    <w:p>
      <w:pPr>
        <w:spacing w:after="80"/>
      </w:pPr>
      <w:r>
        <w:rPr>
          <w:b w:val="0"/>
          <w:i w:val="0"/>
        </w:rPr>
        <w:t>211</w:t>
      </w:r>
    </w:p>
    <w:p>
      <w:pPr>
        <w:spacing w:after="80"/>
      </w:pPr>
      <w:r>
        <w:rPr>
          <w:b w:val="0"/>
          <w:i w:val="0"/>
        </w:rPr>
        <w:t>các pháp nhân khác và dường như bao gồm cả người được ủy thác (trustees). Việc mở rộng quốc tịch ra ngoài phạm vi cá nhân này đã biến mất trong Hiệp ước France-UK (2008).198</w:t>
      </w:r>
    </w:p>
    <w:p>
      <w:pPr>
        <w:spacing w:after="80"/>
      </w:pPr>
      <w:r>
        <w:rPr>
          <w:b w:val="0"/>
          <w:i w:val="0"/>
        </w:rPr>
        <w:t>Theo luật trong nước, không có đề cập đến công dân UK. Mục 56(3)(za) của ITA 2007 mở rộng các khoản trợ cấp cá nhân và giảm trừ cho những người không cư trú là công dân EEA.</w:t>
      </w:r>
    </w:p>
    <w:p>
      <w:pPr>
        <w:spacing w:after="80"/>
      </w:pPr>
      <w:r>
        <w:rPr>
          <w:b/>
          <w:i w:val="0"/>
        </w:rPr>
        <w:t>§6.08 QUỐC GIA VỚI TƯ CÁCH LÀ CƯ DÂN CỦA MỘT QUỐC GIA KÝ KẾT</w:t>
      </w:r>
    </w:p>
    <w:p>
      <w:pPr>
        <w:spacing w:after="80"/>
      </w:pPr>
      <w:r>
        <w:rPr>
          <w:b w:val="0"/>
          <w:i w:val="0"/>
        </w:rPr>
        <w:t>Bản thân một quốc gia không thể đủ điều kiện là cư dân của một quốc gia ký kết theo nghĩa thông thường của thuật ngữ này vì bản thân quốc gia đó thường không phải chịu thuế. Tuy nhiên, việc quốc gia được đưa vào một cách rõ ràng trong phạm vi của điều khoản về cư trú đã trở nên phổ biến. Ví dụ, Điều 4(1) của Hiệp ước China-UK (2011)199 bao gồm trong thuật ngữ 'cư dân của một Quốc gia Ký kết', 'quốc gia đó và bất kỳ phân khu chính trị hoặc chính quyền địa phương nào của quốc gia đó'. Ngôn ngữ này tuân theo mô hình OECD đã được sửa đổi vào năm 1995. Bình luận của OECD về Điều 4 khẳng định rằng việc đưa các từ này vào năm 1995 đã xác nhận sự hiểu biết chung trước đó của hầu hết các Quốc gia Thành viên. Một quốc gia thường đủ điều kiện được miễn thuế.200 Do thiếu sự đồng thuận quốc tế về giới hạn chính xác của quyền miễn trừ chủ quyền, việc đưa các quốc gia và các thực thể chính trị khác vào mang lại mức độ chắc chắn nhất định cho việc xử lý các hoạt động tài chính và thương mại xuyên biên giới của họ.</w:t>
      </w:r>
    </w:p>
    <w:p>
      <w:pPr>
        <w:spacing w:after="80"/>
      </w:pPr>
      <w:r>
        <w:rPr>
          <w:b w:val="0"/>
          <w:i w:val="0"/>
        </w:rPr>
        <w:t xml:space="preserve">Trên thực tế, phần lớn hoạt động tài chính và thương mại của các quốc gia được thực hiện một cách gián tiếp thông qua các thực thể do nhà nước thành lập. Địa vị của chúng trong vấn đề này kém rõ ràng hơn. Ở Vương quốc Anh, một thực thể riêng biệt không được hưởng quyền miễn trừ chung theo </w:t>
      </w:r>
      <w:r>
        <w:rPr>
          <w:b w:val="0"/>
          <w:i/>
        </w:rPr>
        <w:t>State Immunity Act</w:t>
      </w:r>
      <w:r>
        <w:rPr>
          <w:b w:val="0"/>
          <w:i w:val="0"/>
        </w:rPr>
        <w:t xml:space="preserve"> 1978. Một thực thể riêng biệt là thực thể tách biệt khỏi các cơ quan hành pháp của chính phủ Quốc gia và có khả năng khởi kiện hoặc bị kiện.201</w:t>
      </w:r>
    </w:p>
    <w:p>
      <w:pPr>
        <w:spacing w:after="80"/>
      </w:pPr>
      <w:r>
        <w:rPr>
          <w:b w:val="0"/>
          <w:i w:val="0"/>
        </w:rPr>
        <w:t>Các thực thể riêng biệt chỉ được miễn trừ đối với bất kỳ hành vi nào do chúng thực hiện trong việc thực thi quyền lực chủ quyền và nếu bản thân quốc gia đó cũng sẽ được miễn trừ trong các trường hợp tương tự.202 Do đó, một hãng hàng không thuộc sở hữu nhà nước đã bị xác định là không được hưởng quyền miễn trừ quốc gia203 Sự thiếu chắc chắn về phạm vi miễn trừ đã dẫn đến việc đưa các điều khoản cụ thể vào một số hiệp định đề cập đến địa vị của các thực thể riêng biệt trong các hiệp định thuế. Việc đưa vào rộng rãi các thực thể riêng biệt được thấy trong Hiệp định Pháp-Anh (2008), trong đó bao gồm là cư dân của một quốc gia ký kết ‘bất kỳ cơ quan luật định nào của Quốc gia đó, phân khu hoặc cơ quan có thẩm quyền’.204 Điều này có thể được đối chiếu với cách tiếp cận có mục tiêu được thấy trong Hiệp định Mỹ-Anh (2001), trong đó cư dân bao gồm một thực thể chính phủ đủ điều kiện là một phần của, hoặc được thành lập tại, Quốc gia đó.205 Một thực thể chính phủ đủ điều kiện được định nghĩa cẩn thận có nghĩa là:</w:t>
      </w:r>
    </w:p>
    <w:p>
      <w:pPr>
        <w:spacing w:after="80"/>
      </w:pPr>
      <w:r>
        <w:rPr>
          <w:b w:val="0"/>
          <w:i w:val="0"/>
        </w:rPr>
        <w:t>198. Điều 3(1)(c).199. Hiệp định giữa Chính phủ Vương quốc Liên hiệp Anh và Bắc Ireland và Chính phủ Cộng hòa Nhân dân Trung Hoa về Tránh đánh thuế hai lần và Ngăn ngừa trốn thuế liên quan đến Thuế đối với Thu nhập và Thu nhập từ vốn ngày 27 tháng 6 năm 2011 (SI 2011/2724).200. Xem Chương 1, §1.06.201.</w:t>
      </w:r>
      <w:r>
        <w:rPr>
          <w:b w:val="0"/>
          <w:i/>
        </w:rPr>
        <w:t>State Immunity Act</w:t>
      </w:r>
      <w:r>
        <w:rPr>
          <w:b w:val="0"/>
          <w:i w:val="0"/>
        </w:rPr>
        <w:t xml:space="preserve"> 1978, s. 14(1).202.</w:t>
      </w:r>
      <w:r>
        <w:rPr>
          <w:b w:val="0"/>
          <w:i/>
        </w:rPr>
        <w:t>State Immunity Act</w:t>
      </w:r>
      <w:r>
        <w:rPr>
          <w:b w:val="0"/>
          <w:i w:val="0"/>
        </w:rPr>
        <w:t xml:space="preserve"> 1978, s. 14(2).203.</w:t>
      </w:r>
      <w:r>
        <w:rPr>
          <w:b w:val="0"/>
          <w:i/>
        </w:rPr>
        <w:t>Kuwait Airways Corpn v Iraqi Airways Co</w:t>
      </w:r>
      <w:r>
        <w:rPr>
          <w:b w:val="0"/>
          <w:i w:val="0"/>
        </w:rPr>
        <w:t xml:space="preserve"> [1995] 3 All ER 694; [1995] 1 WLR 1147, HL.204. Hiệp định Thuế Pháp-Anh (2008), điều 4(1).205. Điều 4(3)(d).</w:t>
      </w:r>
    </w:p>
    <w:p>
      <w:pPr>
        <w:spacing w:after="80"/>
      </w:pPr>
      <w:r>
        <w:rPr>
          <w:b w:val="0"/>
          <w:i w:val="0"/>
        </w:rPr>
        <w:t>212</w:t>
      </w:r>
    </w:p>
    <w:p>
      <w:pPr>
        <w:spacing w:after="80"/>
      </w:pPr>
      <w:r>
        <w:rPr>
          <w:b w:val="0"/>
          <w:i w:val="0"/>
        </w:rPr>
        <w:t>(i) một Quốc gia ký kết, hoặc một phân khu chính trị hoặc chính quyền địa phương của một Quốc gia ký kết</w:t>
      </w:r>
    </w:p>
    <w:p>
      <w:pPr>
        <w:spacing w:after="80"/>
      </w:pPr>
      <w:r>
        <w:rPr>
          <w:b w:val="0"/>
          <w:i w:val="0"/>
        </w:rPr>
        <w:t>; (ii) một người thuộc sở hữu hoàn toàn, trực tiếp hoặc gián tiếp, bởi một Quốc gia ký kết hoặc một phân khu chính trị hoặc chính quyền địa phương của một Quốc gia ký kết, với điều kiện</w:t>
      </w:r>
    </w:p>
    <w:p>
      <w:pPr>
        <w:spacing w:after="80"/>
      </w:pPr>
      <w:r>
        <w:rPr>
          <w:b w:val="0"/>
          <w:i w:val="0"/>
        </w:rPr>
        <w:t>(A) nó được tổ chức theo luật pháp của Quốc gia ký kết; (B) thu nhập của nó được ghi có vào tài khoản riêng của nó mà không có phần thu nhập nào của nó thuộc về</w:t>
      </w:r>
    </w:p>
    <w:p>
      <w:pPr>
        <w:spacing w:after="80"/>
      </w:pPr>
      <w:r>
        <w:rPr>
          <w:b w:val="0"/>
          <w:i w:val="0"/>
        </w:rPr>
        <w:t>lợi ích của bất kỳ người tư nhân nào; (C) tài sản của nó thuộc về Quốc gia ký kết, phân khu chính trị hoặc chính quyền địa phương</w:t>
      </w:r>
    </w:p>
    <w:p>
      <w:pPr>
        <w:spacing w:after="80"/>
      </w:pPr>
      <w:r>
        <w:rPr>
          <w:b w:val="0"/>
          <w:i w:val="0"/>
        </w:rPr>
        <w:t>khi giải thể; và (D) nó không tiến hành hoạt động kinh doanh;206</w:t>
      </w:r>
    </w:p>
    <w:p>
      <w:pPr>
        <w:spacing w:after="80"/>
      </w:pPr>
      <w:r>
        <w:rPr>
          <w:b w:val="0"/>
          <w:i w:val="0"/>
        </w:rPr>
        <w:t>Một số hiệp định cũ hơn cấp các khoản giảm trừ cụ thể cho các nhà đầu tư nhà nước theo các điều khoản phân phối của hiệp định mặc dù quốc gia và các phân khu chính trị không được mô tả chung chung là cư dân của một quốc gia ký kết. Do đó, Hiệp định Philippines-Anh (1976) quy định miễn thuế tại quốc gia nguồn đối với tiền lãi được phát sinh và thuộc sở hữu hưởng lợi của chính phủ quốc gia ký kết kia, một phân khu chính trị hoặc chính quyền địa phương của quốc gia đó hoặc một ‘công cụ’ của Quốc gia kia.207 Một ‘công cụ’ trong bối cảnh này là bất kỳ cơ quan hoặc thực thể nào được tạo ra hoặc tổ chức bởi một trong hai chính phủ ký kết nhằm thực hiện các chức năng chính phủ.</w:t>
      </w:r>
    </w:p>
    <w:p>
      <w:pPr>
        <w:spacing w:after="80"/>
      </w:pPr>
      <w:r>
        <w:rPr>
          <w:b w:val="0"/>
          <w:i w:val="0"/>
        </w:rPr>
        <w:t>Các quỹ đầu tư quốc gia (sovereign wealth funds) được mô tả trong Bình luận của OECD là các quỹ đầu tư mục đích đặc biệt hoặc các thỏa thuận được tạo ra bởi một quốc gia hoặc một phân khu chính trị cho các mục đích kinh tế vĩ mô. Các quỹ này nắm giữ, quản lý hoặc điều hành tài sản để đạt được các mục tiêu tài chính, và sử dụng một tập hợp các chiến lược đầu tư bao gồm đầu tư vào tài sản tài chính nước ngoài. Chúng thường được thành lập từ thặng dư cán cân thanh toán, hoạt động ngoại hối chính thức, tiền thu được từ tư nhân hóa, thặng dư tài khóa hoặc các khoản thu từ xuất khẩu hàng hóa.208 Cần phân tích từng trường hợp cụ thể để xác định địa vị của các quỹ như vậy. HMRC cho rằng các quỹ đầu tư quốc gia, hoặc các phương tiện đầu tư tương tự, được thiết lập bởi các cường quốc có chủ quyền nước ngoài không phải là ‘cường quốc có chủ quyền nước ngoài’ theo TIOPA 2010, s. 339. Họ nói rằng các phương tiện như vậy có thể được cấu trúc theo nhiều cách khác nhau – chúng có thể là các thực thể doanh nghiệp, hoặc có thể không. Khi một quỹ đầu tư quốc gia nắm giữ lợi ích kiểm soát trong một tập đoàn cụ thể, cần áp dụng định nghĩa để quyết định liệu nó có phải là công ty mẹ tối hậu hay không. Nó không tự động được miễn trừ.209</w:t>
      </w:r>
    </w:p>
    <w:p>
      <w:pPr>
        <w:spacing w:after="80"/>
      </w:pPr>
      <w:r>
        <w:rPr>
          <w:b/>
          <w:i w:val="0"/>
        </w:rPr>
        <w:t>§6.09 CÁC THỰC THỂ ĐƯỢC ƯU ĐÃI THUẾ LÀ CƯ DÂN CỦA MỘT QUỐC GIA KÝ KẾT</w:t>
      </w:r>
    </w:p>
    <w:p>
      <w:pPr>
        <w:spacing w:after="80"/>
      </w:pPr>
      <w:r>
        <w:rPr>
          <w:b w:val="0"/>
          <w:i w:val="0"/>
        </w:rPr>
        <w:t>Trong khi tư cách pháp nhân và nghĩa vụ thuế dựa trên cơ sở cư trú hoặc các tiêu chí tương tự là trọng tâm để đủ điều kiện hưởng các lợi ích của hiệp định, một số hiệp định mở rộng lợi ích cho</w:t>
      </w:r>
    </w:p>
    <w:p>
      <w:pPr>
        <w:spacing w:after="80"/>
      </w:pPr>
      <w:r>
        <w:rPr>
          <w:b w:val="0"/>
          <w:i w:val="0"/>
        </w:rPr>
        <w:t>206. Điều 3(1).207. Công ước giữa Chính phủ Vương quốc Liên hiệp Anh và Bắc Ireland và Chính phủ Cộng hòa Philippines về Tránh đánh thuế hai lần và Ngăn ngừa trốn thuế liên quan đến Thuế đối với Thu nhập và Thu nhập từ vốn ngày 10 tháng 6 năm 1976 (SI 1978/184), điều 10(4).208. Ủy ban Các vấn đề Tài khóa của OECD, Bình luận về Điều 4 của Công ước Mẫu OECD về Thuế, đoạn 8.5 (tháng 7 năm 2014).209. HMRC, Sổ tay Tài chính Doanh nghiệp, CFM90270.</w:t>
      </w:r>
    </w:p>
    <w:p>
      <w:pPr>
        <w:spacing w:after="80"/>
      </w:pPr>
      <w:r>
        <w:rPr>
          <w:b w:val="0"/>
          <w:i w:val="0"/>
        </w:rPr>
        <w:t>213</w:t>
      </w:r>
    </w:p>
    <w:p>
      <w:pPr>
        <w:spacing w:after="80"/>
      </w:pPr>
      <w:r>
        <w:rPr>
          <w:b w:val="0"/>
          <w:i w:val="0"/>
        </w:rPr>
        <w:t>các thỏa thuận không có tư cách pháp nhân theo luật chung hoặc cho mục đích thuế, và tương tự, cho các cá nhân hoặc thỏa thuận được ưu đãi thuế. Quan trọng nhất là các quỹ hưu trí và các tổ chức từ thiện. Để minh họa, Hiệp định Thuế Barbados-Anh (2012) bao gồm trong thuật ngữ ‘cư dân của một Quốc gia ký kết’:</w:t>
      </w:r>
    </w:p>
    <w:p>
      <w:pPr>
        <w:spacing w:after="80"/>
      </w:pPr>
      <w:r>
        <w:rPr>
          <w:b w:val="0"/>
          <w:i w:val="0"/>
        </w:rPr>
        <w:t>(a) một chương trình hưu trí được thành lập tại Quốc gia đó; và (b) một tổ chức được thành lập và hoạt động hoàn toàn vì mục đích tôn giáo,</w:t>
      </w:r>
    </w:p>
    <w:p>
      <w:pPr>
        <w:spacing w:after="80"/>
      </w:pPr>
      <w:r>
        <w:rPr>
          <w:b w:val="0"/>
          <w:i w:val="0"/>
        </w:rPr>
        <w:t>từ thiện, khoa học, văn hóa hoặc giáo dục (hoặc vì nhiều hơn một trong những mục đích đó) và là đối tượng cư trú của Quốc gia đó theo luật của Quốc gia đó, bất kể toàn bộ hoặc một phần thu nhập hoặc lợi nhuận của tổ chức đó có thể được miễn thuế theo luật trong nước của Quốc gia đó.210</w:t>
      </w:r>
    </w:p>
    <w:p>
      <w:pPr>
        <w:spacing w:after="80"/>
      </w:pPr>
      <w:r>
        <w:rPr>
          <w:b w:val="0"/>
          <w:i w:val="0"/>
        </w:rPr>
        <w:t>Vì mục đích này, chương trình hưu trí là bất kỳ chương trình hoặc thỏa thuận nào khác được thành lập tại một quốc gia ký kết mà nói chung được miễn thuế thu nhập tại quốc gia đó; và hoạt động để quản lý hoặc cung cấp các quyền lợi hưu trí hoặc nghỉ hưu hoặc để kiếm thu nhập vì lợi ích của một hoặc nhiều thỏa thuận như vậy.211</w:t>
      </w:r>
    </w:p>
    <w:p>
      <w:pPr>
        <w:spacing w:after="80"/>
      </w:pPr>
      <w:r>
        <w:rPr>
          <w:b w:val="0"/>
          <w:i w:val="0"/>
        </w:rPr>
        <w:t xml:space="preserve">Việc áp dụng các quy định tương tự trong Điều 3(1)(o) của Hiệp định Thuế US-UK (2001) đối với một chương trình hưu trí được thành lập bởi Ngân hàng Thế giới đã được xem xét trong </w:t>
      </w:r>
      <w:r>
        <w:rPr>
          <w:b w:val="0"/>
          <w:i/>
        </w:rPr>
        <w:t xml:space="preserve"> Macklin v Revenue and Customs Commissioners.</w:t>
      </w:r>
      <w:r>
        <w:rPr>
          <w:b w:val="0"/>
          <w:i w:val="0"/>
        </w:rPr>
        <w:t>212 Kế hoạch Hưu trí Nhân viên của Ngân hàng Thế giới được thành lập vào năm 1948 tại Washington DC bởi Ngân hàng Thế giới, nơi có trụ sở chính, để cung cấp các quyền lợi hưu trí cho nhân viên của mình. Theo văn bản quản lý của chương trình, ngân hàng là người được ủy thác và chương trình được quản lý tại trụ sở chính của ngân hàng. Ngân hàng Thế giới được miễn thuế và phần lớn nằm ngoài thẩm quyền của các tòa án Hoa Kỳ. Các quyền miễn trừ tương tự cũng được áp dụng cho chương trình vốn được điều chỉnh bởi luật quốc tế. Chương trình được quản lý theo cùng cách như một kế hoạch hưu trí đủ điều kiện cho mục đích thuế thu nhập Hoa Kỳ, ngoại trừ việc nó không phải là một 'tín thác trong nước' cho mục đích thuế Hoa Kỳ vì nó không nằm dưới sự kiểm soát của người Hoa Kỳ và không có tòa án Hoa Kỳ nào có thể thực hiện giám sát chính đối với việc quản lý tín thác do các quyền miễn trừ mà Ngân hàng Thế giới được hưởng (và do đó được 'thành lập hoặc tổ chức' bên ngoài Hoa Kỳ cho mục đích luật thuế Hoa Kỳ về hưu trí). Cơ quan Thuế Nội địa Hoa Kỳ đã phán quyết rằng nó đáp ứng tất cả các yêu cầu để đủ điều kiện là một kế hoạch hưu trí Hoa Kỳ ngoại trừ việc nó không được 'thành lập hoặc tổ chức' tại Hoa Kỳ. Thẩm phán Newey đã phán quyết rằng 'được thành lập tại' đề cập đến vị trí thực tế của chương trình hưu trí, tức là nơi nó được thiết lập và quản lý. Ông đã bác bỏ quan điểm của HMRC rằng 'được thành lập tại' có nghĩa là 'theo hoặc phù hợp với luật thuế của quốc gia ký kết liên quan liên quan đến các chương trình hưu trí'. Tương tự, ông phán quyết rằng chương trình hưu trí của Ngân hàng Thế giới nói chung được miễn thuế thu nhập trong phạm vi Điều 3(1)(o) do quyền miễn trừ thuế contained trong Điều lệ Hiệp hội của Ngân hàng Thế giới (hiệp ước thành lập ngân hàng) vốn được đưa vào luật Hoa Kỳ. Không có lý do chính đáng để kết luận rằng chỉ miễn trừ theo các quy tắc thuế Hoa Kỳ liên quan đến các chương trình hưu trí mới đủ.</w:t>
      </w:r>
    </w:p>
    <w:p>
      <w:pPr>
        <w:spacing w:after="80"/>
      </w:pPr>
      <w:r>
        <w:rPr>
          <w:b w:val="0"/>
          <w:i w:val="0"/>
        </w:rPr>
        <w:t xml:space="preserve">210. Công ước giữa Barbados và Vương quốc Liên hiệp Anh và Bắc Ireland về Việc Tránh Đánh Thuế Hai Lần và Ngăn Ngừa Trốn Thuế Liên quan đến Thuế Thu nhập và Thuế Tài sản ngày 26 tháng 4 năm 2012 (SI 2012/3076), Điều 4(1). 211. Điều 3(1)(j). 212. </w:t>
      </w:r>
      <w:r>
        <w:rPr>
          <w:b w:val="0"/>
          <w:i/>
        </w:rPr>
        <w:t>Macklin v Revenue and Customs Commissioners</w:t>
      </w:r>
      <w:r>
        <w:rPr>
          <w:b w:val="0"/>
          <w:i w:val="0"/>
        </w:rPr>
        <w:t xml:space="preserve"> [2015] BTC 503, [2015] UKUT 0039 (TCC), [2015] STC 1102.</w:t>
      </w:r>
    </w:p>
    <w:p>
      <w:pPr>
        <w:spacing w:after="80"/>
      </w:pPr>
      <w:r>
        <w:rPr>
          <w:b w:val="0"/>
          <w:i w:val="0"/>
        </w:rPr>
        <w:t>214</w:t>
      </w:r>
    </w:p>
    <w:p>
      <w:pPr>
        <w:spacing w:after="80"/>
      </w:pPr>
      <w:r>
        <w:rPr>
          <w:b w:val="0"/>
          <w:i w:val="0"/>
        </w:rPr>
        <w:t>Tư cách pháp nhân không phải là điều kiện tiên quyết để đủ điều kiện là một chương trình hưu trí, do đó các thỏa thuận hợp đồng hoặc các thỏa thuận khác sẽ đủ. Hơn nữa, việc miễn thuế thu nhập là bắt buộc đối với cả các chương trình hưu trí và các tổ chức từ thiện hoặc tổ chức dịch vụ công khác, không giống như định nghĩa thông thường về cư trú, nơi việc miễn thuế có thể dẫn đến việc một người không đủ điều kiện là cư dân của một quốc gia ký kết.213</w:t>
      </w:r>
    </w:p>
    <w:p>
      <w:pPr>
        <w:spacing w:after="80"/>
      </w:pPr>
      <w:r>
        <w:rPr>
          <w:b w:val="0"/>
          <w:i w:val="0"/>
        </w:rPr>
        <w:t>Cả các chương trình hưu trí và các tổ chức từ thiện đều không được miễn hoàn toàn thuế Vương quốc Anh theo luật trong nước. Thu nhập đầu tư được giữ cho mục đích của một chương trình hưu trí đã đăng ký và hoa hồng bảo lãnh phát hành nói chung được miễn trong trường hợp các chương trình hưu trí đã đăng ký tại Vương quốc Anh214 và lợi nhuận vốn của các quỹ hưu trí đã đăng ký được loại trừ khỏi lợi nhuận chịu thuế.215 Các tổ chức từ thiện cũng tương tự không được hưởng miễn trừ chung khỏi thuế. Các miễn trừ được cung cấp bởi một loạt các quy tắc liên quan đến các nguồn thu nhập cụ thể trong các trường hợp cụ thể, cả liên quan đến các tín thác từ thiện và các công ty từ thiện216 Do đó, những người quản lý chương trình hưu trí là cư dân Vương quốc Anh và các tín thác hoặc công ty từ thiện cư trú tại Vương quốc Anh nên đủ điều kiện là cư dân của Vương quốc Anh theo ngôn ngữ thông thường của các hiệp ước được mô phỏng theo Điều 4(1) của Mẫu OECD ngay cả khi các miễn trừ mà họ được hưởng có thể rộng. Việc đưa vào cụ thể các quỹ hưu trí và tổ chức từ thiện nhằm mục đích mở rộng phạm vi cá nhân của các hiệp ước như vậy thay vì hạn chế nó. Do đó, các tổ chức từ thiện và quỹ hưu trí của Vương quốc Anh sẽ không bị loại trừ ngay cả khi người ta cho rằng chúng không được miễn trừ đủ để đủ điều kiện theo nghĩa mở rộng của cư dân. Hiệp định Barbados-UK không yêu cầu miễn trừ hoàn toàn cho các tổ chức từ thiện. Các hiệp ước khác giải quyết những bất thường như vậy bằng thỏa thuận cụ thể. Nghị định thư của Hiệp định Thuế Japan-UK (2006) coi một số quỹ hưu trí Nhật Bản nhất định được miễn trừ cho mục đích của hiệp ước.217</w:t>
      </w:r>
    </w:p>
    <w:p>
      <w:pPr>
        <w:spacing w:after="80"/>
      </w:pPr>
      <w:r>
        <w:rPr>
          <w:b w:val="0"/>
          <w:i w:val="0"/>
        </w:rPr>
        <w:t>213. Xem thêm Chương 17, §17.06 về các thực thể được ưu đãi thuế được loại trừ cụ thể khỏi các quyền lợi hiệp ước. 214. FA 2002, s. 186. 215. TCGA 1992, s. 271(1A). 216. Lợi nhuận của hoạt động thương mại từ thiện: ITA 2007, s. 524, CTA 2010, s. 478; thu nhập tài sản: ITA 2007, s. 531, CTA 2010, s. 485; thu nhập đầu tư: ITA 2007, s. 532, CTA 2010, s. 486; thu nhập hỗn hợp: ITA 2007, s. 527, CTA 2010, s. 481 và lợi nhuận vốn: TCGA 1992, s. 256(1). 217. Nghị định thư ngày 2 tháng 2 năm 2006 liên quan đến Hiệp định Japan-UK (2006), Điều 1.</w:t>
      </w:r>
    </w:p>
    <w:p>
      <w:pPr>
        <w:spacing w:after="80"/>
      </w:pPr>
      <w:r>
        <w:rPr>
          <w:b w:val="0"/>
          <w:i w:val="0"/>
        </w:rPr>
        <w:t>215</w:t>
      </w:r>
    </w:p>
    <w:p>
      <w:pPr>
        <w:spacing w:before="240" w:after="80"/>
      </w:pPr>
      <w:r>
        <w:rPr>
          <w:b/>
          <w:sz w:val="32"/>
        </w:rPr>
        <w:t>CHƯƠNG 7 Cơ sở Thường trú</w:t>
      </w:r>
    </w:p>
    <w:p>
      <w:pPr>
        <w:spacing w:after="80"/>
      </w:pPr>
      <w:r>
        <w:rPr>
          <w:b/>
          <w:i w:val="0"/>
        </w:rPr>
        <w:t>§7.01 NỀN TẢNG CỦA THUẾ KINH DOANH XUYÊN BIÊN GIỚI</w:t>
      </w:r>
    </w:p>
    <w:p>
      <w:pPr>
        <w:spacing w:after="80"/>
      </w:pPr>
      <w:r>
        <w:rPr>
          <w:b w:val="0"/>
          <w:i w:val="0"/>
        </w:rPr>
        <w:t>Cơ sở thường trú (Permanent Establishment - PE) tạo thành nền tảng của các quy tắc hiệp ước liên quan đến việc đánh thuế kinh doanh xuyên biên giới. Trong tất cả các hiệp ước, nó tạo thành ngưỡng tối thiểu phải được đáp ứng trước khi lợi nhuận kinh doanh có thể bị đánh thuế tại quốc gia tiếp nhận. Các hiệp ước hiện đại quy định rằng lợi nhuận của một doanh nghiệp của một quốc gia ký kết chỉ có thể bị đánh thuế tại quốc gia đó trừ khi doanh nghiệp tiến hành kinh doanh tại quốc gia ký kết kia thông qua một PE nằm tại đó. Nguyên tắc chính này thường được quy định trong Điều 7(1). Điều đó đề cập đến việc phân bổ lợi nhuận cho một PE như vậy nếu nó tồn tại theo các quy tắc trong Điều 5. Một số điều khoản đưa ra các ngoại lệ cụ thể và hẹp đối với các quy tắc này. Khi thu nhập đầu tư dưới dạng lãi, cổ tức, tiền bản quyền hoặc các khoản mục không được đề cập cụ thể trong hiệp ước ('thu nhập khác') được quy cho một PE, thì các giới hạn thông thường về đánh thuế các khoản mục thu nhập đó sẽ bị bãi bỏ.1 Tương tự, thẩm quyền đánh thuế lợi nhuận vốn tại quốc gia tiếp nhận một phần dựa trên sự tồn tại của một PE.2 Thu nhập từ việc làm liên quan đến các nhiệm vụ được thực hiện tại quốc gia tiếp nhận bởi một nhân viên lưu trú ngắn hạn cũng được đặt phụ thuộc vào sự tồn tại của một PE tại quốc gia đó.3 Các biện pháp thuế phân biệt đối xử chống lại các PE bị cấm.4 Nguyên tắc PE cũng được tìm thấy trong một số hiệp ước thuế thừa kế và quà tặng nhất định. Do đó, quyền đánh các loại thuế đó đối với các cá nhân không cư trú tại quốc gia nơi tài sản kinh doanh tọa lạc thường được giới hạn ở các tài sản tạo thành một phần của một PE.5</w:t>
      </w:r>
    </w:p>
    <w:p>
      <w:pPr>
        <w:spacing w:after="80"/>
      </w:pPr>
      <w:r>
        <w:rPr>
          <w:b w:val="0"/>
          <w:i w:val="0"/>
        </w:rPr>
        <w:t>1. Điều 10(4), 11(5), 12(3) và 21(2). 2. Điều 13(2). 3. Điều 15(2)(c). 4. Điều 24(3). 5. Công ước giữa Vương quốc Liên hiệp Anh và Bắc Ireland và Vương quốc Hà Lan về Việc Tránh Đánh Thuế Hai Lần và Ngăn Ngừa Trốn Thuế Liên quan đến Thuế đối với Tài sản của Người Đã Chết và Thừa kế và Thuế Quà tặng ngày 11 tháng 12 năm 1979 (SI 1980/706), Điều 6; Công ước giữa Chính phủ Vương quốc Liên hiệp Anh và Bắc Ireland và Chính phủ Cộng hòa Nam Phi về Việc Tránh Đánh Thuế Hai Lần và Ngăn Ngừa Trốn Thuế Liên quan đến Thuế đối với Tài sản của Người Đã Chết và Thuế Quà tặng ngày 31 tháng 7 năm 1978 (SI 1979/576),</w:t>
      </w:r>
    </w:p>
    <w:p>
      <w:pPr>
        <w:spacing w:after="80"/>
      </w:pPr>
      <w:r>
        <w:rPr>
          <w:b w:val="0"/>
          <w:i w:val="0"/>
        </w:rPr>
        <w:t>217</w:t>
      </w:r>
    </w:p>
    <w:p>
      <w:pPr>
        <w:spacing w:after="80"/>
      </w:pPr>
      <w:r>
        <w:rPr>
          <w:b/>
          <w:i w:val="0"/>
        </w:rPr>
        <w:t>§7.02 Ý NGHĨA CỦA PE</w:t>
      </w:r>
    </w:p>
    <w:p>
      <w:pPr>
        <w:spacing w:after="80"/>
      </w:pPr>
      <w:r>
        <w:rPr>
          <w:b w:val="0"/>
          <w:i w:val="0"/>
        </w:rPr>
        <w:t>Có hai khái niệm về cơ sở thường trú (PE) được thể hiện trong Điều 5 của Mẫu OECD:</w:t>
      </w:r>
    </w:p>
    <w:p>
      <w:pPr>
        <w:spacing w:after="80"/>
      </w:pPr>
      <w:r>
        <w:rPr>
          <w:b w:val="0"/>
          <w:i w:val="0"/>
        </w:rPr>
        <w:t>(1)</w:t>
      </w:r>
      <w:r>
        <w:rPr>
          <w:b w:val="0"/>
          <w:i/>
        </w:rPr>
        <w:t>cơ sở thường trú vật chất:</w:t>
      </w:r>
      <w:r>
        <w:rPr>
          <w:b w:val="0"/>
          <w:i w:val="0"/>
        </w:rPr>
        <w:t xml:space="preserve"> đây là một địa điểm kinh doanh cố định mà qua đó hoạt động kinh doanh của</w:t>
      </w:r>
    </w:p>
    <w:p>
      <w:pPr>
        <w:spacing w:after="80"/>
      </w:pPr>
      <w:r>
        <w:rPr>
          <w:b w:val="0"/>
          <w:i w:val="0"/>
        </w:rPr>
        <w:t>doanh nghiệp được thực hiện toàn bộ hoặc một phần; và (2)</w:t>
      </w:r>
      <w:r>
        <w:rPr>
          <w:b w:val="0"/>
          <w:i/>
        </w:rPr>
        <w:t>cơ sở thường trú đại lý:</w:t>
      </w:r>
      <w:r>
        <w:rPr>
          <w:b w:val="0"/>
          <w:i w:val="0"/>
        </w:rPr>
        <w:t xml:space="preserve"> điều này áp dụng cho các đại lý phụ thuộc thực hiện quyền hạn của họ để</w:t>
      </w:r>
    </w:p>
    <w:p>
      <w:pPr>
        <w:spacing w:after="80"/>
      </w:pPr>
      <w:r>
        <w:rPr>
          <w:b w:val="0"/>
          <w:i w:val="0"/>
        </w:rPr>
        <w:t>ký kết hợp đồng.</w:t>
      </w:r>
    </w:p>
    <w:p>
      <w:pPr>
        <w:spacing w:after="80"/>
      </w:pPr>
      <w:r>
        <w:rPr>
          <w:b w:val="0"/>
          <w:i w:val="0"/>
        </w:rPr>
        <w:t>Một số chức năng hạn chế nhất định được loại trừ khỏi việc cấu thành một cơ sở thường trú như một ngoại lệ đối với hai khái niệm cơ bản này. Điểm chung của các ngoại lệ này là tính chất chuẩn bị hoặc hỗ trợ của chúng. Định nghĩa về cơ sở thường trú trong Điều 5 của Công ước Mẫu OECD đã duy trì một cách đáng kinh ngạc sự ổn định. Nó đã không được sửa đổi kể từ Công ước Mẫu 1977 cho đến Mẫu 2017. Thật vậy, sự khác biệt giữa Dự thảo Công ước 1963 và mẫu 1977 là tương đối nhỏ. Ngoài ra, Vương quốc Anh đã ký kết một số lượng hạn chế các hiệp ước có hiệu lực dựa trên cơ sở thứ ba mới hơn cho sự tồn tại của một cơ sở thường trú, phù hợp rộng rãi với Mẫu Hiệp ước UN, Điều 5(3)(b), đến mức chỉ việc cung cấp dịch vụ tại quốc gia nguồn sẽ cấu thành một cơ sở thường trú.</w:t>
      </w:r>
    </w:p>
    <w:p>
      <w:pPr>
        <w:spacing w:after="80"/>
      </w:pPr>
      <w:r>
        <w:rPr>
          <w:b w:val="0"/>
          <w:i w:val="0"/>
        </w:rPr>
        <w:t>Định nghĩa này đã chịu áp lực trong thời gian gần đây. Bình luận của OECD về Điều 5 vẫn không được sửa đổi từ năm 1977 cho đến năm 1992. Bình luận lại được sửa đổi vào năm 2000 và sau đó vào các năm 2003, 2005, 2008 và 2010. Vào năm 2010, OECD đã khởi xướng một cuộc rà soát toàn diện về cách giải thích Điều 5 của Mẫu OECD, trong đó xác định hai mươi lăm vấn đề cần xem xét.6 Dự án này không đề xuất thay đổi định nghĩa trong Mẫu mà chỉ nhằm giải quyết các vấn đề thông qua Bình luận. Dự án Xói mòn Cơ sở Thuế và Chuyển dịch Lợi nhuận (BEPS) của OECD được công bố vào năm 20137</w:t>
      </w:r>
    </w:p>
    <w:p>
      <w:pPr>
        <w:spacing w:after="80"/>
      </w:pPr>
      <w:r>
        <w:rPr>
          <w:b w:val="0"/>
          <w:i w:val="0"/>
        </w:rPr>
        <w:t>đã đẩy dự án về giải thích Điều 5 sang một bên. Các đề xuất trong một số kế hoạch hành động liên quan đến định nghĩa về cơ sở thường trú đã làm rõ rằng chỉ những thay đổi đối với định nghĩa trong các hiệp ước mới có thể đạt được những cải cách mà OECD dự kiến.8 Cụ thể, Hành động 7 của OECD BEPS đã đề xuất những thay đổi đáng kể đối với định nghĩa trong Điều 5 được phản ánh trong</w:t>
      </w:r>
    </w:p>
    <w:p>
      <w:pPr>
        <w:spacing w:after="80"/>
      </w:pPr>
      <w:r>
        <w:rPr>
          <w:b w:val="0"/>
          <w:i w:val="0"/>
        </w:rPr>
        <w:t>Điều 7; Công ước giữa Chính phủ Vương quốc Liên hiệp Anh và Bắc Ireland và Chính phủ Vương quốc Thụy Điển về Tránh đánh thuế hai lần và Ngăn ngừa Trốn thuế đối với Thuế đối với Tài sản của Người đã qua đời và Thừa kế và Quà tặng ngày 8 tháng 10 năm 1980 (SI 1981/840), Điều 7; Công ước giữa Vương quốc Liên hiệp Anh và Bắc Ireland và Liên bang Thụy Sĩ về Tránh đánh thuế hai lần đối với Thuế đối với Tài sản và Thừa kế ngày 17 tháng 12 năm 1993 (SI 1994/3214), Điều 7; Công ước giữa Chính phủ Vương quốc Liên hiệp Anh và Bắc Ireland và Chính phủ Hợp chủng quốc Hoa Kỳ về Tránh đánh thuế hai lần và Ngăn ngừa Trốn thuế tài chính đối với Thuế đối với Tài sản của Người đã qua đời và Quà tặng ngày 19 tháng 10 năm 1978 (SI 1979/1454), Điều 7.6. OECD, các dự thảo thảo luận về 'Giải thích và Áp dụng Điều 5 (Cơ sở Thường trú) của Công ước Mẫu Thuế OECD', ngày 12 tháng 10 năm 2011 và ngày 19 tháng 10 năm 2012.7. OECD (2013), Giải quyết Xói mòn Cơ sở Thuế và Chuyển dịch Lợi nhuận.8. OECD (2013), Kế hoạch Hành động về Xói mòn Cơ sở Thuế và Chuyển dịch Lợi nhuận, OECD Publishing. Các Hành động 1, 6 và 7.</w:t>
      </w:r>
    </w:p>
    <w:p>
      <w:pPr>
        <w:spacing w:after="80"/>
      </w:pPr>
      <w:r>
        <w:rPr>
          <w:b w:val="0"/>
          <w:i w:val="0"/>
        </w:rPr>
        <w:t>218</w:t>
      </w:r>
    </w:p>
    <w:p>
      <w:pPr>
        <w:spacing w:after="80"/>
      </w:pPr>
      <w:r>
        <w:rPr>
          <w:b w:val="0"/>
          <w:i w:val="0"/>
        </w:rPr>
        <w:t>Mẫu OECD và UN năm 2017 và Công ước Đa phương để Thực hiện các Biện pháp Liên quan đến Hiệp ước Thuế nhằm Ngăn ngừa Xói mòn Cơ sở Thuế và Chuyển dịch Lợi nhuận (MLI).9</w:t>
      </w:r>
    </w:p>
    <w:p>
      <w:pPr>
        <w:spacing w:after="80"/>
      </w:pPr>
      <w:r>
        <w:rPr>
          <w:b w:val="0"/>
          <w:i w:val="0"/>
        </w:rPr>
        <w:t>Bất chấp sự nhất quán về ngôn ngữ trong các hiệp ước mẫu, kết quả của các cuộc đàm phán đã tạo ra các điều khoản về cơ sở thường trú rất khác nhau trong mạng lưới Hiệp ước của Vương quốc Anh. Mặc dù các khái niệm cơ bản về địa điểm kinh doanh cố định và đại lý này là phổ biến trong tất cả các hiệp ước, định nghĩa chính xác của mỗi khái niệm lại thay đổi rất nhiều từ hiệp ước này sang hiệp ước khác. Các hiệp ước được xây dựng theo các mẫu phân biệt giữa cơ sở thường trú vật chất và cơ sở thường trú đại lý, nhưng một số hiệp ước ban đầu không làm rõ sự phân biệt này lắm. Do đó, trong Hiệp ước Belize-UK (1947), định nghĩa cốt lõi được đọc như sau:</w:t>
      </w:r>
    </w:p>
    <w:p>
      <w:pPr>
        <w:spacing w:after="80"/>
      </w:pPr>
      <w:r>
        <w:rPr>
          <w:b/>
          <w:i w:val="0"/>
        </w:rPr>
        <w:t>Điều 2(1)(k)</w:t>
      </w:r>
      <w:r>
        <w:rPr>
          <w:b w:val="0"/>
          <w:i w:val="0"/>
        </w:rPr>
        <w:t xml:space="preserve"> Thuật ngữ 'cơ sở thường trú' khi được sử dụng đối với một doanh nghiệp của một trong các lãnh thổ, có nghĩa là một chi nhánh, ban quản lý hoặc địa điểm kinh doanh cố định khác, nhưng không bao gồm một đại lý trừ khi đại lý đó có, và thường xuyên thực hiện, quyền hạn chung để đàm phán và ký kết hợp đồng thay mặt cho doanh nghiệp đó.</w:t>
      </w:r>
    </w:p>
    <w:p>
      <w:pPr>
        <w:spacing w:after="80"/>
      </w:pPr>
      <w:r>
        <w:rPr>
          <w:b w:val="0"/>
          <w:i w:val="0"/>
        </w:rPr>
        <w:t xml:space="preserve">Ngôn ngữ tương tự đã được Tòa án Tối cao Canada xem xét liên quan đến Hiệp ước Canada-Ireland (1955) trong </w:t>
      </w:r>
      <w:r>
        <w:rPr>
          <w:b w:val="0"/>
          <w:i/>
        </w:rPr>
        <w:t>MNR v Tara Exploration and Development Co. Ltd</w:t>
      </w:r>
      <w:r>
        <w:rPr>
          <w:b w:val="0"/>
          <w:i w:val="0"/>
        </w:rPr>
        <w:t>.10 Tại đó, một công ty cư trú tại Ireland được thành lập tại Ontario, Canada duy trì một văn phòng tại Toronto để tuân thủ Đạo luật Công ty Ontario. Không có nhân viên nào tại văn phòng đó, và không có cư dân Canada nào có quyền ký kết hợp đồng hoặc tiến hành kinh doanh thay mặt cho công ty. Tất cả các quyết định quản lý và điều hành đều được đưa ra tại Ireland và do đó không có cơ sở thường trú nào tồn tại ở Canada.</w:t>
      </w:r>
    </w:p>
    <w:p>
      <w:pPr>
        <w:spacing w:after="80"/>
      </w:pPr>
      <w:r>
        <w:rPr>
          <w:b w:val="0"/>
          <w:i w:val="0"/>
        </w:rPr>
        <w:t>Định nghĩa tổng hợp này có thể được đối chiếu với ngôn ngữ tiêu chuẩn được tìm thấy trong các hiệp ước được xây dựng theo các mẫu khác nhau từ năm 1963 trở đi. Một ví dụ ban đầu là Hiệp ước Namibia–UK (1962), trong đó mỗi yếu tố được xác định riêng biệt đến mức thuật ngữ 'cơ sở thường trú' có nghĩa là:</w:t>
      </w:r>
    </w:p>
    <w:p>
      <w:pPr>
        <w:spacing w:after="80"/>
      </w:pPr>
      <w:r>
        <w:rPr>
          <w:b w:val="0"/>
          <w:i w:val="0"/>
        </w:rPr>
        <w:t>(k)(i) một địa điểm kinh doanh cố định mà tại đó hoạt động kinh doanh của doanh nghiệp được thực hiện toàn bộ hoặc một phần;</w:t>
      </w:r>
    </w:p>
    <w:p>
      <w:pPr>
        <w:spacing w:after="80"/>
      </w:pPr>
      <w:r>
        <w:rPr>
          <w:b w:val="0"/>
          <w:i w:val="0"/>
        </w:rPr>
        <w:t>một người hành động tại một trong các lãnh thổ thay mặt cho một doanh nghiệp của lãnh thổ kia – ngoại trừ một đại lý có tư cách độc lập mà tiểu đoạn (vi) áp dụng – sẽ được coi là một cơ sở thường trú tại lãnh thổ được đề cập đầu tiên nếu người đó có, và thường xuyên thực hiện tại lãnh thổ đó, quyền hạn để ký kết hợp đồng nhân danh doanh nghiệp.</w:t>
      </w:r>
    </w:p>
    <w:p>
      <w:pPr>
        <w:spacing w:after="80"/>
      </w:pPr>
      <w:r>
        <w:rPr>
          <w:b w:val="0"/>
          <w:i w:val="0"/>
        </w:rPr>
        <w:t>Mỗi khía cạnh sẽ được xem xét kỹ hơn trong chương này. Trong FA 2003, khái niệm PE (cơ sở thường trú) đã được đưa vào luật nội địa của Vương quốc Anh.11 Định nghĩa nội địa chủ yếu liên quan đến thuế doanh nghiệp và dựa rất nhiều vào Điều 5 của Mẫu, nhưng không hoàn toàn đồng nhất với nó.</w:t>
      </w:r>
    </w:p>
    <w:p>
      <w:pPr>
        <w:spacing w:after="80"/>
      </w:pPr>
      <w:r>
        <w:rPr>
          <w:b w:val="0"/>
          <w:i w:val="0"/>
        </w:rPr>
        <w:t xml:space="preserve">9. OECD (2015) ECD (2015), Ngăn chặn việc tránh né nhân tạo tình trạng cơ sở thường trú, Hành động 7 – Báo cáo cuối cùng 2015, Dự án Xói mòn cơ sở và chuyển dịch lợi nhuận của OECD/G20 http://dx.doi.org/10.1787/9789264241220-en ('BEPS Hành động 7, Báo cáo cuối cùng'). Xem Chương 18, §18.05.10. </w:t>
      </w:r>
      <w:r>
        <w:rPr>
          <w:b w:val="0"/>
          <w:i/>
        </w:rPr>
        <w:t>Minister of National Revenue v Tara Exploration and Development Co. Ltd.</w:t>
      </w:r>
      <w:r>
        <w:rPr>
          <w:b w:val="0"/>
          <w:i w:val="0"/>
        </w:rPr>
        <w:t xml:space="preserve"> [1974] S.C.R. 1057.11. Nay là CTA 2010, Phần 24, Chương 2.</w:t>
      </w:r>
    </w:p>
    <w:p>
      <w:pPr>
        <w:spacing w:after="80"/>
      </w:pPr>
      <w:r>
        <w:rPr>
          <w:b w:val="0"/>
          <w:i w:val="0"/>
        </w:rPr>
        <w:t>219</w:t>
      </w:r>
    </w:p>
    <w:p>
      <w:pPr>
        <w:spacing w:after="80"/>
      </w:pPr>
      <w:r>
        <w:rPr>
          <w:b/>
          <w:i w:val="0"/>
        </w:rPr>
        <w:t>§7.03 GIẢI THÍCH VỀ PE</w:t>
      </w:r>
    </w:p>
    <w:p>
      <w:pPr>
        <w:spacing w:after="80"/>
      </w:pPr>
      <w:r>
        <w:rPr>
          <w:b w:val="0"/>
          <w:i w:val="0"/>
        </w:rPr>
        <w:t>Không có án lệ nào được báo cáo ở Vương quốc Anh hay Ireland về ý nghĩa của PE. Do đó, phải áp dụng các nguyên tắc thông thường về giải thích hiệp ước. Thực tiễn hành chính và mức độ mà luật nội địa trùng khớp với các quy định của hiệp ước đặc biệt quan trọng.</w:t>
      </w:r>
    </w:p>
    <w:p>
      <w:pPr>
        <w:spacing w:after="80"/>
      </w:pPr>
      <w:r>
        <w:rPr>
          <w:b w:val="0"/>
          <w:i w:val="0"/>
        </w:rPr>
        <w:t>Vương quốc Anh có truyền thống tham gia tích cực vào Ủy ban Các vấn đề Tài chính của OECD và đặc biệt là các nhóm công tác chịu trách nhiệm về cả Mẫu Công ước Thuế và phần bình luận. Nói chung, HMRC không đưa ra cách giải thích độc lập về PE mà dựa rất nhiều vào Bình luận của OECD.12 Mặc dù vậy, các Sổ tay HMRC hiện nay có bình luận phong phú về ý nghĩa của PE. Điều này về cơ bản là một cách diễn giải lại Bình luận của OECD về Điều 5. Khi hướng dẫn của HMRC công nhận PE trong các trường hợp hẹp hơn, dù vì mục đích luật nội địa hay hiệp ước, thì trên thực tế, quan điểm hẹp hơn sẽ được áp dụng. Thiết bị tự động và một số khía cạnh của thương mại điện tử là những ví dụ điển hình.13 Trong một thời gian, Vương quốc Anh đã đưa ra một nhận xét duy nhất về Bình luận liên quan đến các đại lý phụ thuộc ký kết nhân danh chính họ.</w:t>
      </w:r>
    </w:p>
    <w:p>
      <w:pPr>
        <w:spacing w:after="80"/>
      </w:pPr>
      <w:r>
        <w:rPr>
          <w:b w:val="0"/>
          <w:i w:val="0"/>
        </w:rPr>
        <w:t>Vương quốc Anh có một nhận xét duy nhất đối với Bình luận về Điều 5 (đoạn 45.5) và một bảo lưu duy nhất (đoạn 52).14 Ireland không có nhận xét hay bảo lưu nào.</w:t>
      </w:r>
    </w:p>
    <w:p>
      <w:pPr>
        <w:spacing w:after="80"/>
      </w:pPr>
      <w:r>
        <w:rPr>
          <w:b/>
          <w:i w:val="0"/>
        </w:rPr>
        <w:t>§7.04 PE VẬT CHẤT</w:t>
      </w:r>
    </w:p>
    <w:p>
      <w:pPr>
        <w:spacing w:after="80"/>
      </w:pPr>
      <w:r>
        <w:rPr>
          <w:b w:val="0"/>
          <w:i w:val="0"/>
        </w:rPr>
        <w:t>Một cách diễn đạt hiện hành về ý nghĩa của PE vật chất được tìm thấy trong Điều 5(1) của Hiệp ước Lithuania – Vương quốc Anh:</w:t>
      </w:r>
    </w:p>
    <w:p>
      <w:pPr>
        <w:spacing w:after="80"/>
      </w:pPr>
      <w:r>
        <w:rPr>
          <w:b w:val="0"/>
          <w:i w:val="0"/>
        </w:rPr>
        <w:t>5(1) Vì mục đích của Công ước này, thuật ngữ 'cơ sở thường trú' có nghĩa là một địa điểm kinh doanh cố định mà qua đó hoạt động kinh doanh của một doanh nghiệp được thực hiện toàn bộ hoặc một phần.</w:t>
      </w:r>
    </w:p>
    <w:p>
      <w:pPr>
        <w:spacing w:after="80"/>
      </w:pPr>
      <w:r>
        <w:rPr>
          <w:b w:val="0"/>
          <w:i w:val="0"/>
        </w:rPr>
        <w:t xml:space="preserve">Cách diễn đạt này đồng nhất với luật nội địa của Vương quốc Anh về mục đích thuế doanh nghiệp.15 Tuy nhiên, mức độ liên quan thì khác. Trong bối cảnh thuế doanh nghiệp theo luật nội địa, PE quan trọng khi hoạt động thương mại được thực hiện tại Vương quốc Anh bởi một công ty không cư trú. Cụm từ 'kinh doanh', được sử dụng trong cả Điều 5(1) của hầu hết các hiệp ước và CTA 2010, s. 1141(1)(a), rộng hơn 'thương mại'. Trong </w:t>
      </w:r>
      <w:r>
        <w:rPr>
          <w:b w:val="0"/>
          <w:i/>
        </w:rPr>
        <w:t>American Leaf Blending Co. SDN BHD v Director General of Inland Revenue</w:t>
      </w:r>
      <w:r>
        <w:rPr>
          <w:b w:val="0"/>
          <w:i w:val="0"/>
        </w:rPr>
        <w:t>,16 Lord Diplock nói rằng 'trong trường hợp</w:t>
      </w:r>
    </w:p>
    <w:p>
      <w:pPr>
        <w:spacing w:after="80"/>
      </w:pPr>
      <w:r>
        <w:rPr>
          <w:b w:val="0"/>
          <w:i w:val="0"/>
        </w:rPr>
        <w:t xml:space="preserve">12. Xem Mô tả các hiệp định tránh đánh thuế hai lần: Cơ sở thường trú INTM153060; Cơ sở thường trú nước ngoài của các công ty Vương quốc Anh: INTM281010 đến INTM281090; Người không cư trú kinh doanh tại Vương quốc Anh: Cơ sở thường trú theo hiệp ước INTM266010 đến INTM266160; Người không cư trú: Thu nhập Vương quốc Anh: Cơ sở thường trú DT1710.13. Xem §7.06, bên dưới.14. 'Thông thường tất cả các quốc gia thành viên sẽ ủng hộ đầy đủ cách giải thích được đưa vào Bình luận. Khi không phải như vậy, một quốc gia thành viên sẽ ghi lại hoặc một "nhận xét" hoặc một "bảo lưu" ở cuối các đoạn bình luận cho một điều khoản hiệp ước cụ thể.' (HMRC, Sổ tay Thuế Quốc tế, INTM266030).15. CTA 2010, s. 1141(1)(a).16. </w:t>
      </w:r>
      <w:r>
        <w:rPr>
          <w:b w:val="0"/>
          <w:i/>
        </w:rPr>
        <w:t>American Leaf Blending Co Sdn Bhd v Director General of Inland Revenue</w:t>
      </w:r>
      <w:r>
        <w:rPr>
          <w:b w:val="0"/>
          <w:i w:val="0"/>
        </w:rPr>
        <w:t xml:space="preserve"> [2009] BTC 409; [1978] STC 561 (PC).</w:t>
      </w:r>
    </w:p>
    <w:p>
      <w:pPr>
        <w:spacing w:after="80"/>
      </w:pPr>
      <w:r>
        <w:rPr>
          <w:b w:val="0"/>
          <w:i w:val="0"/>
        </w:rPr>
        <w:t>220</w:t>
      </w:r>
    </w:p>
    <w:p>
      <w:pPr>
        <w:spacing w:after="80"/>
      </w:pPr>
      <w:r>
        <w:rPr>
          <w:b w:val="0"/>
          <w:i w:val="0"/>
        </w:rPr>
        <w:t xml:space="preserve">của một công ty được thành lập với mục đích tạo lợi nhuận cho các cổ đông, bất kỳ việc sử dụng có lợi nào mà công ty dành cho bất kỳ tài sản nào của mình </w:t>
      </w:r>
      <w:r>
        <w:rPr>
          <w:b w:val="0"/>
          <w:i/>
        </w:rPr>
        <w:t>prima facie</w:t>
      </w:r>
      <w:r>
        <w:rPr>
          <w:b w:val="0"/>
          <w:i w:val="0"/>
        </w:rPr>
        <w:t xml:space="preserve"> cấu thành việc thực hiện hoạt động kinh doanh'. Việc thực hiện hoạt động kinh doanh thường đòi hỏi một số hoạt động từ phía người thực hiện, mặc dù tùy thuộc vào bản chất của hoạt động kinh doanh, hoạt động đó có thể bị gián đoạn với những khoảng thời gian im lặng dài ở giữa. Tòa án chấp nhận rằng mọi hành vi đơn lẻ của một công ty thuộc loại được cho phép bởi Điều lệ của nó đều cấu thành việc thực hiện hoạt động kinh doanh. Gần đây hơn, trong </w:t>
      </w:r>
      <w:r>
        <w:rPr>
          <w:b w:val="0"/>
          <w:i/>
        </w:rPr>
        <w:t>Jowett v O'Neill and Brennan Construction Limited</w:t>
      </w:r>
      <w:r>
        <w:rPr>
          <w:b w:val="0"/>
          <w:i w:val="0"/>
        </w:rPr>
        <w:t>,17 giới hạn bên ngoài của quy tắc này đã được chỉ ra. Do đó, mặc dù thông thường khi một công ty bố trí tài sản và thu được lợi nhuận từ thu nhập, thì đó sẽ là thực hiện hoạt động kinh doanh, nhưng đó không phải là kết luận pháp lý tất yếu, có thể có những trường hợp ngoại lệ. Trong trường hợp đó, chỉ việc nắm giữ một tài khoản ngân hàng có lãi suất không được coi là thực hiện hoạt động kinh doanh.18 Trong bối cảnh các công ty không cư trú, các hoạt động phải cấu thành một yếu tố then chốt của hoạt động thương mại để phát sinh nghĩa vụ thuế doanh nghiệp theo luật nội địa,19 nhưng ý nghĩa rộng hơn có thể liên quan đến sự tồn tại của một PE nước ngoài cho mục đích khấu trừ bất kỳ loại thuế nước ngoài nào.20</w:t>
      </w:r>
    </w:p>
    <w:p>
      <w:pPr>
        <w:spacing w:after="80"/>
      </w:pPr>
      <w:r>
        <w:rPr>
          <w:b w:val="0"/>
          <w:i w:val="0"/>
        </w:rPr>
        <w:t>Sự tồn tại của một PE đòi hỏi ba yếu tố phải được đáp ứng, cụ thể là:</w:t>
      </w:r>
    </w:p>
    <w:p>
      <w:pPr>
        <w:spacing w:after="80"/>
      </w:pPr>
      <w:r>
        <w:rPr>
          <w:b w:val="0"/>
          <w:i w:val="0"/>
        </w:rPr>
        <w:t>(a) phải có một địa điểm kinh doanh, thông thường là cơ sở vật chất, thuộc quyền định đoạt của</w:t>
      </w:r>
    </w:p>
    <w:p>
      <w:pPr>
        <w:spacing w:after="80"/>
      </w:pPr>
      <w:r>
        <w:rPr>
          <w:b w:val="0"/>
          <w:i w:val="0"/>
        </w:rPr>
        <w:t>doanh nghiệp, mặc dù trong một số trường hợp nhất định có thể là máy móc hoặc thiết bị; (b) địa điểm kinh doanh phải cố định, nghĩa là phải được thiết lập tại một địa điểm riêng biệt</w:t>
      </w:r>
    </w:p>
    <w:p>
      <w:pPr>
        <w:spacing w:after="80"/>
      </w:pPr>
      <w:r>
        <w:rPr>
          <w:b w:val="0"/>
          <w:i w:val="0"/>
        </w:rPr>
        <w:t>và có mức độ thường trú nhất định; và (c) hoạt động kinh doanh phải được tiến hành thông qua địa điểm kinh doanh cố định này, thông thường</w:t>
      </w:r>
    </w:p>
    <w:p>
      <w:pPr>
        <w:spacing w:after="80"/>
      </w:pPr>
      <w:r>
        <w:rPr>
          <w:b w:val="0"/>
          <w:i w:val="0"/>
        </w:rPr>
        <w:t>bởi nhân viên của doanh nghiệp.21</w:t>
      </w:r>
    </w:p>
    <w:p>
      <w:pPr>
        <w:spacing w:after="80"/>
      </w:pPr>
      <w:r>
        <w:rPr>
          <w:b w:val="0"/>
          <w:i w:val="0"/>
        </w:rPr>
        <w:t xml:space="preserve">Hoạt động kinh doanh phải được tiến hành thông qua địa điểm cố định. Trong </w:t>
      </w:r>
      <w:r>
        <w:rPr>
          <w:b w:val="0"/>
          <w:i/>
        </w:rPr>
        <w:t>Airline Rotables Ltd UK v Joint Director of Income Tax,</w:t>
      </w:r>
      <w:r>
        <w:rPr>
          <w:b w:val="0"/>
          <w:i w:val="0"/>
        </w:rPr>
        <w:t>22 hoạt động kinh doanh của một công ty cư trú tại Vương quốc Anh là cung cấp phụ tùng và linh kiện hỗ trợ cho các nhà khai thác máy bay. Công ty đã ký một thỏa thuận với một hãng hàng không Ấn Độ, theo đó công ty sửa chữa các linh kiện máy bay và cung cấp các linh kiện thay thế trong thời gian sửa chữa dưới hình thức cho mượn, để đảm bảo hãng hàng không có hoạt động liên tục không bị gián đoạn. Một kho linh kiện được duy trì tại Vương quốc Anh dưới sự kiểm soát trực tiếp của công ty, công ty không có cơ sở lưu trữ hay hỗ trợ tại Ấn Độ. Để đảm bảo tính sẵn có, công ty cũng duy trì một kho hàng trong các nhà kho của hãng hàng không tại các căn cứ khai thác của hãng ở Ấn Độ. Kho hàng này vẫn thuộc quyền sở hữu của công ty, nhưng do hãng hàng không nắm giữ, và hãng bị cấm cho mượn, cầm cố, bán, trao đổi hoặc thế chấp bất kỳ mặt hàng nào trong kho, nhưng có thể</w:t>
      </w:r>
    </w:p>
    <w:p>
      <w:pPr>
        <w:spacing w:after="80"/>
      </w:pPr>
      <w:r>
        <w:rPr>
          <w:b w:val="0"/>
          <w:i w:val="0"/>
        </w:rPr>
        <w:t>17.</w:t>
      </w:r>
      <w:r>
        <w:rPr>
          <w:b w:val="0"/>
          <w:i/>
        </w:rPr>
        <w:t>Jowett v O’Neill and Brennan Construction Limited</w:t>
      </w:r>
      <w:r>
        <w:rPr>
          <w:b w:val="0"/>
          <w:i w:val="0"/>
        </w:rPr>
        <w:t xml:space="preserve"> [1998] BTC 133; [1998] STC 482 (Ch. D).18.Xem thêm </w:t>
      </w:r>
      <w:r>
        <w:rPr>
          <w:b w:val="0"/>
          <w:i/>
        </w:rPr>
        <w:t>Revenue and Customs Commissioners v Salaried Persons Postal Loans Limited</w:t>
      </w:r>
      <w:r>
        <w:rPr>
          <w:b w:val="0"/>
          <w:i w:val="0"/>
        </w:rPr>
        <w:t xml:space="preserve"> [2006] EWHC 736 (Ch).19.CTA 2009, s. 5.20.Xem HMRC trước đây, International Tax Handbook, ITH 849 (rút lại tháng 9 năm 2009).21.Ủy ban về các vấn đề tài khóa của OECD, Bình luận về Điều 5 của Công ước mẫu về thuế của OECD, đoạn 2 (22 tháng 7 năm 2010).22.</w:t>
      </w:r>
      <w:r>
        <w:rPr>
          <w:b w:val="0"/>
          <w:i/>
        </w:rPr>
        <w:t>Airline Rotables Ltd UK v Joint Director of Income Tax</w:t>
      </w:r>
      <w:r>
        <w:rPr>
          <w:b w:val="0"/>
          <w:i w:val="0"/>
        </w:rPr>
        <w:t>, International Taxation ITA No. 3254/Mum/06, 13 ITLR 226.</w:t>
      </w:r>
    </w:p>
    <w:p>
      <w:pPr>
        <w:spacing w:after="80"/>
      </w:pPr>
      <w:r>
        <w:rPr>
          <w:b w:val="0"/>
          <w:i w:val="0"/>
        </w:rPr>
        <w:t>221</w:t>
      </w:r>
    </w:p>
    <w:p>
      <w:pPr>
        <w:spacing w:after="80"/>
      </w:pPr>
      <w:r>
        <w:rPr>
          <w:b w:val="0"/>
          <w:i w:val="0"/>
        </w:rPr>
        <w:t>sử dụng các linh kiện thay thế từ kho hàng địa phương. Khi kết luận rằng không có địa điểm kinh doanh cố định tại Ấn Độ theo Điều 5(1) của Hiệp định thuế Ấn Độ - Vương quốc Anh, Tòa án Thuế Thu nhập Ấn Độ đã lưu ý rằng hoạt động sửa chữa được tiến hành bên ngoài Ấn Độ và hoạt động gửi linh kiện kết thúc khi lô hàng đó được giao cho hãng hàng không với mục đích dự phòng.23</w:t>
      </w:r>
    </w:p>
    <w:p>
      <w:pPr>
        <w:spacing w:after="80"/>
      </w:pPr>
      <w:r>
        <w:rPr>
          <w:b w:val="0"/>
          <w:i w:val="0"/>
        </w:rPr>
        <w:t>Sự tồn tại của một ‘địa điểm’ kinh doanh là điều kiện tiên quyết cho sự tồn tại của một cơ sở thường trú (PE). Điều này có nghĩa là một cơ sở vật chất như mặt bằng hoặc, trong một số trường hợp nhất định, máy móc hoặc thiết bị. Không nhất thiết doanh nghiệp phải sở hữu hoặc thuê mặt bằng miễn là mặt bằng đó nằm trong quyền định đoạt của doanh nghiệp. Tòa án Tài chính Liên bang Đức (Bundesfinanzhof) do đó đã phán quyết rằng các công ty Đức là thành viên hợp danh hữu hạn trong một công ty hợp danh hữu hạn của Anh có cơ sở thường trú vật chất tại Vương quốc Anh theo Hiệp định thuế Đức - Vương quốc Anh (1964) tại mặt bằng của một công ty quản lý Vương quốc Anh mà công ty hợp danh đã thuê ngoài việc quản lý. Thành viên hợp danh chung của công ty hợp danh ban đầu là một công ty Anh có trụ sở tại London và sau đó là một công ty hợp danh Scotland (có tư cách pháp nhân) được quản lý tại London. Bundesfinanzhof cho rằng không liên quan việc công ty hợp danh sử dụng mặt bằng và nhân viên của công ty Anh với tư cách là công ty quản lý. Yếu tố quyết định là công ty hợp danh đã thuê ngoài các nhiệm vụ theo hợp đồng, điều này mang lại cho công ty một ‘bộ máy’ về thiết bị và nhân sự, và do đó, công ty có mặt bằng nằm trong quyền định đoạt của mình.24 Điều đáng tò mò là tòa án không xem xét liệu thành viên hợp danh chung có phải là cơ sở thường trú đại lý do thẩm quyền tiến hành hoạt động kinh doanh hợp danh trong thỏa thuận hợp danh hay không. Xem §7.09.</w:t>
      </w:r>
    </w:p>
    <w:p>
      <w:pPr>
        <w:spacing w:after="80"/>
      </w:pPr>
      <w:r>
        <w:rPr>
          <w:b w:val="0"/>
          <w:i w:val="0"/>
        </w:rPr>
        <w:t xml:space="preserve">Trong </w:t>
      </w:r>
      <w:r>
        <w:rPr>
          <w:b w:val="0"/>
          <w:i/>
        </w:rPr>
        <w:t>Rolls-Royce plc v Director of Income Tax,</w:t>
      </w:r>
      <w:r>
        <w:rPr>
          <w:b w:val="0"/>
          <w:i w:val="0"/>
        </w:rPr>
        <w:t>25 Rolls-Royce plc, một công ty cư trú tại Vương quốc Anh, đã cung cấp động cơ hàng không và phụ tùng cho khách hàng Ấn Độ. Một công ty con được thành lập tại Vương quốc Anh là Rolls-Royce India Ltd (RRIL) có văn phòng tại Ấn Độ. RRIL đã cung cấp một số dịch vụ cho công ty Vương quốc Anh theo một thỏa thuận dịch vụ hỗ trợ. Công ty Vương quốc Anh đã hoàn trả cho RRIL toàn bộ chi phí mà RRIL phát sinh trong việc cung cấp các dịch vụ hỗ trợ, bao gồm nhưng không giới hạn ở tiền lương và chi phí của nhân viên, chi phí vận hành mặt bằng văn phòng và bất kỳ khoản thanh toán nào cho các nhà thầu phụ được sử dụng. RRIL cũng nhận được phí dịch vụ ở mức 5,1% - 6% trên chi phí được hoàn trả. Nhân viên của công ty Vương quốc Anh thường xuyên đến thăm Ấn Độ và mặt bằng của RRIL đã được chiếm dụng và sử dụng trong những chuyến thăm đó. Tòa án Thuế Thu nhập Ấn Độ về cơ bản đã áp dụng, mà không ghi nguồn, các yếu tố của bình luận OECD về Điều 5(1).26 Tòa án nhận thấy rằng mặt bằng tuy đứng tên RRIL nhưng được chiếm dụng cho hoạt động kinh doanh tại Ấn Độ của công ty Vương quốc Anh. Tòa án nói: ‘Theo một cách nào đó, bên kháng cáo duy trì mặt bằng nhưng trên bề mặt mặt bằng, nó được tuyên bố là do RRIL chiếm dụng. Tuy nhiên, toàn bộ chi phí vận hành và bảo trì văn phòng đó tại Ấn Độ đều được thanh toán</w:t>
      </w:r>
    </w:p>
    <w:p>
      <w:pPr>
        <w:spacing w:after="80"/>
      </w:pPr>
      <w:r>
        <w:rPr>
          <w:b w:val="0"/>
          <w:i w:val="0"/>
        </w:rPr>
        <w:t>23.Tại đoạn 15.24.</w:t>
      </w:r>
      <w:r>
        <w:rPr>
          <w:b w:val="0"/>
          <w:i/>
        </w:rPr>
        <w:t>Bundesfinanzhof</w:t>
      </w:r>
      <w:r>
        <w:rPr>
          <w:b w:val="0"/>
          <w:i w:val="0"/>
        </w:rPr>
        <w:t xml:space="preserve"> (Tòa án Tài chính Liên bang Đức) IR 46/10 </w:t>
      </w:r>
      <w:r>
        <w:rPr>
          <w:b w:val="0"/>
          <w:i/>
        </w:rPr>
        <w:t>Bundesfinanzhof</w:t>
      </w:r>
      <w:r>
        <w:rPr>
          <w:b w:val="0"/>
          <w:i w:val="0"/>
        </w:rPr>
        <w:t xml:space="preserve"> ngày 24 tháng 8 năm 2011, Re E-LP (</w:t>
      </w:r>
      <w:r>
        <w:rPr>
          <w:b w:val="0"/>
          <w:i/>
        </w:rPr>
        <w:t>English Private Equity Fund</w:t>
      </w:r>
      <w:r>
        <w:rPr>
          <w:b w:val="0"/>
          <w:i w:val="0"/>
        </w:rPr>
        <w:t>) 14 ITLR 339.25.</w:t>
      </w:r>
      <w:r>
        <w:rPr>
          <w:b w:val="0"/>
          <w:i/>
        </w:rPr>
        <w:t>Rolls-Royce plc v Director of Income Tax</w:t>
      </w:r>
      <w:r>
        <w:rPr>
          <w:b w:val="0"/>
          <w:i w:val="0"/>
        </w:rPr>
        <w:t xml:space="preserve"> ITA Nos 1496-1501/Del/2007, [2007] 10 ITLR 327. Được Tòa án Cấp cao Delhi khẳng định trên cùng cơ sở ITA 493/2008 và các kháng cáo liên quan [2011] 14 ITLR 180.26.Tại các đoạn 20 và 21. Xem, ví dụ, Bình luận OECD về Điều 5 của Công ước mẫu về thuế của OECD, các đoạn 1-4.</w:t>
      </w:r>
    </w:p>
    <w:p>
      <w:pPr>
        <w:spacing w:after="80"/>
      </w:pPr>
      <w:r>
        <w:rPr>
          <w:b w:val="0"/>
          <w:i w:val="0"/>
        </w:rPr>
        <w:t>222</w:t>
      </w:r>
    </w:p>
    <w:p>
      <w:pPr>
        <w:spacing w:after="80"/>
      </w:pPr>
      <w:r>
        <w:rPr>
          <w:b w:val="0"/>
          <w:i w:val="0"/>
        </w:rPr>
        <w:t>bởi bên kháng cáo.’27 Mặt bằng cũng được xác định là sẵn có cho tất cả nhân viên của công ty Vương quốc Anh liên quan đến bất kỳ hoạt động kinh doanh nào tại Ấn Độ. Theo đó, công ty Vương quốc Anh được xác định là có cơ sở thường trú tại Ấn Độ theo nghĩa của Điều 5(1) của Hiệp định thuế Ấn Độ - Vương quốc Anh. RRIL và nhân viên của nó được xác định là đang chào mời và nhận đơn đặt hàng hoàn toàn và duy nhất thay mặt cho Rolls-Royce Group, và do đó, mặt bằng cũng được sử dụng để nhận và chào mời đơn đặt hàng và do đó cấu thành một cơ sở thường trú theo Điều 5(2)(f).</w:t>
      </w:r>
    </w:p>
    <w:p>
      <w:pPr>
        <w:spacing w:after="80"/>
      </w:pPr>
      <w:r>
        <w:rPr>
          <w:b w:val="0"/>
          <w:i w:val="0"/>
        </w:rPr>
        <w:t xml:space="preserve">Trong hoàn cảnh có phần tương tự trong </w:t>
      </w:r>
      <w:r>
        <w:rPr>
          <w:b w:val="0"/>
          <w:i/>
        </w:rPr>
        <w:t>Borax Europe Ltd v General State Administration</w:t>
      </w:r>
      <w:r>
        <w:rPr>
          <w:b w:val="0"/>
          <w:i w:val="0"/>
        </w:rPr>
        <w:t>,28 đã dẫn đến một địa điểm kinh doanh cố định tại Tây Ban Nha, theo Điều 5(1) của Hiệp định thuế Tây Ban Nha - Vương quốc Anh (1975), tại mặt bằng của công ty liên kết Tây Ban Nha cho một công ty cư trú tại Vương quốc Anh. Theo một thỏa thuận kho bãi và dịch vụ, công ty liên kết đã cung cấp cho công ty Vương quốc Anh quyền sử dụng độc quyền các nhà kho của mình (bao gồm các dịch vụ tiện ích như sưởi ấm, điện, nước, v.v.) và các dịch vụ bốc dỡ, vận chuyển, lưu kho, chế biến và đóng gói cũng như các dịch vụ hành chính. Theo một thỏa thuận ‘đại lý’, công ty liên kết đã cam kết thu thập và thúc đẩy các đơn đặt hàng với giá cả và điều kiện bán do công ty Vương quốc Anh đặt ra. Công ty liên kết phải gửi các đơn đặt hàng cho công ty Vương quốc Anh, công ty này không có nghĩa vụ chấp nhận chúng. Công ty liên kết không thể chấp nhận đơn đặt hàng, nhận giá bán, đưa ra cam kết thay mặt công ty Vương quốc Anh hoặc ký kết hợp đồng thay mặt công ty. Tòa án Tối cao Tây Ban Nha kết luận rằng công ty Vương quốc Anh đã tiến hành hoạt động kinh doanh của mình tại các cơ sở của công ty liên kết bằng cách sử dụng các dịch vụ của công ty liên kết mà công ty đã trả tiền.</w:t>
      </w:r>
    </w:p>
    <w:p>
      <w:pPr>
        <w:spacing w:after="80"/>
      </w:pPr>
      <w:r>
        <w:rPr>
          <w:b w:val="0"/>
          <w:i w:val="0"/>
        </w:rPr>
        <w:t xml:space="preserve">Theo cùng hướng đó, Tòa án Tối cao Tây Ban Nha đã phán quyết, trong </w:t>
      </w:r>
      <w:r>
        <w:rPr>
          <w:b w:val="0"/>
          <w:i/>
        </w:rPr>
        <w:t>Dell Products Ltd v General State Administration</w:t>
      </w:r>
      <w:r>
        <w:rPr>
          <w:b w:val="0"/>
          <w:i w:val="0"/>
        </w:rPr>
        <w:t xml:space="preserve">,29 rằng một công ty cư trú tại Ireland có địa điểm kinh doanh cố định tại Tây Ban Nha tại mặt bằng của một nhà cung cấp dịch vụ liên kết cư trú tại Tây Ban Nha. Tòa án nói rằng mặt bằng có thể nằm trong quyền định đoạt của doanh nghiệp có được thông qua sự đồng ý của chủ sở hữu hoặc người nắm giữ cơ sở vật chất theo Bộ luật Dân sự Tây Ban Nha. Hơn nữa, tòa án cho rằng một doanh nghiệp có thể sử dụng mặt bằng trực tiếp thông qua nhân viên của chính mình hoặc thông qua một thực thể khác thực hiện, theo yêu cầu và dưới sự kiểm soát của mình, các hoạt động kinh tế cốt lõi của mình. Quan điểm của tác giả là các phán quyết trong </w:t>
      </w:r>
      <w:r>
        <w:rPr>
          <w:b w:val="0"/>
          <w:i/>
        </w:rPr>
        <w:t>Borax</w:t>
      </w:r>
      <w:r>
        <w:rPr>
          <w:b w:val="0"/>
          <w:i w:val="0"/>
        </w:rPr>
        <w:t xml:space="preserve"> và </w:t>
      </w:r>
      <w:r>
        <w:rPr>
          <w:b w:val="0"/>
          <w:i/>
        </w:rPr>
        <w:t>Dell Products</w:t>
      </w:r>
      <w:r>
        <w:rPr>
          <w:b w:val="0"/>
          <w:i w:val="0"/>
        </w:rPr>
        <w:t xml:space="preserve"> khó có thể theo kịp dưới ánh sáng của ý nghĩa thông thường của Điều 5(1) và mục đích của nó.</w:t>
      </w:r>
    </w:p>
    <w:p>
      <w:pPr>
        <w:spacing w:after="80"/>
      </w:pPr>
      <w:r>
        <w:rPr>
          <w:b w:val="0"/>
          <w:i w:val="0"/>
        </w:rPr>
        <w:t xml:space="preserve">Ngược lại, Tòa án Phúc thẩm Paris đã phán quyết trong </w:t>
      </w:r>
      <w:r>
        <w:rPr>
          <w:b w:val="0"/>
          <w:i/>
        </w:rPr>
        <w:t>Ministre de l’Action et des Comptes Publics v société Google Ireland Limited</w:t>
      </w:r>
      <w:r>
        <w:rPr>
          <w:b w:val="0"/>
          <w:i w:val="0"/>
        </w:rPr>
        <w:t xml:space="preserve">30 rằng mặt bằng và nhân viên của Google France, một công ty liên kết cư trú tại Pháp, sẵn có cho công ty này cho hoạt động riêng của mình với tư cách là nhà cung cấp dịch vụ cho Google Ireland Limited đã không mô tả các văn phòng của mình là địa điểm kinh doanh cố định cho công ty cư trú tại Ireland, theo Điều 2(9) của Hiệp định Pháp - Ireland. Công ty Pháp đã cung cấp các hoạt động hỗ trợ tiếp thị và bán hàng cũng như dịch vụ sau bán hàng để giúp khách hàng sử dụng dịch vụ ‘AdWords’ của Google hiệu quả nhất. Công ty đã không tiến hành hoạt động kinh doanh của công ty Ireland tại văn phòng của mình.31 Trong </w:t>
      </w:r>
      <w:r>
        <w:rPr>
          <w:b w:val="0"/>
          <w:i/>
        </w:rPr>
        <w:t>Alphawell Ltd</w:t>
      </w:r>
    </w:p>
    <w:p>
      <w:pPr>
        <w:spacing w:after="80"/>
      </w:pPr>
      <w:r>
        <w:rPr>
          <w:b w:val="0"/>
          <w:i w:val="0"/>
        </w:rPr>
        <w:t>27.Tại đoạn 20.28.</w:t>
      </w:r>
      <w:r>
        <w:rPr>
          <w:b w:val="0"/>
          <w:i/>
        </w:rPr>
        <w:t>Borax Europe Ltd v General State Administration</w:t>
      </w:r>
      <w:r>
        <w:rPr>
          <w:b w:val="0"/>
          <w:i w:val="0"/>
        </w:rPr>
        <w:t xml:space="preserve"> Tribunal Supremo, Sala de lo Contencioso (Tòa án Tối cao Tây Ban Nha) (Recurso No. 1933/2011) [2014] 17 ITLR 452.29.</w:t>
      </w:r>
      <w:r>
        <w:rPr>
          <w:b w:val="0"/>
          <w:i/>
        </w:rPr>
        <w:t>Dell Products Ltd v General State Administration</w:t>
      </w:r>
      <w:r>
        <w:rPr>
          <w:b w:val="0"/>
          <w:i w:val="0"/>
        </w:rPr>
        <w:t xml:space="preserve"> Tribunal Supremo, Sala de lo Contencioso (Tòa án Tối cao Tây Ban Nha), ngày 20 tháng 6 năm 2016, STS 2861/2016, Recurso No. 2555/2015, 19 ITLR 633.30.</w:t>
      </w:r>
      <w:r>
        <w:rPr>
          <w:b w:val="0"/>
          <w:i/>
        </w:rPr>
        <w:t>Ministre de l’Action et des Comptes Publics v société Google Ireland Limited</w:t>
      </w:r>
      <w:r>
        <w:rPr>
          <w:b w:val="0"/>
          <w:i w:val="0"/>
        </w:rPr>
        <w:t>, Cour Administrative d’Appel de Paris N° 17PA03067 (ngày 25 tháng 4 năm 2019).31.Xem §7.09 về việc công ty Pháp không ký kết hợp đồng thay mặt công ty Ireland.</w:t>
      </w:r>
    </w:p>
    <w:p>
      <w:pPr>
        <w:spacing w:after="80"/>
      </w:pPr>
      <w:r>
        <w:rPr>
          <w:b w:val="0"/>
          <w:i w:val="0"/>
        </w:rPr>
        <w:t>223</w:t>
      </w:r>
    </w:p>
    <w:p>
      <w:pPr>
        <w:spacing w:after="80"/>
      </w:pPr>
      <w:r>
        <w:rPr>
          <w:b w:val="0"/>
          <w:i/>
        </w:rPr>
        <w:t>và Richard Pegrum v Bộ Tài chính,</w:t>
      </w:r>
      <w:r>
        <w:rPr>
          <w:b w:val="0"/>
          <w:i w:val="0"/>
        </w:rPr>
        <w:t>32 Tòa án Tối cao Na Uy đã xem xét liệu một công ty Vương quốc Anh được ký hợp đồng để cung cấp dịch vụ của một chuyên gia giải thích bản đồ địa chấn cho công ty dầu khí quốc gia Na Uy, Statoil, có cơ sở thường trú (PE) tại Na Uy theo Điều 5(1) của Hiệp định Thuế Na Uy - Vương quốc Anh (1969 và 1985) hay không. Statoil cung cấp cho chuyên gia tư vấn một văn phòng mỗi khi ông đến làm việc cho họ. Văn phòng được chọn một phần từ những văn phòng còn trống, nhưng đặc biệt là dựa trên dự án ông đang làm việc, tại hai địa điểm khác nhau trong khu vực Stavanger và một số địa điểm ở Bergen. Thời gian lưu trú của chuyên gia tư vấn tại Na Uy có độ dài khác nhau. Tòa án, dựa trên Bình luận của OECD, đã bác bỏ lập luận rằng phải có quyền hợp pháp sử dụng văn phòng để đáp ứng yêu cầu về tính thường xuyên, nhưng phán quyết rằng hoạt động kinh doanh phải gắn liền với một điểm địa lý cụ thể với một mức độ thường xuyên nhất định. Tòa án kết luận rằng các yêu cầu phải được xác định bằng một đánh giá tổng thể và rằng không có địa điểm kinh doanh 'cố định'. Tương tự, việc cung cấp hỗ trợ kỹ thuật và giám sát trong các chuyến thăm thường xuyên trong ba năm tới nhà máy của khách hàng ở Hy Lạp theo một hợp đồng cung cấp công nghệ của một công ty cư trú tại Vương quốc Anh đã không tạo ra PE tại Hy Lạp theo Điều 2(1)(k) của Hiệp định Hy Lạp - Vương quốc Anh (1953).33</w:t>
      </w:r>
    </w:p>
    <w:p>
      <w:pPr>
        <w:spacing w:after="80"/>
      </w:pPr>
      <w:r>
        <w:rPr>
          <w:b w:val="0"/>
          <w:i w:val="0"/>
        </w:rPr>
        <w:t xml:space="preserve">Cả ba yếu tố để tồn tại một PE đều được đề cập trong </w:t>
      </w:r>
      <w:r>
        <w:rPr>
          <w:b w:val="0"/>
          <w:i/>
        </w:rPr>
        <w:t>Formula One World Championship Ltd v Commissioner of Income Tax,</w:t>
      </w:r>
      <w:r>
        <w:rPr>
          <w:b w:val="0"/>
          <w:i w:val="0"/>
        </w:rPr>
        <w:t>34 nơi Tòa án Tối cao Ấn Độ xem xét rằng Formula One World Championship Ltd (FOWC), chủ sở hữu quyền thương mại đối với Giải đua xe Công thức Một, có PE tại Ấn Độ theo Điều 5(1) của hiệp định thuế đánh thuế hai lần Ấn Độ - Vương quốc Anh (1993), tại Trường đua Buddh International, nơi sự kiện được tổ chức vào năm 2011, 2012 và 2013.</w:t>
      </w:r>
    </w:p>
    <w:p>
      <w:pPr>
        <w:spacing w:after="80"/>
      </w:pPr>
      <w:r>
        <w:rPr>
          <w:b w:val="0"/>
          <w:i w:val="0"/>
        </w:rPr>
        <w:t>FOWC, một công ty cư trú tại Vương quốc Anh, đã cấp cho một công ty Ấn Độ không liên quan (nhà tổ chức) quyền đăng cai, tổ chức và quảng bá Giải đua xe Công thức Một Ấn Độ trong năm năm theo một Hợp đồng Quảng bá Cuộc đua. Đồng thời, bằng một thỏa thuận riêng, FOWC đã cấp phép một số nhãn hiệu và tài sản trí tuệ cho nhà tổ chức. Đồng thời, nhà tổ chức đã ký hợp đồng với ba chi nhánh của FOWC, một trong số đó được cấp quyền truyền thông và quyền tài trợ danh hiệu. Những quyền đó đã được bán trước cho một công ty viễn thông Ấn Độ. Một chi nhánh thứ hai của FOWC được nhà tổ chức thuê để tạo nguồn phát sóng truyền hình và chi nhánh thứ ba được cấp quyền khu vực paddock.</w:t>
      </w:r>
    </w:p>
    <w:p>
      <w:pPr>
        <w:spacing w:after="80"/>
      </w:pPr>
      <w:r>
        <w:rPr>
          <w:b w:val="0"/>
          <w:i w:val="0"/>
        </w:rPr>
        <w:t>Việc trường đua là một địa điểm địa lý cụ thể không gây tranh cãi. Một trong những tình huống thực tế khó khăn và gây tranh cãi nhất liên quan đến một doanh nghiệp quay trở lại cùng một địa điểm trong một thời gian rất ngắn qua nhiều năm. Hợp đồng Quảng bá Cuộc đua đã cấp quyền truy cập vào trường đua trong hai tuần trước và một tuần sau sự kiện. Tòa án nhận xét rằng 'các bên kháng cáo đang cố gắng làm nhỏ nhặt vấn đề bằng cách khai thác việc thời gian diễn ra sự kiện chỉ có ba ngày'.35 Tòa án không coi sự hiện diện này là 'phù du hoặc thoáng qua, hoặc lẻ tẻ'36 mà là tái diễn dựa trên thời hạn năm năm của hợp đồng. Khi kết luận rằng 'xét đến thời gian diễn ra sự kiện, vốn</w:t>
      </w:r>
    </w:p>
    <w:p>
      <w:pPr>
        <w:spacing w:after="80"/>
      </w:pPr>
      <w:r>
        <w:rPr>
          <w:b w:val="0"/>
          <w:i w:val="0"/>
        </w:rPr>
        <w:t>32.</w:t>
      </w:r>
      <w:r>
        <w:rPr>
          <w:b w:val="0"/>
          <w:i/>
        </w:rPr>
        <w:t>Alphawell Ltd và Richard Pegrum v Bộ Tài chính</w:t>
      </w:r>
      <w:r>
        <w:rPr>
          <w:b w:val="0"/>
          <w:i w:val="0"/>
        </w:rPr>
        <w:t>, Høyesterett (Tòa án Tối cao Na Uy), ngày 10 tháng 6 năm 1994 (Vụ án số 56/994) (Cơ sở dữ liệu trực tuyến IBFD).33.Tòa án Hành chính Tối cao Hy Lạp, ngày 27 tháng 6 năm 1977 (Vụ án 2551/1977) 2 ITLR 517.34.</w:t>
      </w:r>
      <w:r>
        <w:rPr>
          <w:b w:val="0"/>
          <w:i/>
        </w:rPr>
        <w:t>Formula One World Championship Ltd v Commissioner of Income Tax, International Taxation</w:t>
      </w:r>
      <w:r>
        <w:rPr>
          <w:b w:val="0"/>
          <w:i w:val="0"/>
        </w:rPr>
        <w:t>, Kháng cáo Dân sự số 3849, 3850 và 3851 năm 2017, 19 ITLR 784.35.Tại đoạn 68(iii).36.Tại đoạn 70.</w:t>
      </w:r>
    </w:p>
    <w:p>
      <w:pPr>
        <w:spacing w:after="80"/>
      </w:pPr>
      <w:r>
        <w:rPr>
          <w:b w:val="0"/>
          <w:i w:val="0"/>
        </w:rPr>
        <w:t>224</w:t>
      </w:r>
    </w:p>
    <w:p>
      <w:pPr>
        <w:spacing w:after="80"/>
      </w:pPr>
      <w:r>
        <w:rPr>
          <w:b w:val="0"/>
          <w:i w:val="0"/>
        </w:rPr>
        <w:t>chỉ trong số ngày giới hạn, và trong toàn bộ thời gian đó FOWC có quyền truy cập đầy đủ thông qua nhân viên của mình, số ngày mà quyền truy cập tồn tại sẽ không tạo ra bất kỳ khác biệt nào', Tòa án đã đồng nhất yêu cầu về địa điểm phải nằm trong quyền định đoạt của doanh nghiệp với yêu cầu về thời gian. Việc thiếu sự rõ ràng hoặc án lệ đã được giải quyết về lượng thời gian cần thiết, và việc thời gian dành cho địa điểm đó nằm ở mức cực đoan của thang đo, khiến kết luận này gây tranh cãi và đáng ngạc nhiên.</w:t>
      </w:r>
    </w:p>
    <w:p>
      <w:pPr>
        <w:spacing w:after="80"/>
      </w:pPr>
      <w:r>
        <w:rPr>
          <w:b w:val="0"/>
          <w:i w:val="0"/>
        </w:rPr>
        <w:t>Câu hỏi liệu hoạt động kinh doanh của FOWC có được tiến hành tại trường đua hay không cũng gây tranh cãi tương tự. Tòa án Tối cao kết luận rằng FOWC có quyền kiểm soát hoàn toàn đối với trường đua trong suốt thời gian diễn ra sự kiện và rằng chính FOWC, chứ không phải nhà tổ chức, đã tiến hành các cuộc đua và có quyền kiểm soát hoàn toàn đối với sự kiện, do đó FOWC đang tiến hành hoạt động kinh doanh tại trường đua. Khi kết luận như vậy, Tòa án xem việc khai thác các quyền thương mại của Công thức Một là một hoạt động nhóm của FOWC và các chi nhánh của nó, do đó:</w:t>
      </w:r>
    </w:p>
    <w:p>
      <w:pPr>
        <w:spacing w:after="80"/>
      </w:pPr>
      <w:r>
        <w:rPr>
          <w:b w:val="0"/>
          <w:i w:val="0"/>
        </w:rPr>
        <w:t>Chúng tôi muốn bắt đầu thảo luận về một tham số quan trọng, cụ thể là cách thức mà các quyền thương mại, vốn được nắm giữ bởi FOWC và các chi nhánh của nó, đã được khai thác trong trường hợp này. Vì mục đích này, toàn bộ thỏa thuận giữa FOWC và các chi nhánh của nó ở một bên và Jaypee ở bên kia, cần được ghi nhớ. Không thể xem xét các thỏa thuận khác nhau bằng cách tách chúng ra khỏi nhau. Việc đọc toàn diện chúng sẽ làm nổi bật giao dịch thực sự giữa các bên.</w:t>
      </w:r>
    </w:p>
    <w:p>
      <w:pPr>
        <w:spacing w:after="80"/>
      </w:pPr>
      <w:r>
        <w:rPr>
          <w:b w:val="0"/>
          <w:i w:val="0"/>
        </w:rPr>
        <w:t>Thỏa thuận nói trên thể hiện rõ ràng rằng toàn bộ sự kiện được FOWC và các chi nhánh của nó tiếp quản và kiểm soát.37</w:t>
      </w:r>
    </w:p>
    <w:p>
      <w:pPr>
        <w:spacing w:after="80"/>
      </w:pPr>
      <w:r>
        <w:rPr>
          <w:b w:val="0"/>
          <w:i w:val="0"/>
        </w:rPr>
        <w:t>Cuối cùng, phân tích này phụ thuộc vào việc giải thích đúng đắn các thỏa thuận và những gì các bên thực sự làm. Một hợp đồng quảng bá cuộc đua kiểu này có thể được so sánh với một thỏa thuận nhượng quyền thương mại, nơi hoạt động kinh doanh được thực hiện bởi bên nhận nhượng quyền, mặc dù phải tuân theo các tiêu chí nghiêm ngặt do bên nhượng quyền áp đặt.</w:t>
      </w:r>
    </w:p>
    <w:p>
      <w:pPr>
        <w:spacing w:after="80"/>
      </w:pPr>
      <w:r>
        <w:rPr>
          <w:b/>
          <w:i w:val="0"/>
        </w:rPr>
        <w:t>§7.05 PE VÀ NỀN KINH TẾ SỐ</w:t>
      </w:r>
    </w:p>
    <w:p>
      <w:pPr>
        <w:spacing w:after="80"/>
      </w:pPr>
      <w:r>
        <w:rPr>
          <w:b w:val="0"/>
          <w:i w:val="0"/>
        </w:rPr>
        <w:t>Những thay đổi đối với Bình luận về Công ước Mẫu về Thuế của OECD được Ủy ban Các vấn đề Tài chính thông qua vào ngày 22 tháng 12 năm 2000 trong bối cảnh thương mại điện tử cũng có thể đưa ra dấu hiệu về cách những vấn đề này có thể được xem xét trong bối cảnh các PE được tạo thành bởi thiết bị tự động trong công nghệ liên quan. Các ví dụ hiện đại bao gồm thiết bị viễn thông tự động cố định, chẳng hạn như ống dẫn và cáp backhaul; thiết bị POP, truyền dẫn và chuyển mạch; vòng lặp cục bộ đường trục; ống dẫn và cáp; đường thuê riêng; quyền sử dụng không thể hủy ngang; và các thỏa thuận dung lượng.</w:t>
      </w:r>
    </w:p>
    <w:p>
      <w:pPr>
        <w:spacing w:after="80"/>
      </w:pPr>
      <w:r>
        <w:rPr>
          <w:b w:val="0"/>
          <w:i w:val="0"/>
        </w:rPr>
        <w:t>Bình luận về Điều 5(1) hiện nay, khá gây nhầm lẫn, chỉ ra rằng sự can thiệp của con người không phải là yêu cầu để tồn tại một PE trong trường hợp vận hành thiết bị máy tính hoặc một số chức năng tự động nhất định khác,38 mặc dù nhân viên hoặc</w:t>
      </w:r>
    </w:p>
    <w:p>
      <w:pPr>
        <w:spacing w:after="80"/>
      </w:pPr>
      <w:r>
        <w:rPr>
          <w:b w:val="0"/>
          <w:i w:val="0"/>
        </w:rPr>
        <w:t xml:space="preserve">37.Tại đoạn 67. Quan điểm của tác giả là các phán quyết trong </w:t>
      </w:r>
      <w:r>
        <w:rPr>
          <w:b w:val="0"/>
          <w:i/>
        </w:rPr>
        <w:t>Borax</w:t>
      </w:r>
      <w:r>
        <w:rPr>
          <w:b w:val="0"/>
          <w:i w:val="0"/>
        </w:rPr>
        <w:t xml:space="preserve">, </w:t>
      </w:r>
      <w:r>
        <w:rPr>
          <w:b w:val="0"/>
          <w:i/>
        </w:rPr>
        <w:t>Dell Products</w:t>
      </w:r>
      <w:r>
        <w:rPr>
          <w:b w:val="0"/>
          <w:i w:val="0"/>
        </w:rPr>
        <w:t xml:space="preserve"> và </w:t>
      </w:r>
      <w:r>
        <w:rPr>
          <w:b w:val="0"/>
          <w:i/>
        </w:rPr>
        <w:t>Formula One</w:t>
      </w:r>
      <w:r>
        <w:rPr>
          <w:b w:val="0"/>
          <w:i w:val="0"/>
        </w:rPr>
        <w:t>, đều đồng nhất các hoạt động của các thực thể liên kết trên một cơ sở không được hỗ trợ bởi các điều khoản của Điều 5 hoặc toàn bộ các hiệp định. Xem §7.13 và Chương 18, §18.05 (chống phân mảnh) cho các trường hợp điều này được hỗ trợ bởi các điều khoản của hiệp định.38.Đoạn 42.6.</w:t>
      </w:r>
    </w:p>
    <w:p>
      <w:pPr>
        <w:spacing w:after="80"/>
      </w:pPr>
      <w:r>
        <w:rPr>
          <w:b w:val="0"/>
          <w:i w:val="0"/>
        </w:rPr>
        <w:t>225</w:t>
      </w:r>
    </w:p>
    <w:p>
      <w:pPr>
        <w:spacing w:after="80"/>
      </w:pPr>
      <w:r>
        <w:rPr>
          <w:b w:val="0"/>
          <w:i w:val="0"/>
        </w:rPr>
        <w:t>đại lý thường được yêu cầu ở một mức độ nào đó khi hoạt động kinh doanh được tiến hành 'chủ yếu thông qua thiết bị tự động'.39 Thông thường, nhân viên tiến hành hoạt động kinh doanh của doanh nghiệp và, mặc dù Phần bình luận (Commentary) vẫn còn chính xác trong bối cảnh thương mại điện tử, nó không nhằm loại trừ khả năng một hoạt động kinh doanh có thể được tiến hành ít nhất một phần mà không cần nhân viên.</w:t>
      </w:r>
    </w:p>
    <w:p>
      <w:pPr>
        <w:spacing w:after="80"/>
      </w:pPr>
      <w:r>
        <w:rPr>
          <w:b w:val="0"/>
          <w:i w:val="0"/>
        </w:rPr>
        <w:t>Cụ thể, trong bối cảnh thương mại điện tử, những thay đổi đối với Phần bình luận cho thấy rõ rằng trong nhiều trường hợp, vấn đề liệu thiết bị máy tính tại một địa điểm nhất định có cấu thành cơ sở thường trú (PE - permanent establishment) hay không sẽ phụ thuộc vào việc liệu các chức năng được thực hiện thông qua thiết bị đó có vượt qua ngưỡng chuẩn bị hoặc hỗ trợ hay không. Một nhà bán lẻ điện tử (e-tailer), về cơ bản là một nhà cung cấp nội dung,40 là một ví dụ về chức năng thương mại có thể được thực hiện hoàn toàn tự động thông qua một trang web trên một máy chủ mà OECD coi là có khả năng cấu thành một PE.</w:t>
      </w:r>
    </w:p>
    <w:p>
      <w:pPr>
        <w:spacing w:after="80"/>
      </w:pPr>
      <w:r>
        <w:rPr>
          <w:b w:val="0"/>
          <w:i w:val="0"/>
        </w:rPr>
        <w:t>Vương quốc Anh đã từ chối tham gia vào sự đồng thuận này. Quan điểm của họ lần đầu tiên được thể hiện trong thông cáo báo chí của Inland Revenue ngày 11 tháng 4 năm 2000 với nội dung rằng:</w:t>
      </w:r>
    </w:p>
    <w:p>
      <w:pPr>
        <w:spacing w:after="80"/>
      </w:pPr>
      <w:r>
        <w:rPr>
          <w:b w:val="0"/>
          <w:i w:val="0"/>
        </w:rPr>
        <w:t>Tại Vương quốc Anh, chúng tôi cho rằng bản thân một trang web không phải là một cơ sở thường trú. Và chúng tôi cho rằng bản thân một máy chủ là không đủ để cấu thành một cơ sở thường trú của một doanh nghiệp đang tiến hành thương mại điện tử thông qua một trang web trên máy chủ đó. Chúng tôi giữ quan điểm đó bất kể máy chủ đó thuộc sở hữu, được thuê hay bằng cách khác nằm trong quyền định đoạt của doanh nghiệp.41</w:t>
      </w:r>
    </w:p>
    <w:p>
      <w:pPr>
        <w:spacing w:after="80"/>
      </w:pPr>
      <w:r>
        <w:rPr>
          <w:b w:val="0"/>
          <w:i w:val="0"/>
        </w:rPr>
        <w:t>Nhận xét của Vương quốc Anh đối với Phần bình luận về Điều 5 diễn đạt vấn đề một cách hẹp hơn, nói rằng một máy chủ được sử dụng bởi một nhà bán lẻ điện tử tự nó, hoặc cùng với các trang web, không thể cấu thành một PE. Kết quả của những tuyên bố này là sự hiện diện của một máy chủ sẽ chỉ đơn thuần là một trong những yếu tố, cùng với những yếu tố khác, cần được xem xét khi xác định liệu có tồn tại một PE hay không. Hàm ý ở đây là khó có thể thấy Vương quốc Anh công nhận một PE không có sự tham gia của con người. Về vấn đề này, có thể phải viện đến quan điểm truyền thống hơn liên quan đến việc bảo trì và vận hành thiết bị tự động cố định được giải thích trong các đoạn 8 và 10 của Phần bình luận OECD về Điều 5. Do đó, ví dụ, việc vận hành thiết bị bởi một công ty không cư trú vì lợi ích của chính mình tại Vương quốc Anh có thể cấu thành một PE ngay cả khi các hoạt động của nhân viên địa phương chỉ giới hạn ở việc lắp đặt, vận hành, kiểm soát và bảo trì thiết bị đó.</w:t>
      </w:r>
    </w:p>
    <w:p>
      <w:pPr>
        <w:spacing w:after="80"/>
      </w:pPr>
      <w:r>
        <w:rPr>
          <w:b w:val="0"/>
          <w:i w:val="0"/>
        </w:rPr>
        <w:t>Phân tích trên có thể chỉ đơn thuần phản ánh quan điểm truyền thống về việc liệu một người không cư trú có đang kinh doanh tại Vương quốc Anh thông qua một chi nhánh hoặc đại lý hay không, được cập nhật để xử lý hoạt động kinh doanh qua thiết bị tự động khi không có sự hiện diện nào khác.42 Cũng khó có thể thấy các trang web thương mại được kích hoạt đầy đủ trên máy chủ khác biệt như thế nào so với các thiết bị tự động khác.43</w:t>
      </w:r>
    </w:p>
    <w:p>
      <w:pPr>
        <w:spacing w:after="80"/>
      </w:pPr>
      <w:r>
        <w:rPr>
          <w:b w:val="0"/>
          <w:i w:val="0"/>
        </w:rPr>
        <w:t xml:space="preserve">39. Đoạn 10. 40. Đoạn 42.9 của phần bình luận về Điều 5 định nghĩa nhà bán lẻ điện tử là một doanh nghiệp tiến hành hoạt động kinh doanh bán sản phẩm qua internet. 41. Hiện nằm trong International Tax Manual, INTM266100. 42. Xem §7.10 về cơ sở thường trú đại lý. 43. Trong </w:t>
      </w:r>
      <w:r>
        <w:rPr>
          <w:b w:val="0"/>
          <w:i/>
        </w:rPr>
        <w:t xml:space="preserve"> Cable &amp; Wireless Network India Private Limited</w:t>
      </w:r>
      <w:r>
        <w:rPr>
          <w:b w:val="0"/>
          <w:i w:val="0"/>
        </w:rPr>
        <w:t xml:space="preserve"> (Phán quyết của Cơ quan Cấp phép Trước về Thuế của Ấn Độ ngày 30 tháng 6 năm 2009 (AAR/786/2008)), Cơ quan Cấp phép Trước về Thuế của Ấn Độ đã phán quyết rằng không có cơ sở thường trú tại Ấn Độ theo Điều 5(1) của Hiệp định Thuế Ấn Độ - Vương quốc Anh khi phần quốc tế của dịch vụ viễn thông quốc tế cho khách hàng Ấn Độ sẽ được cung cấp bởi một công ty cư trú tại Vương quốc Anh sử dụng cơ sở hạ tầng và thiết bị quốc tế của mình bên ngoài Ấn Độ để truyền các cuộc gọi và dữ liệu ra ngoài Ấn Độ, và phần dịch vụ tại Ấn Độ được thực hiện bởi một công ty liên kết Ấn Độ thông qua mạng lưới và thiết bị riêng của mình tại Ấn Độ.</w:t>
      </w:r>
    </w:p>
    <w:p>
      <w:pPr>
        <w:spacing w:after="80"/>
      </w:pPr>
      <w:r>
        <w:rPr>
          <w:b w:val="0"/>
          <w:i w:val="0"/>
        </w:rPr>
        <w:t>226</w:t>
      </w:r>
    </w:p>
    <w:p>
      <w:pPr>
        <w:spacing w:after="80"/>
      </w:pPr>
      <w:r>
        <w:rPr>
          <w:b w:val="0"/>
          <w:i w:val="0"/>
        </w:rPr>
        <w:t>Những phát triển mạnh mẽ trong công nghệ kỹ thuật số đã làm tăng cơ hội để nhân viên và cơ sở hạ tầng công nghệ thông tin của một doanh nghiệp ở xa khách hàng của mình, dẫn đến việc bán hàng có thể dễ dàng được thực hiện mà không cần sự hiện diện chịu thuế tại quốc gia nơi khách hàng cư trú. Điều này đã đặt ra những câu hỏi cơ bản về việc liệu các quy tắc PE hiện hành về mặt hiện diện vật lý và đại lý có còn phù hợp với mục đích trong nền kinh tế kỹ thuật số hay không.44 Báo cáo Cuối cùng về Hành động 1 của OECD BEPS đã trình bày chi tiết về định nghĩa PE như một trong những khó khăn chính mà nền kinh tế kỹ thuật số đặt ra bởi vì một công ty giờ đây có thể có sự hiện diện kỹ thuật số đáng kể trong nền kinh tế của một quốc gia khác mà không phải chịu thuế. Không có thay đổi nào đối với định nghĩa xuất hiện từ báo cáo đó và việc vật lộn với những thách thức do số hóa nền kinh tế đặt ra vẫn là một công việc đang được tiến hành vào thời điểm viết bài này.45</w:t>
      </w:r>
    </w:p>
    <w:p>
      <w:pPr>
        <w:spacing w:after="80"/>
      </w:pPr>
      <w:r>
        <w:rPr>
          <w:b/>
          <w:i w:val="0"/>
        </w:rPr>
        <w:t>§7.06 DANH SÁCH MINH HỌA</w:t>
      </w:r>
    </w:p>
    <w:p>
      <w:pPr>
        <w:spacing w:after="80"/>
      </w:pPr>
      <w:r>
        <w:rPr>
          <w:b w:val="0"/>
          <w:i w:val="0"/>
        </w:rPr>
        <w:t>Hầu hết các hiệp định đều chứa một danh sách các PE vật lý được coi là tồn tại. Hiệp định Estonia phản ánh Mô hình OECD về khía cạnh này:</w:t>
      </w:r>
    </w:p>
    <w:p>
      <w:pPr>
        <w:spacing w:after="80"/>
      </w:pPr>
      <w:r>
        <w:rPr>
          <w:b w:val="0"/>
          <w:i w:val="0"/>
        </w:rPr>
        <w:t>5(2) Thuật ngữ 'cơ sở thường trú' bao gồm đặc biệt:</w:t>
      </w:r>
    </w:p>
    <w:p>
      <w:pPr>
        <w:spacing w:after="80"/>
      </w:pPr>
      <w:r>
        <w:rPr>
          <w:b w:val="0"/>
          <w:i w:val="0"/>
        </w:rPr>
        <w:t>(a) một địa điểm quản lý; (b) một chi nhánh;</w:t>
      </w:r>
    </w:p>
    <w:p>
      <w:pPr>
        <w:spacing w:after="80"/>
      </w:pPr>
      <w:r>
        <w:rPr>
          <w:b w:val="0"/>
          <w:i w:val="0"/>
        </w:rPr>
        <w:t>(c) một văn phòng; (d) một nhà máy;</w:t>
      </w:r>
    </w:p>
    <w:p>
      <w:pPr>
        <w:spacing w:after="80"/>
      </w:pPr>
      <w:r>
        <w:rPr>
          <w:b w:val="0"/>
          <w:i w:val="0"/>
        </w:rPr>
        <w:t>(e) một xưởng;</w:t>
      </w:r>
    </w:p>
    <w:p>
      <w:pPr>
        <w:spacing w:after="80"/>
      </w:pPr>
      <w:r>
        <w:rPr>
          <w:b w:val="0"/>
          <w:i w:val="0"/>
        </w:rPr>
        <w:t>(f) một mỏ, một giếng dầu hoặc khí, một mỏ đá hoặc bất kỳ địa điểm khai thác tài nguyên thiên nhiên nào khác.</w:t>
      </w:r>
    </w:p>
    <w:p>
      <w:pPr>
        <w:spacing w:after="80"/>
      </w:pPr>
      <w:r>
        <w:rPr>
          <w:b w:val="0"/>
          <w:i w:val="0"/>
        </w:rPr>
        <w:t>tài nguyên.</w:t>
      </w:r>
    </w:p>
    <w:p>
      <w:pPr>
        <w:spacing w:after="80"/>
      </w:pPr>
      <w:r>
        <w:rPr>
          <w:b w:val="0"/>
          <w:i w:val="0"/>
        </w:rPr>
        <w:t>Ngay lập tức có thể thấy rằng danh sách minh họa trong nước tại CTA 2010, s.1141(2) bao gồm các mục này. Thực tiễn đàm phán rất khác nhau về việc liệu các cơ sở khác có được coi là cơ sở kinh doanh cố định hay không. Một số hiệp ước rất sớm, chẳng hạn như Antigua và Barbuda Điều 2(1)(k), không chứa danh sách minh họa. Trong lĩnh vực tài nguyên thiên nhiên, luật trong nước của Vương quốc Anh46 coi một công trình lắp đặt hoặc kết cấu để thăm dò tài nguyên thiên nhiên là một cơ sở thường trú (PE). Hầu hết các hiệp ước chỉ coi một địa điểm khai thác là cấu thành nên một cơ sở kinh doanh cố định. Các ngoại lệ đối với đa số trong khía cạnh này bao gồm Hiệp ước Australia-Vương quốc Anh (Điều 5(2)(f)) và Hiệp ước Chile-Vương quốc Anh (Điều 5(2)(f)). Đáng ngạc nhiên (vì địa điểm thăm dò được bao gồm trong Hiệp ước Mẫu về Đánh thuế Hai lần của Hoa Kỳ), điều này không đúng trong Hiệp ước Vương quốc Anh-Hoa Kỳ năm 2001.</w:t>
      </w:r>
    </w:p>
    <w:p>
      <w:pPr>
        <w:spacing w:after="80"/>
      </w:pPr>
      <w:r>
        <w:rPr>
          <w:b w:val="0"/>
          <w:i w:val="0"/>
        </w:rPr>
        <w:t>Các cơ sở thường trú được coi là khác thường hơn bao gồm 'một cửa hàng hoặc đại lý bán hàng khác' (Guyana-Vương quốc Anh, Điều 5(2)(c)) và 'một kho hàng liên quan đến một người cung cấp cơ sở lưu trữ cho người khác' (Bangladesh-Vương quốc Anh Điều 5(2)(f)), hoặc 'một xưởng lắp ráp hoặc</w:t>
      </w:r>
    </w:p>
    <w:p>
      <w:pPr>
        <w:spacing w:after="80"/>
      </w:pPr>
      <w:r>
        <w:rPr>
          <w:b w:val="0"/>
          <w:i w:val="0"/>
        </w:rPr>
        <w:t xml:space="preserve">44. OECD (2014), Addressing the Tax Challenges of the Digital Economy, OECD/G20 Base Erosion and Profit Shifting Project, OECD Publishing, đoạn 7.3.45. Xem §7.04 và §7.09 về </w:t>
      </w:r>
      <w:r>
        <w:rPr>
          <w:b w:val="0"/>
          <w:i/>
        </w:rPr>
        <w:t>Ministre de l'Action et des Comptes Publics vs société Google Ireland Limited</w:t>
      </w:r>
      <w:r>
        <w:rPr>
          <w:b w:val="0"/>
          <w:i w:val="0"/>
        </w:rPr>
        <w:t xml:space="preserve"> nơi những vấn đề này được nêu ra.46. CTA 2010, s. 1141(2)(f).</w:t>
      </w:r>
    </w:p>
    <w:p>
      <w:pPr>
        <w:spacing w:after="80"/>
      </w:pPr>
      <w:r>
        <w:rPr>
          <w:b w:val="0"/>
          <w:i w:val="0"/>
        </w:rPr>
        <w:t>227</w:t>
      </w:r>
    </w:p>
    <w:p>
      <w:pPr>
        <w:spacing w:after="80"/>
      </w:pPr>
      <w:r>
        <w:rPr>
          <w:b w:val="0"/>
          <w:i w:val="0"/>
        </w:rPr>
        <w:t>cơ sở nông nghiệp' (Bolivia-Vương quốc Anh Điều 5(2)(d)), 'cơ sở được sử dụng làm đại lý bán hàng để nhận hoặc chào mời đơn đặt hàng' (Ấn Độ Điều 5(2)(f)). Những điều khoản này thường được đưa vào theo yêu cầu của quốc gia ký kết kia.</w:t>
      </w:r>
    </w:p>
    <w:p>
      <w:pPr>
        <w:spacing w:after="80"/>
      </w:pPr>
      <w:r>
        <w:rPr>
          <w:b w:val="0"/>
          <w:i w:val="0"/>
        </w:rPr>
        <w:t xml:space="preserve">Ít nhất là đối với những mục trong Mô hình OECD, rõ ràng rằng đây chỉ là những cơ sở thường trú </w:t>
      </w:r>
      <w:r>
        <w:rPr>
          <w:b w:val="0"/>
          <w:i/>
        </w:rPr>
        <w:t>prima facie</w:t>
      </w:r>
      <w:r>
        <w:rPr>
          <w:b w:val="0"/>
          <w:i w:val="0"/>
        </w:rPr>
        <w:t xml:space="preserve"> và để trở thành một cơ sở thường trú theo hiệp ước, bất kỳ loại địa điểm nào trong số này cũng cần phải có các thuộc tính chung của một cơ sở kinh doanh cố định trong Điều 5(1).</w:t>
      </w:r>
    </w:p>
    <w:p>
      <w:pPr>
        <w:spacing w:after="80"/>
      </w:pPr>
      <w:r>
        <w:rPr>
          <w:b w:val="0"/>
          <w:i w:val="0"/>
        </w:rPr>
        <w:t>Điều 5(2) của Hiệp ước Ấn Độ-Vương quốc Anh đặc biệt đặt ngôn ngữ về cơ sở thường trú dịch vụ trong danh sách minh họa. Đoạn liên quan có nội dung:</w:t>
      </w:r>
    </w:p>
    <w:p>
      <w:pPr>
        <w:spacing w:after="80"/>
      </w:pPr>
      <w:r>
        <w:rPr>
          <w:b w:val="0"/>
          <w:i w:val="0"/>
        </w:rPr>
        <w:t>Thuật ngữ 'cơ sở thường trú' đặc biệt bao gồm:</w:t>
      </w:r>
    </w:p>
    <w:p>
      <w:pPr>
        <w:spacing w:after="80"/>
      </w:pPr>
      <w:r>
        <w:rPr>
          <w:b w:val="0"/>
          <w:i w:val="0"/>
        </w:rPr>
        <w:t>(k) việc cung cấp dịch vụ bao gồm dịch vụ quản lý khác với những dịch vụ</w:t>
      </w:r>
    </w:p>
    <w:p>
      <w:pPr>
        <w:spacing w:after="80"/>
      </w:pPr>
      <w:r>
        <w:rPr>
          <w:b w:val="0"/>
          <w:i w:val="0"/>
        </w:rPr>
        <w:t>chịu thuế theo Điều 13 (Tiền bản quyền và phí dịch vụ kỹ thuật), trong Quốc gia ký kết… bởi một doanh nghiệp thông qua nhân viên hoặc nhân sự khác, nhưng chỉ khi:</w:t>
      </w:r>
    </w:p>
    <w:p>
      <w:pPr>
        <w:spacing w:after="80"/>
      </w:pPr>
      <w:r>
        <w:rPr>
          <w:b w:val="0"/>
          <w:i w:val="0"/>
        </w:rPr>
        <w:t>(i) các hoạt động có tính chất đó tiếp tục trong Quốc gia đó trong một khoảng thời gian hoặc các khoảng thời gian</w:t>
      </w:r>
    </w:p>
    <w:p>
      <w:pPr>
        <w:spacing w:after="80"/>
      </w:pPr>
      <w:r>
        <w:rPr>
          <w:b w:val="0"/>
          <w:i w:val="0"/>
        </w:rPr>
        <w:t>tổng cộng hơn 90 ngày trong bất kỳ khoảng thời gian mười hai tháng nào; hoặc (ii) dịch vụ được thực hiện trong Quốc gia đó cho một doanh nghiệp theo</w:t>
      </w:r>
    </w:p>
    <w:p>
      <w:pPr>
        <w:spacing w:after="80"/>
      </w:pPr>
      <w:r>
        <w:rPr>
          <w:b w:val="0"/>
          <w:i w:val="0"/>
        </w:rPr>
        <w:t>nghĩa của khoản (1) Điều 10 (Các doanh nghiệp liên kết) và tiếp tục trong một khoảng thời gian hoặc các khoảng thời gian tổng cộng hơn 30 ngày trong bất kỳ khoảng thời gian mười hai tháng nào</w:t>
      </w:r>
    </w:p>
    <w:p>
      <w:pPr>
        <w:spacing w:after="80"/>
      </w:pPr>
      <w:r>
        <w:rPr>
          <w:b w:val="0"/>
          <w:i w:val="0"/>
        </w:rPr>
        <w:t>với điều kiện là cho các mục đích của khoản này, một doanh nghiệp được coi là có một cơ sở thường trú tại một Quốc gia ký kết và tiến hành kinh doanh thông qua cơ sở thường trú đó nếu nó cung cấp dịch vụ hoặc cơ sở vật chất liên quan đến, hoặc cung cấp máy móc thiết bị cho thuê được sử dụng hoặc sẽ được sử dụng trong việc thăm dò, hoặc khai thác hoặc sản xuất dầu khoáng tại Quốc gia đó.</w:t>
      </w:r>
    </w:p>
    <w:p>
      <w:pPr>
        <w:spacing w:after="80"/>
      </w:pPr>
      <w:r>
        <w:rPr>
          <w:b w:val="0"/>
          <w:i w:val="0"/>
        </w:rPr>
        <w:t xml:space="preserve">Trong </w:t>
      </w:r>
      <w:r>
        <w:rPr>
          <w:b w:val="0"/>
          <w:i/>
        </w:rPr>
        <w:t>Linklaters LLP v Income Tax Officer</w:t>
      </w:r>
      <w:r>
        <w:rPr>
          <w:b w:val="0"/>
          <w:i w:val="0"/>
        </w:rPr>
        <w:t xml:space="preserve">47, một hãng luật quốc tế cư trú tại Vương quốc Anh không có văn phòng hay cơ sở cố định nào ở Ấn Độ. Hãng này được chỉ định làm cố vấn luật Anh cho các dự án tại Ấn Độ. Các đối tác đã ở Ấn Độ quá chín mươi ngày trong năm liên quan. Hãng đã nộp tờ khai thuế thể hiện nghĩa vụ chịu thuế Ấn Độ trên cơ sở thu nhập quy cho các hoạt động của mình tại Ấn Độ liên quan đến các dự án. Tòa án Thuế Thu nhập Kháng nghị (Income Tax Appellate Tribunal) cho rằng trong khi các điều 5(2)(a)-(i) chỉ mang tính minh họa cho quy tắc cơ bản trong điều 5(1), thì các điều 5(2)(j) và (k) là phần mở rộng của quy tắc cơ bản và do đó tạo thành các phạm trù cơ sở thường trú (PE) độc lập được cả Công ước mẫu OECD và UN công nhận. Nhận định của Tòa án liên quan đến điều 5(2)(j) (công trường xây dựng) rõ ràng là obiter. Mục đích của ngôn ngữ PE dịch vụ là coi một PE tồn tại, bất chấp việc không có địa điểm kinh doanh cố định. Do đó nó không thể mang tính minh họa cho nguyên tắc chung trong điều 5(1). Phát hiện trong </w:t>
      </w:r>
      <w:r>
        <w:rPr>
          <w:b w:val="0"/>
          <w:i/>
        </w:rPr>
        <w:t>Rolls-Royce plc v Director of Income Tax</w:t>
      </w:r>
      <w:r>
        <w:rPr>
          <w:b w:val="0"/>
          <w:i w:val="0"/>
        </w:rPr>
        <w:t>48 rằng một công ty cư trú tại Vương quốc Anh có PE ở Ấn Độ theo điều 5(2)(f) nhờ có cơ sở được sử dụng để nhận hoặc chào mời đơn hàng, xuất phát từ phát hiện rằng cơ sở của công ty con Ấn Độ nằm trong</w:t>
      </w:r>
    </w:p>
    <w:p>
      <w:pPr>
        <w:spacing w:after="80"/>
      </w:pPr>
      <w:r>
        <w:rPr>
          <w:b w:val="0"/>
          <w:i w:val="0"/>
        </w:rPr>
        <w:t>47.</w:t>
      </w:r>
      <w:r>
        <w:rPr>
          <w:b w:val="0"/>
          <w:i/>
        </w:rPr>
        <w:t>LinklatersLLPvIncomeTaxOfficer-InternationalTaxationWard</w:t>
      </w:r>
      <w:r>
        <w:rPr>
          <w:b w:val="0"/>
          <w:i w:val="0"/>
        </w:rPr>
        <w:t>1(1)(2),MumbaiITANos4896/Mum/03, 5085/Mum/03 [2010] 40 SOT 51 (Mum), [2010] 13 ITLR 245.48.</w:t>
      </w:r>
      <w:r>
        <w:rPr>
          <w:b w:val="0"/>
          <w:i/>
        </w:rPr>
        <w:t>Rolls-RoyceplcvDirectorofIncomeTax</w:t>
      </w:r>
      <w:r>
        <w:rPr>
          <w:b w:val="0"/>
          <w:i w:val="0"/>
        </w:rPr>
        <w:t>ITANos1496-1501/Del/2007,[2007]10ITLR327.Được Tòa án Tối cao Delhi khẳng định trên cùng cơ sở ITA 493/2008 và các kháng nghị liên quan [2011] 14ITLR 180. Xem §7.04 ở trên.</w:t>
      </w:r>
    </w:p>
    <w:p>
      <w:pPr>
        <w:spacing w:after="80"/>
      </w:pPr>
      <w:r>
        <w:rPr>
          <w:b w:val="0"/>
          <w:i w:val="0"/>
        </w:rPr>
        <w:t>228</w:t>
      </w:r>
    </w:p>
    <w:p>
      <w:pPr>
        <w:spacing w:after="80"/>
      </w:pPr>
      <w:r>
        <w:rPr>
          <w:b w:val="0"/>
          <w:i w:val="0"/>
        </w:rPr>
        <w:t>quyền định đoạt của công ty cư trú tại Vương quốc Anh và các kết luận tiếp theo về các hoạt động được thực hiện tại những cơ sở đó chứng minh sự cần thiết phải đáp ứng các yêu cầu cơ bản của điều 5(1) khi danh sách minh họa được áp dụng.</w:t>
      </w:r>
    </w:p>
    <w:p>
      <w:pPr>
        <w:spacing w:after="80"/>
      </w:pPr>
      <w:r>
        <w:rPr>
          <w:b/>
          <w:i w:val="0"/>
        </w:rPr>
        <w:t>§7.07CHI NHÁNH</w:t>
      </w:r>
    </w:p>
    <w:p>
      <w:pPr>
        <w:spacing w:after="80"/>
      </w:pPr>
      <w:r>
        <w:rPr>
          <w:b w:val="0"/>
          <w:i w:val="0"/>
        </w:rPr>
        <w:t xml:space="preserve">PE được định nghĩa trong hầu hết các hiệp ước bao gồm trong điều 5(2)(b) </w:t>
      </w:r>
      <w:r>
        <w:rPr>
          <w:b w:val="0"/>
          <w:i/>
        </w:rPr>
        <w:t>inter alia</w:t>
      </w:r>
      <w:r>
        <w:rPr>
          <w:b w:val="0"/>
          <w:i w:val="0"/>
        </w:rPr>
        <w:t xml:space="preserve"> 'một chi nhánh'. Theo luật trong nước, để có thể bị đánh thuế đối với thu nhập từ hoạt động kinh doanh của mình, một người không cư trú từ lâu đã được yêu cầu phải tiến hành hoạt động kinh doanh trong Vương quốc Anh thông qua một 'chi nhánh hoặc đại lý'. Chi nhánh hoặc đại lý được định nghĩa, khá vô ích, là 'bất kỳ cơ sở đại diện, đại lý, quyền quản lý, chi nhánh hoặc ban quản lý nào'.49</w:t>
      </w:r>
    </w:p>
    <w:p>
      <w:pPr>
        <w:spacing w:after="80"/>
      </w:pPr>
      <w:r>
        <w:rPr>
          <w:b w:val="0"/>
          <w:i w:val="0"/>
        </w:rPr>
        <w:t xml:space="preserve">Có rất ít bình luận tư pháp về khái niệm này. Trong </w:t>
      </w:r>
      <w:r>
        <w:rPr>
          <w:b w:val="0"/>
          <w:i/>
        </w:rPr>
        <w:t>Greenwood v FL Smidth&amp;Co</w:t>
      </w:r>
      <w:r>
        <w:rPr>
          <w:b w:val="0"/>
          <w:i w:val="0"/>
        </w:rPr>
        <w:t xml:space="preserve">,50 AtkinLJ đã bình luận trong bối cảnh địa điểm kinh doanh mà quan hệ đối tác trong </w:t>
      </w:r>
      <w:r>
        <w:rPr>
          <w:b w:val="0"/>
          <w:i/>
        </w:rPr>
        <w:t>Sulley v Attorney-General</w:t>
      </w:r>
      <w:r>
        <w:rPr>
          <w:b w:val="0"/>
          <w:i w:val="0"/>
        </w:rPr>
        <w:t xml:space="preserve"> có ở Anh: 'Không quan trọng liệu tổ chức này là "đại lý hay chi nhánh"'.51 Trong </w:t>
      </w:r>
      <w:r>
        <w:rPr>
          <w:b w:val="0"/>
          <w:i/>
        </w:rPr>
        <w:t>IRCvBrackett</w:t>
      </w:r>
      <w:r>
        <w:rPr>
          <w:b w:val="0"/>
          <w:i w:val="0"/>
        </w:rPr>
        <w:t xml:space="preserve">,52 các Ủy viên Đặc biệt cho rằng công ty Jersey được đề cập 'thực chất chỉ kinh doanh ở Vương quốc Anh thông qua ông Brackett' và sẽ là ngược đời nếu cho rằng công ty không thuộc diện chịu thuế 'vì một số khó khăn ngữ nghĩa trong việc đưa các thỏa thuận của mình vào từ ngữ của định nghĩa chi nhánh hoặc đại lý'. Tòa án Tối cao không xem xét câu hỏi này. Nó được xử lý như một biểu thức tổng hợp trong </w:t>
      </w:r>
      <w:r>
        <w:rPr>
          <w:b w:val="0"/>
          <w:i/>
        </w:rPr>
        <w:t>SunLife Assurance Co. of Canada v Pearson</w:t>
      </w:r>
      <w:r>
        <w:rPr>
          <w:b w:val="0"/>
          <w:i w:val="0"/>
        </w:rPr>
        <w:t>.53</w:t>
      </w:r>
    </w:p>
    <w:p>
      <w:pPr>
        <w:spacing w:after="80"/>
      </w:pPr>
      <w:r>
        <w:rPr>
          <w:b w:val="0"/>
          <w:i w:val="0"/>
        </w:rPr>
        <w:t>Khái niệm chi nhánh cũng là một khái niệm gây ra khó khăn trong các lĩnh vực khác của luật trong nước. Ví dụ, liên quan đến luật công ty, các công ty nước ngoài có nghĩa vụ đăng ký khi thành lập chi nhánh tại Vương quốc Anh. Quy chế của Anh chỉ nói rằng chi nhánh có nghĩa là bất cứ thứ gì là chi nhánh cho mục đích của Chỉ thị Luật Công ty thứ mười một của Liên minh Châu Âu.54 Bản thân chỉ thị không có định nghĩa về chi nhánh.</w:t>
      </w:r>
    </w:p>
    <w:p>
      <w:pPr>
        <w:spacing w:after="80"/>
      </w:pPr>
      <w:r>
        <w:rPr>
          <w:b w:val="0"/>
          <w:i w:val="0"/>
        </w:rPr>
        <w:t xml:space="preserve">Tương tự, có rất ít hướng dẫn hành chính về ý nghĩa của 'chi nhánh'. Cơ quan Thuế nêu trong </w:t>
      </w:r>
      <w:r>
        <w:rPr>
          <w:b w:val="0"/>
          <w:i/>
        </w:rPr>
        <w:t>International Tax Manual</w:t>
      </w:r>
      <w:r>
        <w:rPr>
          <w:b w:val="0"/>
          <w:i w:val="0"/>
        </w:rPr>
        <w:t>55 rằng họ đã được tư vấn rằng sự hiện diện của một người chủ (trong trường hợp thương nhân cá thể hoặc quan hệ đối tác) hoặc của nhân viên trên cơ sở ít nhiều thường xuyên có khả năng là một thành phần thiết yếu của một chi nhánh (mặc dù nhân viên cũng có thể là đại lý). Điều có lẽ quan trọng trong bối cảnh áp dụng các hiệp ước là nếu điều này thực sự đúng, thì theo luật trong nước, người không cư trú có thể đang kinh doanh tại Vương quốc Anh, nhưng sẽ không làm như vậy thông qua một chi nhánh hoặc đại lý khi không có sự can thiệp của con người.</w:t>
      </w:r>
    </w:p>
    <w:p>
      <w:pPr>
        <w:spacing w:after="80"/>
      </w:pPr>
      <w:r>
        <w:rPr>
          <w:b w:val="0"/>
          <w:i w:val="0"/>
        </w:rPr>
        <w:t>Mặc dù quan điểm này có thể có trước các cuộc thảo luận gần đây liên quan đến thương mại điện tử, không có gợi ý nào rằng nó được coi là không thể áp dụng cho các hình thức hoạt động khác khi</w:t>
      </w:r>
    </w:p>
    <w:p>
      <w:pPr>
        <w:spacing w:after="80"/>
      </w:pPr>
      <w:r>
        <w:rPr>
          <w:b w:val="0"/>
          <w:i w:val="0"/>
        </w:rPr>
        <w:t>49.ITA 2007, s. 835S(2).50.</w:t>
      </w:r>
      <w:r>
        <w:rPr>
          <w:b w:val="0"/>
          <w:i/>
        </w:rPr>
        <w:t>Greenwood v FL Smidth &amp; Co</w:t>
      </w:r>
      <w:r>
        <w:rPr>
          <w:b w:val="0"/>
          <w:i w:val="0"/>
        </w:rPr>
        <w:t xml:space="preserve"> (1922) 8 TC 193, HL.51.</w:t>
      </w:r>
      <w:r>
        <w:rPr>
          <w:b w:val="0"/>
          <w:i/>
        </w:rPr>
        <w:t>Sulley v Attorney-General</w:t>
      </w:r>
      <w:r>
        <w:rPr>
          <w:b w:val="0"/>
          <w:i w:val="0"/>
        </w:rPr>
        <w:t xml:space="preserve"> (1860) 2 TC 149.52.</w:t>
      </w:r>
      <w:r>
        <w:rPr>
          <w:b w:val="0"/>
          <w:i/>
        </w:rPr>
        <w:t>IRC v Brackett</w:t>
      </w:r>
      <w:r>
        <w:rPr>
          <w:b w:val="0"/>
          <w:i w:val="0"/>
        </w:rPr>
        <w:t xml:space="preserve"> [1986] BTC 415; [1986] STC 521, Ch. D.53.</w:t>
      </w:r>
      <w:r>
        <w:rPr>
          <w:b w:val="0"/>
          <w:i/>
        </w:rPr>
        <w:t>Sun Life Assurance Co. of Canada v Pearson</w:t>
      </w:r>
      <w:r>
        <w:rPr>
          <w:b w:val="0"/>
          <w:i w:val="0"/>
        </w:rPr>
        <w:t>.[1986] BTC 282; (1986) 59 TC 250; [1986] STC 335,CA, bởi Fox LJ tại 350.54.89/666; [1989] OJ L395/36.55.Tại đoạn 842.</w:t>
      </w:r>
    </w:p>
    <w:p>
      <w:pPr>
        <w:spacing w:after="80"/>
      </w:pPr>
      <w:r>
        <w:rPr>
          <w:b w:val="0"/>
          <w:i w:val="0"/>
        </w:rPr>
        <w:t>229</w:t>
      </w:r>
    </w:p>
    <w:p>
      <w:pPr>
        <w:spacing w:after="80"/>
      </w:pPr>
      <w:r>
        <w:rPr>
          <w:b w:val="0"/>
          <w:i w:val="0"/>
        </w:rPr>
        <w:t xml:space="preserve">hoạt động kinh doanh được tiến hành chủ yếu thông qua thiết bị tự động. Trên cơ sở này, có vẻ như mặc dù trong bối cảnh hiệp ước, một PE có thể được tạo thành bởi thiết bị tự động như vậy, nhưng theo luật trong nước, có thể không có chi nhánh hoặc đại lý tại Vương quốc Anh và do đó một người không cư trú sẽ không thuộc diện chịu thuế thu nhập Vương quốc Anh trong bất kỳ trường hợp nào và câu hỏi về bảo hộ hiệp ước sẽ không phát sinh. Một quan điểm khá thô thiển được tìm thấy trong </w:t>
      </w:r>
      <w:r>
        <w:rPr>
          <w:b w:val="0"/>
          <w:i/>
        </w:rPr>
        <w:t>International Tax Manual</w:t>
      </w:r>
      <w:r>
        <w:rPr>
          <w:b w:val="0"/>
          <w:i w:val="0"/>
        </w:rPr>
        <w:t xml:space="preserve"> của HMRC:56</w:t>
      </w:r>
    </w:p>
    <w:p>
      <w:pPr>
        <w:spacing w:after="80"/>
      </w:pPr>
      <w:r>
        <w:rPr>
          <w:b w:val="0"/>
          <w:i w:val="0"/>
        </w:rPr>
        <w:t>Hầu hết mọi người nhận ra một chi nhánh của doanh nghiệp nước ngoài khi họ nhìn thấy nó và ấn tượng mà nó tạo ra cho công chúng rất hữu ích trong việc quyết định liệu một chi nhánh có tồn tại hay không. Ví dụ, có nhiều chi nhánh của các ngân hàng nước ngoài kinh doanh trên các con phố chính của nhiều thị trấn và thành phố ở Vương quốc Anh.</w:t>
      </w:r>
    </w:p>
    <w:p>
      <w:pPr>
        <w:spacing w:after="80"/>
      </w:pPr>
      <w:r>
        <w:rPr>
          <w:b w:val="0"/>
          <w:i w:val="0"/>
        </w:rPr>
        <w:t>Một chi nhánh ngân hàng truyền thống có thể mang tính minh họa trên cơ sở rằng hoạt động kinh doanh của ngân hàng được thực hiện ở đó nhưng điều này không hơn gì một địa điểm kinh doanh cố định. Nó nhấn mạnh sự cần thiết phải phân tích các chức năng thực sự được thực hiện trong mọi trường hợp.</w:t>
      </w:r>
    </w:p>
    <w:p>
      <w:pPr>
        <w:spacing w:after="80"/>
      </w:pPr>
      <w:r>
        <w:rPr>
          <w:b/>
          <w:i w:val="0"/>
        </w:rPr>
        <w:t>§7.08CÔNG TRƯỜNG XÂY DỰNG VÀ DỰ ÁN XÂY DỰNG HOẶC LẮP ĐẶT</w:t>
      </w:r>
    </w:p>
    <w:p>
      <w:pPr>
        <w:spacing w:after="80"/>
      </w:pPr>
      <w:r>
        <w:rPr>
          <w:b w:val="0"/>
          <w:i w:val="0"/>
        </w:rPr>
        <w:t>Mặc dù một số hiệp định ban đầu không có điều khoản nào liên quan đến địa điểm thi công, dự án xây dựng hoặc lắp đặt (ví dụ: Seychelles-UK), nhiều hiệp định lại đề cập đến vấn đề này. Theo luật trong nước, địa điểm xây dựng hoặc dự án xây dựng hay lắp đặt đơn giản được đưa vào danh sách minh họa các địa điểm kinh doanh cố định được coi là thường trú.57 Điều này khác với Mẫu OECD và không được tìm thấy trong hầu hết các hiệp định. Cách tiếp cận phổ biến được áp dụng bởi Điều 5(3) của Hiệp định Nga-UK, với nội dung như sau:</w:t>
      </w:r>
    </w:p>
    <w:p>
      <w:pPr>
        <w:spacing w:after="80"/>
      </w:pPr>
      <w:r>
        <w:rPr>
          <w:b w:val="0"/>
          <w:i w:val="0"/>
        </w:rPr>
        <w:t>5(3) Một địa điểm xây dựng hoặc dự án xây dựng hay lắp đặt chỉ cấu thành cơ sở thường trú nếu nó kéo dài hơn mười hai tháng.</w:t>
      </w:r>
    </w:p>
    <w:p>
      <w:pPr>
        <w:spacing w:after="80"/>
      </w:pPr>
      <w:r>
        <w:rPr>
          <w:b w:val="0"/>
          <w:i w:val="0"/>
        </w:rPr>
        <w:t>Một số hiệp định, đặc biệt là những hiệp định với các nước đang phát triển, áp dụng quy tắc sáu tháng thay vì mười hai tháng (xem ví dụ, Hiệp định Oman-UK, Điều 5(3)). Một cách diễn đạt hơi khác được tìm thấy trong Hiệp định Papua New Guinea-UK, trong đó đề cập đến địa điểm hoặc dự án kéo dài hơn 183 ngày trong bất kỳ giai đoạn 365 ngày nào (Điều 5(3)). Phạm vi của các điều khoản như vậy cũng rất khác nhau. Nhiều hiệp định tuân theo Mẫu UN và bao gồm các dịch vụ giám sát liên quan đến địa điểm xây dựng hoặc dự án xây dựng hay lắp đặt.58 Hiệp định Nigeria-UK còn bổ sung vào Điều 5(2)(i):</w:t>
      </w:r>
    </w:p>
    <w:p>
      <w:pPr>
        <w:spacing w:after="80"/>
      </w:pPr>
      <w:r>
        <w:rPr>
          <w:b w:val="0"/>
          <w:i w:val="0"/>
        </w:rPr>
        <w:t>Việc lắp đặt hoặc cung cấp các hoạt động giám sát liên quan đến việc đó gắn liền với việc bán máy móc hoặc thiết bị khi các khoản phí phải trả cho các hoạt động đó vượt quá 10% giá bán giao hàng lên tàu (free on board) của máy móc hoặc thiết bị.</w:t>
      </w:r>
    </w:p>
    <w:p>
      <w:pPr>
        <w:spacing w:after="80"/>
      </w:pPr>
      <w:r>
        <w:rPr>
          <w:b w:val="0"/>
          <w:i w:val="0"/>
        </w:rPr>
        <w:t xml:space="preserve">56. HMRC, Sổ tay Thuế Quốc tế, INTM264090. 57. CTA 2010, s. 1141(2)(h). 58. </w:t>
      </w:r>
      <w:r>
        <w:rPr>
          <w:b w:val="0"/>
          <w:i/>
        </w:rPr>
        <w:t>Công ước giữa Chính phủ Vương quốc Liên hiệp Anh và Bắc Ireland và Chính phủ Cộng hòa Kazakhstan về Việc Tránh Đánh Thuế Hai Lần và Ngăn ngừa Trốn thuế Tài khóa đối với Thuế Thu nhập và Lợi nhuận Vốn ngày 19 tháng 4 năm 1994</w:t>
      </w:r>
      <w:r>
        <w:rPr>
          <w:b w:val="0"/>
          <w:i w:val="0"/>
        </w:rPr>
        <w:t xml:space="preserve"> (SI 1994/3211).</w:t>
      </w:r>
    </w:p>
    <w:p>
      <w:pPr>
        <w:spacing w:after="80"/>
      </w:pPr>
      <w:r>
        <w:rPr>
          <w:b w:val="0"/>
          <w:i w:val="0"/>
        </w:rPr>
        <w:t>230</w:t>
      </w:r>
    </w:p>
    <w:p>
      <w:pPr>
        <w:spacing w:after="80"/>
      </w:pPr>
      <w:r>
        <w:rPr>
          <w:b w:val="0"/>
          <w:i w:val="0"/>
        </w:rPr>
        <w:t>Việc xác định hoạt động xây dựng và lắp đặt một cách riêng biệt trong Điều 5(3) có phần đáng ngạc nhiên được HMRC giải thích như sau:</w:t>
      </w:r>
    </w:p>
    <w:p>
      <w:pPr>
        <w:spacing w:after="80"/>
      </w:pPr>
      <w:r>
        <w:rPr>
          <w:b w:val="0"/>
          <w:i w:val="0"/>
        </w:rPr>
        <w:t>Các quốc gia thành viên OECD đã biến loại hoạt động này thành đối tượng của một quy tắc cụ thể vì tần suất nó gây ra những khó khăn trong việc giải thích. Và, để rõ ràng trong Mẫu Hiệp định, thời hạn 12 tháng được coi là dấu hiệu đủ để cho thấy hoạt động đó là một địa điểm kinh doanh cố định - cơ sở thường trú.59</w:t>
      </w:r>
    </w:p>
    <w:p>
      <w:pPr>
        <w:spacing w:after="80"/>
      </w:pPr>
      <w:r>
        <w:rPr>
          <w:b w:val="0"/>
          <w:i w:val="0"/>
        </w:rPr>
        <w:t>Quan điểm hợp lý hơn là đây là một phần mở rộng của danh sách minh họa nhưng thời hạn tối thiểu cụ thể của các địa điểm hoặc dự án như vậy được nêu rõ ràng. Điều này đã được người soạn thảo định nghĩa PE trong nước tại CTA 2010, s. 1141(2)(h) hiểu rõ khi đặt các địa điểm xây dựng hoặc dự án xây dựng hay lắp đặt vào trong danh sách minh họa. Không có thời hạn nào được nêu cụ thể trong định nghĩa trong nước, vì vậy nguyên tắc chung được áp dụng cho việc giải thích nó.</w:t>
      </w:r>
    </w:p>
    <w:p>
      <w:pPr>
        <w:spacing w:after="80"/>
      </w:pPr>
      <w:r>
        <w:rPr>
          <w:b/>
          <w:i w:val="0"/>
        </w:rPr>
        <w:t>§7.09 CÁC PE ĐẠI LÝ</w:t>
      </w:r>
    </w:p>
    <w:p>
      <w:pPr>
        <w:spacing w:after="80"/>
      </w:pPr>
      <w:r>
        <w:rPr>
          <w:b w:val="0"/>
          <w:i w:val="0"/>
        </w:rPr>
        <w:t>Một PE có thể tồn tại mặc dù không có địa điểm kinh doanh cố định do các mối quan hệ hợp đồng hoặc quan hệ pháp lý khác làm phát sinh đại lý phụ thuộc. Các PE như vậy được đề cập trong Điều 5(5) và (6) của Mẫu OECD. Hiệp định Thụy Điển-UK là một ví dụ, phần liên quan của nó có nội dung như sau:</w:t>
      </w:r>
    </w:p>
    <w:p>
      <w:pPr>
        <w:spacing w:after="80"/>
      </w:pPr>
      <w:r>
        <w:rPr>
          <w:b w:val="0"/>
          <w:i w:val="0"/>
        </w:rPr>
        <w:t>5(5) Bất chấp các quy định tại khoản (1) và (2) của Điều này, khi một người… đang hành động thay mặt cho một doanh nghiệp và có, cũng như thường xuyên thực hiện, tại một Quốc gia Ký kết quyền ký kết hợp đồng nhân danh doanh nghiệp, thì doanh nghiệp đó được coi là có cơ sở thường trú tại Quốc gia đó đối với bất kỳ hoạt động nào mà người đó thực hiện cho doanh nghiệp.</w:t>
      </w:r>
    </w:p>
    <w:p>
      <w:pPr>
        <w:spacing w:after="80"/>
      </w:pPr>
      <w:r>
        <w:rPr>
          <w:b w:val="0"/>
          <w:i w:val="0"/>
        </w:rPr>
        <w:t>Định nghĩa PE đại lý trong luật trong nước của UK khác biệt rõ rệt so với ý nghĩa trong hiệp định. Các cách tiếp cận khác nhau cũng được áp dụng cho thuế thu nhập doanh nghiệp một mặt và thuế thu nhập cá nhân cùng thuế lợi nhuận vốn mặt khác. Các phần liên quan của CTA 2010 có nội dung:</w:t>
      </w:r>
    </w:p>
    <w:p>
      <w:pPr>
        <w:spacing w:after="80"/>
      </w:pPr>
      <w:r>
        <w:rPr>
          <w:b w:val="0"/>
          <w:i w:val="0"/>
        </w:rPr>
        <w:t>1141(1) Nhằm mục đích của các Đạo luật Thuế, một công ty có cơ sở thường trú tại một lãnh thổ khi và chỉ khi –</w:t>
      </w:r>
    </w:p>
    <w:p>
      <w:pPr>
        <w:spacing w:after="80"/>
      </w:pPr>
      <w:r>
        <w:rPr>
          <w:b w:val="0"/>
          <w:i w:val="0"/>
        </w:rPr>
        <w:t>(b) một đại lý hành động thay mặt cho công ty có và thường xuyên thực hiện tại đó</w:t>
      </w:r>
    </w:p>
    <w:p>
      <w:pPr>
        <w:spacing w:after="80"/>
      </w:pPr>
      <w:r>
        <w:rPr>
          <w:b w:val="0"/>
          <w:i w:val="0"/>
        </w:rPr>
        <w:t>quyền kinh doanh thay mặt cho công ty.</w:t>
      </w:r>
    </w:p>
    <w:p>
      <w:pPr>
        <w:spacing w:after="80"/>
      </w:pPr>
      <w:r>
        <w:rPr>
          <w:b w:val="0"/>
          <w:i w:val="0"/>
        </w:rPr>
        <w:t>Phạm vi và bản chất của quyền hạn trong ngôn ngữ điều ước bất biến đề cập đến những người có và thường xuyên thực hiện ‘quyền hạn để ký kết hợp đồng’ nhân danh doanh nghiệp. Luật nội địa của Vương quốc Anh chỉ đơn giản đề cập đến ‘quyền hạn để làm kinh doanh thay mặt công ty’ của một đại lý.</w:t>
      </w:r>
    </w:p>
    <w:p>
      <w:pPr>
        <w:spacing w:after="80"/>
      </w:pPr>
      <w:r>
        <w:rPr>
          <w:b w:val="0"/>
          <w:i w:val="0"/>
        </w:rPr>
        <w:t>Sự khác biệt giữa thương mại (trade) và kinh doanh (business) trong luật nội địa Vương quốc Anh đã được đề cập.60 Như đã lưu ý, trong bối cảnh trách nhiệm của một công ty không cư trú</w:t>
      </w:r>
    </w:p>
    <w:p>
      <w:pPr>
        <w:spacing w:after="80"/>
      </w:pPr>
      <w:r>
        <w:rPr>
          <w:b w:val="0"/>
          <w:i w:val="0"/>
        </w:rPr>
        <w:t>59. International Tax Manual, INTM266130. 60. Xem §7.04.</w:t>
      </w:r>
    </w:p>
    <w:p>
      <w:pPr>
        <w:spacing w:after="80"/>
      </w:pPr>
      <w:r>
        <w:rPr>
          <w:b w:val="0"/>
          <w:i w:val="0"/>
        </w:rPr>
        <w:t>231</w:t>
      </w:r>
    </w:p>
    <w:p>
      <w:pPr>
        <w:spacing w:after="80"/>
      </w:pPr>
      <w:r>
        <w:rPr>
          <w:b w:val="0"/>
          <w:i w:val="0"/>
        </w:rPr>
        <w:t>đối với thuế thu nhập doanh nghiệp Vương quốc Anh, chỉ có quyền hạn liên quan đến việc kinh doanh tại Vương quốc Anh mới là có liên quan. Quyền hạn rộng hơn có thể có liên quan ở các quốc gia ký kết khác liên quan đến khả năng của một công ty cư trú tại Vương quốc Anh để được giảm trừ thuế nước ngoài đối với nghĩa vụ thuế tại Vương quốc Anh.</w:t>
      </w:r>
    </w:p>
    <w:p>
      <w:pPr>
        <w:spacing w:after="80"/>
      </w:pPr>
      <w:r>
        <w:rPr>
          <w:b w:val="0"/>
          <w:i w:val="0"/>
        </w:rPr>
        <w:t>Các quy định này cũng theo dõi rất lỏng lẻo bộ máy nội địa của Vương quốc Anh để đánh thuế thu nhập đối với người không cư trú liên quan đến việc kinh doanh tại Vương quốc Anh, hiện được quy định trong Chương 2B và 2C của Phần 14 của ITA 2007,61 và vì mục đích thực tiễn, chỉ áp dụng cho những người không phải là công ty. Theo luật đó, bất kỳ người nào là ‘chi nhánh hoặc đại lý’ của một người không cư trú đang kinh doanh tại Vương quốc Anh đều phải chịu trách nhiệm liên đới với người không cư trú về các nghĩa vụ thuế và tuân thủ liên quan đến hoạt động kinh doanh.62 Vì mục đích này, ‘chi nhánh hoặc đại lý’ có nghĩa là bất kỳ cơ sở đại lý, đại lý, quản lý tài sản, chi nhánh hoặc ban quản lý.63</w:t>
      </w:r>
    </w:p>
    <w:p>
      <w:pPr>
        <w:spacing w:after="80"/>
      </w:pPr>
      <w:r>
        <w:rPr>
          <w:b w:val="0"/>
          <w:i w:val="0"/>
        </w:rPr>
        <w:t>Quan điểm của Cơ quan Thuế vào thời điểm các quy định này được ban hành bởi FA 1995 là luật nội địa phù hợp với các nguyên tắc trong OECD Model. Họ cho biết sự khác biệt chính là không có yêu cầu, trong trường hợp không có điều ước, rằng người không cư trú phải có sự hiện diện cố định tại Vương quốc Anh trước khi thu nhập kiếm được có thể bị đánh thuế.64 Do đó, trên cơ sở này, các yếu tố quan trọng của điều ước từ góc độ thuế thu nhập Vương quốc Anh liên quan đến các cơ sở thường trú (PE) vật lý.</w:t>
      </w:r>
    </w:p>
    <w:p>
      <w:pPr>
        <w:spacing w:after="80"/>
      </w:pPr>
      <w:r>
        <w:rPr>
          <w:b w:val="0"/>
          <w:i w:val="0"/>
        </w:rPr>
        <w:t xml:space="preserve">Cũng cần đề cập đến một trong những vụ án sớm nhất liên quan đến việc kinh doanh tại Vương quốc Anh, </w:t>
      </w:r>
      <w:r>
        <w:rPr>
          <w:b w:val="0"/>
          <w:i/>
        </w:rPr>
        <w:t>Erichsen v Last</w:t>
      </w:r>
      <w:r>
        <w:rPr>
          <w:b w:val="0"/>
          <w:i w:val="0"/>
        </w:rPr>
        <w:t>.65 Trong vụ án đó, một công ty Đan Mạch có cáp biển tại ba điểm ở Vương quốc Anh. Các tin nhắn điện báo từ Vương quốc Anh đến các điểm đến nước ngoài trước tiên đi qua đường dây của Bưu điện và sau đó qua cáp biển của người nộp thuế để tiếp tục đến các điểm đến nước ngoài. Công ty được xác định là đang kinh doanh tại Vương quốc Anh. Tại Tòa phúc thẩm, hai trong số ba thẩm phán đồng ý rằng chỉ đơn giản là việc các hợp đồng được ký kết tại Vương quốc Anh đã tạo ra hoạt động kinh doanh. Việc các đường dây nằm ở Vương quốc Anh không tạo ra sự khác biệt. Thẩm phán Cotton LJ cho rằng không quan trọng liệu họ sử dụng đường dây của riêng mình hay của người khác. Thẩm phán Brett LJ đi xa hơn khi nói rằng không quan trọng liệu bất kỳ phần nào của cáp có nằm ở Vương quốc Anh hay không. Ngược lại, Lord Jessell, Thẩm phán trưởng (Master of the Rolls), trong ý kiến bất đồng, cho rằng việc nhận thanh toán cho các tin nhắn gửi từ nước ngoài hoặc truyền tin nhắn từ các trạm ở Vương quốc Anh ra nước ngoài đều có thể cấu thành hoạt động kinh doanh. Ông đưa ra sự tương tự với một công ty đường sắt có ga tại Dover và Calais. Một công ty nước ngoài được thành lập tại Calais chở hành khách từ Dover đến Calais sẽ được coi là đang kinh doanh tại Dover, đối với các hành khách được chở từ Dover đến Calais. Tuy nhiên, yêu cầu về cơ sở vật chất để kinh doanh tại Vương quốc Anh đã bị đa số bác bỏ.</w:t>
      </w:r>
    </w:p>
    <w:p>
      <w:pPr>
        <w:spacing w:after="80"/>
      </w:pPr>
      <w:r>
        <w:rPr>
          <w:b w:val="0"/>
          <w:i w:val="0"/>
        </w:rPr>
        <w:t>HMRC rõ ràng công nhận bản chất hợp đồng của quyền hạn của đại lý trong luật nội địa và quyền hạn của người để ký kết hợp đồng làm cơ sở cho cơ sở thường trú đại lý (agency PE). Mặc dù họ giải thích định nghĩa nội địa một cách rộng rãi,66 họ xem xét ý nghĩa của nó bằng</w:t>
      </w:r>
    </w:p>
    <w:p>
      <w:pPr>
        <w:spacing w:after="80"/>
      </w:pPr>
      <w:r>
        <w:rPr>
          <w:b w:val="0"/>
          <w:i w:val="0"/>
        </w:rPr>
        <w:t xml:space="preserve">61. Xem thêm TCGA 1992, Phần 7A cho các quy định thuế lợi tức vốn song song. 62. ITA 2007, s. 835U(1). 63. ITA 2007, s. 835S. Xem thảo luận về ý nghĩa của ‘chi nhánh’ tại §7.08. 64. Inland Revenue, </w:t>
      </w:r>
      <w:r>
        <w:rPr>
          <w:b w:val="0"/>
          <w:i/>
        </w:rPr>
        <w:t>Tax Bulletin</w:t>
      </w:r>
      <w:r>
        <w:rPr>
          <w:b w:val="0"/>
          <w:i w:val="0"/>
        </w:rPr>
        <w:t xml:space="preserve"> (tháng 8 năm 1995), tr. 238. 65. </w:t>
      </w:r>
      <w:r>
        <w:rPr>
          <w:b w:val="0"/>
          <w:i/>
        </w:rPr>
        <w:t>Erichsen v Last</w:t>
      </w:r>
      <w:r>
        <w:rPr>
          <w:b w:val="0"/>
          <w:i w:val="0"/>
        </w:rPr>
        <w:t xml:space="preserve"> (1881) 1 TC 351; 4 TC 422. 66. HMRC, International Tax Manual, INTM264070.</w:t>
      </w:r>
    </w:p>
    <w:p>
      <w:pPr>
        <w:spacing w:after="80"/>
      </w:pPr>
      <w:r>
        <w:rPr>
          <w:b w:val="0"/>
          <w:i w:val="0"/>
        </w:rPr>
        <w:t>232</w:t>
      </w:r>
    </w:p>
    <w:p>
      <w:pPr>
        <w:spacing w:after="80"/>
      </w:pPr>
      <w:r>
        <w:rPr>
          <w:b w:val="0"/>
          <w:i w:val="0"/>
        </w:rPr>
        <w:t>tham chiếu đến luật hợp đồng và đại lý cả liên quan đến định nghĩa nội địa67</w:t>
      </w:r>
    </w:p>
    <w:p>
      <w:pPr>
        <w:spacing w:after="80"/>
      </w:pPr>
      <w:r>
        <w:rPr>
          <w:b w:val="0"/>
          <w:i w:val="0"/>
        </w:rPr>
        <w:t>và định nghĩa điều ước.68 Trong bối cảnh điều ước, HMRC gợi ý rằng các hành động được thực hiện thay mặt và ràng buộc người ủy thác (principal) cấu thành quyền hạn để ký kết hợp đồng. Ví dụ họ đưa ra là một hợp đồng được sắp xếp bởi một đại lý tại Vương quốc Anh để giao hàng hóa thuộc sở hữu của một người ủy thác nước ngoài cho một khách hàng. HMRC nói rằng điều này, vì mục đích thuế Vương quốc Anh, sẽ được xử lý như thể người ủy thác nước ngoài đã ký kết hợp đồng tại Vương quốc Anh để giao hàng.69 Nếu người ủy thác nước ngoài đang cung cấp dịch vụ giao hàng, các hành động của đại lý Vương quốc Anh có thể là ký kết hợp đồng thay mặt họ trong ví dụ này, nhưng việc sắp xếp giao hàng cho hàng hóa được bán bởi một người ủy thác nước ngoài thì không (trừ khi hợp đồng thay mặt người ủy thác được thực hiện bằng việc giao hàng). Những hành động như vậy có thể cấu thành một phần của ‘kinh doanh’ được thực hiện theo định nghĩa nội địa.</w:t>
      </w:r>
    </w:p>
    <w:p>
      <w:pPr>
        <w:spacing w:after="80"/>
      </w:pPr>
      <w:r>
        <w:rPr>
          <w:b w:val="0"/>
          <w:i w:val="0"/>
        </w:rPr>
        <w:t xml:space="preserve">Việc thực hiện quyền hạn một cách thường xuyên được yêu cầu trong cả luật nội địa và đại lý theo điều ước để tạo ra cơ sở thường trú. Vì mục đích thuế thu nhập, yêu cầu này được thực hiện bởi ITA 2007, s. 835G, điều này loại trừ ‘đại lý thường xuyên’ khỏi nhóm đại lý mà nếu không thì sẽ là người đại diện của người không cư trú cho các mục đích của ITA 2007, Phần 14, Chương 2B và 2C. Nếu một người không cư trú tại Vương quốc Anh thực hiện kinh doanh thông qua một đại lý tại Vương quốc Anh, đại lý không phải là người đại diện Vương quốc Anh của người không cư trú tại Vương quốc Anh liên quan đến ‘các giao dịch được bỏ qua’. Các giao dịch được bỏ qua là các giao dịch mà đại lý thực hiện, nhưng không hành động ‘trong quá trình thực hiện một đại lý thường xuyên cho người không cư trú tại Vương quốc Anh’. Khi xem xét các quy định liên quan đến ‘đại lý thường xuyên’ theo luật nội địa trong </w:t>
      </w:r>
      <w:r>
        <w:rPr>
          <w:b w:val="0"/>
          <w:i/>
        </w:rPr>
        <w:t>Nielsen, Andersen &amp; Company v Collins (H.M. Inspector of Taxes)</w:t>
      </w:r>
      <w:r>
        <w:rPr>
          <w:b w:val="0"/>
          <w:i w:val="0"/>
        </w:rPr>
        <w:t>,70</w:t>
      </w:r>
    </w:p>
    <w:p>
      <w:pPr>
        <w:spacing w:after="80"/>
      </w:pPr>
      <w:r>
        <w:rPr>
          <w:b w:val="0"/>
          <w:i w:val="0"/>
        </w:rPr>
        <w:t>Thẩm phán Scrutton LJ nói:71</w:t>
      </w:r>
    </w:p>
    <w:p>
      <w:pPr>
        <w:spacing w:after="80"/>
      </w:pPr>
      <w:r>
        <w:rPr>
          <w:b w:val="0"/>
          <w:i w:val="0"/>
        </w:rPr>
        <w:t>Sự tương phản được dự định rút ra là giữa việc làm mang tính tình cờ, việc làm tạm thời, cho một giao dịch hoặc một vài giao dịch, và việc bổ nhiệm thường xuyên một đại lý thường trú, người ở đó để đại diện cho người nước ngoài.</w:t>
      </w:r>
    </w:p>
    <w:p>
      <w:pPr>
        <w:spacing w:after="80"/>
      </w:pPr>
      <w:r>
        <w:rPr>
          <w:b w:val="0"/>
          <w:i w:val="0"/>
        </w:rPr>
        <w:t xml:space="preserve">Trong </w:t>
      </w:r>
      <w:r>
        <w:rPr>
          <w:b w:val="0"/>
          <w:i/>
        </w:rPr>
        <w:t xml:space="preserve"> Willson v Hooker</w:t>
      </w:r>
      <w:r>
        <w:rPr>
          <w:b w:val="0"/>
          <w:i w:val="0"/>
        </w:rPr>
        <w:t>,72 ‘đại lý thường xuyên’ cũng được phân biệt với ‘đại lý không thường xuyên hay tình cờ’. Trong trường hợp đó, chỉ có một giao dịch thương mại duy nhất được thực hiện. Tuy nhiên, người kháng cáo chính là người mà qua đó mọi bước liên quan cấu thành nên giao dịch đều được tiến hành, và do đó không phải là một đại lý tình cờ.</w:t>
      </w:r>
    </w:p>
    <w:p>
      <w:pPr>
        <w:spacing w:after="80"/>
      </w:pPr>
      <w:r>
        <w:rPr>
          <w:b w:val="0"/>
          <w:i w:val="0"/>
        </w:rPr>
        <w:t xml:space="preserve">Quan hệ đại lý có thể tạo thành một phần không thể tách rời của các quan hệ hợp đồng dù không được gọi tên như vậy. Điều này bao gồm cả quan hệ đối tác (partnership). </w:t>
      </w:r>
      <w:r>
        <w:rPr>
          <w:b w:val="0"/>
          <w:i/>
        </w:rPr>
        <w:t>White &amp; Anor v Carline</w:t>
      </w:r>
      <w:r>
        <w:rPr>
          <w:b w:val="0"/>
          <w:i w:val="0"/>
        </w:rPr>
        <w:t xml:space="preserve">,73 liên quan đến một quan hệ đối tác giữa vợ chồng, cư trú tại Pháp, và người con trai cư trú tại Anh của họ, người điều hành cơ sở kinh doanh nhà hàng tại Anh của quan hệ đối tác. Người con trai, với tư cách là thành viên của quan hệ đối tác cùng cha mẹ trong hoạt động kinh doanh, đã hành động như ‘đại lý’ của họ theo </w:t>
      </w:r>
      <w:r>
        <w:rPr>
          <w:b w:val="0"/>
          <w:i/>
        </w:rPr>
        <w:t>Partnership Act</w:t>
      </w:r>
      <w:r>
        <w:rPr>
          <w:b w:val="0"/>
          <w:i w:val="0"/>
        </w:rPr>
        <w:t xml:space="preserve"> 1890, s. 5, điều khoản quy định rằng ‘mỗi thành viên đối tác là đại lý của công ty hợp danh và của các thành viên đối tác khác vì</w:t>
      </w:r>
    </w:p>
    <w:p>
      <w:pPr>
        <w:spacing w:after="80"/>
      </w:pPr>
      <w:r>
        <w:rPr>
          <w:b w:val="0"/>
          <w:i w:val="0"/>
        </w:rPr>
        <w:t xml:space="preserve">67. HMRC, International Tax Manual, INTM264100.68. HMRC, International Tax Manual, INTM266160.69. HMRC, International Tax Manual, INTM266160.70. </w:t>
      </w:r>
      <w:r>
        <w:rPr>
          <w:b w:val="0"/>
          <w:i/>
        </w:rPr>
        <w:t>Nielsen, Andersen &amp; Company v Collins</w:t>
      </w:r>
      <w:r>
        <w:rPr>
          <w:b w:val="0"/>
          <w:i w:val="0"/>
        </w:rPr>
        <w:t xml:space="preserve"> (H.M. Inspector of Taxes) (1927) 13 TC 91.71. Tại tr. 122.72. </w:t>
      </w:r>
      <w:r>
        <w:rPr>
          <w:b w:val="0"/>
          <w:i/>
        </w:rPr>
        <w:t>Willson v Hooker</w:t>
      </w:r>
      <w:r>
        <w:rPr>
          <w:b w:val="0"/>
          <w:i w:val="0"/>
        </w:rPr>
        <w:t xml:space="preserve"> [1995] BTC 461; [1995] STC 1142, Ch. D.73. </w:t>
      </w:r>
      <w:r>
        <w:rPr>
          <w:b w:val="0"/>
          <w:i/>
        </w:rPr>
        <w:t>White &amp; Anor v Carline (HMIT)</w:t>
      </w:r>
      <w:r>
        <w:rPr>
          <w:b w:val="0"/>
          <w:i w:val="0"/>
        </w:rPr>
        <w:t xml:space="preserve"> (1995) Sp C 33; [1995] STC SCD 186.</w:t>
      </w:r>
    </w:p>
    <w:p>
      <w:pPr>
        <w:spacing w:after="80"/>
      </w:pPr>
      <w:r>
        <w:rPr>
          <w:b w:val="0"/>
          <w:i w:val="0"/>
        </w:rPr>
        <w:t>233</w:t>
      </w:r>
    </w:p>
    <w:p>
      <w:pPr>
        <w:spacing w:after="80"/>
      </w:pPr>
      <w:r>
        <w:rPr>
          <w:b w:val="0"/>
          <w:i w:val="0"/>
        </w:rPr>
        <w:t>mục đích hoạt động kinh doanh của công ty hợp danh…’ Theo đó, người con trai là ‘chi nhánh hoặc đại lý’ của họ, qua đó các thành viên đối tác không cư trú tiến hành hoạt động kinh doanh tại Anh.74</w:t>
      </w:r>
    </w:p>
    <w:p>
      <w:pPr>
        <w:spacing w:after="80"/>
      </w:pPr>
      <w:r>
        <w:rPr>
          <w:b w:val="0"/>
          <w:i w:val="0"/>
        </w:rPr>
        <w:t>Quan điểm của HMRC về vai trò của luật đại lý được phản ánh trong Sổ tay Quốc tế (International Manual) của họ như sau:</w:t>
      </w:r>
    </w:p>
    <w:p>
      <w:pPr>
        <w:spacing w:after="80"/>
      </w:pPr>
      <w:r>
        <w:rPr>
          <w:b w:val="0"/>
          <w:i w:val="0"/>
        </w:rPr>
        <w:t>Khái niệm đại lý theo thông luật Anh (English common law) đôi khi được các nhà luật học mô tả là học thuyết đồng nhất (doctrine of identity). Điều này truyền tải khái niệm rằng đại lý là bản thể thay thế (alter ego) của người ủy thác (principal). Trong hành vi của đại lý, chúng ta nhìn thấy trực tiếp hành vi của người ủy thác; chúng ta xem xét những gì đại lý làm cho người ủy thác theo đúng cách mà chúng ta sẽ xem xét cùng hành vi đó nếu người ủy thác có mặt ở đây và tự mình thực hiện. Nếu một hợp đồng mua bán được lập tại Anh, thì theo đó một người không cư trú lập hợp đồng tại đây thông qua một đại lý sẽ được coi là đang kinh doanh tại đây. Vì vậy, khái niệm trong luật nội địa của chúng ta về việc người không cư trú kinh doanh trong phạm vi Anh và khái niệm đại lý theo thông luật của chúng ta gắn bó mật thiết với nhau, mặc dù từ ‘đại lý’ không xuất hiện ở bất kỳ đâu trong luật áp thuế thu nhập.75</w:t>
      </w:r>
    </w:p>
    <w:p>
      <w:pPr>
        <w:spacing w:after="80"/>
      </w:pPr>
      <w:r>
        <w:rPr>
          <w:b w:val="0"/>
          <w:i w:val="0"/>
        </w:rPr>
        <w:t>Quan điểm của họ về việc điều này khác với đại lý theo luật dân sự (civil law) như thế nào là:</w:t>
      </w:r>
    </w:p>
    <w:p>
      <w:pPr>
        <w:spacing w:after="80"/>
      </w:pPr>
      <w:r>
        <w:rPr>
          <w:b w:val="0"/>
          <w:i w:val="0"/>
        </w:rPr>
        <w:t>Khái niệm đại lý theo luật dân sự khác với khái niệm theo thông luật ở chỗ luật dân sự thường không coi hành vi của đại lý như thể đó là hành vi của người ủy thác. Luật dân sự tách biệt quan hệ giữa người ủy thác và đại lý ở một bên, và quan hệ giữa đại lý và bên thứ ba (bao gồm cả khách hàng) ở bên kia. Do đó, các quốc gia theo luật dân sự không nhất thiết nhìn thấy sự hiện diện của người ủy thác không cư trú trong hành vi của đại lý cư trú, như Anh làm. Tại Anh, theo thông luật, chúng ta giải thích mọi hành vi do một đại lý thực hiện là đã được thực hiện cho người ủy thác và ràng buộc người ủy thác theo cùng cách như thể chính họ đã thực hiện những hành vi đó. Ví dụ, một hợp đồng do một đại lý tại Anh thu xếp để giao hàng hóa thuộc sở hữu của một người ủy thác nước ngoài cho một khách hàng sẽ được xử lý cho mục đích thuế của Anh như thể chính người ủy thác nước ngoài đã ký kết hợp đồng tại Anh để giao hàng.76</w:t>
      </w:r>
    </w:p>
    <w:p>
      <w:pPr>
        <w:spacing w:after="80"/>
      </w:pPr>
      <w:r>
        <w:rPr>
          <w:b w:val="0"/>
          <w:i w:val="0"/>
        </w:rPr>
        <w:t>Luật hợp đồng Anh không phân biệt giữa các đại lý ký kết nhân danh người ủy thác của mình và những đại lý ký kết nhân danh chính mình với tư cách đại lý không được tiết lộ cho người ủy thác. Các hiệp định theo mẫu OECD đề cập đến các đại lý có thẩm quyền ‘ký kết hợp đồng nhân danh doanh nghiệp’. Phần Bình luận (Commentary) cho Mẫu đã được sửa đổi vào năm 1994 để áp dụng cách tiếp cận mà Anh đã đưa ra trước đó trong một bình luận quan sát,77 với nội dung rằng một người là đại lý dù ký kết nhân danh chính mình hay nhân danh doanh nghiệp.78 Kết quả có thể khác nhau khi liên quan đến luật hợp đồng nước ngoài.79</w:t>
      </w:r>
    </w:p>
    <w:p>
      <w:pPr>
        <w:spacing w:after="80"/>
      </w:pPr>
      <w:r>
        <w:rPr>
          <w:b w:val="0"/>
          <w:i w:val="0"/>
        </w:rPr>
        <w:t>Việc áp dụng art. 4(5) của Hiệp định Pháp-Anh (1968) liên quan đến các thỏa thuận thương mại theo luật Pháp đã được Hội đồng</w:t>
      </w:r>
    </w:p>
    <w:p>
      <w:pPr>
        <w:spacing w:after="80"/>
      </w:pPr>
      <w:r>
        <w:rPr>
          <w:b w:val="0"/>
          <w:i w:val="0"/>
        </w:rPr>
        <w:t>74. Đây dường như là lập luận của Tòa án Hành chính Tối cao Hy Lạp, Vụ án 5014/1966, 2ITLR 513, khi kết luận rằng việc một công ty Anh chỉ đơn thuần tham gia vào một liên doanh tại Hy Lạp với Tổ chức Đường sắt Hy Lạp đã cấu thành một cơ sở thường trú (permanent establishment) tại Hy Lạp theo art. 2(1)(k) của Hiệp định Hy Lạp-Anh (1953). Vai trò của công ty Anh là thiết kế quy hoạch, mua sắm các bản thiết kế và thiết bị cũng như quản lý và điều phối các công trình.75. HMRC, International Tax Manual, INTM264100.76. HMRC, International Tax Manual, INTM264520.77. Trước đây tại đoạn 45 của phần bình luận cho art. 5.78. Bình luận cho art. 5, đoạn 32.1.79. Ví dụ, HMRC, International Tax Manual, INTM46540.</w:t>
      </w:r>
    </w:p>
    <w:p>
      <w:pPr>
        <w:spacing w:after="80"/>
      </w:pPr>
      <w:r>
        <w:rPr>
          <w:b w:val="0"/>
          <w:i w:val="0"/>
        </w:rPr>
        <w:t>234</w:t>
      </w:r>
    </w:p>
    <w:p>
      <w:pPr>
        <w:spacing w:after="80"/>
      </w:pPr>
      <w:r>
        <w:rPr>
          <w:b w:val="0"/>
          <w:i w:val="0"/>
        </w:rPr>
        <w:t xml:space="preserve">d’Etat (Tòa án Hành chính Tối cao) của Pháp xem xét trong </w:t>
      </w:r>
      <w:r>
        <w:rPr>
          <w:b w:val="0"/>
          <w:i/>
        </w:rPr>
        <w:t xml:space="preserve"> Société Zimmer Ltd v Ministre de l’Économie, des Finances et de l’Industrie</w:t>
      </w:r>
      <w:r>
        <w:rPr>
          <w:b w:val="0"/>
          <w:i w:val="0"/>
        </w:rPr>
        <w:t xml:space="preserve">.80 Tại đó, Zimmer Limited, một công ty cư trú tại Anh, đã ký kết vào ngày 27 tháng 3 năm 1995 một thỏa thuận đại lý hoa hồng (commissionnaire agreement – contrat de commission) với Zimmer SAS, một công ty cư trú tại Pháp, theo đó Zimmer SAS đảm nhận việc bán các sản phẩm chỉnh hình Zimmer tại Pháp, nhân danh chính mình, nhưng vì lợi ích và chịu rủi ro của Zimmer Limited, người ủy thác của mình. Zimmer SAS trước đây từng là nhà phân phối các sản phẩm này tại Pháp. Sau khi xem xét kỹ lưỡng quan hệ pháp lý, tòa án kết luận rằng một commissionnaire không thể cấu thành một cơ sở thường trú (PE). Theo Bộ luật Dân sự Pháp, một commissionnaire là người hành động nhân danh chính mình hoặc dưới một tên thương mại vì lợi ích của một người ủy thác. Các hợp đồng do một commissionnaire ký kết với bên thứ ba không ràng buộc người ủy thác đối với những bên thứ ba đó, ngay cả khi các hợp đồng được ký kết vì lợi ích của người ủy thác. Chỉ có commissionnaire là bị ràng buộc trong quan hệ với một bên ký kết thứ ba, cả về mặt pháp lý lẫn trên thực tế. Ngoại lệ duy nhất là khi các điều khoản rõ ràng của hợp đồng, hoặc từ các yếu tố thực tế khác liên quan đến việc bổ nhiệm commissionnaire, cho thấy người ủy thác bị ràng buộc cá nhân bởi các hợp đồng mà commissionnaire ký kết với bên thứ ba, nói cách khác, một hợp đồng trên thực tế được đặc trưng theo cách khác chứ không phải là một commissionnaire. Tòa án lập luận rằng đây là trường hợp như vậy, bất kể mức độ phụ thuộc của commissionnaire vào người ủy thác. Sự nhấn mạnh vào đặc tính pháp lý của hợp đồng này khẳng định rằng đại lý PE phát sinh nhờ vào quan hệ pháp lý giữa các bên. Phán quyết </w:t>
      </w:r>
      <w:r>
        <w:rPr>
          <w:b w:val="0"/>
          <w:i/>
        </w:rPr>
        <w:t>Zimmer</w:t>
      </w:r>
      <w:r>
        <w:rPr>
          <w:b w:val="0"/>
          <w:i w:val="0"/>
        </w:rPr>
        <w:t xml:space="preserve"> được Tòa án Hành chính Tối cao Na Uy tiếp nối trong </w:t>
      </w:r>
      <w:r>
        <w:rPr>
          <w:b w:val="0"/>
          <w:i/>
        </w:rPr>
        <w:t>Dell Products (Europe) BV v Skatt Øst</w:t>
      </w:r>
      <w:r>
        <w:rPr>
          <w:b w:val="0"/>
          <w:i w:val="0"/>
        </w:rPr>
        <w:t>81 khi áp dụng cách giải thích art. 5(5) của Hiệp định Ireland-Na Uy (2000). Tòa án kết luận rằng không có thẩm quyền ký kết hợp đồng vì Dell Products cư trú tại Ireland không bị ràng buộc về mặt pháp lý bởi các thỏa thuận được ký kết với khách hàng bởi commissionnaire cư trú tại Na Uy, Dell AS. Tòa án cũng áp dụng ý nghĩa theo luật nội địa của ‘commission’ bằng cách áp dụng art. 3(2) và phân biệt đại lý theo thông luật với luật dân sự để hỗ trợ cho kết luận này.</w:t>
      </w:r>
    </w:p>
    <w:p>
      <w:pPr>
        <w:spacing w:after="80"/>
      </w:pPr>
      <w:r>
        <w:rPr>
          <w:b w:val="0"/>
          <w:i w:val="0"/>
        </w:rPr>
        <w:t xml:space="preserve">Tuy nhiên, Tòa án Tối cao Tây Ban Nha đã thẳng thắn từ chối tuân theo các phán quyết của Tòa án Tối cao Pháp và Na Uy khi xem xét cùng các điều khoản đó của Hiệp định Ireland-Tây Ban Nha trong </w:t>
      </w:r>
      <w:r>
        <w:rPr>
          <w:b w:val="0"/>
          <w:i/>
        </w:rPr>
        <w:t>Dell Products Ltd v General State Administration</w:t>
      </w:r>
      <w:r>
        <w:rPr>
          <w:b w:val="0"/>
          <w:i w:val="0"/>
        </w:rPr>
        <w:t>.82 Tòa án cho rằng không cần thiết để commissionnaire tạo ra một quan hệ hợp đồng và rằng việc giải thích theo nghĩa đen và chặt chẽ điều khoản này là không phù hợp. Thay vào đó, nên áp dụng cách tiếp cận theo chức năng. Trong bối cảnh đó, tòa án quyết định rằng, theo luật Tây Ban Nha, những thỏa thuận như vậy không xung đột với việc ràng buộc người ủy thác với bên thứ ba, ở chỗ người ủy thác bị ràng buộc phải chấp nhận mọi hệ quả của việc ủy thác hoa hồng.</w:t>
      </w:r>
    </w:p>
    <w:p>
      <w:pPr>
        <w:spacing w:after="80"/>
      </w:pPr>
      <w:r>
        <w:rPr>
          <w:b w:val="0"/>
          <w:i w:val="0"/>
        </w:rPr>
        <w:t xml:space="preserve">Hoạt động của đại lý PE trong bối cảnh nền kinh tế số được làm nổi bật bởi phán quyết của Tòa án Phúc thẩm Paris </w:t>
      </w:r>
      <w:r>
        <w:rPr>
          <w:b w:val="0"/>
          <w:i/>
        </w:rPr>
        <w:t>trong Ministre de l’Action et des Comptes Publics v</w:t>
      </w:r>
    </w:p>
    <w:p>
      <w:pPr>
        <w:spacing w:after="80"/>
      </w:pPr>
      <w:r>
        <w:rPr>
          <w:b w:val="0"/>
          <w:i w:val="0"/>
        </w:rPr>
        <w:t>80.</w:t>
      </w:r>
      <w:r>
        <w:rPr>
          <w:b w:val="0"/>
          <w:i/>
        </w:rPr>
        <w:t>Société Zimmer Ltd v Ministre de l’Économie, des Finances et de l’Industrie</w:t>
      </w:r>
      <w:r>
        <w:rPr>
          <w:b w:val="0"/>
          <w:i w:val="0"/>
        </w:rPr>
        <w:t xml:space="preserve"> Conseil d’Etat (Tòa án Hành chính Tối cao Pháp) Nos 304715, 308525 (Phòng 9 và 10 họp chung).81.</w:t>
      </w:r>
      <w:r>
        <w:rPr>
          <w:b w:val="0"/>
          <w:i/>
        </w:rPr>
        <w:t>DellProducts(Europe)BVvSkattØst</w:t>
      </w:r>
      <w:r>
        <w:rPr>
          <w:b w:val="0"/>
          <w:i w:val="0"/>
        </w:rPr>
        <w:t>(Tòa án Hành chính Tối cao Na Uy)(Vụ HR-2011-02245-A) 2 tháng 12 năm 2011, 14 ITLR 371.82.</w:t>
      </w:r>
      <w:r>
        <w:rPr>
          <w:b w:val="0"/>
          <w:i/>
        </w:rPr>
        <w:t>Dell Products Ltd v General State Administration</w:t>
      </w:r>
      <w:r>
        <w:rPr>
          <w:b w:val="0"/>
          <w:i w:val="0"/>
        </w:rPr>
        <w:t>, Tribunal Supremo, Sala de lo Contencioso, 20 tháng 6 năm 2016, STS 2861/2016, Recurso No. 2555/2015, 19 ITLR 633.</w:t>
      </w:r>
    </w:p>
    <w:p>
      <w:pPr>
        <w:spacing w:after="80"/>
      </w:pPr>
      <w:r>
        <w:rPr>
          <w:b w:val="0"/>
          <w:i w:val="0"/>
        </w:rPr>
        <w:t>235</w:t>
      </w:r>
    </w:p>
    <w:p>
      <w:pPr>
        <w:spacing w:after="80"/>
      </w:pPr>
      <w:r>
        <w:rPr>
          <w:b w:val="0"/>
          <w:i/>
        </w:rPr>
        <w:t>sociétéGoogleIrelandLimited</w:t>
      </w:r>
      <w:r>
        <w:rPr>
          <w:b w:val="0"/>
          <w:i w:val="0"/>
        </w:rPr>
        <w:t>83Vụ án liên quan đến dịch vụ ‘AdWords’ của Google, cho phép các nhà quảng cáo đặt sự xuất hiện trong kết quả tìm kiếm trực tuyến thông qua việc sử dụng các từ khóa. Dịch vụ này được cung cấp cho các nhà quảng cáo theo hai cách: ‘OSO’ (Online Sales Organization - Tổ chức Bán hàng Trực tuyến) cho phép khách hàng tự phát triển các chiến dịch quảng cáo của họ trực tuyến; ‘DSO’ (Direct Sales Organization - Tổ chức Bán hàng Trực tiếp) bao gồm dịch vụ hỗ trợ để giúp các nhà quảng cáo, hoặc các đại lý quảng cáo của họ, sử dụng ‘AdWords’ một cách tốt nhất. Các nhân viên của SARL Google France đã cung cấp dịch vụ hỗ trợ cho Google Ireland Limited. Công ty Pháp cũng thực hiện các hoạt động tiếp thị và hỗ trợ bán hàng nhưng bị loại trừ rõ ràng khỏi việc ký kết hợp đồng thay mặt cho công ty Ireland. Tất cả các hợp đồng với khách hàng đều được ký kết bằng sự chấp nhận của công ty Ireland. Google France chịu rủi ro hạn chế và được trả thù lao theo phương thức cost-plus (giá cộng thêm). Tòa án kết luận rằng không có hoạt động nào của công ty Pháp tạo thành quyền ký kết hợp đồng thay mặt cho công ty Ireland như yêu cầu của điều 2(9) của Hiệp định Pháp-Ireland (1968).84</w:t>
      </w:r>
    </w:p>
    <w:p>
      <w:pPr>
        <w:spacing w:after="80"/>
      </w:pPr>
      <w:r>
        <w:rPr>
          <w:b w:val="0"/>
          <w:i w:val="0"/>
        </w:rPr>
        <w:t xml:space="preserve">Một quyết định sau đó của Conseil d’Etat Pháp (Tòa án Hành chính Tối cao) trong những tình huống có phần tương tự đã kết luận rằng một công ty Pháp cung cấp dịch vụ tiếp thị cho một công ty liên kết cư trú tại Ireland là một đại lý phụ thuộc. Trong </w:t>
      </w:r>
      <w:r>
        <w:rPr>
          <w:b w:val="0"/>
          <w:i/>
        </w:rPr>
        <w:t>ConversantInternationalLtd(formerlyValueclickInternationalLtd),</w:t>
      </w:r>
      <w:r>
        <w:rPr>
          <w:b w:val="0"/>
          <w:i w:val="0"/>
        </w:rPr>
        <w:t>85 một chi nhánh tại Pháp, Valueclick France SARL, đã thực hiện ‘hỗ trợ tiếp thị bao gồm việc đóng vai trò đại diện tiếp thị của Valueclick International’, bao gồm nhưng không giới hạn ở ‘xác định, tìm kiếm khách hàng tiềm năng và báo cáo cho Valueclick International’, ‘các dịch vụ quản lý và hỗ trợ hậu cần liên tục’, ‘hỗ trợ hành chính, bao gồm kế toán, quản lý nguồn nhân lực, thông tin và dòng tiền’.86 Công ty Ireland quyết định các điều khoản hợp đồng và giá cả chung. Việc lựa chọn có ký hợp đồng với khách hàng cho quảng cáo trực tuyến hay không và tất cả các nhiệm vụ cần thiết để ký kết hợp đồng là trách nhiệm của công ty Pháp. Vai trò của công ty Ireland chỉ giới hạn ở việc phê duyệt hợp đồng bằng chữ ký của mình. Tòa án kết luận, dựa trên những gì hiện là đoạn 87 của Bình luận OECD 2017, rằng quan hệ đại lý được hình thành khi một người thường xuyên quyết định các giao dịch mà doanh nghiệp chỉ phê duyệt, ngay cả khi người đó không chính thức ký kết hợp đồng nhân danh doanh nghiệp.87</w:t>
      </w:r>
    </w:p>
    <w:p>
      <w:pPr>
        <w:spacing w:after="80"/>
      </w:pPr>
      <w:r>
        <w:rPr>
          <w:b w:val="0"/>
          <w:i w:val="0"/>
        </w:rPr>
        <w:t>Cả Ireland và Vương quốc Anh đều không chọn áp dụng các quy định của MLI, điều 12(1) (tránh né nhân tạo tư cách PE thông qua các thỏa thuận commissionaire và các chiến lược tương tự</w:t>
      </w:r>
    </w:p>
    <w:p>
      <w:pPr>
        <w:spacing w:after="80"/>
      </w:pPr>
      <w:r>
        <w:rPr>
          <w:b w:val="0"/>
          <w:i w:val="0"/>
        </w:rPr>
        <w:t>83.</w:t>
      </w:r>
      <w:r>
        <w:rPr>
          <w:b w:val="0"/>
          <w:i/>
        </w:rPr>
        <w:t>Ministre de l’Action et des Comptes Publics v société Google Ireland Limited</w:t>
      </w:r>
      <w:r>
        <w:rPr>
          <w:b w:val="0"/>
          <w:i w:val="0"/>
        </w:rPr>
        <w:t>, Cour Administrative d’Appel de Paris N° 17PA03067 (25 tháng 4 năm 2019).84.Xem §7.04 về việc không có cơ sở kinh doanh cố định được tạo thành bởi cơ sở của công ty Pháp thay mặt cho công ty Ireland.85.</w:t>
      </w:r>
      <w:r>
        <w:rPr>
          <w:b w:val="0"/>
          <w:i/>
        </w:rPr>
        <w:t>La société Conversant International Ltd, anciennement dénommée Valueclick International Ltd</w:t>
      </w:r>
      <w:r>
        <w:rPr>
          <w:b w:val="0"/>
          <w:i w:val="0"/>
        </w:rPr>
        <w:t>, Conseil d’Etat (Tòa án Hành chính Tối cao Pháp) N°420174, ECLI:FR:CECHR:2020:420174.20201211.86.Quyết định, đoạn 4.87.Quyết định, đoạn 4. Quyết định này cũng là một sự khác biệt so với án lệ trước đây của tòa án, vốn từ chối áp dụng Bình luận OECD được đưa ra sau khi ký kết hiệp định. Hiệp định được ký kết năm 1968 và Bình luận lần đầu được đưa ra năm 2003. Vụ án liên quan đến các năm 2009-2011.</w:t>
      </w:r>
    </w:p>
    <w:p>
      <w:pPr>
        <w:spacing w:after="80"/>
      </w:pPr>
      <w:r>
        <w:rPr>
          <w:b w:val="0"/>
          <w:i w:val="0"/>
        </w:rPr>
        <w:t>236</w:t>
      </w:r>
    </w:p>
    <w:p>
      <w:pPr>
        <w:spacing w:after="80"/>
      </w:pPr>
      <w:r>
        <w:rPr>
          <w:b w:val="0"/>
          <w:i w:val="0"/>
        </w:rPr>
        <w:t>) vào các hiệp định thuế được bao phủ của họ.88 Do đó, những vấn đề này sẽ tiếp tục có liên quan đến mạng lưới hiệp định của cả hai quốc gia.</w:t>
      </w:r>
    </w:p>
    <w:p>
      <w:pPr>
        <w:spacing w:after="80"/>
      </w:pPr>
      <w:r>
        <w:rPr>
          <w:b w:val="0"/>
          <w:i w:val="0"/>
        </w:rPr>
        <w:t xml:space="preserve">Không giống như quan điểm trong các hiệp định mẫu của OECD và UN, có thể không cần quyền ký kết hợp đồng trong trường hợp Hiệp định Ấn Độ-Vương quốc Anh. Theo điều 5(4)(c) của hiệp định đó, một đại lý phụ thuộc thường xuyên đảm bảo các đơn hàng hoàn toàn cho chính doanh nghiệp được coi là một PE. Trong </w:t>
      </w:r>
      <w:r>
        <w:rPr>
          <w:b w:val="0"/>
          <w:i/>
        </w:rPr>
        <w:t>Rolls-Royce plc v Director of Income Tax,</w:t>
      </w:r>
      <w:r>
        <w:rPr>
          <w:b w:val="0"/>
          <w:i w:val="0"/>
        </w:rPr>
        <w:t xml:space="preserve">89 Tòa án Thuế Thu nhập Ấn Độ đã không phân tích ý nghĩa của cụm từ này mà kết luận rằng công ty Vương quốc Anh có một PE đại lý tại Ấn Độ theo các quy định này trên cơ sở rằng đó là một thông lệ đã được thiết lập rằng không có khách hàng nào ở Ấn Độ được gửi đơn hàng trực tiếp đến Rolls-Royce plc tại Vương quốc Anh. Những đơn hàng như vậy được yêu cầu chỉ được chuyển qua công ty con tại Ấn Độ. Điều này bao gồm các yêu cầu báo giá hoặc gia hạn hợp đồng. Tòa án đã bác bỏ lập luận rằng vai trò của công ty con Ấn Độ chỉ là một bưu điện. Một kết luận tương tự đã được Tòa án Thuế Thu nhập Ấn Độ đưa ra trong </w:t>
      </w:r>
      <w:r>
        <w:rPr>
          <w:b w:val="0"/>
          <w:i/>
        </w:rPr>
        <w:t>BBC Worldwide Limited v Deputy Director of Income Tax</w:t>
      </w:r>
      <w:r>
        <w:rPr>
          <w:b w:val="0"/>
          <w:i w:val="0"/>
        </w:rPr>
        <w:t>.90 BBC Worldwide Limited, một công ty cư trú tại Vương quốc Anh, hoạt động như một công ty truyền thông tiêu dùng quốc tế trong các lĩnh vực TV, xuất bản và cấp phép chương trình, v.v. Công ty con tại Ấn Độ của nó được chỉ định để thu hút đơn hàng cho việc bán quảng cáo được xác định là một PE tại Ấn Độ theo điều 5(4)(a) với tư cách là một đại lý có quyền ‘đàm phán và ký kết hợp đồng’ và điều 5(4)(c) của Hiệp định Thuế Ấn Độ-Vương quốc Anh với tư cách là một đại lý ‘thường xuyên đảm bảo đơn hàng’. Các lập luận rằng công ty con Ấn Độ trên toàn thế giới chỉ đơn thuần thu hút đơn hàng và không có quyền ràng buộc hoặc ký kết hợp đồng thay mặt cho BBC Worldwide, công ty có quyền duy nhất chấp nhận hoặc từ chối các đơn hàng, đã bị bác bỏ.</w:t>
      </w:r>
    </w:p>
    <w:p>
      <w:pPr>
        <w:spacing w:after="80"/>
      </w:pPr>
      <w:r>
        <w:rPr>
          <w:b w:val="0"/>
          <w:i w:val="0"/>
        </w:rPr>
        <w:t>HMRC cho rằng đại lý đại diện chứ không phải hiện thân của PE. Điều này xuất phát từ quan điểm của họ về việc phân bổ lợi nhuận trong trường hợp PE đại lý. Về vấn đề này, họ nói:</w:t>
      </w:r>
    </w:p>
    <w:p>
      <w:pPr>
        <w:spacing w:after="80"/>
      </w:pPr>
      <w:r>
        <w:rPr>
          <w:b w:val="0"/>
          <w:i w:val="0"/>
        </w:rPr>
        <w:t>Khi PE tại Vương quốc Anh tồn tại vì một đại lý phụ thuộc bán hàng hóa cho người không cư trú tại Vương quốc Anh, một khoản thù lao cho đại lý tại Vương quốc Anh theo tỷ lệ hoa hồng theo giá thị trường thông thường có thể không đủ để đo lường toàn bộ lợi nhuận chịu thuế tại Vương quốc Anh. Người không cư trú có thể đã tạo ra lợi nhuận thặng dư trên mức hoa hồng và bất kỳ chi phí nào khác đã trả. Những lợi nhuận thặng dư đó phải chịu thuế đối với người không cư trú và hoa hồng của đại lý phải chịu thuế đối với đại lý như lợi nhuận từ hoạt động kinh doanh của họ.91</w:t>
      </w:r>
    </w:p>
    <w:p>
      <w:pPr>
        <w:spacing w:after="80"/>
      </w:pPr>
      <w:r>
        <w:rPr>
          <w:b w:val="0"/>
          <w:i w:val="0"/>
        </w:rPr>
        <w:t xml:space="preserve">Trong </w:t>
      </w:r>
      <w:r>
        <w:rPr>
          <w:b w:val="0"/>
          <w:i/>
        </w:rPr>
        <w:t>BBCWorldwideLimitedvDeputyDirectorofIncomeTax</w:t>
      </w:r>
      <w:r>
        <w:rPr>
          <w:b w:val="0"/>
          <w:i w:val="0"/>
        </w:rPr>
        <w:t>, Tòa án Thuế Thu nhập Ấn Độ, dựa trên thẩm quyền của Tòa án Tối cao Ấn Độ,92 đã phán quyết rằng nếu giá theo giá thị trường đúng được trả cho đại lý phụ thuộc, thì sẽ không còn gì để đánh thuế vào tay doanh nghiệp nước ngoài nếu sau khi phân tích các chức năng, tài sản và rủi ro, không có gì thêm có thể được quy cho ngoài khoản thù lao đã trả cho đại lý phụ thuộc.</w:t>
      </w:r>
    </w:p>
    <w:p>
      <w:pPr>
        <w:spacing w:after="80"/>
      </w:pPr>
      <w:r>
        <w:rPr>
          <w:b w:val="0"/>
          <w:i w:val="0"/>
        </w:rPr>
        <w:t>88.Xem Chương 18, §18.05.89.</w:t>
      </w:r>
      <w:r>
        <w:rPr>
          <w:b w:val="0"/>
          <w:i/>
        </w:rPr>
        <w:t>Rolls-Royce plc v Director of Income Tax</w:t>
      </w:r>
      <w:r>
        <w:rPr>
          <w:b w:val="0"/>
          <w:i w:val="0"/>
        </w:rPr>
        <w:t xml:space="preserve"> ITA Nos 1496-1501/Del/2007, [2007] 10 ITLR 327.90.</w:t>
      </w:r>
      <w:r>
        <w:rPr>
          <w:b w:val="0"/>
          <w:i/>
        </w:rPr>
        <w:t>BBC Worldwide Limited v Deputy Director of Income Tax</w:t>
      </w:r>
      <w:r>
        <w:rPr>
          <w:b w:val="0"/>
          <w:i w:val="0"/>
        </w:rPr>
        <w:t xml:space="preserve"> (ITA No. 1188 (Del) 06) [2010] (IBFD Tax Research Database).91.HMRC, International Tax Manual, INTM267040.92.</w:t>
      </w:r>
      <w:r>
        <w:rPr>
          <w:b w:val="0"/>
          <w:i/>
        </w:rPr>
        <w:t>Morgan Stanley v Director of Income Tax</w:t>
      </w:r>
      <w:r>
        <w:rPr>
          <w:b w:val="0"/>
          <w:i w:val="0"/>
        </w:rPr>
        <w:t xml:space="preserve"> (2007) 7 SCC 1.</w:t>
      </w:r>
    </w:p>
    <w:p>
      <w:pPr>
        <w:spacing w:after="80"/>
      </w:pPr>
      <w:r>
        <w:rPr>
          <w:b w:val="0"/>
          <w:i w:val="0"/>
        </w:rPr>
        <w:t>237</w:t>
      </w:r>
    </w:p>
    <w:p>
      <w:pPr>
        <w:spacing w:after="80"/>
      </w:pPr>
      <w:r>
        <w:rPr>
          <w:b/>
          <w:i w:val="0"/>
        </w:rPr>
        <w:t>§7.10ĐẠI LÝ ĐỘC LẬP</w:t>
      </w:r>
    </w:p>
    <w:p>
      <w:pPr>
        <w:spacing w:after="80"/>
      </w:pPr>
      <w:r>
        <w:rPr>
          <w:b w:val="0"/>
          <w:i w:val="0"/>
        </w:rPr>
        <w:t>Sự tồn tại của một đại lý độc lập sẽ không tạo ra một PE. Điều 5(5)93 chỉ áp dụng cho một đại lý ‘khác với một đại lý có tư cách độc lập mà khoản (6) của Điều này áp dụng’. Hiệp định Thụy Điển tiếp tục:</w:t>
      </w:r>
    </w:p>
    <w:p>
      <w:pPr>
        <w:spacing w:after="80"/>
      </w:pPr>
      <w:r>
        <w:rPr>
          <w:b w:val="0"/>
          <w:i w:val="0"/>
        </w:rPr>
        <w:t>5(6) Một doanh nghiệp sẽ không bị coi là có cơ sở thường trú (permanent establishment) tại một Quốc gia ký kết chỉ vì doanh nghiệp đó tiến hành hoạt động kinh doanh tại Quốc gia đó thông qua một nhà môi giới (broker), đại lý hoa hồng tổng hợp (general commission agent) hoặc bất kỳ đại lý nào khác có tư cách độc lập, với điều kiện những người này đang hành động trong khuôn khổ hoạt động kinh doanh thông thường của họ.</w:t>
      </w:r>
    </w:p>
    <w:p>
      <w:pPr>
        <w:spacing w:after="80"/>
      </w:pPr>
      <w:r>
        <w:rPr>
          <w:b w:val="0"/>
          <w:i w:val="0"/>
        </w:rPr>
        <w:t>Sự loại trừ này không chỉ giới hạn ở các cơ sở thường trú do đại lý (agency PE) trong Điều 5(5). Một đại lý độc lập cũng không thể thực hiện được chức năng cần thiết để tiến hành hoạt động kinh doanh tại một địa điểm cố định nhằm tạo thành một cơ sở thường trú vật chất (physical PE) trong phạm vi Điều 5(1), do cách diễn đạt rộng của Điều 5(6). Thuế thu nhập doanh nghiệp nội địa của Vương quốc Anh cũng diễn đạt ngoại lệ này tương tự:</w:t>
      </w:r>
    </w:p>
    <w:p>
      <w:pPr>
        <w:spacing w:after="80"/>
      </w:pPr>
      <w:r>
        <w:rPr>
          <w:b w:val="0"/>
          <w:i w:val="0"/>
        </w:rPr>
        <w:t>1142(1) Một công ty không bị coi là có cơ sở thường trú tại một lãnh thổ vì lý do công ty đó tiến hành hoạt động kinh doanh tại đó thông qua một đại lý có tư cách độc lập đang hành động trong khuôn khổ hoạt động kinh doanh thông thường của đại lý đó.94</w:t>
      </w:r>
    </w:p>
    <w:p>
      <w:pPr>
        <w:spacing w:after="80"/>
      </w:pPr>
      <w:r>
        <w:rPr>
          <w:b w:val="0"/>
          <w:i w:val="0"/>
        </w:rPr>
        <w:t>Cụm từ 'đại lý độc lập' (independent agent) chỉ được sử dụng trong ITA 2007 tại Phần 14, Chương 2C, và chỉ ở đó để phân biệt giữa trách nhiệm của các đại lý độc lập và các đại lý khác về các nghĩa vụ tuân thủ. Một đại lý độc lập không phải chịu các hình phạt dân sự hoặc phụ phí đối với một số hành vi nhất định mà người đó không tham gia hoặc không đồng ý, và được quyền bồi hoàn từ người ủy thác không cư trú của mình.95 Trong bối cảnh này, đại lý độc lập có nghĩa là, liên quan đến người không cư trú, bất kỳ người nào 'là đại diện tại Vương quốc Anh của người không cư trú đối với bất kỳ cơ quan đại lý nào từ người không cư trú mà người đó đang hành động thay mặt người không cư trú với tư cách độc lập'. Vì mục đích này, một người:</w:t>
      </w:r>
    </w:p>
    <w:p>
      <w:pPr>
        <w:spacing w:after="80"/>
      </w:pPr>
      <w:r>
        <w:rPr>
          <w:b w:val="0"/>
          <w:i w:val="0"/>
        </w:rPr>
        <w:t>Sẽ không được coi là đang hành động với tư cách độc lập thay mặt cho người không cư trú trừ khi, xét đến các đặc điểm pháp lý, tài chính và thương mại của mình, mối quan hệ giữa họ là mối quan hệ giữa các bên tiến hành các hoạt động kinh doanh độc lập và giao dịch với nhau theo nguyên tắc thị trường (arm's length).</w:t>
      </w:r>
    </w:p>
    <w:p>
      <w:pPr>
        <w:spacing w:after="80"/>
      </w:pPr>
      <w:r>
        <w:rPr>
          <w:b w:val="0"/>
          <w:i w:val="0"/>
        </w:rPr>
        <w:t xml:space="preserve">Cơ quan thuế từ lâu đã giữ quan điểm rằng việc đề cập đến các đại lý độc lập trong bối cảnh này nhằm có cùng ý nghĩa như trong mô hình 'ngoại trừ việc nó không giới hạn ở các đại lý </w:t>
      </w:r>
      <w:r>
        <w:rPr>
          <w:b w:val="0"/>
          <w:i/>
        </w:rPr>
        <w:t>ejusdem generis</w:t>
      </w:r>
      <w:r>
        <w:rPr>
          <w:b w:val="0"/>
          <w:i w:val="0"/>
        </w:rPr>
        <w:t xml:space="preserve"> với nhà môi giới hoặc đại lý hoa hồng tổng hợp'.96</w:t>
      </w:r>
    </w:p>
    <w:p>
      <w:pPr>
        <w:spacing w:after="80"/>
      </w:pPr>
      <w:r>
        <w:rPr>
          <w:b w:val="0"/>
          <w:i w:val="0"/>
        </w:rPr>
        <w:t>93. Công ước giữa Chính phủ Vương quốc Liên hiệp Anh và Bắc Ireland và Chính phủ Vương quốc Thụy Điển về Việc tránh Đánh thuế Hai lần và Ngăn ngừa Trốn thuế Tài chính đối với Thuế Thu nhập và Thu nhập từ Vốn, Công ước ngày 30 tháng 8 năm 1983 (SI 1984/366). 94. CTA 2010, s. 1142(1). 95. ITA 2007, s. 835W và 835X. Cách diễn đạt trong CTA 2010, s. 791 cho mục đích thuế thu nhập doanh nghiệp không phân biệt giữa đại lý độc lập và đại lý khác. Vì các đại lý độc lập không phải là cơ sở thường trú theo s. 1151(2), nên vị thế tuân thủ trên thực tế là như nhau. 96. HMRC, International Tax Handbook, ITH963.</w:t>
      </w:r>
    </w:p>
    <w:p>
      <w:pPr>
        <w:spacing w:after="80"/>
      </w:pPr>
      <w:r>
        <w:rPr>
          <w:b w:val="0"/>
          <w:i w:val="0"/>
        </w:rPr>
        <w:t>238</w:t>
      </w:r>
    </w:p>
    <w:p>
      <w:pPr>
        <w:spacing w:after="80"/>
      </w:pPr>
      <w:r>
        <w:rPr>
          <w:b w:val="0"/>
          <w:i w:val="0"/>
        </w:rPr>
        <w:t>Bình luận của OECD không yêu cầu giao dịch theo nguyên tắc thị trường, và do đó cách diễn đạt độc lập trong luật nội địa có phần chặt chẽ hơn so với cách diễn đạt trong hiệp định.97</w:t>
      </w:r>
    </w:p>
    <w:p>
      <w:pPr>
        <w:spacing w:after="80"/>
      </w:pPr>
      <w:r>
        <w:rPr>
          <w:b w:val="0"/>
          <w:i w:val="0"/>
        </w:rPr>
        <w:t>Tuy nhiên, tính chất rộng của ngôn ngữ không đưa ra hướng dẫn rõ ràng, và do đó, cần phải xem xét chi tiết các sự kiện và hoàn cảnh trên cơ sở từng trường hợp cụ thể.</w:t>
      </w:r>
    </w:p>
    <w:p>
      <w:pPr>
        <w:spacing w:after="80"/>
      </w:pPr>
      <w:r>
        <w:rPr>
          <w:b w:val="0"/>
          <w:i w:val="0"/>
        </w:rPr>
        <w:t>Các hiệp định được xây dựng theo Mô hình UN có thể chứa ngưỡng độc lập riêng của chúng, như được thể hiện qua hiệp định đánh thuế hai lần Jordan-Vương quốc Anh:</w:t>
      </w:r>
    </w:p>
    <w:p>
      <w:pPr>
        <w:spacing w:after="80"/>
      </w:pPr>
      <w:r>
        <w:rPr>
          <w:b w:val="0"/>
          <w:i w:val="0"/>
        </w:rPr>
        <w:t>5(6) … khi các hoạt động của một đại lý [độc lập] như vậy được dành toàn bộ hoặc gần như toàn bộ cho doanh nghiệp đó hoặc các doanh nghiệp liên kết của nó, và các giao dịch không được thực hiện theo các điều kiện thị trường, thì người đó sẽ không được coi là đại lý có tư cách độc lập theo nghĩa của khoản này.</w:t>
      </w:r>
    </w:p>
    <w:p>
      <w:pPr>
        <w:spacing w:after="80"/>
      </w:pPr>
      <w:r>
        <w:rPr>
          <w:b w:val="0"/>
          <w:i w:val="0"/>
        </w:rPr>
        <w:t xml:space="preserve">HMRC đã xem xét rằng, khi liên quan đến luật hợp đồng của Anh, một đại lý không phải là đại lý độc lập nếu người đó có các đặc điểm của một đại lý phụ thuộc và thường xuyên thực hiện quyền hạn đó, dù nhân danh chính mình hay nhân danh doanh nghiệp. Đoạn 852 của </w:t>
      </w:r>
      <w:r>
        <w:rPr>
          <w:b w:val="0"/>
          <w:i/>
        </w:rPr>
        <w:t>International Tax Handbook</w:t>
      </w:r>
      <w:r>
        <w:rPr>
          <w:b w:val="0"/>
          <w:i w:val="0"/>
        </w:rPr>
        <w:t xml:space="preserve"> trước đây gợi ý rằng việc ký kết hợp đồng nhân danh người ủy thác sẽ được các quốc gia theo luật dân sự coi là đặc điểm của một đại lý phụ thuộc, trong khi hợp đồng được ký kết nhân danh chính đại lý sẽ là đặc điểm của tư cách độc lập. Đoạn này tiếp tục:</w:t>
      </w:r>
    </w:p>
    <w:p>
      <w:pPr>
        <w:spacing w:after="80"/>
      </w:pPr>
      <w:r>
        <w:rPr>
          <w:b w:val="0"/>
          <w:i w:val="0"/>
        </w:rPr>
        <w:t>Theo luật của chúng ta, nếu hợp đồng được ký kết thay mặt và với quyền hạn của người ủy thác, thì mối quan hệ giữa đại lý và người ủy thác không bị ảnh hưởng bởi việc hợp đồng được ký nhân danh người ủy thác hay nhân danh chính đại lý. Vì vậy, những đại lý mà về mọi phương diện khác sẽ là đại lý phụ thuộc theo mô hình, theo luật của chúng ta có thể ký kết hợp đồng nhân danh chính mình. Chúng ta không muốn những đại lý như vậy bị coi là đại lý có tư cách độc lập theo một hiệp định, và do đó phản đối nghĩa đen của cụm từ 'nhân danh' và lập luận rằng từ này nên được hiểu là 'thay mặt', đây là một cách dịch có thể chấp nhận được của cụm từ 'au nom de' xuất hiện trong phiên bản tiếng Pháp của Mô hình Công ước.</w:t>
      </w:r>
    </w:p>
    <w:p>
      <w:pPr>
        <w:spacing w:after="80"/>
      </w:pPr>
      <w:r>
        <w:rPr>
          <w:b w:val="0"/>
          <w:i w:val="0"/>
        </w:rPr>
        <w:t>Cách tiếp cận này đã được đưa vào Bình luận của OECD từ năm 1994.98</w:t>
      </w:r>
    </w:p>
    <w:p>
      <w:pPr>
        <w:spacing w:after="80"/>
      </w:pPr>
      <w:r>
        <w:rPr>
          <w:b w:val="0"/>
          <w:i w:val="0"/>
        </w:rPr>
        <w:t xml:space="preserve">Cần phải điều tra thực tế chi tiết trong từng trường hợp. Trong </w:t>
      </w:r>
      <w:r>
        <w:rPr>
          <w:b w:val="0"/>
          <w:i/>
        </w:rPr>
        <w:t>GE Capital Rail Ltd</w:t>
      </w:r>
      <w:r>
        <w:rPr>
          <w:b w:val="0"/>
          <w:i w:val="0"/>
        </w:rPr>
        <w:t>,99 một công ty cho thuê cư trú tại Vương quốc Anh đã cho France Wagon, một công ty cư trú tại Pháp, thuê các toa tàu hỏa. Chín hợp đồng thuê đã được ký kết thay mặt cho GE Capital Rail Ltd bởi một nhân viên của GE Capital Rail Services SARL, một công ty cư trú tại Pháp có hoạt động kinh doanh là cung cấp các dịch vụ hỗ trợ kinh doanh cho việc cho thuê toa tàu hỏa. Nhân viên này báo cáo cho người quản lý của GE Capital Rail Services SARL (người cũng là giám đốc của GE Capital Rail Ltd). Tòa án Hành chính Phúc thẩm Paris đã phán quyết rằng, mặc dù bà có thể ký kết thay mặt cho công ty Vương quốc Anh, bà không thể bị coi là đại lý phụ thuộc của GE Capital Rail Ltd theo Điều 4(4) của Hiệp định Thuế Pháp-Vương quốc Anh (1968). Nhân viên này đã được Công ty Đường sắt Quốc gia Pháp (SNCF) biệt phái sang GE Capital Rail Services SARL, công ty này đã hoàn trả tiền lương và các khoản đóng góp xã hội của bà cho SNCF. Một khoản tiền thưởng hiệu suất đã được công ty Pháp chi trả dựa trên kết quả của mình. Một</w:t>
      </w:r>
    </w:p>
    <w:p>
      <w:pPr>
        <w:spacing w:after="80"/>
      </w:pPr>
      <w:r>
        <w:rPr>
          <w:b w:val="0"/>
          <w:i w:val="0"/>
        </w:rPr>
        <w:t>97.Bình luận của OECD về Điều 5, các đoạn 36-39.98.Tại đoạn 32.99.</w:t>
      </w:r>
      <w:r>
        <w:rPr>
          <w:b w:val="0"/>
          <w:i/>
        </w:rPr>
        <w:t>GE Capital Rail Limited</w:t>
      </w:r>
      <w:r>
        <w:rPr>
          <w:b w:val="0"/>
          <w:i w:val="0"/>
        </w:rPr>
        <w:t>, Tòa án Hành chính Phúc thẩm Paris (Cour Administrative d'Appel de Paris), ngày 10 tháng 2 năm 2011, số 09PA06295, 14 ITLR 206.</w:t>
      </w:r>
    </w:p>
    <w:p>
      <w:pPr>
        <w:spacing w:after="80"/>
      </w:pPr>
      <w:r>
        <w:rPr>
          <w:b w:val="0"/>
          <w:i w:val="0"/>
        </w:rPr>
        <w:t>239</w:t>
      </w:r>
    </w:p>
    <w:p>
      <w:pPr>
        <w:spacing w:after="80"/>
      </w:pPr>
      <w:r>
        <w:rPr>
          <w:b w:val="0"/>
          <w:i w:val="0"/>
        </w:rPr>
        <w:t>một phần thù lao của bà được xác định dựa trên kết quả hoạt động của công ty Anh. Tòa án nhận thấy rằng không có điều khoản nào trong việc bổ nhiệm bà, cách thức thực hiện nhiệm vụ, hay thù lao của bà cho thấy sự phụ thuộc vào công ty Anh. Phán quyết của tòa án khó theo dõi và lập luận thì cô đọng. Tuy nhiên, có vẻ như sự phụ thuộc chính của nhân viên này có thể là với SNCF, điều mà có thể lập luận rằng đã làm suy yếu bất kỳ mối quan hệ phụ thuộc nào với một bên khác.</w:t>
      </w:r>
    </w:p>
    <w:p>
      <w:pPr>
        <w:spacing w:after="80"/>
      </w:pPr>
      <w:r>
        <w:rPr>
          <w:b w:val="0"/>
          <w:i w:val="0"/>
        </w:rPr>
        <w:t xml:space="preserve">Trong </w:t>
      </w:r>
      <w:r>
        <w:rPr>
          <w:b w:val="0"/>
          <w:i/>
        </w:rPr>
        <w:t>Airline Rotables Ltd UK v Joint Director of Income Tax</w:t>
      </w:r>
      <w:r>
        <w:rPr>
          <w:b w:val="0"/>
          <w:i w:val="0"/>
        </w:rPr>
        <w:t>,100 Ủy ban Phúc thẩm Thuế Thu nhập Ấn Độ đã bác bỏ là vô lý lập luận rằng một khách hàng là đại lý phụ thuộc của nhà cung cấp khi khách hàng, một hãng hàng không Ấn Độ, nắm giữ một kho linh kiện thay thế ở Ấn Độ nhưng thuộc sở hữu của công ty Anh để sử dụng cho chính mình khi các linh kiện máy bay được công ty Anh gửi đi sửa chữa.</w:t>
      </w:r>
    </w:p>
    <w:p>
      <w:pPr>
        <w:spacing w:after="80"/>
      </w:pPr>
      <w:r>
        <w:rPr>
          <w:b/>
          <w:i w:val="0"/>
        </w:rPr>
        <w:t>[A] Các loại đại lý độc lập cụ thể</w:t>
      </w:r>
    </w:p>
    <w:p>
      <w:pPr>
        <w:spacing w:after="80"/>
      </w:pPr>
      <w:r>
        <w:rPr>
          <w:b w:val="0"/>
          <w:i w:val="0"/>
        </w:rPr>
        <w:t>Ngoài ngôn ngữ chung về đại lý, các hiệp định thường bao gồm các tham chiếu đến 'môi giới' (brokers) và 'đại lý hoa hồng chung' (general commission agents). Các loại đại lý cụ thể cũng được xác định theo luật trong nước:</w:t>
      </w:r>
    </w:p>
    <w:p>
      <w:pPr>
        <w:spacing w:after="80"/>
      </w:pPr>
      <w:r>
        <w:rPr>
          <w:b w:val="0"/>
          <w:i w:val="0"/>
        </w:rPr>
        <w:t>(a) môi giới;101</w:t>
      </w:r>
    </w:p>
    <w:p>
      <w:pPr>
        <w:spacing w:after="80"/>
      </w:pPr>
      <w:r>
        <w:rPr>
          <w:b w:val="0"/>
          <w:i w:val="0"/>
        </w:rPr>
        <w:t>(b) người quản lý đầu tư;102</w:t>
      </w:r>
    </w:p>
    <w:p>
      <w:pPr>
        <w:spacing w:after="80"/>
      </w:pPr>
      <w:r>
        <w:rPr>
          <w:b w:val="0"/>
          <w:i w:val="0"/>
        </w:rPr>
        <w:t>(c) đại lý thành viên Lloyds hoặc đại lý quản lý của một tổ hợp (syndicate) khi</w:t>
      </w:r>
    </w:p>
    <w:p>
      <w:pPr>
        <w:spacing w:after="80"/>
      </w:pPr>
      <w:r>
        <w:rPr>
          <w:b w:val="0"/>
          <w:i w:val="0"/>
        </w:rPr>
        <w:t>người không cư trú là thành viên của Lloyds;103 và (d) các thỏa thuận tài chính thay thế.104</w:t>
      </w:r>
    </w:p>
    <w:p>
      <w:pPr>
        <w:spacing w:after="80"/>
      </w:pPr>
      <w:r>
        <w:rPr>
          <w:b w:val="0"/>
          <w:i w:val="0"/>
        </w:rPr>
        <w:t xml:space="preserve">Một tiền thân sớm của luật ITA 2007, Phần 14, Chương 2B và 2C (s.373(1) của </w:t>
      </w:r>
      <w:r>
        <w:rPr>
          <w:b w:val="0"/>
          <w:i/>
        </w:rPr>
        <w:t>Income Tax Act</w:t>
      </w:r>
      <w:r>
        <w:rPr>
          <w:b w:val="0"/>
          <w:i w:val="0"/>
        </w:rPr>
        <w:t xml:space="preserve"> 1952), đã được tòa án xem xét trong </w:t>
      </w:r>
      <w:r>
        <w:rPr>
          <w:b w:val="0"/>
          <w:i/>
        </w:rPr>
        <w:t>Fleming v London Produce Company</w:t>
      </w:r>
      <w:r>
        <w:rPr>
          <w:b w:val="0"/>
          <w:i w:val="0"/>
        </w:rPr>
        <w:t>.105 Trong luật đó, tham chiếu đến 'môi giới' bao gồm cả đại lý hoa hồng chung. Tòa án xác định rằng, thứ nhất, một đại lý hoa hồng chung phải có 'phẩm chất giống môi giới'. Thứ hai, quy định miễn trừ chỉ áp dụng cho những người không cư trú chỉ thuê môi giới theo cách thông thường, ngay cả khi họ thường xuyên thuê cùng một người. Một đại lý hoa hồng chung là người tự nhận mình sẵn sàng làm việc cho khách hàng nói chung và người mà về bản chất không giới hạn hoạt động của mình vào một khách hàng chính hay một số lượng khách hàng không đáng kể.</w:t>
      </w:r>
    </w:p>
    <w:p>
      <w:pPr>
        <w:spacing w:after="80"/>
      </w:pPr>
      <w:r>
        <w:rPr>
          <w:b w:val="0"/>
          <w:i w:val="0"/>
        </w:rPr>
        <w:t>Chức năng của các ngoại lệ luật trong nước này dành cho đại lý là khác nhau cho mục đích của các loại thuế khác nhau. Luật trong nước của Anh từ lâu đã có các loại trừ cho mục đích thuế thu nhập liên quan đến cơ chế đánh giá người không cư trú kinh doanh tại Anh. Luật trong nước hiện hành trong ITA 2007 Phần 14, Chương 2B và 2C tiếp tục quan điểm này. Do đó, theo luật trong nước, người không cư trú về nguyên tắc có thể có trách nhiệm</w:t>
      </w:r>
    </w:p>
    <w:p>
      <w:pPr>
        <w:spacing w:after="80"/>
      </w:pPr>
      <w:r>
        <w:rPr>
          <w:b w:val="0"/>
          <w:i w:val="0"/>
        </w:rPr>
        <w:t>100.</w:t>
      </w:r>
      <w:r>
        <w:rPr>
          <w:b w:val="0"/>
          <w:i/>
        </w:rPr>
        <w:t>Airline Rotables Ltd UK v Joint Director of Income Tax</w:t>
      </w:r>
      <w:r>
        <w:rPr>
          <w:b w:val="0"/>
          <w:i w:val="0"/>
        </w:rPr>
        <w:t>, International Taxation ITA No.3254/Mum/06, 13 ITLR 226. Xem §7.04 ở trên để biết các sự kiện.101.Thuế doanh nghiệp: CTA 2010, s. 1145; Thuế thu nhập: ITA 2007, s. 835H và 835L.102.Thuế doanh nghiệp: CTA 2010, ss 1146-1150; Thuế thu nhập: ITA 2007, s. 835I và 835M.103.Thuế doanh nghiệp: CTA 2010, s. 1151; Thuế thu nhập: ITA 2007, s. 835I và 835K.104.Thuế doanh nghiệp: CTA 2010, s. 1151; Thuế thu nhập: ITA 2007, s. 835J.105.</w:t>
      </w:r>
      <w:r>
        <w:rPr>
          <w:b w:val="0"/>
          <w:i/>
        </w:rPr>
        <w:t>Fleming v London Produce Company</w:t>
      </w:r>
      <w:r>
        <w:rPr>
          <w:b w:val="0"/>
          <w:i w:val="0"/>
        </w:rPr>
        <w:t xml:space="preserve"> (1968) 44 TC 582.</w:t>
      </w:r>
    </w:p>
    <w:p>
      <w:pPr>
        <w:spacing w:after="80"/>
      </w:pPr>
      <w:r>
        <w:rPr>
          <w:b w:val="0"/>
          <w:i w:val="0"/>
        </w:rPr>
        <w:t>240</w:t>
      </w:r>
    </w:p>
    <w:p>
      <w:pPr>
        <w:spacing w:after="80"/>
      </w:pPr>
      <w:r>
        <w:rPr>
          <w:b w:val="0"/>
          <w:i w:val="0"/>
        </w:rPr>
        <w:t>thuế thu nhập nhưng không có đại lý tại Anh chịu trách nhiệm về các nghĩa vụ tuân thủ. Ngược lại, cho mục đích thuế doanh nghiệp, các điều 1142-1144 rất dứt khoát rằng không có cơ sở thường trú (PE). Những ngoại lệ này chỉ là ví dụ về các đại lý khác có thể có tư cách độc lập hành động trong quá trình kinh doanh thông thường của họ. Do đó, chúng là những vùng an toàn theo luật trong nước hơn là hỗ trợ cho việc giải thích các quy định về đại lý độc lập trong hiệp định.</w:t>
      </w:r>
    </w:p>
    <w:p>
      <w:pPr>
        <w:spacing w:after="80"/>
      </w:pPr>
      <w:r>
        <w:rPr>
          <w:b/>
          <w:i w:val="0"/>
        </w:rPr>
        <w:t>§7.11 DỊCH VỤ VÀ CÁC CƠ SỞ THƯỜNG TRÚ (PEs)</w:t>
      </w:r>
    </w:p>
    <w:p>
      <w:pPr>
        <w:spacing w:after="80"/>
      </w:pPr>
      <w:r>
        <w:rPr>
          <w:b w:val="0"/>
          <w:i w:val="0"/>
        </w:rPr>
        <w:t>Điều này sẽ trở nên rõ ràng rằng lợi nhuận kinh doanh phát sinh từ việc cung cấp dịch vụ của một doanh nghiệp thuộc một quốc gia tại một quốc gia khác sẽ chỉ bị đánh thuế tại quốc gia khác đó nếu hoạt động kinh doanh được thực hiện, ít nhất một phần, thông qua một cơ sở kinh doanh cố định. Việc ký kết hợp đồng để cung cấp dịch vụ tự nó không tạo ra lợi nhuận, mà chính việc thực hiện dịch vụ mới tạo ra lợi nhuận. Do đó, một cơ sở thường trú (PE) dạng đại lý sẽ không đủ để trao quyền đánh thuế. Hiệp định Mẫu của Liên Hợp Quốc giữa các nước phát triển và đang phát triển từ lâu đã ủng hộ quyền đánh thuế rộng hơn cho các quốc gia nguồn, bao gồm cả việc công nhận một PE khi dịch vụ được thực hiện tại quốc gia nguồn trong một khoảng thời gian. Cách tiếp cận của Mẫu Liên Hợp Quốc được minh họa rõ nhất qua Điều 5(3) của Hiệp định Anh-Botswana, trong đó quy định rằng:</w:t>
      </w:r>
    </w:p>
    <w:p>
      <w:pPr>
        <w:spacing w:after="80"/>
      </w:pPr>
      <w:r>
        <w:rPr>
          <w:b w:val="0"/>
          <w:i w:val="0"/>
        </w:rPr>
        <w:t>5(3) Thuật ngữ 'cơ sở thường trú' cũng bao gồm:</w:t>
      </w:r>
    </w:p>
    <w:p>
      <w:pPr>
        <w:spacing w:after="80"/>
      </w:pPr>
      <w:r>
        <w:rPr>
          <w:b w:val="0"/>
          <w:i w:val="0"/>
        </w:rPr>
        <w:t>…</w:t>
      </w:r>
    </w:p>
    <w:p>
      <w:pPr>
        <w:spacing w:after="80"/>
      </w:pPr>
      <w:r>
        <w:rPr>
          <w:b w:val="0"/>
          <w:i w:val="0"/>
        </w:rPr>
        <w:t>(b) việc cung cấp dịch vụ, bao gồm dịch vụ tư vấn, bởi một doanh nghiệp thông qua nhân viên hoặc nhân sự khác được doanh nghiệp thuê cho mục đích đó, nhưng chỉ khi các hoạt động có tính chất đó tiếp tục (cho cùng một dự án hoặc dự án có liên quan) trong Quốc gia Ký kết trong một khoảng thời gian hoặc các khoảng thời gian cộng lại hơn 183 ngày trong bất kỳ giai đoạn mười hai tháng nào bắt đầu hoặc kết thúc trong năm tài chính liên quan.</w:t>
      </w:r>
    </w:p>
    <w:p>
      <w:pPr>
        <w:spacing w:after="80"/>
      </w:pPr>
      <w:r>
        <w:rPr>
          <w:b w:val="0"/>
          <w:i w:val="0"/>
        </w:rPr>
        <w:t>Vương quốc Anh có vẻ sẵn sàng đồng ý với các quy định kiểu này và chúng xuất hiện dưới nhiều hình thức khác nhau trong các hiệp định của nước này, bao gồm cả các hiệp định với Trung Quốc, Chile, Ấn Độ,106 Nam Phi và trong thỏa thuận với Đài Loan. Những quy định này có thể áp dụng cho nhiều loại dịch vụ khác nhau. Ví dụ, 'dịch vụ chuyên môn và các hoạt động khác có tính chất độc lập'107 hoặc dịch vụ bao gồm dịch vụ quản lý, ngoài những dịch vụ bị đánh thuế như tiền bản quyền và phí dịch vụ kỹ thuật đều được bao gồm.108 Tương tự, thời hạn thực hiện</w:t>
      </w:r>
    </w:p>
    <w:p>
      <w:pPr>
        <w:spacing w:after="80"/>
      </w:pPr>
      <w:r>
        <w:rPr>
          <w:b w:val="0"/>
          <w:i w:val="0"/>
        </w:rPr>
        <w:t xml:space="preserve">106. Xem </w:t>
      </w:r>
      <w:r>
        <w:rPr>
          <w:b w:val="0"/>
          <w:i/>
        </w:rPr>
        <w:t xml:space="preserve"> Linklaters LLP v Income Tax Officer-International Taxation Ward</w:t>
      </w:r>
      <w:r>
        <w:rPr>
          <w:b w:val="0"/>
          <w:i w:val="0"/>
        </w:rPr>
        <w:t xml:space="preserve"> 1(1)(2), Mumbai ITA Nos4896/Mum/03, 5085/Mum/03 www.itatonline.org [2010] 13 ITLR 245, §7.06 ở trên. Tại đó, Tòa án Thu nhập Ấn Độ đã phán quyết rằng các cụm từ 'rendering' (cung cấp) và 'furnishing' (cung ứng) phần nào có thể hoán đổi cho nhau trong hoạt động kinh doanh thông thường và sẽ là một cách tiếp cận quá câu nệ và mang tính kỹ thuật cao nếu thu hẹp ý nghĩa của cụm từ 'furnishing' để loại trừ việc cung cấp dịch vụ chuyên môn.107. Hiệp định Thuế Chile-UK (2003), Điều 5(3)(b); Công ước giữa Chính phủ Vương quốc Liên hiệp Anh và Bắc Ireland và Chính phủ Cộng hòa Nam Phi về Tránh đánh thuế hai lần và Ngăn ngừa trốn thuế tài khóa đối với Thuế Thu nhập và Thuế Lợi tức vốn, Công ước Toàn diện ngày 4 tháng 7 năm 2002 (SI 2002/3138), Điều 5(3)(b).108. Hiệp định Thuế Ấn Độ-UK (1993), Điều 5(2)(k).</w:t>
      </w:r>
    </w:p>
    <w:p>
      <w:pPr>
        <w:spacing w:after="80"/>
      </w:pPr>
      <w:r>
        <w:rPr>
          <w:b w:val="0"/>
          <w:i w:val="0"/>
        </w:rPr>
        <w:t>241</w:t>
      </w:r>
    </w:p>
    <w:p>
      <w:pPr>
        <w:spacing w:after="80"/>
      </w:pPr>
      <w:r>
        <w:rPr>
          <w:b w:val="0"/>
          <w:i w:val="0"/>
        </w:rPr>
        <w:t>việc thực hiện dịch vụ cũng khác nhau, đến mức trong Hiệp định Ấn Độ-UK, các hoạt động phải tiếp tục trong các khoảng thời gian cộng lại hơn chín mươi ngày trong bất kỳ giai đoạn mười hai tháng nào, hoặc dịch vụ được thực hiện trong Quốc gia đó cho một doanh nghiệp liên kết trong các khoảng thời gian cộng lại hơn ba mươi ngày trong bất kỳ giai đoạn mười hai tháng nào,109 trong khi trong Hiệp định Kazakhstan-UK, dịch vụ tư vấn phải được cung cấp trong hơn mười hai tháng.110 Những quy định này được đưa vào theo yêu cầu của các đối tác hiệp định của Vương quốc Anh. Tuy nhiên, chúng cũng áp dụng tương tự cho các dịch vụ do cư dân của các quốc gia đó cung cấp tại Vương quốc Anh và có thể làm phát sinh nghĩa vụ thuế thu nhập hoặc thuế doanh nghiệp mà các hiệp định đó cho phép.</w:t>
      </w:r>
    </w:p>
    <w:p>
      <w:pPr>
        <w:spacing w:after="80"/>
      </w:pPr>
      <w:r>
        <w:rPr>
          <w:b w:val="0"/>
          <w:i w:val="0"/>
        </w:rPr>
        <w:t>Việc thực hiện dịch vụ phải diễn ra trong quốc gia nguồn và do đó nhân viên hoặc nhân sự khác phải hiện diện thực tế tại quốc gia đó để cung cấp dịch vụ.</w:t>
      </w:r>
    </w:p>
    <w:p>
      <w:pPr>
        <w:spacing w:after="80"/>
      </w:pPr>
      <w:r>
        <w:rPr>
          <w:b w:val="0"/>
          <w:i w:val="0"/>
        </w:rPr>
        <w:t xml:space="preserve">Việc một doanh nghiệp có đang cung cấp dịch vụ hay không thường phụ thuộc vào bản chất của các thỏa thuận hợp đồng. Trong </w:t>
      </w:r>
      <w:r>
        <w:rPr>
          <w:b w:val="0"/>
          <w:i/>
        </w:rPr>
        <w:t>CentricaIndiaOffshorePrivateLtdvCommissionerofIncomeTaxandothers</w:t>
      </w:r>
      <w:r>
        <w:rPr>
          <w:b w:val="0"/>
          <w:i w:val="0"/>
        </w:rPr>
        <w:t xml:space="preserve">,111 một công ty Anh đã thuê ngoài các chức năng hỗ trợ văn phòng như thanh toán cho khách hàng và thu hồi nợ cho các nhà cung cấp bên thứ ba tại Ấn Độ. Công ty này đã thành lập một công ty tại Ấn Độ để đảm bảo rằng các nhà cung cấp Ấn Độ tuân thủ các hướng dẫn về chất lượng. Công ty Anh đã cử nhân sự của mình sang làm việc cho chi nhánh Ấn Độ. Tòa án Tối cao Delhi đã phán quyết rằng thỏa thuận biệt phái mà theo đó nhân viên làm việc, về thực chất, là một thỏa thuận cung cấp dịch vụ cho chi nhánh Ấn Độ chứ không phải là việc biệt phái nhân viên sang làm việc cho chi nhánh. Các thỏa thuận biệt phái cũng làm nảy sinh một vấn đề liên quan, cụ thể là nhân viên hoặc nhân sự khác phải là nhân viên hoặc nhân sự của chính doanh nghiệp đó. Nếu họ trở thành nhân viên hoặc nhân sự của một doanh nghiệp địa phương, thì sẽ không tồn tại cơ sở thường trú dịch vụ nào nhờ vào công việc của họ. Trong </w:t>
      </w:r>
      <w:r>
        <w:rPr>
          <w:b w:val="0"/>
          <w:i/>
        </w:rPr>
        <w:t>DIT v JC Bamford Excavators Ltd</w:t>
      </w:r>
      <w:r>
        <w:rPr>
          <w:b w:val="0"/>
          <w:i w:val="0"/>
        </w:rPr>
        <w:t>,112 một công ty cư trú tại Vương quốc Anh sở hữu, phát triển và sản xuất máy xúc đã ký kết một 'thỏa thuận chuyển giao công nghệ' với công ty con do mình sở hữu hoàn toàn là JCB India Ltd, cũng như một 'thỏa thuận phân công nhân sự quốc tế'. Các chuyên gia tư vấn kỹ thuật được cung cấp theo thỏa thuận chuyển giao công nghệ, với các điều khoản được quy định trong thỏa thuận phân công nhân sự quốc tế, vẫn là nhân viên của công ty Anh. Thỏa thuận phân công nhân sự quốc tế đồng ý với cơ sở biệt phái được xác định, theo cách giải thích đúng đắn các thỏa thuận, không phải là một thỏa thuận độc lập mà chỉ đơn thuần là sự chính thức hóa các điều khoản cho việc phân công. Tòa án Thu nhập Ấn Độ đã nhận xét rằng:</w:t>
      </w:r>
    </w:p>
    <w:p>
      <w:pPr>
        <w:spacing w:after="80"/>
      </w:pPr>
      <w:r>
        <w:rPr>
          <w:b w:val="0"/>
          <w:i w:val="0"/>
        </w:rPr>
        <w:t>Thuật ngữ biệt phái theo cách nói thông thường có nghĩa là người lao động vẫn là nhân viên của người sử dụng lao động hiện tại của mình nhưng nhờ một thỏa thuận nào đó giữa người sử dụng lao động và người thứ ba, người lao động phải thực hiện các nhiệm vụ vì lợi ích của</w:t>
      </w:r>
    </w:p>
    <w:p>
      <w:pPr>
        <w:spacing w:after="80"/>
      </w:pPr>
      <w:r>
        <w:rPr>
          <w:b w:val="0"/>
          <w:i w:val="0"/>
        </w:rPr>
        <w:t xml:space="preserve">109. Hiệp định Thuế Ấn Độ-UK (1993), Điều 5(2)(k)(i) và (ii).110. Nghị định thư giữa Chính phủ Vương quốc Liên hiệp Anh và Bắc Ireland và Chính phủ Cộng hòa Kazakhstan sửa đổi Công ước về Tránh đánh thuế hai lần và Ngăn ngừa trốn thuế tài khóa đối với Thuế Thu nhập và Thuế Lợi tức vốn, Công ước ngày 19 tháng 4 năm 1994 (SI 1994/3211), Điều 5(3)(c).111. </w:t>
      </w:r>
      <w:r>
        <w:rPr>
          <w:b w:val="0"/>
          <w:i/>
        </w:rPr>
        <w:t>CentricaIndiaOffshorePrivateLtdvCommissionerofIncomeTaxandothers</w:t>
      </w:r>
      <w:r>
        <w:rPr>
          <w:b w:val="0"/>
          <w:i w:val="0"/>
        </w:rPr>
        <w:t xml:space="preserve"> WP(C)No.6807/2012 [2014] 16 ITLR 957.112. </w:t>
      </w:r>
      <w:r>
        <w:rPr>
          <w:b w:val="0"/>
          <w:i/>
        </w:rPr>
        <w:t>DITvJCBamfordExcavatorsLtd</w:t>
      </w:r>
      <w:r>
        <w:rPr>
          <w:b w:val="0"/>
          <w:i w:val="0"/>
        </w:rPr>
        <w:t xml:space="preserve"> [2014]163TTJ53(DEL), [2014]33ITR(Trib)493(DEL), (2014) 43 www.taxmann.com 343 (Delhi – Trib.).</w:t>
      </w:r>
    </w:p>
    <w:p>
      <w:pPr>
        <w:spacing w:after="80"/>
      </w:pPr>
      <w:r>
        <w:rPr>
          <w:b w:val="0"/>
          <w:i w:val="0"/>
        </w:rPr>
        <w:t>242</w:t>
      </w:r>
    </w:p>
    <w:p>
      <w:pPr>
        <w:spacing w:after="80"/>
      </w:pPr>
      <w:r>
        <w:rPr>
          <w:b w:val="0"/>
          <w:i w:val="0"/>
        </w:rPr>
        <w:t>người thứ ba đó. Không có lúc nào người lao động trở thành nhân viên của công ty tiếp nhận, tức là người thứ ba.113</w:t>
      </w:r>
    </w:p>
    <w:p>
      <w:pPr>
        <w:spacing w:after="80"/>
      </w:pPr>
      <w:r>
        <w:rPr>
          <w:b w:val="0"/>
          <w:i w:val="0"/>
        </w:rPr>
        <w:t>Theo đó, tòa án đã kết luận rằng các chuyên gia tư vấn là nhân viên đang cung cấp dịch vụ tại Ấn Độ theo Điều 5(2)(k) của Hiệp định Thuế Ấn Độ-UK (1993).</w:t>
      </w:r>
    </w:p>
    <w:p>
      <w:pPr>
        <w:spacing w:after="80"/>
      </w:pPr>
      <w:r>
        <w:rPr>
          <w:b/>
          <w:i w:val="0"/>
        </w:rPr>
        <w:t>§7.12 HOẠT ĐỘNG ĐƯỢC COI LÀ VÀ CÁC PE KHÔNG THEO THÔNG LỆ</w:t>
      </w:r>
    </w:p>
    <w:p>
      <w:pPr>
        <w:spacing w:after="80"/>
      </w:pPr>
      <w:r>
        <w:rPr>
          <w:b w:val="0"/>
          <w:i w:val="0"/>
        </w:rPr>
        <w:t>Một số hiệp định, đặc biệt là những hiệp định theo Mẫu của Liên Hợp Quốc (UN Model), xác định các hoạt động cụ thể mà nếu được thực hiện sẽ cấu thành một cơ sở thường trú (PE - permanent establishment) ngay cả khi không đáp ứng yêu cầu về địa điểm kinh doanh cố định, hoặc trong một số trường hợp, không đáp ứng yêu cầu về đại lý. Ví dụ bao gồm gia công theo hợp đồng (toll manufacturing), tức là sản xuất hoặc chế biến tại Quốc gia đó cho doanh nghiệp hàng hóa hoặc thương phẩm thuộc về doanh nghiệp,114 duy trì thiết bị đáng kể để cho thuê hoặc cho các mục đích khác trong quốc gia khác đó trong khoảng thời gian hơn mười hai tháng.115</w:t>
      </w:r>
    </w:p>
    <w:p>
      <w:pPr>
        <w:spacing w:after="80"/>
      </w:pPr>
      <w:r>
        <w:rPr>
          <w:b w:val="0"/>
          <w:i w:val="0"/>
        </w:rPr>
        <w:t>Mẫu của Liên Hợp Quốc cũng đưa ra các quy tắc PE đặc biệt cho hoạt động kinh doanh bảo hiểm, được tìm thấy, ví dụ, trong Hiệp định Anh - Indonesia:</w:t>
      </w:r>
    </w:p>
    <w:p>
      <w:pPr>
        <w:spacing w:after="80"/>
      </w:pPr>
      <w:r>
        <w:rPr>
          <w:b w:val="0"/>
          <w:i w:val="0"/>
        </w:rPr>
        <w:t>5(6) Một doanh nghiệp bảo hiểm của một Quốc gia ký kết, trừ trường hợp tái bảo hiểm, sẽ được coi là có cơ sở thường trú tại Quốc gia ký kết kia nếu doanh nghiệp đó thu phí bảo hiểm trong lãnh thổ của Quốc gia kia hoặc bảo hiểm cho các rủi ro nằm tại đó thông qua một nhân viên hoặc thông qua một đại diện được thành lập tại đó mà không phải là đại lý có tư cách độc lập.</w:t>
      </w:r>
    </w:p>
    <w:p>
      <w:pPr>
        <w:spacing w:after="80"/>
      </w:pPr>
      <w:r>
        <w:rPr>
          <w:b w:val="0"/>
          <w:i w:val="0"/>
        </w:rPr>
        <w:t>Những khó khăn liên quan đến hoạt động kinh doanh bảo hiểm được OECD thừa nhận, nhưng tổ chức này không cho rằng việc đưa các điều khoản mẫu vào là phù hợp.116 Một số khó khăn này được phản ánh qua tỷ lệ cao các vụ án liên quan đến hiệp định và các công ty bảo hiểm tại tòa án Vương quốc Anh được xem xét trong cuốn sách này.</w:t>
      </w:r>
    </w:p>
    <w:p>
      <w:pPr>
        <w:spacing w:after="80"/>
      </w:pPr>
      <w:r>
        <w:rPr>
          <w:b/>
          <w:i w:val="0"/>
        </w:rPr>
        <w:t>§7.13 HOẠT ĐỘNG CHUẨN BỊ HOẶC HỖ TRỢ</w:t>
      </w:r>
    </w:p>
    <w:p>
      <w:pPr>
        <w:spacing w:after="80"/>
      </w:pPr>
      <w:r>
        <w:rPr>
          <w:b w:val="0"/>
          <w:i w:val="0"/>
        </w:rPr>
        <w:t>Khi một PE tồn tại do áp dụng quy tắc địa điểm kinh doanh cố định hoặc quy tắc đại lý, thì nó vẫn sẽ không được coi là một PE nếu, xét trong mối quan hệ với toàn bộ hoạt động kinh doanh của công ty, các hoạt động được thực hiện chỉ mang tính chất chuẩn bị hoặc hỗ trợ. Điều này áp dụng cho cả PE vật chất lẫn PE đại lý. Phạm vi của các hoạt động 'chuẩn bị hoặc hỗ trợ' được minh họa bởi Điều 5(4) của Hiệp định Anh - Thổ Nhĩ Kỳ như sau:</w:t>
      </w:r>
    </w:p>
    <w:p>
      <w:pPr>
        <w:spacing w:after="80"/>
      </w:pPr>
      <w:r>
        <w:rPr>
          <w:b w:val="0"/>
          <w:i w:val="0"/>
        </w:rPr>
        <w:t>113. Tại đoạn 6.11.10.114. Công ước giữa Chính phủ Vương quốc Liên hiệp Anh và Bắc Ireland và Chính phủ Vương quốc Hashemite Jordan về Việc tránh Đánh thuế Hai lần và Ngăn chặn Trốn thuế Tài chính đối với Thuế Thu nhập và Thu nhập từ Chuyển nhượng Vốn, Công ước ngày 22 tháng 7 năm 2001 (SI 2001/3924), Điều 5(5)(b).115. Công ước giữa Chính phủ Vương quốc Liên hiệp Anh và Bắc Ireland và Chính phủ Australia về Việc tránh Đánh thuế Hai lần và Ngăn chặn Trốn thuế Tài chính đối với Thuế Thu nhập và Thu nhập từ Chuyển nhượng Vốn, Công ước ngày 21 tháng 8 năm 2003 (SI 2003/3199), Điều 5(3)(b) (không bao gồm thiết bị cho thuê theo hợp đồng thuê mua).116. Bình luận về Điều 5, đoạn 38.</w:t>
      </w:r>
    </w:p>
    <w:p>
      <w:pPr>
        <w:spacing w:after="80"/>
      </w:pPr>
      <w:r>
        <w:rPr>
          <w:b w:val="0"/>
          <w:i w:val="0"/>
        </w:rPr>
        <w:t>243</w:t>
      </w:r>
    </w:p>
    <w:p>
      <w:pPr>
        <w:spacing w:after="80"/>
      </w:pPr>
      <w:r>
        <w:rPr>
          <w:b w:val="0"/>
          <w:i w:val="0"/>
        </w:rPr>
        <w:t>5(4) Bất chấp các quy định trước đó của Điều này, thuật ngữ 'cơ sở thường trú' sẽ được coi là không bao gồm:</w:t>
      </w:r>
    </w:p>
    <w:p>
      <w:pPr>
        <w:spacing w:after="80"/>
      </w:pPr>
      <w:r>
        <w:rPr>
          <w:b w:val="0"/>
          <w:i w:val="0"/>
        </w:rPr>
        <w:t>(a) việc sử dụng các cơ sở vật chất chỉ nhằm mục đích lưu kho, trưng bày hoặc giao</w:t>
      </w:r>
    </w:p>
    <w:p>
      <w:pPr>
        <w:spacing w:after="80"/>
      </w:pPr>
      <w:r>
        <w:rPr>
          <w:b w:val="0"/>
          <w:i w:val="0"/>
        </w:rPr>
        <w:t>hàng hóa hoặc thương phẩm thuộc về doanh nghiệp;(b) việc duy trì một kho hàng hóa hoặc thương phẩm thuộc về doanh</w:t>
      </w:r>
    </w:p>
    <w:p>
      <w:pPr>
        <w:spacing w:after="80"/>
      </w:pPr>
      <w:r>
        <w:rPr>
          <w:b w:val="0"/>
          <w:i w:val="0"/>
        </w:rPr>
        <w:t>nghiệp chỉ nhằm mục đích lưu kho, trưng bày hoặc giao hàng;(c) việc duy trì một kho hàng hóa hoặc thương phẩm thuộc về doanh</w:t>
      </w:r>
    </w:p>
    <w:p>
      <w:pPr>
        <w:spacing w:after="80"/>
      </w:pPr>
      <w:r>
        <w:rPr>
          <w:b w:val="0"/>
          <w:i w:val="0"/>
        </w:rPr>
        <w:t>nghiệp chỉ nhằm mục đích chế biến bởi một doanh nghiệp khác;(d) việc duy trì một địa điểm kinh doanh cố định chỉ nhằm mục đích</w:t>
      </w:r>
    </w:p>
    <w:p>
      <w:pPr>
        <w:spacing w:after="80"/>
      </w:pPr>
      <w:r>
        <w:rPr>
          <w:b w:val="0"/>
          <w:i w:val="0"/>
        </w:rPr>
        <w:t>mua hàng hóa hoặc thương phẩm, hoặc thu thập thông tin, cho doanh nghiệp;(e) việc duy trì một địa điểm kinh doanh cố định chỉ nhằm mục đích thực hiện</w:t>
      </w:r>
    </w:p>
    <w:p>
      <w:pPr>
        <w:spacing w:after="80"/>
      </w:pPr>
      <w:r>
        <w:rPr>
          <w:b w:val="0"/>
          <w:i w:val="0"/>
        </w:rPr>
        <w:t>cho doanh nghiệp bất kỳ hoạt động nào khác có tính chất chuẩn bị hoặc hỗ trợ;(f) việc duy trì một địa điểm kinh doanh cố định chỉ nhằm bất kỳ sự kết hợp nào của</w:t>
      </w:r>
    </w:p>
    <w:p>
      <w:pPr>
        <w:spacing w:after="80"/>
      </w:pPr>
      <w:r>
        <w:rPr>
          <w:b w:val="0"/>
          <w:i w:val="0"/>
        </w:rPr>
        <w:t>các hoạt động được đề cập trong các tiểu đoạn (a) đến (e) của khoản này, với điều kiện là toàn bộ hoạt động của địa điểm kinh doanh cố định phát sinh từ sự kết hợp này mang tính chất chuẩn bị hoặc hỗ trợ.</w:t>
      </w:r>
    </w:p>
    <w:p>
      <w:pPr>
        <w:spacing w:after="80"/>
      </w:pPr>
      <w:r>
        <w:rPr>
          <w:b w:val="0"/>
          <w:i w:val="0"/>
        </w:rPr>
        <w:t>Luật trong nước117 cũng có hiệu lực tương tự, tuy nhiên, có lẽ, cách soạn thảo có phần hiện đại hơn. Các chức năng được liệt kê trong các tiểu đoạn (a) đến (d) ở trên đều chỉ liên quan đến việc buôn bán hàng hóa, ngoại trừ việc thu thập thông tin. Do đó, dịch vụ chỉ được đề cập bởi quy tắc chung rằng các chức năng mang tính chất chuẩn bị hoặc hỗ trợ sẽ phủ nhận sự tồn tại của một cơ sở thường trú (PE).</w:t>
      </w:r>
    </w:p>
    <w:p>
      <w:pPr>
        <w:spacing w:after="80"/>
      </w:pPr>
      <w:r>
        <w:rPr>
          <w:b w:val="0"/>
          <w:i w:val="0"/>
        </w:rPr>
        <w:t xml:space="preserve">Trong </w:t>
      </w:r>
      <w:r>
        <w:rPr>
          <w:b w:val="0"/>
          <w:i/>
        </w:rPr>
        <w:t xml:space="preserve"> Birmingham &amp; District Cattle By-Products Co Ltd v IRC</w:t>
      </w:r>
      <w:r>
        <w:rPr>
          <w:b w:val="0"/>
          <w:i w:val="0"/>
        </w:rPr>
        <w:t xml:space="preserve">,118 ba tháng đầu tiên hoạt động của công ty bao gồm việc lắp đặt máy móc, tìm kiếm mặt bằng, thuê nhân viên và sắp xếp nguồn cung cấp phụ phẩm — tất cả đều được xem là mang tính chuẩn bị cho việc kinh doanh chứ chưa phải là kinh doanh. Gần một trăm năm sau, Ủy viên Đặc biệt Charles Hellier đã nói trong </w:t>
      </w:r>
      <w:r>
        <w:rPr>
          <w:b w:val="0"/>
          <w:i/>
        </w:rPr>
        <w:t xml:space="preserve"> Mansell v HMRC</w:t>
      </w:r>
      <w:r>
        <w:rPr>
          <w:b w:val="0"/>
          <w:i w:val="0"/>
        </w:rPr>
        <w:t>:</w:t>
      </w:r>
    </w:p>
    <w:p>
      <w:pPr>
        <w:spacing w:after="80"/>
      </w:pPr>
      <w:r>
        <w:rPr>
          <w:b w:val="0"/>
          <w:i w:val="0"/>
        </w:rPr>
        <w:t>Theo tôi, một hoạt động kinh doanh bắt đầu khi người nộp thuế, với một ý tưởng cụ thể trong đầu về các hoạt động tạo lợi nhuận dự định của mình, và đã thiết lập cơ sở kinh doanh, bắt đầu các hoạt động vận hành — và qua "hoạt động vận hành" tôi muốn nói đến việc giao dịch với các bên thứ ba liên quan trực tiếp và tức thời đến các nguồn cung sẽ được thực hiện mà người ta hy vọng sẽ tạo ra lợi nhuận mong đợi, và điều này đòi hỏi người kinh doanh phải đặt tiền vào vòng rủi ro: việc mua hàng hóa để bán hoặc để chế biến thành các mặt hàng đem bán, việc cung cấp dịch vụ, hoặc việc ký kết hợp đồng để cung cấp hàng hóa hoặc dịch vụ: những loại hoạt động đóng góp vào lợi nhuận gộp (chứ không phải lợi nhuận ròng) của doanh nghiệp.119</w:t>
      </w:r>
    </w:p>
    <w:p>
      <w:pPr>
        <w:spacing w:after="80"/>
      </w:pPr>
      <w:r>
        <w:rPr>
          <w:b w:val="0"/>
          <w:i w:val="0"/>
        </w:rPr>
        <w:t>Liên quan đến việc đàm phán hợp đồng, ông nói:</w:t>
      </w:r>
    </w:p>
    <w:p>
      <w:pPr>
        <w:spacing w:after="80"/>
      </w:pPr>
      <w:r>
        <w:rPr>
          <w:b w:val="0"/>
          <w:i w:val="0"/>
        </w:rPr>
        <w:t>Theo tôi, việc tiến hành đàm phán để ký kết các hợp đồng mà khi được hình thành sẽ tạo thành hoạt động vận hành là chưa đủ. Ở giai đoạn đó, chưa có rủi ro vận hành nào được gánh chịu: chưa có nghĩa vụ nào được đảm nhận liên quan trực tiếp đến các nguồn cung sẽ được thực hiện. Chỉ đến khi những cuộc đàm phán đó dẫn đến</w:t>
      </w:r>
    </w:p>
    <w:p>
      <w:pPr>
        <w:spacing w:after="80"/>
      </w:pPr>
      <w:r>
        <w:rPr>
          <w:b w:val="0"/>
          <w:i w:val="0"/>
        </w:rPr>
        <w:t>117. CTA 2010, s. 1143.118.</w:t>
      </w:r>
      <w:r>
        <w:rPr>
          <w:b w:val="0"/>
          <w:i/>
        </w:rPr>
        <w:t>Birmingham &amp; District Cattle By-Products Co Ltd v Inland Revenue Commissioners</w:t>
      </w:r>
      <w:r>
        <w:rPr>
          <w:b w:val="0"/>
          <w:i w:val="0"/>
        </w:rPr>
        <w:t xml:space="preserve"> (1919) 12 TC92.119.</w:t>
      </w:r>
      <w:r>
        <w:rPr>
          <w:b w:val="0"/>
          <w:i/>
        </w:rPr>
        <w:t>Mansell v R &amp; C Commissioners</w:t>
      </w:r>
      <w:r>
        <w:rPr>
          <w:b w:val="0"/>
          <w:i w:val="0"/>
        </w:rPr>
        <w:t xml:space="preserve"> [2006] UKSPC SPC 551 (2006) Sp C 551, đoạn 93.</w:t>
      </w:r>
    </w:p>
    <w:p>
      <w:pPr>
        <w:spacing w:after="80"/>
      </w:pPr>
      <w:r>
        <w:rPr>
          <w:b w:val="0"/>
          <w:i w:val="0"/>
        </w:rPr>
        <w:t>244</w:t>
      </w:r>
    </w:p>
    <w:p>
      <w:pPr>
        <w:spacing w:after="80"/>
      </w:pPr>
      <w:r>
        <w:rPr>
          <w:b w:val="0"/>
          <w:i w:val="0"/>
        </w:rPr>
        <w:t>những nghĩa vụ hoặc tài sản như vậy, và tạo ra khả năng thực sự về mất mát hoặc thu lợi, thì một hoạt động vận hành mới được coi là đã diễn ra. Cho đến lúc đó, những cuộc đàm phán ấy có thể là một phần của việc thiết lập hoạt động kinh doanh nhưng theo tôi chúng không báo hiệu sự khởi đầu của nó.120</w:t>
      </w:r>
    </w:p>
    <w:p>
      <w:pPr>
        <w:spacing w:after="80"/>
      </w:pPr>
      <w:r>
        <w:rPr>
          <w:b w:val="0"/>
          <w:i w:val="0"/>
        </w:rPr>
        <w:t>Mặc dù những vụ án này giải quyết các vấn đề về thời điểm, chúng vẫn cho thấy một ranh giới phân chia giữa các hoạt động vận hành và những hoạt động mang tính chuẩn bị theo nghĩa chỉ đơn thuần tạo điều kiện thuận lợi cho các hoạt động vận hành. Tuy nhiên, hướng dẫn của HMRC và Bình luận của OECD xem "chuẩn bị hoặc hỗ trợ" như một cụm từ ghép duy nhất thay vì hai khái niệm riêng biệt. Quan điểm của HMRC là:</w:t>
      </w:r>
    </w:p>
    <w:p>
      <w:pPr>
        <w:spacing w:after="80"/>
      </w:pPr>
      <w:r>
        <w:rPr>
          <w:b w:val="0"/>
          <w:i w:val="0"/>
        </w:rPr>
        <w:t>Khi quyết định liệu một cơ sở kinh doanh cố định của một doanh nghiệp không cư trú có được sử dụng cho các hoạt động mang tính chuẩn bị hoặc hỗ trợ hay không, hãy xem xét các yếu tố sau:</w:t>
      </w:r>
    </w:p>
    <w:p>
      <w:pPr>
        <w:spacing w:after="80"/>
      </w:pPr>
      <w:r>
        <w:rPr>
          <w:b w:val="0"/>
          <w:i w:val="0"/>
        </w:rPr>
        <w:t>(a) Các dịch vụ mà nó thực hiện có quá xa rời với việc hiện thực hóa lợi nhuận thực tế của</w:t>
      </w:r>
    </w:p>
    <w:p>
      <w:pPr>
        <w:spacing w:after="80"/>
      </w:pPr>
      <w:r>
        <w:rPr>
          <w:b w:val="0"/>
          <w:i w:val="0"/>
        </w:rPr>
        <w:t>doanh nghiệp đến mức khó có thể phân bổ bất kỳ phần lợi nhuận nào cho cơ sở kinh doanh cố định hay không? Nếu đúng như vậy, thì cơ sở kinh doanh cố định đó sẽ không phải là một cơ sở thường trú. Tiêu chuẩn để đánh giá các hoạt động là dựa trên hoạt động kinh doanh của toàn bộ thực thể … (b) Hoạt động của cơ sở kinh doanh cố định có tạo thành một phần thiết yếu và</w:t>
      </w:r>
    </w:p>
    <w:p>
      <w:pPr>
        <w:spacing w:after="80"/>
      </w:pPr>
      <w:r>
        <w:rPr>
          <w:b w:val="0"/>
          <w:i w:val="0"/>
        </w:rPr>
        <w:t>quan trọng của toàn bộ doanh nghiệp hay không? Một cơ sở kinh doanh cố định có mục đích chung giống hệt với mục đích chung của doanh nghiệp thì không được coi là được sử dụng cho các hoạt động mang tính chuẩn bị hoặc hỗ trợ.</w:t>
      </w:r>
    </w:p>
    <w:p>
      <w:pPr>
        <w:spacing w:after="80"/>
      </w:pPr>
      <w:r>
        <w:rPr>
          <w:b w:val="0"/>
          <w:i w:val="0"/>
        </w:rPr>
        <w:t>Lưu ý rằng việc loại trừ các hoạt động mang tính chuẩn bị hoặc hỗ trợ khỏi định nghĩa về PE chỉ áp dụng nếu những hoạt động này chỉ dành riêng cho doanh nghiệp không cư trú. Nếu các hoạt động được thực hiện không chỉ cho doanh nghiệp mà còn cho các doanh nghiệp khác, bao gồm các công ty khác trong cùng tập đoàn, thì cơ sở kinh doanh cố định đó sẽ không nằm trong phạm vi của ngoại lệ này.121</w:t>
      </w:r>
    </w:p>
    <w:p>
      <w:pPr>
        <w:spacing w:after="80"/>
      </w:pPr>
      <w:r>
        <w:rPr>
          <w:b w:val="0"/>
          <w:i w:val="0"/>
        </w:rPr>
        <w:t>Quan điểm này nhấn mạnh sự phân biệt giữa các yếu tố cốt lõi và không cốt lõi của hoạt động kinh doanh, để các chức năng không cốt lõi, mang tính hỗ trợ được công nhận là mang tính chuẩn bị hoặc hỗ trợ.</w:t>
      </w:r>
    </w:p>
    <w:p>
      <w:pPr>
        <w:spacing w:after="80"/>
      </w:pPr>
      <w:r>
        <w:rPr>
          <w:b w:val="0"/>
          <w:i w:val="0"/>
        </w:rPr>
        <w:t xml:space="preserve">Ranh giới giữa các hoạt động chỉ mang tính chuẩn bị hoặc hỗ trợ và các chức năng cốt lõi dường như là cơ sở cho phán quyết của Tòa án Tối cao Hungary trong </w:t>
      </w:r>
      <w:r>
        <w:rPr>
          <w:b w:val="0"/>
          <w:i/>
        </w:rPr>
        <w:t xml:space="preserve"> X Ltd v APEH</w:t>
      </w:r>
      <w:r>
        <w:rPr>
          <w:b w:val="0"/>
          <w:i w:val="0"/>
        </w:rPr>
        <w:t>,122 vụ án liên quan đến Điều 5(3) của Hiệp định Thuế Hungary-Anh (1977). Ở đó, một công ty có trụ sở tại Anh sản xuất và phân phối thiết bị công nghiệp. Lập luận của người nộp thuế rằng hoạt động của mình chỉ đơn thuần là lưu kho đã bị bác bỏ. Hàng tồn kho của người nộp thuế phát sinh do công ty đã tính lại giá sản phẩm của mình cho chi nhánh mà nó đã đăng ký tại Hungary theo giá gốc, và chi nhánh này đã làm thủ tục thông quan thiết bị, xuất hóa đơn và giao hàng cho khách hàng với mức giá bao gồm biên lợi nhuận. Lập luận rằng việc xuất hóa đơn chỉ nhằm mục đích thuế giá trị gia tăng và hải quan cũng bị bác bỏ tương tự. Vì hàng hóa thương mại cuối cùng luôn được bán, nên phán quyết này đặt ra câu hỏi rằng ranh giới phân chia nằm ở đâu trong mối quan hệ với một</w:t>
      </w:r>
    </w:p>
    <w:p>
      <w:pPr>
        <w:spacing w:after="80"/>
      </w:pPr>
      <w:r>
        <w:rPr>
          <w:b w:val="0"/>
          <w:i w:val="0"/>
        </w:rPr>
        <w:t>120.(2006) Sp C 551, đoạn 94.121.HMRC, Sổ tay Thuế Quốc tế, INTM266120.Xem thêm Bình luận OECD về điều 5, đoạn 21-30.122.</w:t>
      </w:r>
      <w:r>
        <w:rPr>
          <w:b w:val="0"/>
          <w:i/>
        </w:rPr>
        <w:t>FNXLtdvAPEH</w:t>
      </w:r>
      <w:r>
        <w:rPr>
          <w:b w:val="0"/>
          <w:i w:val="0"/>
        </w:rPr>
        <w:t>NoKfv.I.35.021/2007/8(Tòa án Tối cao Hungary, 17 tháng 1 năm 2008), 11 ITLR 1.</w:t>
      </w:r>
    </w:p>
    <w:p>
      <w:pPr>
        <w:spacing w:after="80"/>
      </w:pPr>
      <w:r>
        <w:rPr>
          <w:b w:val="0"/>
          <w:i w:val="0"/>
        </w:rPr>
        <w:t>245</w:t>
      </w:r>
    </w:p>
    <w:p>
      <w:pPr>
        <w:spacing w:after="80"/>
      </w:pPr>
      <w:r>
        <w:rPr>
          <w:b w:val="0"/>
          <w:i w:val="0"/>
        </w:rPr>
        <w:t>kho hàng hoặc dự trữ hàng hóa trong điều 5(4)(a) và (b). Quan điểm đúng đắn dường như là, tối thiểu, trừ khi có nhân sự hoặc đại lý phụ thuộc (hoặc có thể là thiết bị tự động) thực hiện các hoạt động bán hàng tạo thành cơ sở kinh doanh, việc lưu kho hàng hóa chờ giao hàng khi bán nên được coi là mang tính chuẩn bị hoặc hỗ trợ. Điều đó vẫn đúng khi hàng hóa được đưa ra khỏi kho khi bán.</w:t>
      </w:r>
    </w:p>
    <w:p>
      <w:pPr>
        <w:spacing w:after="80"/>
      </w:pPr>
      <w:r>
        <w:rPr>
          <w:b w:val="0"/>
          <w:i w:val="0"/>
        </w:rPr>
        <w:t>Tuy nhiên, những loại trừ này không được công nhận rộng rãi. Ví dụ, trong Hiệp định Ấn Độ - Vương quốc Anh (1993), một người, không phải đại lý độc lập, hành động thay mặt hoặc vì lợi ích của một doanh nghiệp, được coi là cơ sở thường trú (PE) nếu người đó thường xuyên duy trì kho hàng hóa hoặc thương phẩm mà từ đó người đó thường xuyên giao hàng hóa hoặc thương phẩm thay mặt hoặc vì lợi ích của doanh nghiệp.123</w:t>
      </w:r>
    </w:p>
    <w:p>
      <w:pPr>
        <w:spacing w:after="80"/>
      </w:pPr>
      <w:r>
        <w:rPr>
          <w:b w:val="0"/>
          <w:i w:val="0"/>
        </w:rPr>
        <w:t xml:space="preserve">Những quy định này đã được Ủy ban Kháng nghị Thuế Thu nhập Ấn Độ xem xét trong vụ </w:t>
      </w:r>
      <w:r>
        <w:rPr>
          <w:b w:val="0"/>
          <w:i/>
        </w:rPr>
        <w:t>AirlineRotablesLtdUKvJointDirectorofIncomeTax</w:t>
      </w:r>
      <w:r>
        <w:rPr>
          <w:b w:val="0"/>
          <w:i w:val="0"/>
        </w:rPr>
        <w:t>.124 Hội đồng đã bác bỏ là vô lý lập luận của viên thanh tra thuế rằng khách hàng hãng hàng không Ấn Độ của người nộp thuế là một đại lý phụ thuộc, người thường xuyên duy trì kho hàng hóa hoặc thương phẩm mà từ đó người đó thường xuyên giao hàng hóa hoặc thương phẩm thay mặt hoặc vì lợi ích của doanh nghiệp khi cung cấp các linh kiện thay thế.125</w:t>
      </w:r>
    </w:p>
    <w:p>
      <w:pPr>
        <w:spacing w:after="80"/>
      </w:pPr>
      <w:r>
        <w:rPr>
          <w:b w:val="0"/>
          <w:i w:val="0"/>
        </w:rPr>
        <w:t>Việc thanh tra bởi bên cấp phép để đảm bảo chất lượng sản phẩm được cấp phép và tuân thủ các thông số kỹ thuật là vì lợi ích của bên cấp phép chứ không phải vì lợi ích của bên được cấp phép, và do đó mang tính chất chuẩn bị hoặc hỗ trợ theo điều 5(3)(e) của Hiệp định Thuế Ấn Độ - Vương quốc Anh.126</w:t>
      </w:r>
    </w:p>
    <w:p>
      <w:pPr>
        <w:spacing w:after="80"/>
      </w:pPr>
      <w:r>
        <w:rPr>
          <w:b w:val="0"/>
          <w:i w:val="0"/>
        </w:rPr>
        <w:t>Chỉ những hoạt động mang tính chuẩn bị hoặc hỗ trợ mới phải được thực hiện để đủ điều kiện được loại trừ. Bundesfinanzhof (Tòa án Thuế Liên bang Đức) đã phán quyết rằng một văn phòng biên tập ở London của một tờ báo Đức là một cơ sở thường trú vì nó không chỉ thu thập thông tin, điều này sẽ mang tính chuẩn bị hoặc hỗ trợ, mà còn xử lý thông tin đó bằng cách dịch hoặc bình luận.127</w:t>
      </w:r>
    </w:p>
    <w:p>
      <w:pPr>
        <w:spacing w:after="80"/>
      </w:pPr>
      <w:r>
        <w:rPr>
          <w:b w:val="0"/>
          <w:i w:val="0"/>
        </w:rPr>
        <w:t xml:space="preserve">Khi các hoạt động được thực hiện thuộc nhiều hơn một trong các loại hoạt động được xác định trong điều 5(4), chúng chỉ mang tính chuẩn bị hoặc hỗ trợ nếu, khi xem xét tổng thể, tính chất tổng thể của chúng là chuẩn bị hoặc hỗ trợ. Trong vụ </w:t>
      </w:r>
      <w:r>
        <w:rPr>
          <w:b w:val="0"/>
          <w:i/>
        </w:rPr>
        <w:t>BoraxEuropeLtdvGeneralStateAdministration</w:t>
      </w:r>
      <w:r>
        <w:rPr>
          <w:b w:val="0"/>
          <w:i w:val="0"/>
        </w:rPr>
        <w:t>,128 một công ty cư trú tại Vương quốc Anh có các hoạt động được thực hiện thay mặt mình bởi một chi nhánh tại một địa điểm kinh doanh cố định ở Tây Ban Nha. Những hoạt động này bao gồm việc duy trì kho hàng hóa hoặc thương phẩm thuộc sở hữu của công ty Vương quốc Anh trong phạm vi điều 5(3)(b) (nhằm mục đích lưu kho, trưng bày hoặc giao hàng) và 5(3)(c) (nhằm mục đích chế biến bởi một doanh nghiệp khác) của hiệp định thuế Tây Ban Nha - Vương quốc Anh (1975). Sự kết hợp này được xác định là không mang tính chuẩn bị hoặc hỗ trợ. Lập luận của Tòa án Tối cao Tây Ban Nha không chi tiết nhưng dường như ngụ ý rằng khi có nhiều hơn một loại hoạt động được loại trừ</w:t>
      </w:r>
    </w:p>
    <w:p>
      <w:pPr>
        <w:spacing w:after="80"/>
      </w:pPr>
      <w:r>
        <w:rPr>
          <w:b w:val="0"/>
          <w:i w:val="0"/>
        </w:rPr>
        <w:t>123.Điều 5(4)(b), kết hợp với điều 5(4)(b) của Mẫu UN.124.</w:t>
      </w:r>
      <w:r>
        <w:rPr>
          <w:b w:val="0"/>
          <w:i/>
        </w:rPr>
        <w:t>AirlineRotablesLtdUKvJointDirectorofIncomeTax</w:t>
      </w:r>
      <w:r>
        <w:rPr>
          <w:b w:val="0"/>
          <w:i w:val="0"/>
        </w:rPr>
        <w:t>, InternationalTaxationITANo.3254/Mum/06, 13 ITLR 226.125.Tại đoạn 16.126.</w:t>
      </w:r>
      <w:r>
        <w:rPr>
          <w:b w:val="0"/>
          <w:i/>
        </w:rPr>
        <w:t>DITvJCBamfordExcavatorsLtd</w:t>
      </w:r>
      <w:r>
        <w:rPr>
          <w:b w:val="0"/>
          <w:i w:val="0"/>
        </w:rPr>
        <w:t>[2014]163TTJ53(DEL),[2014]33ITR(Trib)493(DEL),(2014) 43 www.taxmann.com 343 (Delhi – Trib.) tại đoạn 6.4.127.</w:t>
      </w:r>
      <w:r>
        <w:rPr>
          <w:b w:val="0"/>
          <w:i/>
        </w:rPr>
        <w:t>Bundesfinanzhof</w:t>
      </w:r>
      <w:r>
        <w:rPr>
          <w:b w:val="0"/>
          <w:i w:val="0"/>
        </w:rPr>
        <w:t xml:space="preserve"> (Tòa án Thuế Liên bang Đức), Vụ án IR 292/81, 23 tháng 1 năm 1985.128.</w:t>
      </w:r>
      <w:r>
        <w:rPr>
          <w:b w:val="0"/>
          <w:i/>
        </w:rPr>
        <w:t>BoraxEuropeLtdvGeneralStateAdministration</w:t>
      </w:r>
      <w:r>
        <w:rPr>
          <w:b w:val="0"/>
          <w:i w:val="0"/>
        </w:rPr>
        <w:t>(Tòa án Tối cao Tây Ban Nha)(RecursoNo.1933/2011) [2014] 17 ITLR 452.</w:t>
      </w:r>
    </w:p>
    <w:p>
      <w:pPr>
        <w:spacing w:after="80"/>
      </w:pPr>
      <w:r>
        <w:rPr>
          <w:b w:val="0"/>
          <w:i w:val="0"/>
        </w:rPr>
        <w:t>246</w:t>
      </w:r>
    </w:p>
    <w:p>
      <w:pPr>
        <w:spacing w:after="80"/>
      </w:pPr>
      <w:r>
        <w:rPr>
          <w:b w:val="0"/>
          <w:i w:val="0"/>
        </w:rPr>
        <w:t>liên quan, cần phải xem xét tính chất tổng thể của các hoạt động đó thay vì chỉ đơn giản coi tất cả là được loại trừ nếu từng hoạt động riêng lẻ mang tính chuẩn bị hoặc hỗ trợ.</w:t>
      </w:r>
    </w:p>
    <w:p>
      <w:pPr>
        <w:spacing w:after="80"/>
      </w:pPr>
      <w:r>
        <w:rPr>
          <w:b/>
          <w:i w:val="0"/>
        </w:rPr>
        <w:t>[A]Chống phân mảnh</w:t>
      </w:r>
    </w:p>
    <w:p>
      <w:pPr>
        <w:spacing w:after="80"/>
      </w:pPr>
      <w:r>
        <w:rPr>
          <w:b w:val="0"/>
          <w:i w:val="0"/>
        </w:rPr>
        <w:t>Để ngăn chặn các doanh nghiệp phân mảnh hoạt động kinh doanh thành nhiều hoạt động được thực hiện tại các địa điểm khác nhau hoặc bởi các thành viên riêng biệt của một tập đoàn, nơi mỗi hoạt động có thể chỉ đơn thuần mang tính chuẩn bị hoặc hỗ trợ, một sửa đổi đối với phạm vi của quy tắc này đã được đưa vào Mẫu OECD năm 2017 theo kết quả của Báo cáo cuối cùng về Hành động 7 của OECD BEPS.129 Hiệp định đầu tiên của Vương quốc Anh được ký kết với quy định như vậy là với Columbia130 và có nội dung:</w:t>
      </w:r>
    </w:p>
    <w:p>
      <w:pPr>
        <w:spacing w:after="80"/>
      </w:pPr>
      <w:r>
        <w:rPr>
          <w:b w:val="0"/>
          <w:i w:val="0"/>
        </w:rPr>
        <w:t>5(5)Đoạn 4 sẽ không áp dụng cho một địa điểm kinh doanh cố định được một doanh nghiệp sử dụng hoặc duy trì nếu chính doanh nghiệp đó hoặc một doanh nghiệp có liên quan chặt chẽ thực hiện các hoạt động kinh doanh tại cùng địa điểm đó hoặc tại một địa điểm khác trong cùng Quốc gia ký kết và</w:t>
      </w:r>
    </w:p>
    <w:p>
      <w:pPr>
        <w:spacing w:after="80"/>
      </w:pPr>
      <w:r>
        <w:rPr>
          <w:b w:val="0"/>
          <w:i w:val="0"/>
        </w:rPr>
        <w:t>(a)địa điểm đó hoặc địa điểm khác đó tạo thành một cơ sở thường trú cho</w:t>
      </w:r>
    </w:p>
    <w:p>
      <w:pPr>
        <w:spacing w:after="80"/>
      </w:pPr>
      <w:r>
        <w:rPr>
          <w:b w:val="0"/>
          <w:i w:val="0"/>
        </w:rPr>
        <w:t>doanh nghiệp hoặc doanh nghiệp có liên quan chặt chẽ theo các quy định của Điều này,hoặc(b)hoạt động tổng thể phát sinh từ sự kết hợp của các hoạt động được thực hiện</w:t>
      </w:r>
    </w:p>
    <w:p>
      <w:pPr>
        <w:spacing w:after="80"/>
      </w:pPr>
      <w:r>
        <w:rPr>
          <w:b w:val="0"/>
          <w:i w:val="0"/>
        </w:rPr>
        <w:t>bởi hai doanh nghiệp tại cùng một địa điểm, hoặc bởi cùng một doanh nghiệp hay các doanh nghiệp có liên quan chặt chẽ với nhau tại hai địa điểm đó, không mang tính chất chuẩn bị hoặc hỗ trợ,</w:t>
      </w:r>
    </w:p>
    <w:p>
      <w:pPr>
        <w:spacing w:after="80"/>
      </w:pPr>
      <w:r>
        <w:rPr>
          <w:b w:val="0"/>
          <w:i w:val="0"/>
        </w:rPr>
        <w:t>với điều kiện là các hoạt động kinh doanh được tiến hành bởi hai doanh nghiệp tại cùng một địa điểm, hoặc bởi cùng một doanh nghiệp hay các doanh nghiệp có liên quan chặt chẽ với nhau tại hai địa điểm đó, tạo thành những chức năng bổ trợ cho nhau và là một phần của một hoạt động kinh doanh gắn kết.</w:t>
      </w:r>
    </w:p>
    <w:p>
      <w:pPr>
        <w:spacing w:after="80"/>
      </w:pPr>
      <w:r>
        <w:rPr>
          <w:b w:val="0"/>
          <w:i w:val="0"/>
        </w:rPr>
        <w:t>5(6) Nhằm mục đích của khoản 5, một người được coi là có liên quan chặt chẽ với một doanh nghiệp nếu, dựa trên tất cả các sự kiện và hoàn cảnh liên quan, một bên kiểm soát bên kia hoặc cả hai đều nằm dưới sự kiểm soát của cùng một người hoặc cùng một doanh nghiệp. Trong mọi trường hợp, một người được coi là có liên quan chặt chẽ với một doanh nghiệp nếu người đó nắm giữ trực tiếp hoặc gián tiếp hơn 50 phần trăm quyền lợi hưởng lợi trong bên kia (hoặc, trong trường hợp là một công ty, hơn 50 phần trăm tổng số phiếu biểu quyết và giá trị cổ phần của công ty hoặc quyền lợi vốn chủ sở hữu hưởng lợi trong công ty) hoặc nếu một người khác nắm giữ trực tiếp hoặc gián tiếp hơn 50 phần trăm quyền lợi hưởng lợi (hoặc, trong trường hợp là một công ty, hơn 50 phần trăm tổng số phiếu biểu quyết và giá trị cổ phần của công ty hoặc quyền lợi vốn chủ sở hữu hưởng lợi trong công ty) trong cả người đó và doanh nghiệp đó.</w:t>
      </w:r>
    </w:p>
    <w:p>
      <w:pPr>
        <w:spacing w:after="80"/>
      </w:pPr>
      <w:r>
        <w:rPr>
          <w:b w:val="0"/>
          <w:i w:val="0"/>
        </w:rPr>
        <w:t>Quy tắc này là một phần mở rộng của nguyên tắc rằng khi một số hoạt động được tiến hành, tính chất tổng thể của chúng phải mang tính chuẩn bị hoặc hỗ trợ để ngăn chặn việc lợi dụng các doanh nghiệp có liên quan chặt chẽ với nhau nhằm tách riêng các hoạt động mà từng hoạt động riêng lẻ có thể đủ điều kiện nhưng khi gộp lại với nhau có thể vượt quá ngưỡng đó.</w:t>
      </w:r>
    </w:p>
    <w:p>
      <w:pPr>
        <w:spacing w:after="80"/>
      </w:pPr>
      <w:r>
        <w:rPr>
          <w:b w:val="0"/>
          <w:i w:val="0"/>
        </w:rPr>
        <w:t>129. Xem Chương 18, §18.05 (các quy định ảnh hưởng đến cơ sở thường trú) Các loại trừ mang tính chuẩn bị hoặc hỗ trợ. 130. Công ước giữa Vương quốc Liên hiệp Anh và Bắc Ireland và Cộng hòa Colombia về việc Loại trừ Đánh thuế Hai lần đối với Thuế Thu nhập và Thuế Lợi tức Vốn và về việc Ngăn chặn Trốn thuế và Tránh thuế ngày 2 tháng 11 năm 2016.</w:t>
      </w:r>
    </w:p>
    <w:p>
      <w:pPr>
        <w:spacing w:after="80"/>
      </w:pPr>
      <w:r>
        <w:rPr>
          <w:b w:val="0"/>
          <w:i w:val="0"/>
        </w:rPr>
        <w:t>247</w:t>
      </w:r>
    </w:p>
    <w:p>
      <w:pPr>
        <w:spacing w:after="80"/>
      </w:pPr>
      <w:r>
        <w:rPr>
          <w:b/>
          <w:i w:val="0"/>
        </w:rPr>
        <w:t>§7.14 CÁC CÔNG TY MẸ VÀ CÔNG TY CON NHƯ LÀ CƠ SỞ THƯỜNG TRÚ</w:t>
      </w:r>
    </w:p>
    <w:p>
      <w:pPr>
        <w:spacing w:after="80"/>
      </w:pPr>
      <w:r>
        <w:rPr>
          <w:b w:val="0"/>
          <w:i w:val="0"/>
        </w:rPr>
        <w:t>Các hiệp ước hiện đại như hiệp ước Cyprus-UK quy định rằng:</w:t>
      </w:r>
    </w:p>
    <w:p>
      <w:pPr>
        <w:spacing w:after="80"/>
      </w:pPr>
      <w:r>
        <w:rPr>
          <w:b w:val="0"/>
          <w:i w:val="0"/>
        </w:rPr>
        <w:t>5(7) Việc một công ty là cư dân của một trong các Quốc gia Ký kết kiểm soát hoặc bị kiểm soát bởi một công ty là cư dân của Quốc gia Ký kết kia, hoặc công ty đó tiến hành hoạt động kinh doanh tại Quốc gia Ký kết kia (dù thông qua một cơ sở thường trú hay bằng cách khác), tự nó sẽ không cấu thành cơ sở thường trú của bên kia đối với cả hai công ty.</w:t>
      </w:r>
    </w:p>
    <w:p>
      <w:pPr>
        <w:spacing w:after="80"/>
      </w:pPr>
      <w:r>
        <w:rPr>
          <w:b w:val="0"/>
          <w:i w:val="0"/>
        </w:rPr>
        <w:t>Quy định kỳ lạ này không có trong định nghĩa nội địa về cơ sở thường trú trong FA 2003, s.148. Tuy nhiên, tuyên bố này, cùng với điều 9 (Các doanh nghiệp liên kết), nhấn mạnh rằng thuế được áp đặt lên từng pháp nhân một cách riêng biệt thay vì lên cả tập đoàn, và rằng quá trình tương tác thực tế giữa công ty mẹ và công ty con phải được xem xét.131</w:t>
      </w:r>
    </w:p>
    <w:p>
      <w:pPr>
        <w:spacing w:after="80"/>
      </w:pPr>
      <w:r>
        <w:rPr>
          <w:b/>
          <w:i w:val="0"/>
        </w:rPr>
        <w:t>§7.15 THUẾ LỢI NHUẬN CHUYỂN HƯỚNG</w:t>
      </w:r>
    </w:p>
    <w:p>
      <w:pPr>
        <w:spacing w:after="80"/>
      </w:pPr>
      <w:r>
        <w:rPr>
          <w:b w:val="0"/>
          <w:i/>
        </w:rPr>
        <w:t>Finance Act</w:t>
      </w:r>
      <w:r>
        <w:rPr>
          <w:b w:val="0"/>
          <w:i w:val="0"/>
        </w:rPr>
        <w:t xml:space="preserve"> 2015, Phần 3 đã giới thiệu một loại thuế mới của Vương quốc Anh áp dụng khi các thỏa thuận được thiết kế để tránh sự tồn tại của một cơ sở thường trú. Loại thuế này áp dụng khi một công ty không cư trú tiến hành hoạt động thương mại và một người khác tiến hành các hoạt động tại Vương quốc Anh liên quan đến việc cung cấp dịch vụ, hàng hóa hoặc tài sản khác do công ty không cư trú thực hiện.132 Loại thuế này được thiết kế để nằm ngoài các hiệp ước thuế của Vương quốc Anh.133 Người kia được gọi là ‘cơ sở thường trú bị tránh’. Ngay cả khi hoạt động của công ty không cư trú hoặc của cơ sở thường trú bị tránh được thiết kế để đạt được bất kỳ mục tiêu thương mại hoặc mục tiêu nào khác, nếu hợp lý để giả định rằng bất kỳ hoạt động nào của một trong hai bên được thiết kế để đảm bảo rằng công ty không cư trú, do hoạt động của ‘cơ sở thường trú bị tránh’, không tiến hành hoạt động thương mại đó tại Vương quốc Anh nhằm mục đích thuế thu nhập doanh nghiệp, thì thuế lợi nhuận chuyển hướng có thể áp dụng trong hai trường hợp.</w:t>
      </w:r>
    </w:p>
    <w:p>
      <w:pPr>
        <w:spacing w:after="80"/>
      </w:pPr>
      <w:r>
        <w:rPr>
          <w:b w:val="0"/>
          <w:i w:val="0"/>
        </w:rPr>
        <w:t>Trường hợp thứ nhất là khi ‘điều kiện không khớp’ được đáp ứng. Đây là trường hợp khi một khoản khấu trừ sẽ được thực hiện, do một giao dịch với bên liên kết, trong việc tính toán lợi nhuận của một cơ sở thường trú danh nghĩa của bên không cư trú, và bên liên kết chịu thuế nước ngoài trên khoản được khấu trừ ở mức thấp hơn 80% thuế suất thuế thu nhập doanh nghiệp của Vương quốc Anh. Ngoài ra, ‘điều kiện không đủ bản chất kinh tế’ phải được đáp ứng. Có sự không đủ bản chất kinh tế nếu giao dịch với bên liên kết (hoặc một chuỗi các giao dịch như vậy) được thiết kế để đảm bảo việc giảm thuế trừ khi các lợi ích phi thuế có thể quy cho giao dịch đó vượt quá lợi ích tài chính của việc giảm thuế, hoặc sự tham gia của người đó vào giao dịch hoặc các giao dịch được thiết kế để đảm bảo việc giảm thuế, trừ khi cả hai lợi ích phi thuế có thể quy cho sự đóng góp của người đó, xét về các chức năng hoặc hoạt động mà nhân viên của người đó thực hiện, sẽ</w:t>
      </w:r>
    </w:p>
    <w:p>
      <w:pPr>
        <w:spacing w:after="80"/>
      </w:pPr>
      <w:r>
        <w:rPr>
          <w:b w:val="0"/>
          <w:i w:val="0"/>
        </w:rPr>
        <w:t xml:space="preserve">131. Xem §7.10 và §7.11 để biết ví dụ: </w:t>
      </w:r>
      <w:r>
        <w:rPr>
          <w:b w:val="0"/>
          <w:i/>
        </w:rPr>
        <w:t>Rolls-Royce plc v Director of Income Tax</w:t>
      </w:r>
      <w:r>
        <w:rPr>
          <w:b w:val="0"/>
          <w:i w:val="0"/>
        </w:rPr>
        <w:t xml:space="preserve"> ITA Nos 1496-1501/Del/2007, [2007] 10 ITLR 327; </w:t>
      </w:r>
      <w:r>
        <w:rPr>
          <w:b w:val="0"/>
          <w:i/>
        </w:rPr>
        <w:t>Société Zimmer Ltd v Ministre de l’Économie, des Finances et de l’Industrie</w:t>
      </w:r>
      <w:r>
        <w:rPr>
          <w:b w:val="0"/>
          <w:i w:val="0"/>
        </w:rPr>
        <w:t xml:space="preserve"> Nos 304715, 308525; </w:t>
      </w:r>
      <w:r>
        <w:rPr>
          <w:b w:val="0"/>
          <w:i/>
        </w:rPr>
        <w:t>GE Capital Rail Limited, Cour Administrative d’Appel de Paris</w:t>
      </w:r>
      <w:r>
        <w:rPr>
          <w:b w:val="0"/>
          <w:i w:val="0"/>
        </w:rPr>
        <w:t xml:space="preserve"> (Tòa phúc thẩm hành chính Paris), No. 09PA06295, ngày 10 tháng 2 năm 2011. 132. FA 2015, s. 86. 133. Xem Chương 2, §2.15.</w:t>
      </w:r>
    </w:p>
    <w:p>
      <w:pPr>
        <w:spacing w:after="80"/>
      </w:pPr>
      <w:r>
        <w:rPr>
          <w:b w:val="0"/>
          <w:i w:val="0"/>
        </w:rPr>
        <w:t>248</w:t>
      </w:r>
    </w:p>
    <w:p>
      <w:pPr>
        <w:spacing w:after="80"/>
      </w:pPr>
      <w:r>
        <w:rPr>
          <w:b w:val="0"/>
          <w:i w:val="0"/>
        </w:rPr>
        <w:t>vượt quá lợi ích tài chính của việc giảm thuế, và thu nhập quy cho các chức năng hoặc hoạt động của nhân viên của người đó (bỏ qua các chức năng hoặc hoạt động liên quan đến việc nắm giữ, duy trì hoặc bảo vệ bất kỳ tài sản nào mà thu nhập quy cho giao dịch hoặc các giao dịch bắt nguồn từ đó), vượt quá thu nhập khác quy cho giao dịch hoặc các giao dịch.134 Trường hợp thứ hai là khi mục đích chính hoặc một trong các mục đích chính của các thỏa thuận là để tránh hoặc giảm một khoản thuế thu nhập doanh nghiệp (‘điều kiện tránh thuế’).</w:t>
      </w:r>
    </w:p>
    <w:p>
      <w:pPr>
        <w:spacing w:after="80"/>
      </w:pPr>
      <w:r>
        <w:rPr>
          <w:b w:val="0"/>
          <w:i w:val="0"/>
        </w:rPr>
        <w:t>Quy tắc này thường không áp dụng khi ‘cơ sở thường trú được tránh’ (avoided PE) là một đại lý độc lập. Các trường hợp loại trừ khác bao gồm doanh nghiệp nhỏ và vừa, quan hệ cho vay, thu nhập bán hàng liên quan đến Vương quốc Anh dưới 10 triệu bảng hoặc chi phí liên quan đến Vương quốc Anh dưới 1 triệu bảng.135</w:t>
      </w:r>
    </w:p>
    <w:p>
      <w:pPr>
        <w:spacing w:after="80"/>
      </w:pPr>
      <w:r>
        <w:rPr>
          <w:b w:val="0"/>
          <w:i w:val="0"/>
        </w:rPr>
        <w:t>134.FA 2015, s. 110.135.FA 2015, ss 86(1)(h), (2)(d) và (5) và 87.</w:t>
      </w:r>
    </w:p>
    <w:p>
      <w:pPr>
        <w:spacing w:after="80"/>
      </w:pPr>
      <w:r>
        <w:rPr>
          <w:b w:val="0"/>
          <w:i w:val="0"/>
        </w:rPr>
        <w:t>249</w:t>
      </w:r>
    </w:p>
    <w:p>
      <w:pPr>
        <w:spacing w:before="240" w:after="80"/>
      </w:pPr>
      <w:r>
        <w:rPr>
          <w:b/>
          <w:sz w:val="32"/>
        </w:rPr>
        <w:t>CHƯƠNG 8Các điều khoản phân phối quyền đánh thuế của các hiệp định thuế thu nhập</w:t>
      </w:r>
    </w:p>
    <w:p>
      <w:pPr>
        <w:spacing w:after="80"/>
      </w:pPr>
      <w:r>
        <w:rPr>
          <w:b/>
          <w:i w:val="0"/>
        </w:rPr>
        <w:t>§8.01PHÂN BỔ QUYỀN TÀI PHÁN VỀ THUẾ</w:t>
      </w:r>
    </w:p>
    <w:p>
      <w:pPr>
        <w:spacing w:after="80"/>
      </w:pPr>
      <w:r>
        <w:rPr>
          <w:b w:val="0"/>
          <w:i w:val="0"/>
        </w:rPr>
        <w:t xml:space="preserve">Các điều khoản phân phối quyền đánh thuế của các hiệp định thuế thu nhập chính là trái tim của hệ thống hiệp định. Những quy tắc này phân bổ quyền tài phán về thuế giữa các quốc gia ký kết, đồng thời xác định nguồn thu nhập và mức thuế tối đa được thỏa thuận tại quốc gia nguồn.1 Các điều khoản phân phối quyền đánh thuế của các hiệp định thuế thu nhập và thuế lợi tức vốn được quy định tại Chương III của OECD Model, bao gồm các loại thu nhập và lợi tức vốn khác nhau tạo thành nền tảng của hệ thống thuế điển hình ở các quốc gia thành viên OECD. Những loại này được nêu rõ tại §8.02. Bất kỳ khoản thuế trùng nào còn lại sau khi áp dụng các quy tắc này sẽ được xử lý theo điều khoản miễn thuế trùng (OECD Model Chương V Loại bỏ việc đánh thuế trùng, Điều 23), mà ở Vương quốc Anh thường cho phép khấu trừ thuế nước ngoài đã nộp vào nghĩa vụ thuế tương ứng tại Vương quốc Anh. Các bước cần thực hiện khi áp dụng bất kỳ điều khoản hiệp định nào được minh họa qua vụ án </w:t>
      </w:r>
      <w:r>
        <w:rPr>
          <w:b w:val="0"/>
          <w:i/>
        </w:rPr>
        <w:t>Smallwood</w:t>
      </w:r>
      <w:r>
        <w:rPr>
          <w:b w:val="0"/>
          <w:i w:val="0"/>
        </w:rPr>
        <w:t>.2 Các Ủy viên Đặc biệt (Special Commissioners) nhận xét rằng:</w:t>
      </w:r>
    </w:p>
    <w:p>
      <w:pPr>
        <w:spacing w:after="80"/>
      </w:pPr>
      <w:r>
        <w:rPr>
          <w:b w:val="0"/>
          <w:i w:val="0"/>
        </w:rPr>
        <w:t>Điều 13 nói chung giải quyết xung đột giữa việc đánh thuế dựa trên nguồn và dựa trên nơi cư trú. Điều này quy định rằng nếu người chuyển nhượng là Đối tượng cư trú theo Hiệp định (Treaty Resident) tại một quốc gia, thì lợi tức chỉ bị đánh thuế tại quốc gia đó. Bất kỳ tình trạng cư trú kép nào, mà chúng ta đánh đồng với nghĩa vụ chịu thuế, lẽ ra phải được giải quyết bằng quy tắc phá vỡ thế cân bằng (tie-breaker) xác định Đối tượng cư trú theo Hiệp định trước khi ta đi đến Điều 13.3</w:t>
      </w:r>
    </w:p>
    <w:p>
      <w:pPr>
        <w:spacing w:after="80"/>
      </w:pPr>
      <w:r>
        <w:rPr>
          <w:b w:val="0"/>
          <w:i w:val="0"/>
        </w:rPr>
        <w:t>Sau đó, Patten LJ tại Tòa Phúc thẩm (Court of Appeal) lưu ý rằng:</w:t>
      </w:r>
    </w:p>
    <w:p>
      <w:pPr>
        <w:spacing w:after="80"/>
      </w:pPr>
      <w:r>
        <w:rPr>
          <w:b w:val="0"/>
          <w:i w:val="0"/>
        </w:rPr>
        <w:t>1.</w:t>
      </w:r>
      <w:r>
        <w:rPr>
          <w:b w:val="0"/>
          <w:i/>
        </w:rPr>
        <w:t>Black v The Queen</w:t>
      </w:r>
      <w:r>
        <w:rPr>
          <w:b w:val="0"/>
          <w:i w:val="0"/>
        </w:rPr>
        <w:t>, 2014 TCC 12 (CanLII), theo Rip CJ tại đoạn 23, trong bối cảnh hiệp định thuế Canada–Vương quốc Anh. Xem Chương 4, §4.04.2.</w:t>
      </w:r>
      <w:r>
        <w:rPr>
          <w:b w:val="0"/>
          <w:i/>
        </w:rPr>
        <w:t>Smallwood v Revenue and Customs Commisioners</w:t>
      </w:r>
      <w:r>
        <w:rPr>
          <w:b w:val="0"/>
          <w:i w:val="0"/>
        </w:rPr>
        <w:t xml:space="preserve"> [2008] Sp C 669; [2009] BTC 135 [2009] EWHC777 (Ch); [2010] BTC 637 [2010] EWCA Civ 778.3.</w:t>
      </w:r>
      <w:r>
        <w:rPr>
          <w:b w:val="0"/>
          <w:i/>
        </w:rPr>
        <w:t>TrevorSmallwoodTrustvRevenue&amp;Customs</w:t>
      </w:r>
      <w:r>
        <w:rPr>
          <w:b w:val="0"/>
          <w:i w:val="0"/>
        </w:rPr>
        <w:t>[2008]UKSPCSPC669;[2008]STC(SCD)629;(2008) Sp C 669 tại đoạn 107.</w:t>
      </w:r>
    </w:p>
    <w:p>
      <w:pPr>
        <w:spacing w:after="80"/>
      </w:pPr>
      <w:r>
        <w:rPr>
          <w:b w:val="0"/>
          <w:i w:val="0"/>
        </w:rPr>
        <w:t>251</w:t>
      </w:r>
    </w:p>
    <w:p>
      <w:pPr>
        <w:spacing w:after="80"/>
      </w:pPr>
      <w:r>
        <w:rPr>
          <w:b w:val="0"/>
          <w:i w:val="0"/>
        </w:rPr>
        <w:t>Công ước Mẫu năm 1977 được thông qua trong DTA loại bỏ khả năng đánh thuế trùng bằng hai loại quy tắc mà phần bình luận mô tả. Loại thứ nhất phân bổ quyền đánh thuế dựa trên địa điểm hoặc nguồn của thu nhập hay lợi tức chịu thuế, hoặc nơi mà người nhận lợi nhuận được coi là cư trú vì mục đích thuế. Loại quy tắc thứ hai (được thể hiện bằng Điều 24) phát huy tác dụng khi bộ quy tắc thứ nhất vẫn để cả hai Quốc gia ký kết đủ điều kiện đánh thuế cùng một khoản lợi tức, và hoạt động bằng cách cho phép thuế phải nộp tại một Quốc gia ký kết được khấu trừ vào nghĩa vụ thuế của người nộp thuế tại quốc gia kia.4</w:t>
      </w:r>
    </w:p>
    <w:p>
      <w:pPr>
        <w:spacing w:after="80"/>
      </w:pPr>
      <w:r>
        <w:rPr>
          <w:b w:val="0"/>
          <w:i w:val="0"/>
        </w:rPr>
        <w:t>Trong bối cảnh người không cư trú tại Vương quốc Anh, các điều khoản phân phối quyền đánh thuế xác định giới hạn của cơ sở thuế tại Vương quốc Anh. Tổng hợp lại, các điều khoản phân phối quyền đánh thuế bao quát toàn bộ hệ thống thuế của Vương quốc Anh. Cũng như luật trong nước, các hiệp định đã phát triển đáng kể kể từ khi hiệp định lâu đời nhất được đàm phán lần đầu. Hơn nữa, vì mỗi hiệp định được đàm phán riêng lẻ với những nhượng bộ riêng, có tính đến lợi ích của cả hai quốc gia ký kết, nên có sự khác biệt lớn về chi tiết. Do đó, không có cách nào thay thế cho việc xem xét chính xác từng câu chữ của mỗi hiệp định khi xem xét việc áp dụng nó.</w:t>
      </w:r>
    </w:p>
    <w:p>
      <w:pPr>
        <w:spacing w:after="80"/>
      </w:pPr>
      <w:r>
        <w:rPr>
          <w:b w:val="0"/>
          <w:i w:val="0"/>
        </w:rPr>
        <w:t>Các hiệp định theo mô hình OECD phân bổ quyền tài phán về thuế đối với bất kỳ khoản thu nhập hay lợi tức cụ thể nào theo một trong ba cách tiếp cận. Thứ nhất, có thể cho phép quốc gia cư trú đánh thuế độc quyền. Đây là điểm khởi đầu của OECD Model, vốn cho phép quốc gia cư trú có quyền đánh thuế rộng rãi. Khi quyền tài phán độc quyền được trao cho quốc gia cư trú, thì quốc gia ký kết kia không được đánh thuế khoản đó.5 Thứ hai, quyền tài phán về thuế có thể được phân bổ đồng thời cho quốc gia cư trú và quốc gia nguồn của thu nhập hoặc nơi tọa lạc của tài sản. Phần lớn các điều khoản phân phối quyền đánh thuế quy định khi nào điều này có thể xảy ra. Trong nhóm này, các hiệp định có thể áp đặt mức thuế tối đa. Điều này thường gặp nhất đối với cổ tức, tiền lãi và tiền bản quyền.6 Khi thuế trùng phát sinh do quyền tài phán về thuế đồng thời, có thể yêu cầu miễn giảm theo Điều 23.7 Thứ ba, quyền tài phán về thuế độc quyền có thể được trao cho quốc gia nguồn. Trong nhóm cuối này, quyền tài phán về thuế độc quyền thường xuất phát từ việc miễn thuế được quốc gia cư trú cấp theo Điều 23B của OECD Model, chứ không phải từ chính các điều khoản phân phối quyền đánh thuế. Cơ cấu các điều khoản phân phối quyền đánh thuế của Hiệp định Mẫu UN tương tự như OECD Model nhưng tìm cách mở rộng phạm vi các trường hợp mà quốc gia nguồn được quyền thực thi quyền tài phán về thuế. Hiệp định Mẫu UN được thiết kế để áp dụng ‘giữa các quốc gia phát triển và đang phát triển’, và ngầm hiểu rằng các quốc gia cư trú được giả định là các quốc gia phát triển, xuất khẩu vốn, còn các quốc gia đang phát triển ngầm là các quốc gia nguồn. Mức độ mà điều này còn phản ánh các mô hình thương mại và đầu tư hay không có thể còn gây tranh cãi. Tuy nhiên, đáng chú ý là sự chuyển dịch trọng tâm giữa các thành viên OECD, được phản ánh trong Phần bình luận năm 2008 đối với OECD Model</w:t>
      </w:r>
    </w:p>
    <w:p>
      <w:pPr>
        <w:spacing w:after="80"/>
      </w:pPr>
      <w:r>
        <w:rPr>
          <w:b w:val="0"/>
          <w:i w:val="0"/>
        </w:rPr>
        <w:t>4.</w:t>
      </w:r>
      <w:r>
        <w:rPr>
          <w:b w:val="0"/>
          <w:i/>
        </w:rPr>
        <w:t>Revenue and Customs Commissioners v Smallwood &amp; Anor</w:t>
      </w:r>
      <w:r>
        <w:rPr>
          <w:b w:val="0"/>
          <w:i w:val="0"/>
        </w:rPr>
        <w:t xml:space="preserve"> [2010] BTC 637 [2010] EWCA Civ 778 tại đoạn 28.5.</w:t>
      </w:r>
      <w:r>
        <w:rPr>
          <w:b w:val="0"/>
          <w:i/>
        </w:rPr>
        <w:t>Smallwood v Revenue and Customs Commissioners</w:t>
      </w:r>
      <w:r>
        <w:rPr>
          <w:b w:val="0"/>
          <w:i w:val="0"/>
        </w:rPr>
        <w:t xml:space="preserve"> [2008] UKSPC SPC669; [2008] STC (SCD) 629;(2008) Sp C 669 tại đoạn 103.6.Xem Chương 10, §10.03, §10.04 và §10.05.7.Xem Chương 15, §§15.01ff.</w:t>
      </w:r>
    </w:p>
    <w:p>
      <w:pPr>
        <w:spacing w:after="80"/>
      </w:pPr>
      <w:r>
        <w:rPr>
          <w:b w:val="0"/>
          <w:i w:val="0"/>
        </w:rPr>
        <w:t>252</w:t>
      </w:r>
    </w:p>
    <w:p>
      <w:pPr>
        <w:spacing w:after="80"/>
      </w:pPr>
      <w:r>
        <w:rPr>
          <w:b w:val="0"/>
          <w:i w:val="0"/>
        </w:rPr>
        <w:t>ám chỉ việc áp dụng lập trường tương tự như trong Hiệp định Mẫu UN, chẳng hạn như công nhận cơ sở thường trú cung cấp dịch vụ.8</w:t>
      </w:r>
    </w:p>
    <w:p>
      <w:pPr>
        <w:spacing w:after="80"/>
      </w:pPr>
      <w:r>
        <w:rPr>
          <w:b w:val="0"/>
          <w:i w:val="0"/>
        </w:rPr>
        <w:t>Các điều khoản phân chia quyền đánh thuế trong hiệp định phân bổ quyền đánh thuế. Chúng không buộc một quốc gia phải thực thi quyền đó. Ví dụ, nhiều hiệp định của Vương quốc Anh cho phép áp dụng một mức thuế dương đối với cổ tức nhưng, nói chung, theo luật trong nước, quyền này không được thực thi. Do đó, có thể có những trường hợp khoản thu nhập đó không phải chịu thuế ở cả hai khu vực tài phán. Ví dụ, việc một công ty cư trú tại Vương quốc Anh chuyển nhượng cổ phần trong một công ty Mauritius đủ điều kiện hưởng miễn trừ đối với cổ phần sở hữu đáng kể theo TCGA 1992, Sch. 7AC, có thể không phải chịu thuế tại Vương quốc Anh và bị Điều 13 của Hiệp định Vương quốc Anh-Mauritius loại trừ khỏi thuế Mauritius. Mặc dù mục đích chính của các hiệp định, như thường được nêu trong tiêu đề của chúng, là tránh đánh thuế hai lần,9 không có nguyên tắc bao trùm nào phủ nhận các lợi ích của hiệp định khi quyền đánh thuế đó không được quốc gia ký kết kia thực thi. Trong phạm vi các quốc gia ký kết muốn hạn chế tính khả dụng của các lợi ích trong những trường hợp như vậy, các hạn chế cụ thể cho mục đích đó thường được đưa vào.10</w:t>
      </w:r>
    </w:p>
    <w:p>
      <w:pPr>
        <w:spacing w:after="80"/>
      </w:pPr>
      <w:r>
        <w:rPr>
          <w:b/>
          <w:i w:val="0"/>
        </w:rPr>
        <w:t>§8.02PHÂN LOẠI CÁC NGUỒN THU NHẬP</w:t>
      </w:r>
    </w:p>
    <w:p>
      <w:pPr>
        <w:spacing w:after="80"/>
      </w:pPr>
      <w:r>
        <w:rPr>
          <w:b w:val="0"/>
          <w:i w:val="0"/>
        </w:rPr>
        <w:t>Bước đầu tiên khi áp dụng các điều khoản phân chia của một hiệp định thuế hai lần là xác định điều khoản phân chia nào được áp dụng.11 Việc phân loại rộng các nguồn thu nhập cho mục đích hiệp định phần lớn song song với hệ thống sắc thuế (schedular system) của Vương quốc Anh.12 Bảng 8.1 là một hướng dẫn chung để hỗ trợ việc phân loại theo hiệp định và luật trong nước liên quan đến các nguồn chính của Vương quốc Anh và việc áp dụng phổ biến các điều khoản hiệp định cho chúng. Cần lưu ý rằng trong một số phạm trù rộng nhất định, nhiều lĩnh vực khác nhau được xác định để có cách xử lý đặc biệt. Điều này đáng chú ý nhất liên quan đến lợi nhuận kinh doanh, nơi vận tải biển và vận tải hàng không, cũng như nghệ sĩ và vận động viên, có các quy tắc riêng.13 Tương tự, trong lĩnh vực việc làm, các quy tắc chung được đưa ra cho dịch vụ cá nhân phụ thuộc với cách xử lý cụ thể áp dụng cho thù lao giám đốc, nghệ sĩ và vận động viên, lương hưu và dịch vụ chính phủ.14</w:t>
      </w:r>
    </w:p>
    <w:p>
      <w:pPr>
        <w:spacing w:after="80"/>
      </w:pPr>
      <w:r>
        <w:rPr>
          <w:b w:val="0"/>
          <w:i w:val="0"/>
        </w:rPr>
        <w:t>Việc phân định ranh giới giữa các phạm trù thực sự gây ra những khó khăn theo cả luật trong nước và các hiệp định một cách độc lập. Cần nhấn mạnh rằng những phân loại rộng này chỉ tạo thành một hướng dẫn chung và rằng việc phân loại theo hiệp định và phân loại theo luật trong nước sẽ không nhất thiết trùng khớp trong mọi trường hợp. Việc phân loại theo hiệp định là một vấn đề giải thích các điều khoản hiệp định liên quan.15 Ví dụ,</w:t>
      </w:r>
    </w:p>
    <w:p>
      <w:pPr>
        <w:spacing w:after="80"/>
      </w:pPr>
      <w:r>
        <w:rPr>
          <w:b w:val="0"/>
          <w:i w:val="0"/>
        </w:rPr>
        <w:t xml:space="preserve">8.Bình luận về OECD Model, art. 5, paras 42.11ff. Xem Chương 7, §7.13.9.Trong </w:t>
      </w:r>
      <w:r>
        <w:rPr>
          <w:b w:val="0"/>
          <w:i/>
        </w:rPr>
        <w:t xml:space="preserve"> Imperial Chemical Industries Limited v Caro</w:t>
      </w:r>
      <w:r>
        <w:rPr>
          <w:b w:val="0"/>
          <w:i w:val="0"/>
        </w:rPr>
        <w:t xml:space="preserve"> (1960) 39 TC 374 bởi Lord Evershed MR tại 379.10.Xem Chương 17, §§17.01ff.11.</w:t>
      </w:r>
      <w:r>
        <w:rPr>
          <w:b w:val="0"/>
          <w:i/>
        </w:rPr>
        <w:t>Revenue &amp; Customs Commissioners v Fowler</w:t>
      </w:r>
      <w:r>
        <w:rPr>
          <w:b w:val="0"/>
          <w:i w:val="0"/>
        </w:rPr>
        <w:t xml:space="preserve"> [2017] UKUT 0219 (TCC), [2017] BTC 518, [2017] STC 1385 (UT), tại para. 27.12.Hệ thống sắc thuế đã tồn tại qua dự án viết lại thuế về mặt khái niệm mặc dù các nguồn thu nhập khác nhau không còn được đề cập bằng cách tham chiếu đến 'schedules'. Cách tiếp cận tổng thể này đối với việc soạn thảo các điều khoản phân chia của các hiệp định thuế phản ánh ảnh hưởng lâu dài của Vương quốc Anh đối với tư duy về giảm thuế hai lần trong OECD.13.Xem Chương 9, §§9.01ff.14.Xem Chương 11, §§11.01ff.15.Xem Chương 4, §4.01.</w:t>
      </w:r>
    </w:p>
    <w:p>
      <w:pPr>
        <w:spacing w:after="80"/>
      </w:pPr>
      <w:r>
        <w:rPr>
          <w:b w:val="0"/>
          <w:i w:val="0"/>
        </w:rPr>
        <w:t>253</w:t>
      </w:r>
    </w:p>
    <w:p>
      <w:pPr>
        <w:spacing w:after="80"/>
      </w:pPr>
      <w:r>
        <w:rPr>
          <w:b w:val="0"/>
          <w:i w:val="0"/>
        </w:rPr>
        <w:t xml:space="preserve">ví dụ, trong </w:t>
      </w:r>
      <w:r>
        <w:rPr>
          <w:b w:val="0"/>
          <w:i/>
        </w:rPr>
        <w:t>Memec plc v IRC</w:t>
      </w:r>
      <w:r>
        <w:rPr>
          <w:b w:val="0"/>
          <w:i w:val="0"/>
        </w:rPr>
        <w:t xml:space="preserve">,16 ý nghĩa theo hiệp định của 'cổ tức' theo Hiệp định Đức không giống với ý nghĩa trong nước của thuật ngữ này cho mục đích tín dụng liên quan đến thuế cơ sở theo điều hiện nay là TIOPA 2010, s. 57. Những thay đổi trong phân loại cũng xảy ra trong cả luật trong nước và các hiệp định, chẳng hạn như việc bãi bỏ khoản thu theo Sch. C bởi FA 1996 trong luật trong nước và việc từ bỏ art. 14 đối với dịch vụ cá nhân độc lập theo OECD Model mới nhất (29 tháng 4 năm 2000), với những hoạt động đó được gộp vào khái niệm lợi nhuận kinh doanh theo arts 5 và 7. Khi nguồn thu nhập không được định nghĩa trong hiệp định và cần viện đến luật trong nước theo art. 3(2),17 các quy định coi như (deeming provisions) của luật trong nước có thể xác định việc phân loại. Do đó, trong </w:t>
      </w:r>
      <w:r>
        <w:rPr>
          <w:b w:val="0"/>
          <w:i/>
        </w:rPr>
        <w:t xml:space="preserve"> Fowler v HMRC</w:t>
      </w:r>
      <w:r>
        <w:rPr>
          <w:b w:val="0"/>
          <w:i w:val="0"/>
        </w:rPr>
        <w:t>,18 chẳng hạn, câu hỏi đặt ra là liệu thu nhập của một thợ lặn làm công ăn lương, người được coi là hành nghề kinh doanh cho mục đích thuế thu nhập trong nước, thuộc art. 7 (lợi nhuận kinh doanh) hay art. 14 (thu nhập từ việc làm) do hoạt động kinh doanh được coi như theo luật trong nước và art. 3(2) của hiệp định thuế hai lần Nam Phi-Vương quốc Anh. Trong trường hợp không có tham chiếu đến luật trong nước trong hiệp định, ý nghĩa tự trị của các thuật ngữ sẽ phân loại các nguồn cho mục đích hiệp định.19 Một nguồn phức tạp khác khi xử lý các hiệp định phát sinh từ những sự không khớp tiềm ẩn trong phân loại giữa Vương quốc Anh và quốc gia ký kết kia. Điều này có thể phát sinh do cách phân tích pháp lý khác nhau về các vấn đề cơ bản, cách tiếp cận khác nhau đối với việc xác định nguồn thu nhập cho mục đích thuế hoặc việc giải thích hiệp định.</w:t>
      </w:r>
    </w:p>
    <w:p>
      <w:pPr>
        <w:spacing w:after="80"/>
      </w:pPr>
      <w:r>
        <w:rPr>
          <w:b w:val="0"/>
          <w:i/>
        </w:rPr>
        <w:t>Bảng 8.1Hướng dẫn chung về phân loại theo hiệp định và luật trong nước Vương quốc Anh</w:t>
      </w:r>
    </w:p>
    <w:p>
      <w:pPr>
        <w:spacing w:after="80"/>
      </w:pPr>
      <w:r>
        <w:rPr>
          <w:b w:val="0"/>
          <w:i/>
        </w:rPr>
        <w:t>Điều khoản hiệp địnhNguồn chính theo luật trong nước – Công ty</w:t>
      </w:r>
    </w:p>
    <w:p>
      <w:pPr>
        <w:spacing w:after="80"/>
      </w:pPr>
      <w:r>
        <w:rPr>
          <w:b w:val="0"/>
          <w:i/>
        </w:rPr>
        <w:t>Nguồn chính theo luật trong nước – Khác</w:t>
      </w:r>
    </w:p>
    <w:p>
      <w:pPr>
        <w:spacing w:after="80"/>
      </w:pPr>
      <w:r>
        <w:rPr>
          <w:b w:val="0"/>
          <w:i/>
        </w:rPr>
        <w:t>Đối tượng nộp thuế</w:t>
      </w:r>
    </w:p>
    <w:p>
      <w:pPr>
        <w:spacing w:after="80"/>
      </w:pPr>
      <w:r>
        <w:rPr>
          <w:b w:val="0"/>
          <w:i/>
        </w:rPr>
        <w:t>Thuế</w:t>
      </w:r>
    </w:p>
    <w:p>
      <w:pPr>
        <w:spacing w:after="80"/>
      </w:pPr>
      <w:r>
        <w:rPr>
          <w:b w:val="0"/>
          <w:i w:val="0"/>
        </w:rPr>
        <w:t>Điều 6 – thu nhập từ bất động sản</w:t>
      </w:r>
    </w:p>
    <w:p>
      <w:pPr>
        <w:spacing w:after="80"/>
      </w:pPr>
      <w:r>
        <w:rPr>
          <w:b w:val="0"/>
          <w:i w:val="0"/>
        </w:rPr>
        <w:t>CTA 2009, Phần 4 – thu nhập từ tài sản</w:t>
      </w:r>
    </w:p>
    <w:p>
      <w:pPr>
        <w:spacing w:after="80"/>
      </w:pPr>
      <w:r>
        <w:rPr>
          <w:b w:val="0"/>
          <w:i w:val="0"/>
        </w:rPr>
        <w:t>ITTOIA Phần 3 – thu nhập từ tài sản</w:t>
      </w:r>
    </w:p>
    <w:p>
      <w:pPr>
        <w:spacing w:after="80"/>
      </w:pPr>
      <w:r>
        <w:rPr>
          <w:b w:val="0"/>
          <w:i w:val="0"/>
        </w:rPr>
        <w:t>Điều 7 – lợi nhuận kinh doanh</w:t>
      </w:r>
    </w:p>
    <w:p>
      <w:pPr>
        <w:spacing w:after="80"/>
      </w:pPr>
      <w:r>
        <w:rPr>
          <w:b w:val="0"/>
          <w:i w:val="0"/>
        </w:rPr>
        <w:t>CTA 2009, Phần 3 – thu nhập từ hoạt động kinh doanh</w:t>
      </w:r>
    </w:p>
    <w:p>
      <w:pPr>
        <w:spacing w:after="80"/>
      </w:pPr>
      <w:r>
        <w:rPr>
          <w:b w:val="0"/>
          <w:i w:val="0"/>
        </w:rPr>
        <w:t>ITTOIA Phần 2 – thu nhập từ hoạt động kinh doanh</w:t>
      </w:r>
    </w:p>
    <w:p>
      <w:pPr>
        <w:spacing w:after="80"/>
      </w:pPr>
      <w:r>
        <w:rPr>
          <w:b w:val="0"/>
          <w:i w:val="0"/>
        </w:rPr>
        <w:t>Điều 8 – vận tảiCTA 2009, Phần 3 – thu nhập từ hoạt động kinh doanh</w:t>
      </w:r>
    </w:p>
    <w:p>
      <w:pPr>
        <w:spacing w:after="80"/>
      </w:pPr>
      <w:r>
        <w:rPr>
          <w:b w:val="0"/>
          <w:i w:val="0"/>
        </w:rPr>
        <w:t>ITTOIA Phần 2 – thu nhập từ hoạt động kinh doanh</w:t>
      </w:r>
    </w:p>
    <w:p>
      <w:pPr>
        <w:spacing w:after="80"/>
      </w:pPr>
      <w:r>
        <w:rPr>
          <w:b w:val="0"/>
          <w:i w:val="0"/>
        </w:rPr>
        <w:t>Điều 10 – cổ tứcCTA 2009, Phần 9A – phân phối lợi nhuận của công ty</w:t>
      </w:r>
    </w:p>
    <w:p>
      <w:pPr>
        <w:spacing w:after="80"/>
      </w:pPr>
      <w:r>
        <w:rPr>
          <w:b w:val="0"/>
          <w:i w:val="0"/>
        </w:rPr>
        <w:t>ITTOIA, Phần 4, Chương 3 – cổ tức từ các công ty cư trú tại Vương quốc Anh; Chương 4 cổ tức từ các công ty không cư trú tại Vương quốc Anh</w:t>
      </w:r>
    </w:p>
    <w:p>
      <w:pPr>
        <w:spacing w:after="80"/>
      </w:pPr>
      <w:r>
        <w:rPr>
          <w:b w:val="0"/>
          <w:i w:val="0"/>
        </w:rPr>
        <w:t>Điều 11 – lãiCTA 2009, Phần 5 và 6 – quan hệ cho vayITTOIA Phần 4, Chương 2 – lãi</w:t>
      </w:r>
    </w:p>
    <w:p>
      <w:pPr>
        <w:spacing w:after="80"/>
      </w:pPr>
      <w:r>
        <w:rPr>
          <w:b w:val="0"/>
          <w:i w:val="0"/>
        </w:rPr>
        <w:t>Điều 12 – tiền bản quyềnCTA 2009, Phần 9 – sở hữu trí tuệ</w:t>
      </w:r>
    </w:p>
    <w:p>
      <w:pPr>
        <w:spacing w:after="80"/>
      </w:pPr>
      <w:r>
        <w:rPr>
          <w:b w:val="0"/>
          <w:i w:val="0"/>
        </w:rPr>
        <w:t>ITTOIA Phần 5, Chương 2-4 – các khoản thu từ sở hữu trí tuệ</w:t>
      </w:r>
    </w:p>
    <w:p>
      <w:pPr>
        <w:spacing w:after="80"/>
      </w:pPr>
      <w:r>
        <w:rPr>
          <w:b w:val="0"/>
          <w:i w:val="0"/>
        </w:rPr>
        <w:t>16.</w:t>
      </w:r>
      <w:r>
        <w:rPr>
          <w:b w:val="0"/>
          <w:i/>
        </w:rPr>
        <w:t>Memec plc v Inland Revenue Commissioners</w:t>
      </w:r>
      <w:r>
        <w:rPr>
          <w:b w:val="0"/>
          <w:i w:val="0"/>
        </w:rPr>
        <w:t xml:space="preserve"> [1998] BTC 251; [1998] STC 754, CA.17.Xem Chương 4, §4.08.18.</w:t>
      </w:r>
      <w:r>
        <w:rPr>
          <w:b w:val="0"/>
          <w:i/>
        </w:rPr>
        <w:t>Fowler v Revenue and Customs</w:t>
      </w:r>
      <w:r>
        <w:rPr>
          <w:b w:val="0"/>
          <w:i w:val="0"/>
        </w:rPr>
        <w:t xml:space="preserve"> [2020] UKSC 22, [2020] 1 WLR 2227.19.</w:t>
      </w:r>
      <w:r>
        <w:rPr>
          <w:b w:val="0"/>
          <w:i/>
        </w:rPr>
        <w:t>Murphy(Thanh tra Thuế)vAsahiSyntheticFibres(Ireland)Limited</w:t>
      </w:r>
      <w:r>
        <w:rPr>
          <w:b w:val="0"/>
          <w:i w:val="0"/>
        </w:rPr>
        <w:t>(Tòa án Tối cao Ireland) 1986 IR 777, [1986] ITR Vol. 3 246.</w:t>
      </w:r>
    </w:p>
    <w:p>
      <w:pPr>
        <w:spacing w:after="80"/>
      </w:pPr>
      <w:r>
        <w:rPr>
          <w:b w:val="0"/>
          <w:i w:val="0"/>
        </w:rPr>
        <w:t>254</w:t>
      </w:r>
    </w:p>
    <w:p>
      <w:pPr>
        <w:spacing w:after="80"/>
      </w:pPr>
      <w:r>
        <w:rPr>
          <w:b w:val="0"/>
          <w:i/>
        </w:rPr>
        <w:t>Nguồn nội địa chính – Khác</w:t>
      </w:r>
    </w:p>
    <w:p>
      <w:pPr>
        <w:spacing w:after="80"/>
      </w:pPr>
      <w:r>
        <w:rPr>
          <w:b w:val="0"/>
          <w:i/>
        </w:rPr>
        <w:t>Điều khoản Hiệp địnhNguồn nội địa chính – Công ty</w:t>
      </w:r>
    </w:p>
    <w:p>
      <w:pPr>
        <w:spacing w:after="80"/>
      </w:pPr>
      <w:r>
        <w:rPr>
          <w:b w:val="0"/>
          <w:i/>
        </w:rPr>
        <w:t>Người nộp thuế</w:t>
      </w:r>
    </w:p>
    <w:p>
      <w:pPr>
        <w:spacing w:after="80"/>
      </w:pPr>
      <w:r>
        <w:rPr>
          <w:b w:val="0"/>
          <w:i/>
        </w:rPr>
        <w:t>Thuế</w:t>
      </w:r>
    </w:p>
    <w:p>
      <w:pPr>
        <w:spacing w:after="80"/>
      </w:pPr>
      <w:r>
        <w:rPr>
          <w:b w:val="0"/>
          <w:i w:val="0"/>
        </w:rPr>
        <w:t>Điều 13 – lợi nhuận vốn</w:t>
      </w:r>
    </w:p>
    <w:p>
      <w:pPr>
        <w:spacing w:after="80"/>
      </w:pPr>
      <w:r>
        <w:rPr>
          <w:b w:val="0"/>
          <w:i w:val="0"/>
        </w:rPr>
        <w:t>TCGA, lợi nhuận chịu thuế</w:t>
      </w:r>
    </w:p>
    <w:p>
      <w:pPr>
        <w:spacing w:after="80"/>
      </w:pPr>
      <w:r>
        <w:rPr>
          <w:b w:val="0"/>
          <w:i w:val="0"/>
        </w:rPr>
        <w:t>TCGA, lợi nhuận chịu thuế</w:t>
      </w:r>
    </w:p>
    <w:p>
      <w:pPr>
        <w:spacing w:after="80"/>
      </w:pPr>
      <w:r>
        <w:rPr>
          <w:b w:val="0"/>
          <w:i w:val="0"/>
        </w:rPr>
        <w:t>ITTOIA Phần 2 – thu nhập từ hoạt động kinh doanh</w:t>
      </w:r>
    </w:p>
    <w:p>
      <w:pPr>
        <w:spacing w:after="80"/>
      </w:pPr>
      <w:r>
        <w:rPr>
          <w:b w:val="0"/>
          <w:i w:val="0"/>
        </w:rPr>
        <w:t>Điều 14 – dịch vụ cá nhân độc lập</w:t>
      </w:r>
    </w:p>
    <w:p>
      <w:pPr>
        <w:spacing w:after="80"/>
      </w:pPr>
      <w:r>
        <w:rPr>
          <w:b w:val="0"/>
          <w:i w:val="0"/>
        </w:rPr>
        <w:t>Điều 15 – dịch vụ cá nhân phụ thuộc</w:t>
      </w:r>
    </w:p>
    <w:p>
      <w:pPr>
        <w:spacing w:after="80"/>
      </w:pPr>
      <w:r>
        <w:rPr>
          <w:b w:val="0"/>
          <w:i w:val="0"/>
        </w:rPr>
        <w:t>ITEPA – thu nhập từ việc làm</w:t>
      </w:r>
    </w:p>
    <w:p>
      <w:pPr>
        <w:spacing w:after="80"/>
      </w:pPr>
      <w:r>
        <w:rPr>
          <w:b w:val="0"/>
          <w:i w:val="0"/>
        </w:rPr>
        <w:t>Điều 16 – thù lao giám đốc</w:t>
      </w:r>
    </w:p>
    <w:p>
      <w:pPr>
        <w:spacing w:after="80"/>
      </w:pPr>
      <w:r>
        <w:rPr>
          <w:b w:val="0"/>
          <w:i w:val="0"/>
        </w:rPr>
        <w:t>CTA 2009, s. 969ITEPA – thu nhập từ việc làm</w:t>
      </w:r>
    </w:p>
    <w:p>
      <w:pPr>
        <w:spacing w:after="80"/>
      </w:pPr>
      <w:r>
        <w:rPr>
          <w:b w:val="0"/>
          <w:i w:val="0"/>
        </w:rPr>
        <w:t>Điều 17 – nghệ sĩ và vận động viên</w:t>
      </w:r>
    </w:p>
    <w:p>
      <w:pPr>
        <w:spacing w:after="80"/>
      </w:pPr>
      <w:r>
        <w:rPr>
          <w:b w:val="0"/>
          <w:i w:val="0"/>
        </w:rPr>
        <w:t>ITEPA – thu nhập từ việc làm/ITTOIA, Phần 2 – thu nhập từ hoạt động kinh doanh</w:t>
      </w:r>
    </w:p>
    <w:p>
      <w:pPr>
        <w:spacing w:after="80"/>
      </w:pPr>
      <w:r>
        <w:rPr>
          <w:b w:val="0"/>
          <w:i w:val="0"/>
        </w:rPr>
        <w:t>Điều 18 – lương hưuITEPA, Phần 9 – thu nhập từ lương hưu</w:t>
      </w:r>
    </w:p>
    <w:p>
      <w:pPr>
        <w:spacing w:after="80"/>
      </w:pPr>
      <w:r>
        <w:rPr>
          <w:b w:val="0"/>
          <w:i w:val="0"/>
        </w:rPr>
        <w:t>Điều 19 – dịch vụ chính phủ</w:t>
      </w:r>
    </w:p>
    <w:p>
      <w:pPr>
        <w:spacing w:after="80"/>
      </w:pPr>
      <w:r>
        <w:rPr>
          <w:b w:val="0"/>
          <w:i w:val="0"/>
        </w:rPr>
        <w:t>ITEPA – thu nhập từ việc làm</w:t>
      </w:r>
    </w:p>
    <w:p>
      <w:pPr>
        <w:spacing w:after="80"/>
      </w:pPr>
      <w:r>
        <w:rPr>
          <w:b w:val="0"/>
          <w:i w:val="0"/>
        </w:rPr>
        <w:t>Điều 20 – sinh viênKhác nhau</w:t>
      </w:r>
    </w:p>
    <w:p>
      <w:pPr>
        <w:spacing w:after="80"/>
      </w:pPr>
      <w:r>
        <w:rPr>
          <w:b w:val="0"/>
          <w:i w:val="0"/>
        </w:rPr>
        <w:t>Điều 21 – thu nhập khác</w:t>
      </w:r>
    </w:p>
    <w:p>
      <w:pPr>
        <w:spacing w:after="80"/>
      </w:pPr>
      <w:r>
        <w:rPr>
          <w:b w:val="0"/>
          <w:i w:val="0"/>
        </w:rPr>
        <w:t>Khác nhauKhác nhau</w:t>
      </w:r>
    </w:p>
    <w:p>
      <w:pPr>
        <w:spacing w:after="80"/>
      </w:pPr>
      <w:r>
        <w:rPr>
          <w:b w:val="0"/>
          <w:i w:val="0"/>
        </w:rPr>
        <w:t>255</w:t>
      </w:r>
    </w:p>
    <w:p>
      <w:pPr>
        <w:spacing w:before="240" w:after="80"/>
      </w:pPr>
      <w:r>
        <w:rPr>
          <w:b/>
          <w:sz w:val="32"/>
        </w:rPr>
        <w:t>CHƯƠNG 9 Lợi nhuận kinh doanh</w:t>
      </w:r>
    </w:p>
    <w:p>
      <w:pPr>
        <w:spacing w:after="80"/>
      </w:pPr>
      <w:r>
        <w:rPr>
          <w:b/>
          <w:i w:val="0"/>
        </w:rPr>
        <w:t>§9.01 LỢI NHUẬN KINH DOANH</w:t>
      </w:r>
    </w:p>
    <w:p>
      <w:pPr>
        <w:spacing w:after="80"/>
      </w:pPr>
      <w:r>
        <w:rPr>
          <w:b w:val="0"/>
          <w:i w:val="0"/>
        </w:rPr>
        <w:t>Điều khoản về cơ sở thường trú (permanent establishment), kết hợp với điều khoản về lợi nhuận kinh doanh, tạo thành cốt lõi của chế độ hiệp ước điều chỉnh việc đánh thuế các hoạt động kinh doanh xuyên biên giới. Khoản 1 Điều 7 của OECD Model đưa ra quy tắc chung. Quy tắc này được phản ánh trong khoản 1 Điều 7 của Hiệp định Ý-Anh, với nội dung như sau:</w:t>
      </w:r>
    </w:p>
    <w:p>
      <w:pPr>
        <w:spacing w:after="80"/>
      </w:pPr>
      <w:r>
        <w:rPr>
          <w:b w:val="0"/>
          <w:i w:val="0"/>
        </w:rPr>
        <w:t>Lợi nhuận của một doanh nghiệp của một Quốc gia ký kết chỉ bị đánh thuế tại Quốc gia đó trừ khi doanh nghiệp tiến hành hoạt động kinh doanh tại Quốc gia ký kết kia thông qua một cơ sở thường trú đặt tại đó. Nếu doanh nghiệp tiến hành hoặc đã tiến hành hoạt động kinh doanh như trên, lợi nhuận của doanh nghiệp có thể bị đánh thuế tại Quốc gia kia nhưng chỉ ở mức phần lợi nhuận được quy cho cơ sở thường trú đó.</w:t>
      </w:r>
    </w:p>
    <w:p>
      <w:pPr>
        <w:spacing w:after="80"/>
      </w:pPr>
      <w:r>
        <w:rPr>
          <w:b w:val="0"/>
          <w:i w:val="0"/>
        </w:rPr>
        <w:t>Như vậy, quyền đánh thuế lợi nhuận, trước hết, được trao độc quyền cho quốc gia cư trú của doanh nghiệp. Ngoại lệ quan trọng nhất đối với quy tắc chung là trường hợp doanh nghiệp tiến hành hoạt động kinh doanh thông qua một cơ sở thường trú tại quốc gia ký kết kia.</w:t>
      </w:r>
    </w:p>
    <w:p>
      <w:pPr>
        <w:spacing w:after="80"/>
      </w:pPr>
      <w:r>
        <w:rPr>
          <w:b w:val="0"/>
          <w:i w:val="0"/>
        </w:rPr>
        <w:t>Khoản 1 Điều 7 đề cập đến lợi nhuận của một doanh nghiệp tiến hành hoạt động kinh doanh thông qua một cơ sở thường trú. Điểm khởi đầu là 'lợi nhuận' có nghĩa là tất cả lợi nhuận. Phạm vi của điều khoản sau đó bị giới hạn bởi khoản 7 Điều 7, trong đó quy định rằng khi lợi nhuận bao gồm các khoản thu nhập được xử lý riêng trong các điều khoản khác, thì các điều khoản đó không bị ảnh hưởng bởi điều khoản về lợi nhuận kinh doanh. Đây là một quy định chung có thể bị loại trừ bởi các quy tắc cụ thể hơn. Các quy tắc đặc biệt có thể áp dụng cho hai loại hình kinh doanh hoặc thu nhập cụ thể. Những quy tắc này thường bao gồm, trong các hiệp ước theo OECD Model hiện hành, thu nhập từ bất động sản, lợi nhuận từ hoạt động của tàu thủy và máy bay trong giao thông quốc tế, hoạt động kinh doanh của nghệ sĩ biểu diễn và vận động viên cũng như cổ tức, lãi và tiền bản quyền. Các hiệp ước theo phong cách OECD trước đây còn phân biệt dịch vụ cá nhân độc lập với lợi nhuận kinh doanh, như trường hợp các hiệp ước áp dụng UN Model. Một số hiệp ước với các nước đang phát triển cũng</w:t>
      </w:r>
    </w:p>
    <w:p>
      <w:pPr>
        <w:spacing w:after="80"/>
      </w:pPr>
      <w:r>
        <w:rPr>
          <w:b w:val="0"/>
          <w:i w:val="0"/>
        </w:rPr>
        <w:t>257</w:t>
      </w:r>
    </w:p>
    <w:p>
      <w:pPr>
        <w:spacing w:after="80"/>
      </w:pPr>
      <w:r>
        <w:rPr>
          <w:b w:val="0"/>
          <w:i w:val="0"/>
        </w:rPr>
        <w:t>phân biệt giữa việc cung cấp một số dịch vụ nhất định thông qua cơ sở thường trú và các dịch vụ khác không có cơ sở thường trú. Tuy nhiên, khoản 7 Điều 7 không có trong một số hiệp ước của Anh.</w:t>
      </w:r>
    </w:p>
    <w:p>
      <w:pPr>
        <w:spacing w:after="80"/>
      </w:pPr>
      <w:r>
        <w:rPr>
          <w:b w:val="0"/>
          <w:i w:val="0"/>
        </w:rPr>
        <w:t>Hiệu lực của điều khoản này là lợi nhuận đó chỉ có thể bị đánh thuế tại quốc gia cư trú của doanh nghiệp khi không có cơ sở thường trú tại quốc gia kia. Bất kỳ luật nội địa nào của quốc gia ký kết kia tìm cách đánh thuế lợi nhuận này sẽ bị ngăn cản làm như vậy. Tuy nhiên, điều này đã bị ghi đè bởi FA 2008, s. 59, từ ngày 12 tháng 3 năm 2008 bằng việc chèn điều hiện nay là TIOPA 2010, s. 130, để điều khoản này không ngăn cản thu nhập của một người cư trú tại Anh bị tính thuế thu nhập hoặc thuế doanh nghiệp. Do đó, khi lợi nhuận kinh doanh, ví dụ, được quy cho một người cư trú tại Anh theo ITA 2007, Phần 13, Chương 2 (Chuyển tài sản ra nước ngoài), thì theo luật nội địa, sẽ không có sự bảo vệ theo hiệp ước nào dành cho người cư trú đó tại Anh.1</w:t>
      </w:r>
    </w:p>
    <w:p>
      <w:pPr>
        <w:spacing w:after="80"/>
      </w:pPr>
      <w:r>
        <w:rPr>
          <w:b/>
          <w:i w:val="0"/>
        </w:rPr>
        <w:t>§9.02 DOANH NGHIỆP</w:t>
      </w:r>
    </w:p>
    <w:p>
      <w:pPr>
        <w:spacing w:after="80"/>
      </w:pPr>
      <w:r>
        <w:rPr>
          <w:b w:val="0"/>
          <w:i w:val="0"/>
        </w:rPr>
        <w:t xml:space="preserve">'Một doanh nghiệp của một quốc gia ký kết' thường được định nghĩa trong khoản 1(d) Điều 3 là 'một doanh nghiệp được điều hành bởi một người cư trú của một quốc gia ký kết' và đã hiện diện trong các hiệp ước ít nhất kể từ Dự thảo OECD năm 1963. Một số định nghĩa đã được thêm vào Điều 3 của OECD Model vào năm 2000, và đã xuất hiện trong các hiệp ước của Anh kể từ đó. 'Doanh nghiệp' nay 'áp dụng cho việc tiến hành bất kỳ hoạt động kinh doanh nào'.2 Tương tự, thuật ngữ 'kinh doanh' kể từ đó bao gồm 'việc thực hiện các dịch vụ chuyên môn và các hoạt động khác có tính chất độc lập'.3 Các định nghĩa mới hơn không có trong các hiệp ước được ký kết trong thế kỷ XX và chiếm phần lớn các hiệp ước của Anh. Mặc dù thuật ngữ thuế quốc tế 'cơ sở thường trú' đã du nhập vào luật nội địa Anh, 'doanh nghiệp' không phải là thuật ngữ chuyên môn được sử dụng trong luật thuế nội địa Anh.4 Trong ngôn ngữ hiệp ước, vốn phổ biến hơn trong các hệ thống luật dân sự và, trong bối cảnh này, 'doanh nghiệp' có khả năng giống hoặc tương tự với 'kinh doanh'.5 Trong </w:t>
      </w:r>
      <w:r>
        <w:rPr>
          <w:b w:val="0"/>
          <w:i/>
        </w:rPr>
        <w:t>Fowler v HMRC</w:t>
      </w:r>
      <w:r>
        <w:rPr>
          <w:b w:val="0"/>
          <w:i w:val="0"/>
        </w:rPr>
        <w:t xml:space="preserve">,6 Thẩm phán Brennan do đó kết luận rằng các từ 'doanh nghiệp' và 'kinh doanh' không phải là các thuật ngữ được định nghĩa trong hiệp định thuế hai lần Nam Phi-Anh và do đó ý nghĩa của chúng phải được xác định theo luật thuế nội địa Anh bởi khoản 2 Điều 3. Đối với mục đích của luật thuế Anh, một hoạt động kinh doanh bao gồm các ngành nghề, nghề chuyên môn, nghề nghiệp và đầu tư: </w:t>
      </w:r>
      <w:r>
        <w:rPr>
          <w:b w:val="0"/>
          <w:i/>
        </w:rPr>
        <w:t>Jowett (HMIT) v O'Neill &amp; Brennan Construction Ltd</w:t>
      </w:r>
      <w:r>
        <w:rPr>
          <w:b w:val="0"/>
          <w:i w:val="0"/>
        </w:rPr>
        <w:t xml:space="preserve">7 [1998] BTC 133 theo Park J tại tr. 139. Liệu một ngành nghề có bao gồm một ngành nghề được coi là như vậy cho mục đích này hay không là vấn đề trong </w:t>
      </w:r>
      <w:r>
        <w:rPr>
          <w:b w:val="0"/>
          <w:i/>
        </w:rPr>
        <w:t>Fowler v HMRC</w:t>
      </w:r>
      <w:r>
        <w:rPr>
          <w:b w:val="0"/>
          <w:i w:val="0"/>
        </w:rPr>
        <w:t>. Tại Tòa án Phúc thẩm, Henderson LJ đồng ý, nói rằng:</w:t>
      </w:r>
    </w:p>
    <w:p>
      <w:pPr>
        <w:spacing w:after="80"/>
      </w:pPr>
      <w:r>
        <w:rPr>
          <w:b w:val="0"/>
          <w:i w:val="0"/>
        </w:rPr>
        <w:t xml:space="preserve">1. Xem Chương 2, §2.14 về việc xử lý các đối tác cư trú tại Anh. 2. Ví dụ, xem Hiệp định Thuế Pháp-Anh (2008), khoản 1(f) Điều 3; Hiệp định Thuế Đức-Anh (2010), khoản 1(f) Điều 3. 3. Ví dụ, xem Hiệp định Thuế Mỹ-Anh (2001), khoản 1(d) Điều 3; Hiệp định Thuế Nam Phi-Anh (2002), khoản 1(d) Điều 3. 4. </w:t>
      </w:r>
      <w:r>
        <w:rPr>
          <w:b w:val="0"/>
          <w:i/>
        </w:rPr>
        <w:t>Ostime v Australian Mutual Provident Society</w:t>
      </w:r>
      <w:r>
        <w:rPr>
          <w:b w:val="0"/>
          <w:i w:val="0"/>
        </w:rPr>
        <w:t xml:space="preserve"> (1960) 38 TC 492, HL; [1960] AC 459 tại 517. 5. Xem phần thảo luận về ý nghĩa của kinh doanh trong Chương 7, §7.04. 6. </w:t>
      </w:r>
      <w:r>
        <w:rPr>
          <w:b w:val="0"/>
          <w:i/>
        </w:rPr>
        <w:t>Fowler v Revenue and Customs</w:t>
      </w:r>
      <w:r>
        <w:rPr>
          <w:b w:val="0"/>
          <w:i w:val="0"/>
        </w:rPr>
        <w:t xml:space="preserve"> [2016] UKFTT 234 [2016] SFTD 535, 18 ITL Rep 644 [2016] TC 05009 tại các đoạn 107, 109 và 111. 7. </w:t>
      </w:r>
      <w:r>
        <w:rPr>
          <w:b w:val="0"/>
          <w:i/>
        </w:rPr>
        <w:t>Jowett (HMIT) v O'Neill &amp; Brennan Construction Limited</w:t>
      </w:r>
      <w:r>
        <w:rPr>
          <w:b w:val="0"/>
          <w:i w:val="0"/>
        </w:rPr>
        <w:t xml:space="preserve"> [1998] BTC 133, [1998] STC 472 theo Park J tại tr. 139; tại tr. 482b.</w:t>
      </w:r>
    </w:p>
    <w:p>
      <w:pPr>
        <w:spacing w:after="80"/>
      </w:pPr>
      <w:r>
        <w:rPr>
          <w:b w:val="0"/>
          <w:i w:val="0"/>
        </w:rPr>
        <w:t>258</w:t>
      </w:r>
    </w:p>
    <w:p>
      <w:pPr>
        <w:spacing w:after="80"/>
      </w:pPr>
      <w:r>
        <w:rPr>
          <w:b w:val="0"/>
          <w:i w:val="0"/>
        </w:rPr>
        <w:t>Hiệu lực rõ ràng của việc coi là ... do đó là việc ông Fowler thực hiện các hoạt động lặn có liên quan được coi như việc ông ta tiến hành một ngành nghề ... Cách xử lý này hoàn toàn thay thế việc tính thuế đối với thu nhập từ việc làm ... vốn sẽ được áp dụng nếu không có [quy định coi là]. Hơn nữa, trong phạm vi các hoạt động của ông Fowler được bao gồm trong ngành nghề được coi là, chúng không thể đồng thời được coi, cho bất kỳ mục đích thuế thu nhập nào, như việc ông ta thực hiện các nhiệm vụ của công việc thực tế của mình. Việc tính thuế đối với thu nhập từ việc làm và thu nhập từ kinh doanh loại trừ lẫn nhau.8</w:t>
      </w:r>
    </w:p>
    <w:p>
      <w:pPr>
        <w:spacing w:after="80"/>
      </w:pPr>
      <w:r>
        <w:rPr>
          <w:b w:val="0"/>
          <w:i w:val="0"/>
        </w:rPr>
        <w:t>Trên cơ sở này, một ngành nghề, bao gồm cả ngành nghề được coi là, nằm trong phạm vi của một doanh nghiệp. Điều này dường như được ủng hộ bởi Bình luận của OECD, trong đó chỉ ra rằng các thuật ngữ 'doanh nghiệp' và 'kinh doanh' này nên được hiểu bằng cách tham chiếu đến luật nội địa.9 Tòa án Tối cao phán quyết rằng đây không phải là mục đích của quy định coi là.10</w:t>
      </w:r>
    </w:p>
    <w:p>
      <w:pPr>
        <w:spacing w:after="80"/>
      </w:pPr>
      <w:r>
        <w:rPr>
          <w:b w:val="0"/>
          <w:i w:val="0"/>
        </w:rPr>
        <w:t xml:space="preserve">Việc dùng từ ‘enterprise’ (doanh nghiệp) có thể không hoàn toàn giống nhau ở mọi phần của một hiệp định. Trong </w:t>
      </w:r>
      <w:r>
        <w:rPr>
          <w:b w:val="0"/>
          <w:i/>
        </w:rPr>
        <w:t>Boake Allen Ltd &amp; Ors (bao gồm NEC Semi-Conductors Ltd) v Revenue and Customs Commissioners</w:t>
      </w:r>
      <w:r>
        <w:rPr>
          <w:b w:val="0"/>
          <w:i w:val="0"/>
        </w:rPr>
        <w:t xml:space="preserve">,11 việc dẫn chiếu đến ‘enterprise’ trong Điều 25(5) (không phân biệt đối xử dựa trên quyền sở hữu) và trong các hiệp định tương tự được hiểu, không cần bàn cãi, là để chỉ các công ty bị cáo buộc phân biệt đối xử chứ không phải hoạt động kinh doanh mà họ thực hiện. Một cách tiếp cận tương tự cũng được áp dụng trong </w:t>
      </w:r>
      <w:r>
        <w:rPr>
          <w:b w:val="0"/>
          <w:i/>
        </w:rPr>
        <w:t>Sun Life Assurance Co. of Canada v Pearson</w:t>
      </w:r>
      <w:r>
        <w:rPr>
          <w:b w:val="0"/>
          <w:i w:val="0"/>
        </w:rPr>
        <w:t xml:space="preserve"> bởi Fox LJ, người đã nói rằng, ‘SLAC là một “Canadian enterprise” (doanh nghiệp Canada) theo mục đích của hiệp định’12 liên quan đến việc phân bổ lợi nhuận cho một cơ sở thường trú (permanent establishment) tại Anh. Các định nghĩa hiện nay trong Điều 3, vốn đề cập đến các hoạt động thay vì các cá nhân, có vẻ phù hợp hơn với các vấn đề của Điều 7. Dù vậy, việc đồng nhất doanh nghiệp với một cư dân của một quốc gia ký kết đang điều hành doanh nghiệp đó là yếu tố trung tâm trong việc phân bổ thẩm quyền đánh thuế.</w:t>
      </w:r>
    </w:p>
    <w:p>
      <w:pPr>
        <w:spacing w:after="80"/>
      </w:pPr>
      <w:r>
        <w:rPr>
          <w:b w:val="0"/>
          <w:i w:val="0"/>
        </w:rPr>
        <w:t>Một cách diễn đạt lại công bằng cho ngôn ngữ hiệp định có thể là ‘lợi nhuận kinh doanh của một cư dân của một quốc gia ký kết chỉ bị đánh thuế tại quốc gia đó khi không có cơ sở thường trú tại quốc gia ký kết kia’. Như vậy, lợi nhuận kinh doanh chỉ có thể phải chịu thuế tại quốc gia ký kết kia nếu cư dân đó tiến hành kinh doanh tại đó thông qua một cơ sở thường trú. Trong trường hợp như vậy, thuế tại quốc gia ký kết được giới hạn ở mức lợi nhuận được phân bổ cho cơ sở thường trú. Dù diễn đạt theo cách nào, phạm vi rộng của nguyên tắc này được làm rõ qua chính sách được giải thích trong Bình luận của OECD (OECD Commentary): trừ khi tồn tại một cơ sở thường trú, doanh nghiệp không tham gia đủ vào nền kinh tế của quốc gia đó để biện minh cho việc đánh thuế lợi nhuận của nó.13</w:t>
      </w:r>
    </w:p>
    <w:p>
      <w:pPr>
        <w:spacing w:after="80"/>
      </w:pPr>
      <w:r>
        <w:rPr>
          <w:b w:val="0"/>
          <w:i w:val="0"/>
        </w:rPr>
        <w:t>Trong khi việc trình bày nguyên tắc này tương đối đơn giản, thì việc xác định lợi nhuận được phân bổ cho một cơ sở thường trú lại là một trong những vấn đề khó khăn hơn trong</w:t>
      </w:r>
    </w:p>
    <w:p>
      <w:pPr>
        <w:spacing w:after="80"/>
      </w:pPr>
      <w:r>
        <w:rPr>
          <w:b w:val="0"/>
          <w:i w:val="0"/>
        </w:rPr>
        <w:t>8.</w:t>
      </w:r>
      <w:r>
        <w:rPr>
          <w:b w:val="0"/>
          <w:i/>
        </w:rPr>
        <w:t>Fowler v HM Revenue and Customs</w:t>
      </w:r>
      <w:r>
        <w:rPr>
          <w:b w:val="0"/>
          <w:i w:val="0"/>
        </w:rPr>
        <w:t xml:space="preserve"> [2018] EWCA Civ 2544, [2018] STC 2401, [2018] BTC 41, [2019] 1 All ER 717, 21 ITL Rep 388, tại đoạn 39. 9.Bình luận về Điều 3, đoạn 4 và 10.2. 10.</w:t>
      </w:r>
      <w:r>
        <w:rPr>
          <w:b w:val="0"/>
          <w:i/>
        </w:rPr>
        <w:t>Fowler v Revenue and Customs</w:t>
      </w:r>
      <w:r>
        <w:rPr>
          <w:b w:val="0"/>
          <w:i w:val="0"/>
        </w:rPr>
        <w:t xml:space="preserve"> [2020] UKSC 22, [2020] STC 1476, [2020] BTC 15, [2020] 1 WLR 2227. 11.</w:t>
      </w:r>
      <w:r>
        <w:rPr>
          <w:b w:val="0"/>
          <w:i/>
        </w:rPr>
        <w:t>Boake Allen Ltd &amp; Ors (bao gồm NEC Semi-Conductors Ltd) v Revenue and Customs Commissioners</w:t>
      </w:r>
      <w:r>
        <w:rPr>
          <w:b w:val="0"/>
          <w:i w:val="0"/>
        </w:rPr>
        <w:t xml:space="preserve"> [2007] BTC 414 [2007] UKHL 25. 12.59 TC 250 tại tr. 323. Xem thêm liên quan đến một quan hệ đối tác, </w:t>
      </w:r>
      <w:r>
        <w:rPr>
          <w:b w:val="0"/>
          <w:i/>
        </w:rPr>
        <w:t>Padmore v Inland Revenue Commissioners</w:t>
      </w:r>
      <w:r>
        <w:rPr>
          <w:b w:val="0"/>
          <w:i w:val="0"/>
        </w:rPr>
        <w:t xml:space="preserve"> [1989] BTC 221; 62 TC 352; [1987] STC 36, (CA). 13.Bình luận của OECD về Điều 7, đoạn 9.</w:t>
      </w:r>
    </w:p>
    <w:p>
      <w:pPr>
        <w:spacing w:after="80"/>
      </w:pPr>
      <w:r>
        <w:rPr>
          <w:b w:val="0"/>
          <w:i w:val="0"/>
        </w:rPr>
        <w:t>259</w:t>
      </w:r>
    </w:p>
    <w:p>
      <w:pPr>
        <w:spacing w:after="80"/>
      </w:pPr>
      <w:r>
        <w:rPr>
          <w:b w:val="0"/>
          <w:i w:val="0"/>
        </w:rPr>
        <w:t>việc áp dụng các hiệp định thuế. Các nguyên tắc được áp dụng trong việc phân bổ lợi nhuận được trình bày trong các đoạn còn lại của Điều 7.</w:t>
      </w:r>
    </w:p>
    <w:p>
      <w:pPr>
        <w:spacing w:after="80"/>
      </w:pPr>
      <w:r>
        <w:rPr>
          <w:b/>
          <w:i w:val="0"/>
        </w:rPr>
        <w:t>§9.03 LỢI NHUẬN NÀO LÀ LỢI NHUẬN ‘KINH DOANH’?</w:t>
      </w:r>
    </w:p>
    <w:p>
      <w:pPr>
        <w:spacing w:after="80"/>
      </w:pPr>
      <w:r>
        <w:rPr>
          <w:b w:val="0"/>
          <w:i w:val="0"/>
        </w:rPr>
        <w:t>Khái niệm ‘business’ (kinh doanh) có ý nghĩa rộng trong luật thuế nội địa của Anh nhưng nhìn chung không thể hiện thẩm quyền đánh thuế (ngoại trừ trong bối cảnh kinh doanh bất động sản,14</w:t>
      </w:r>
    </w:p>
    <w:p>
      <w:pPr>
        <w:spacing w:after="80"/>
      </w:pPr>
      <w:r>
        <w:rPr>
          <w:b w:val="0"/>
          <w:i w:val="0"/>
        </w:rPr>
        <w:t>vốn được xử lý theo Điều 6 (thu nhập từ bất động sản)). ‘Profits’ (lợi nhuận) trong Điều 7(1) về nguyên tắc bao gồm tất cả lợi nhuận của một doanh nghiệp, và vì nó áp dụng cho tất cả lợi nhuận ngoài những khoản được xử lý cụ thể trong các điều khoản khác, nên nó giải quyết tất cả lợi nhuận còn lại.15</w:t>
      </w:r>
    </w:p>
    <w:p>
      <w:pPr>
        <w:spacing w:after="80"/>
      </w:pPr>
      <w:r>
        <w:rPr>
          <w:b w:val="0"/>
          <w:i w:val="0"/>
        </w:rPr>
        <w:t xml:space="preserve">Trong </w:t>
      </w:r>
      <w:r>
        <w:rPr>
          <w:b w:val="0"/>
          <w:i/>
        </w:rPr>
        <w:t>Sun Life Assurance Co. of Canada v Pearson</w:t>
      </w:r>
      <w:r>
        <w:rPr>
          <w:b w:val="0"/>
          <w:i w:val="0"/>
        </w:rPr>
        <w:t>,16 Tòa án Phúc thẩm (Court of Appeal) đã thảo luận dài về ý nghĩa của lợi nhuận trong Điều 7, kết luận rằng, trong Điều 7(4) của Hiệp định Canada-Anh năm 1980, nó đề cập đến thu nhập đầu tư của một công ty bảo hiểm nhân thọ không cư trú chứ không phải ‘thu nhập trừ chi phí’ của công ty đó. Do đó, ý nghĩa của nó phải được hiểu trong bối cảnh của các hoàn cảnh cụ thể.</w:t>
      </w:r>
    </w:p>
    <w:p>
      <w:pPr>
        <w:spacing w:after="80"/>
      </w:pPr>
      <w:r>
        <w:rPr>
          <w:b w:val="0"/>
          <w:i w:val="0"/>
        </w:rPr>
        <w:t xml:space="preserve">Các hiệp định theo mô hình thuộc địa và một số hiệp định ban đầu khác đề cập đến ‘commercial and industrial profits’ (lợi nhuận thương mại và công nghiệp) trong bối cảnh các quy định về cơ sở thường trú. Thuật ngữ này có thể không đồng nhất với ‘profits’ trong Điều 7 của Mô hình OECD (OECD Model), như được lưu ý bởi Vinelott J tại Tòa án Cấp cao (High Court) trong vụ </w:t>
      </w:r>
      <w:r>
        <w:rPr>
          <w:b w:val="0"/>
          <w:i/>
        </w:rPr>
        <w:t>Sun Life</w:t>
      </w:r>
      <w:r>
        <w:rPr>
          <w:b w:val="0"/>
          <w:i w:val="0"/>
        </w:rPr>
        <w:t>.17 Phạm vi của cách diễn đạt này thay đổi tùy theo từng hiệp định, nơi các nguồn thu nhập khác nhau được bao gồm hoặc loại trừ.</w:t>
      </w:r>
    </w:p>
    <w:p>
      <w:pPr>
        <w:spacing w:after="80"/>
      </w:pPr>
      <w:r>
        <w:rPr>
          <w:b w:val="0"/>
          <w:i w:val="0"/>
        </w:rPr>
        <w:t>Ứng dụng quan trọng và phổ biến nhất của Điều 7 trong bối cảnh Anh, liên quan đến những người không cư trú tại Anh, là đối với lợi nhuận từ hoạt động thương mại (trade profits). Trong luật nội địa, một người không cư trú tại Anh nhìn chung phải chịu thuế thu nhập:</w:t>
      </w:r>
    </w:p>
    <w:p>
      <w:pPr>
        <w:spacing w:after="80"/>
      </w:pPr>
      <w:r>
        <w:rPr>
          <w:b w:val="0"/>
          <w:i w:val="0"/>
        </w:rPr>
        <w:t>– đối với lợi nhuận của một hoạt động thương mại được tiến hành hoàn toàn tại Anh; hoặc – trong trường hợp một hoạt động thương mại được tiến hành một phần tại Anh và một phần ở nơi khác, đối với</w:t>
      </w:r>
    </w:p>
    <w:p>
      <w:pPr>
        <w:spacing w:after="80"/>
      </w:pPr>
      <w:r>
        <w:rPr>
          <w:b w:val="0"/>
          <w:i w:val="0"/>
        </w:rPr>
        <w:t>phần lợi nhuận của hoạt động thương mại được tiến hành tại Anh.18</w:t>
      </w:r>
    </w:p>
    <w:p>
      <w:pPr>
        <w:spacing w:after="80"/>
      </w:pPr>
      <w:r>
        <w:rPr>
          <w:b w:val="0"/>
          <w:i w:val="0"/>
        </w:rPr>
        <w:t>14.CTA 2009, Phần 4, đối với thuế doanh nghiệp và ITTOIA 2005, Phần 3 đối với thuế thu nhập. 15.Điều này tương ứng với ý nghĩa thuế doanh nghiệp của ‘profits’ trong CTA 2009, s. 2(2). 16.</w:t>
      </w:r>
      <w:r>
        <w:rPr>
          <w:b w:val="0"/>
          <w:i/>
        </w:rPr>
        <w:t>Sun Life Assurance Co. of Canada v Pearson</w:t>
      </w:r>
      <w:r>
        <w:rPr>
          <w:b w:val="0"/>
          <w:i w:val="0"/>
        </w:rPr>
        <w:t xml:space="preserve"> [1986] BTC 282; (1986) 59 TC 250; [1986] STC 335 (CA). 17.</w:t>
      </w:r>
      <w:r>
        <w:rPr>
          <w:b w:val="0"/>
          <w:i/>
        </w:rPr>
        <w:t>Sun Life Assurance Co. of Canada v Pearson</w:t>
      </w:r>
      <w:r>
        <w:rPr>
          <w:b w:val="0"/>
          <w:i w:val="0"/>
        </w:rPr>
        <w:t xml:space="preserve"> 59 TC 250, tr. 310. Xem thêm </w:t>
      </w:r>
      <w:r>
        <w:rPr>
          <w:b w:val="0"/>
          <w:i/>
        </w:rPr>
        <w:t>Ostime v Australian Mutual Provident Society</w:t>
      </w:r>
      <w:r>
        <w:rPr>
          <w:b w:val="0"/>
          <w:i w:val="0"/>
        </w:rPr>
        <w:t xml:space="preserve"> (1956-1960) 38 TC 492, HL; [1960] AC 459. Việc mua và bán cổ phần bởi một quỹ private equity hợp danh hữu hạn đã được phán quyết là ‘industrial or commercial profit’ (lợi nhuận công nghiệp hoặc thương mại) theo mục đích của Điều 3 của Hiệp định Thuế Đức-Anh (1964) khi quỹ đã vượt quá tiêu chí quản lý tài sản thông thường và tham gia vào hoạt động thương mại bởi </w:t>
      </w:r>
      <w:r>
        <w:rPr>
          <w:b w:val="0"/>
          <w:i/>
        </w:rPr>
        <w:t>Bundesfinanzhof</w:t>
      </w:r>
      <w:r>
        <w:rPr>
          <w:b w:val="0"/>
          <w:i w:val="0"/>
        </w:rPr>
        <w:t xml:space="preserve"> (Tòa án Tài chính Liên bang) của Đức trong IR 46/10 </w:t>
      </w:r>
      <w:r>
        <w:rPr>
          <w:b w:val="0"/>
          <w:i/>
        </w:rPr>
        <w:t>Bundesfinanzhof</w:t>
      </w:r>
      <w:r>
        <w:rPr>
          <w:b w:val="0"/>
          <w:i w:val="0"/>
        </w:rPr>
        <w:t xml:space="preserve">, ngày 24 tháng 8 năm 2011, </w:t>
      </w:r>
      <w:r>
        <w:rPr>
          <w:b w:val="0"/>
          <w:i/>
        </w:rPr>
        <w:t>Re E-LP (Quỹ Private Equity Anh)</w:t>
      </w:r>
      <w:r>
        <w:rPr>
          <w:b w:val="0"/>
          <w:i w:val="0"/>
        </w:rPr>
        <w:t xml:space="preserve"> 14 ITLR 339. Quan hệ đối tác là một quỹ đóng với thời hạn dự kiến là bảy năm với tư cách nhà đầu tư, với giai đoạn đầu tư ban đầu bốn năm tiếp theo là giai đoạn hiện thực hóa. Các mục tiêu đầu tư là các thương vụ mua lại có quản lý và đòn bẩy quy mô từ nhỏ đến lớn, tài trợ mạo hiểm và các cơ hội mua lại mang tính đầu cơ; các khoản đầu tư về nguyên tắc bị giới hạn ở Anh. Mục tiêu là tạo ra lợi nhuận từ việc niêm yết trên thị trường chứng khoán hoặc bán các thực thể liên quan. Mặc dù tòa án đã làm rõ rằng việc phân loại là ‘industrial or commercial profit’ là vấn đề giải thích hiệp định chứ không phải luật nội địa, ảnh hưởng của cách tiếp cận nội địa vẫn rõ ràng. Hoạt động như vậy có khả năng không cấu thành một ‘trade’ (hoạt động thương mại) theo thuật ngữ thuế của Anh và rõ ràng từ phán quyết rằng không có thuế Anh nào được nộp trên các thương vụ bán đó. 18.ITTOIA 2005, s. 6(2).</w:t>
      </w:r>
    </w:p>
    <w:p>
      <w:pPr>
        <w:spacing w:after="80"/>
      </w:pPr>
      <w:r>
        <w:rPr>
          <w:b w:val="0"/>
          <w:i w:val="0"/>
        </w:rPr>
        <w:t>260</w:t>
      </w:r>
    </w:p>
    <w:p>
      <w:pPr>
        <w:spacing w:after="80"/>
      </w:pPr>
      <w:r>
        <w:rPr>
          <w:b w:val="0"/>
          <w:i w:val="0"/>
        </w:rPr>
        <w:t>Từ năm 2016, lợi nhuận từ hoạt động kinh doanh mua bán hoặc phát triển đất đai tại Vương quốc Anh của một người không cư trú tại Vương quốc Anh đều phải chịu thuế thu nhập cá nhân bất kể hoạt động kinh doanh đó được tiến hành ở đâu.19</w:t>
      </w:r>
    </w:p>
    <w:p>
      <w:pPr>
        <w:spacing w:after="80"/>
      </w:pPr>
      <w:r>
        <w:rPr>
          <w:b w:val="0"/>
          <w:i w:val="0"/>
        </w:rPr>
        <w:t>Việc đánh thuế thu nhập doanh nghiệp đối với lợi nhuận kinh doanh của các công ty không cư trú bám sát ngôn ngữ của Điều 7(1) hơn:</w:t>
      </w:r>
    </w:p>
    <w:p>
      <w:pPr>
        <w:spacing w:after="80"/>
      </w:pPr>
      <w:r>
        <w:rPr>
          <w:b w:val="0"/>
          <w:i w:val="0"/>
        </w:rPr>
        <w:t>5(2) Một công ty không cư trú tại Vương quốc Anh chỉ thuộc diện chịu thuế thu nhập doanh nghiệp nếu</w:t>
      </w:r>
    </w:p>
    <w:p>
      <w:pPr>
        <w:spacing w:after="80"/>
      </w:pPr>
      <w:r>
        <w:rPr>
          <w:b w:val="0"/>
          <w:i w:val="0"/>
        </w:rPr>
        <w:t>(a) công ty đó tiến hành hoạt động kinh doanh mua bán hoặc phát triển đất đai tại Vương quốc Anh.20</w:t>
      </w:r>
    </w:p>
    <w:p>
      <w:pPr>
        <w:spacing w:after="80"/>
      </w:pPr>
      <w:r>
        <w:rPr>
          <w:b w:val="0"/>
          <w:i w:val="0"/>
        </w:rPr>
        <w:t>(b) công ty đó tiến hành hoạt động kinh doanh tại Vương quốc Anh (không phải hoạt động kinh doanh mua bán hoặc</w:t>
      </w:r>
    </w:p>
    <w:p>
      <w:pPr>
        <w:spacing w:after="80"/>
      </w:pPr>
      <w:r>
        <w:rPr>
          <w:b w:val="0"/>
          <w:i w:val="0"/>
        </w:rPr>
        <w:t>phát triển đất đai tại Vương quốc Anh) thông qua một cơ sở thường trú tại Vương quốc Anh.</w:t>
      </w:r>
    </w:p>
    <w:p>
      <w:pPr>
        <w:spacing w:after="80"/>
      </w:pPr>
      <w:r>
        <w:rPr>
          <w:b w:val="0"/>
          <w:i w:val="0"/>
        </w:rPr>
        <w:t>5(3) Một công ty không cư trú tại Vương quốc Anh tiến hành hoạt động kinh doanh tại Vương quốc Anh thông qua một cơ sở thường trú tại Vương quốc Anh phải chịu thuế thu nhập doanh nghiệp đối với toàn bộ lợi nhuận phát sinh ở bất kỳ đâu, miễn là đó là lợi nhuận chịu thuế theo định nghĩa tại Điều 19 (lợi nhuận quy cho cơ sở thường trú của công ty tại Vương quốc Anh).21</w:t>
      </w:r>
    </w:p>
    <w:p>
      <w:pPr>
        <w:spacing w:after="80"/>
      </w:pPr>
      <w:r>
        <w:rPr>
          <w:b w:val="0"/>
          <w:i w:val="0"/>
        </w:rPr>
        <w:t>Ngược lại, đối với các công ty cư trú tại Vương quốc Anh, khi vấn đề trọng tâm là việc giảm trừ thuế nước ngoài, lợi nhuận kinh doanh về nguyên tắc tương đương với lợi nhuận được định nghĩa tại CTA 2009, s. 2(2).</w:t>
      </w:r>
    </w:p>
    <w:p>
      <w:pPr>
        <w:spacing w:after="80"/>
      </w:pPr>
      <w:r>
        <w:rPr>
          <w:b/>
          <w:i w:val="0"/>
        </w:rPr>
        <w:t>§9.04 QUY KẾT LỢI NHUẬN CHO CƠ SỞ THƯỜNG TRÚ</w:t>
      </w:r>
    </w:p>
    <w:p>
      <w:pPr>
        <w:spacing w:after="80"/>
      </w:pPr>
      <w:r>
        <w:rPr>
          <w:b w:val="0"/>
          <w:i w:val="0"/>
        </w:rPr>
        <w:t>Việc phân bổ lợi nhuận cho một cơ sở thường trú là một vấn đề gây tranh cãi và khó xử trong cả thực tiễn trong nước lẫn thực tiễn hiệp ước. Một người, dù là cá nhân hay pháp nhân, không thể giao dịch với chính mình. Cách tiếp cận truyền thống của Vương quốc Anh đối với các hiệp ước tuân theo ngôn ngữ truyền thống22 của Điều 7(2) trong Mẫu OECD và được minh họa bằng Điều 8(2) của Hiệp ước Thái Lan - Vương quốc Anh, với nội dung như sau:</w:t>
      </w:r>
    </w:p>
    <w:p>
      <w:pPr>
        <w:spacing w:after="80"/>
      </w:pPr>
      <w:r>
        <w:rPr>
          <w:b w:val="0"/>
          <w:i w:val="0"/>
        </w:rPr>
        <w:t>Khi một doanh nghiệp của một Quốc gia Ký kết tiến hành hoạt động kinh doanh tại Quốc gia Ký kết kia thông qua một cơ sở thường trú đặt tại đó, thì tại mỗi Quốc gia Ký kết, cơ sở thường trú đó phải được quy kết khoản lợi nhuận mà nó có thể được kỳ vọng tạo ra nếu nó là một doanh nghiệp riêng biệt và độc lập, tham gia vào các hoạt động tương tự hoặc tương đương trong các điều kiện tương tự hoặc tương đương và giao dịch hoàn toàn độc lập với doanh nghiệp mà nó là cơ sở thường trú.</w:t>
      </w:r>
    </w:p>
    <w:p>
      <w:pPr>
        <w:spacing w:after="80"/>
      </w:pPr>
      <w:r>
        <w:rPr>
          <w:b w:val="0"/>
          <w:i w:val="0"/>
        </w:rPr>
        <w:t>Nhìn chung có hai cách tiếp cận khái niệm đối với việc quy kết lợi nhuận theo công thức này. Ở một thái cực là ‘cách tiếp cận hoạt động kinh doanh liên quan’ (relevant business activity approach), coi lợi nhuận của cơ sở thường trú là những khoản lợi nhuận phát sinh từ hoạt động kinh doanh tại cơ sở thường trú đó. Do đó, thuế được đánh</w:t>
      </w:r>
    </w:p>
    <w:p>
      <w:pPr>
        <w:spacing w:after="80"/>
      </w:pPr>
      <w:r>
        <w:rPr>
          <w:b w:val="0"/>
          <w:i w:val="0"/>
        </w:rPr>
        <w:t>19. ITTOIA 2005, s. 6(2A). Xem thêm Chương 12, §12.06. 20. Trước Finance Act 2019, chỉ lợi nhuận liên quan đến hoạt động kinh doanh được tiến hành tại Vương quốc Anh thông qua một cơ sở thường trú tại Vương quốc Anh mới thuộc phạm vi lãnh thổ của thuế thu nhập doanh nghiệp. Xem thêm Chương 12, §12.06. 21. CTA 2009, s. 5. Finance Act 2019 cũng chuyển lợi nhuận của hoạt động kinh doanh bất động sản tại Vương quốc Anh và thu nhập bất động sản khác tại Vương quốc Anh từ diện chịu thuế thu nhập cá nhân sang diện chịu thuế thu nhập doanh nghiệp. Phạm vi lãnh thổ của các khoản thuế này vẫn không thay đổi. Xem Chương 10, §10.02. 22. Công thức này xuất hiện trong tất cả các phiên bản của Mẫu OECD cho đến năm 2010. Xem phần dưới.</w:t>
      </w:r>
    </w:p>
    <w:p>
      <w:pPr>
        <w:spacing w:after="80"/>
      </w:pPr>
      <w:r>
        <w:rPr>
          <w:b w:val="0"/>
          <w:i w:val="0"/>
        </w:rPr>
        <w:t>261</w:t>
      </w:r>
    </w:p>
    <w:p>
      <w:pPr>
        <w:spacing w:after="80"/>
      </w:pPr>
      <w:r>
        <w:rPr>
          <w:b w:val="0"/>
          <w:i w:val="0"/>
        </w:rPr>
        <w:t xml:space="preserve">đối với lợi nhuận phát sinh từ các giao dịch được thực hiện với bên thứ ba tại hoặc bởi cơ sở thường trú đó. Ở thái cực kia là ‘cách tiếp cận doanh nghiệp tách biệt về mặt chức năng’ (functionally separate enterprise approach), nhấn mạnh vào cụm từ ‘và giao dịch hoàn toàn độc lập với doanh nghiệp mà nó là cơ sở thường trú’. Cách này đòi hỏi phải ghi nhận các ‘giao dịch’ giữa cơ sở thường trú và các bộ phận khác của doanh nghiệp, những giao dịch này phải được tính đến khi xác định lợi nhuận của cơ sở thường trú. Trong </w:t>
      </w:r>
      <w:r>
        <w:rPr>
          <w:b w:val="0"/>
          <w:i/>
        </w:rPr>
        <w:t>Linklaters LLP v Income Tax Officer - International Taxation</w:t>
      </w:r>
      <w:r>
        <w:rPr>
          <w:b w:val="0"/>
          <w:i w:val="0"/>
        </w:rPr>
        <w:t>23, Tòa án Thu nhập Ấn Độ đã bác bỏ lập luận cho rằng giả định độc lập trong Điều 7(2) của Hiệp ước Thuế Ấn Độ - Vương quốc Anh buộc lợi nhuận của một cơ sở thường trú phải là lợi nhuận giả định dựa trên mức giá theo giờ theo nguyên tắc thị trường tại Ấn Độ cho các dịch vụ cung cấp cho khách hàng Ấn Độ, thay vì mức giá thực tế đã thu của họ. Tòa án coi Điều 7(2) thực hiện hai chức năng. Thứ nhất là phân bổ lợi nhuận phát sinh từ các giao dịch với bên thứ ba một cách hợp lý giữa cơ sở thường trú và trụ sở chính. Thứ hai là giải quyết các giao dịch nội bộ trong tổ chức. Nguyên tắc thị trường chỉ áp dụng cho các giao dịch với bên thứ ba khi xác định liệu giao dịch đó liên quan đến cơ sở thường trú hay trụ sở chính. Đối với các giao dịch nội bộ trong tổ chức, bản thân các giao dịch đó có thể được điều chỉnh theo nguyên tắc thị trường.</w:t>
      </w:r>
    </w:p>
    <w:p>
      <w:pPr>
        <w:spacing w:after="80"/>
      </w:pPr>
      <w:r>
        <w:rPr>
          <w:b w:val="0"/>
          <w:i w:val="0"/>
        </w:rPr>
        <w:t xml:space="preserve">Một minh họa hữu ích cho ‘cách tiếp cận hoạt động kinh doanh liên quan’ được tìm thấy trong </w:t>
      </w:r>
      <w:r>
        <w:rPr>
          <w:b w:val="0"/>
          <w:i/>
        </w:rPr>
        <w:t>Gulf Offshore N.S. Limited v Canada</w:t>
      </w:r>
      <w:r>
        <w:rPr>
          <w:b w:val="0"/>
          <w:i w:val="0"/>
        </w:rPr>
        <w:t>24, nơi một công ty cư trú tại Vương quốc Anh có một cơ sở thường trú tại Canada dưới hình thức một tàu đặt ống hoạt động trong vùng biển Canada.25 Trong giai đoạn liên quan, công ty vận hành hai mươi tám tàu và được xuất hóa đơn cho việc cung cấp thủy thủ đoàn trên tất cả các tàu. Tòa án Thuế Canada chấp nhận rằng việc phân bổ cho mỗi tàu dựa trên phương pháp tính chi phí tiêu chuẩn là một cách tiếp cận hợp lý và là một phương tiện phân bổ chi phí có thể chấp nhận được. Mặt khác, đối với yêu cầu khấu trừ lãi tiền vay, không có bằng chứng về việc phần nợ nào liên quan đến hoạt động của con tàu hoạt động trong vùng biển Canada. Người nộp thuế đã phân bổ lãi của khoản nợ này giữa các tàu của mình dựa trên doanh thu mà con tàu tạo ra so với tổng doanh thu. Tòa án không chấp nhận phương pháp phân bổ lãi này là đưa ra một bức tranh rõ ràng về chi phí lãi thực sự của con tàu như thể nó là một doanh nghiệp riêng biệt.</w:t>
      </w:r>
    </w:p>
    <w:p>
      <w:pPr>
        <w:spacing w:after="80"/>
      </w:pPr>
      <w:r>
        <w:rPr>
          <w:b w:val="0"/>
          <w:i w:val="0"/>
        </w:rPr>
        <w:t>UKthựctiễntrongquákhứ, bắt nguồn từ, và tiếp tục liên quan đến, cách xử lý thuế thu nhập trong nước, dường như đã đi theo cách tiếp cận trước đây. Cách áp dụng hành chính của Vương quốc Anh đối với giả thuyết thực thể riêng biệt là nó chỉ là một công cụ để phân bổ những khoản lợi nhuận tồn tại trong một doanh nghiệp và không cho phép giả định các giao dịch giữa cơ sở thường trú và các phần khác của doanh nghiệp.26 Luật về cơ sở thường trú được quy định trong CTA 2009, Phần 2,</w:t>
      </w:r>
    </w:p>
    <w:p>
      <w:pPr>
        <w:spacing w:after="80"/>
      </w:pPr>
      <w:r>
        <w:rPr>
          <w:b w:val="0"/>
          <w:i w:val="0"/>
        </w:rPr>
        <w:t>23.</w:t>
      </w:r>
      <w:r>
        <w:rPr>
          <w:b w:val="0"/>
          <w:i/>
        </w:rPr>
        <w:t>LinklatersLLPvIncomeTaxOfficer-InternationalTaxationWard</w:t>
      </w:r>
      <w:r>
        <w:rPr>
          <w:b w:val="0"/>
          <w:i w:val="0"/>
        </w:rPr>
        <w:t>1(1)(2),MumbaiITANos4896/Mum/03, 5085/Mum/03, Income Tax Appellate Tribunal, Mumbai L Bench, 16 July 2010.24.</w:t>
      </w:r>
      <w:r>
        <w:rPr>
          <w:b w:val="0"/>
          <w:i/>
        </w:rPr>
        <w:t>Gulf Offshore N.S. Limited v Canada,</w:t>
      </w:r>
      <w:r>
        <w:rPr>
          <w:b w:val="0"/>
          <w:i w:val="0"/>
        </w:rPr>
        <w:t xml:space="preserve"> 2006 TCC 246 (CanLII); 60 DTC 2705; [2006] 4 CTC 2050aff’d on appeal 2007 FCA 302 (CanLII); [2008] 1 CTC 85.25.See Chapter 13, §13.04.26.InlandRevenue,</w:t>
      </w:r>
      <w:r>
        <w:rPr>
          <w:b w:val="0"/>
          <w:i/>
        </w:rPr>
        <w:t>BankingManual</w:t>
      </w:r>
      <w:r>
        <w:rPr>
          <w:b w:val="0"/>
          <w:i w:val="0"/>
        </w:rPr>
        <w:t>,app.9A.Thismanualhassincebeenwithdrawnbutcontained the essence of the ‘Nolan Opinion’ on the attribution of profits to branches of foreignbanksoperatingintheUK.LordNolan(whenpractisingattheBar)providedareasonedlegal</w:t>
      </w:r>
    </w:p>
    <w:p>
      <w:pPr>
        <w:spacing w:after="80"/>
      </w:pPr>
      <w:r>
        <w:rPr>
          <w:b w:val="0"/>
          <w:i w:val="0"/>
        </w:rPr>
        <w:t>262</w:t>
      </w:r>
    </w:p>
    <w:p>
      <w:pPr>
        <w:spacing w:after="80"/>
      </w:pPr>
      <w:r>
        <w:rPr>
          <w:b w:val="0"/>
          <w:i w:val="0"/>
        </w:rPr>
        <w:t>Chương 4 đại diện cho một điểm giữa theo nghĩa là thẩm quyền theo luật định cho các mục đích luật trong nước được trao cho cách tiếp cận doanh nghiệp riêng biệt đối với các công ty chịu thuế thu nhập doanh nghiệp ở một số khía cạnh nhất định nhưng không phải tất cả.</w:t>
      </w:r>
    </w:p>
    <w:p>
      <w:pPr>
        <w:spacing w:after="80"/>
      </w:pPr>
      <w:r>
        <w:rPr>
          <w:b w:val="0"/>
          <w:i w:val="0"/>
        </w:rPr>
        <w:t>Bình luận của OECD đối với Điều 7 cho đến năm 2008 phần lớn tán thành cách tiếp cận hoạt động kinh doanh liên quan. Phiên bản năm 2008 đã thông qua một phiên bản cực đoan của cách tiếp cận doanh nghiệp tách biệt về mặt chức năng, hiện được gọi là 'Cách tiếp cận được OECD cho phép'. Điều này theo sau một nghiên cứu kéo dài hơn mười năm. Phiên bản cuối cùng dài 263 trang của 'Báo cáo về việc phân bổ lợi nhuận cho các cơ sở thường trú' đã được Hội đồng OECD phê duyệt vào ngày 17 tháng 7 năm 2008 và bao gồm một lời tựa và bốn phần. Phần I trình bày những cân nhắc chung để phân bổ lợi nhuận cho các cơ sở thường trú. Các phần bổ sung đề cập đến lĩnh vực tài chính, nơi việc kinh doanh dưới hình thức cơ sở thường trú đặc biệt phổ biến, đó là ngân hàng (phần II), giao dịch toàn cầu các công cụ tài chính (phần III) và bảo hiểm (phần IV). Được dự định như một bài tập giải thích Điều 7, dự án đã vượt quá mục tiêu đó và các kết luận của nó không thể được dung hòa trong Điều 7 như cách đọc truyền thống. Do đó, chiến lược của Ủy ban Các vấn đề Tài khóa OECD là, thứ nhất, đưa vào Bình luận sửa đổi năm 2008 về Điều 7 phần báo cáo mà nó cho là không xung đột với Điều 7 và, thứ hai, viết lại Điều 7 để phù hợp với các kết luận trong báo cáo của mình. Phiên bản mới này của Điều 7 đã được đưa vào ấn bản năm 2010 của Mẫu OECD cùng với những thay đổi liên quan đối với Bình luận của nó. 'Cách tiếp cận được OECD cho phép' được thảo luận tại §9.05. Những thay đổi triệt để trong giai đoạn này sẽ, trong các trường hợp tranh chấp, đòi hỏi phải đánh giá cẩn thận vai trò của Bình luận OECD trong việc giải thích các quy định của hiệp ước, đặc biệt liên quan đến việc phiên bản Bình luận nào được áp dụng cho hiệp ước đang được xem xét.27</w:t>
      </w:r>
    </w:p>
    <w:p>
      <w:pPr>
        <w:spacing w:after="80"/>
      </w:pPr>
      <w:r>
        <w:rPr>
          <w:b w:val="0"/>
          <w:i w:val="0"/>
        </w:rPr>
        <w:t>Một phiên bản sửa đổi của Báo cáo năm 2008 với các tham chiếu lỗi thời đến văn bản của Điều 7 trước năm 2010 đã bị xóa và phù hợp với từ ngữ của Điều 7 mới đã được công bố đồng thời với bản cập nhật năm 2010 của Mẫu Công ước Thuế.28</w:t>
      </w:r>
    </w:p>
    <w:p>
      <w:pPr>
        <w:spacing w:after="80"/>
      </w:pPr>
      <w:r>
        <w:rPr>
          <w:b w:val="0"/>
          <w:i w:val="0"/>
        </w:rPr>
        <w:t xml:space="preserve">Trong một số ngành kinh doanh nhất định, đặc biệt là ngân hàng, các giao dịch chuyển nhượng nội bộ tập đoàn diễn ra và được phản ánh trong sổ sách kế toán của cơ sở thường trú. Trong </w:t>
      </w:r>
      <w:r>
        <w:rPr>
          <w:b w:val="0"/>
          <w:i/>
        </w:rPr>
        <w:t xml:space="preserve"> National WestminsterBank Plc v United States</w:t>
      </w:r>
      <w:r>
        <w:rPr>
          <w:b w:val="0"/>
          <w:i w:val="0"/>
        </w:rPr>
        <w:t>29 NatWest, một ngân hàng Vương quốc Anh đã tiến hành kinh doanh tại Hoa Kỳ thông qua một số chi nhánh ở đó. Một chi nhánh tại Hoa Kỳ đã nhận được tiền để tiến hành các hoạt động ngân hàng của mình từ văn phòng trụ sở chính tại Vương quốc Anh của NatWest, từ các chi nhánh khác không thuộc Hoa Kỳ của NatWest hoặc từ các bên thứ ba. Tiền thu được theo cách này bởi Chi nhánh Hoa Kỳ đã được cho khách hàng của mình vay, từ đó tạo ra thu nhập lãi. Các Chi nhánh Hoa Kỳ đã cho các chi nhánh khác của NatWest vay tiền. Sổ sách kế toán của Chi nhánh Hoa Kỳ (và của các đơn vị khác trong NatWest) sẽ phản ánh cả thu nhập lãi nhận được từ các chi nhánh khác và chi phí lãi</w:t>
      </w:r>
    </w:p>
    <w:p>
      <w:pPr>
        <w:spacing w:after="80"/>
      </w:pPr>
      <w:r>
        <w:rPr>
          <w:b w:val="0"/>
          <w:i w:val="0"/>
        </w:rPr>
        <w:t xml:space="preserve">ý kiến về việc phân bổ lợi nhuận của các cơ sở thường trú đã tạo thành cơ sở cho thỏa thuận giữa các ngân hàng nước ngoài và Cơ quan Thuế Nội địa. Điều này đã được Tòa án Phúc thẩm Hoa Kỳ chấp thuận là cách tiếp cận đúng trong </w:t>
      </w:r>
      <w:r>
        <w:rPr>
          <w:b w:val="0"/>
          <w:i/>
        </w:rPr>
        <w:t>NationalWestminsterBankplcvUnitedStatesofAmerica</w:t>
      </w:r>
      <w:r>
        <w:rPr>
          <w:b w:val="0"/>
          <w:i w:val="0"/>
        </w:rPr>
        <w:t>, US Court of Appeals, Federal Circuit; 2007-5028, 15 January 2008, 512 F3d 1347.27.See Chapter 4, §4.06.28.OECD:2010ReportontheAttributionofProfitstoPermanentEstablishments,22July2010(approvedbytheCommitteeonFiscalAffairson22June2010andbytheOECDCouncilforpublication on 22 July 2010).29.</w:t>
      </w:r>
      <w:r>
        <w:rPr>
          <w:b w:val="0"/>
          <w:i/>
        </w:rPr>
        <w:t>National Westminster Bank Plc v United States,</w:t>
      </w:r>
      <w:r>
        <w:rPr>
          <w:b w:val="0"/>
          <w:i w:val="0"/>
        </w:rPr>
        <w:t xml:space="preserve"> Court of Appeals, Federal Circuit; 2007-5028, 15January 2008, 512 F3d 1347.</w:t>
      </w:r>
    </w:p>
    <w:p>
      <w:pPr>
        <w:spacing w:after="80"/>
      </w:pPr>
      <w:r>
        <w:rPr>
          <w:b w:val="0"/>
          <w:i w:val="0"/>
        </w:rPr>
        <w:t>263</w:t>
      </w:r>
    </w:p>
    <w:p>
      <w:pPr>
        <w:spacing w:after="80"/>
      </w:pPr>
      <w:r>
        <w:rPr>
          <w:b w:val="0"/>
          <w:i w:val="0"/>
        </w:rPr>
        <w:t>'được tính' theo các giao dịch liên chi nhánh như vậy giống như thể chúng phát sinh từ các giao dịch với các ngân hàng thương mại không liên quan.</w:t>
      </w:r>
    </w:p>
    <w:p>
      <w:pPr>
        <w:spacing w:after="80"/>
      </w:pPr>
      <w:r>
        <w:rPr>
          <w:b w:val="0"/>
          <w:i w:val="0"/>
        </w:rPr>
        <w:t>Dựa rất nhiều vào Bình luận OECD, các quy định của Hoa Kỳ từ chối khấu trừ đối với chi phí lãi nội bộ tập đoàn của cơ sở thường trú tại Hoa Kỳ đã bị cho là xâm phạm Điều 7(2) của Hiệp ước Thuế Hoa Kỳ-Vương quốc Anh (1975). Khi ra phán quyết như vậy, Tòa án Liên bang Hoa Kỳ cho biết:</w:t>
      </w:r>
    </w:p>
    <w:p>
      <w:pPr>
        <w:spacing w:after="80"/>
      </w:pPr>
      <w:r>
        <w:rPr>
          <w:b w:val="0"/>
          <w:i w:val="0"/>
        </w:rPr>
        <w:t>[W]e do not read the separate enterprise language of art 7(2)-requiring that the USBranch’sbusinessprofitsbedeterminedas‘ifitwereadistinctandseparateenterpriseengagedinthesameorsimilaractivitiesunderthesameorsimilarconditionsanddealingwhollyindependentlywiththeenterpriseofwhichitisapermanentestablishment’–aspermittingtransactionsbetweenthepermanentestablishment and the enterprise to be disregarded. As did the trial court, we findthecomparisontoaseparatelyincorporatedUSsubsidiaryinstructive.Inthatsituation, intra-corporate transactions recorded on the subsidiary’s books are notdisregarded, but are adjusted to reflect arm’s length terms … The plain language ofthe1975Treatythusindicatesthatadjustmentofthetermsofintra-corporatetransactions is required and that the disregard of these transactions is prohibited.</w:t>
      </w:r>
    </w:p>
    <w:p>
      <w:pPr>
        <w:spacing w:after="80"/>
      </w:pPr>
      <w:r>
        <w:rPr>
          <w:b w:val="0"/>
          <w:i w:val="0"/>
        </w:rPr>
        <w:t>The‘sameorsimilar’languageoftheseparateenterpriseprinciplereferstotheactivities and conditions in which the US Branch conducted its business. That is,theUSBranchshouldbetaxedasifitwereaseparateenterpriseengagedinactivities that are the ‘same or similar’ to those activities in which the US Branchengaged and as if it were operating in conditions that are the ‘same or similar’ tothe conditions in which the US Branch conducted its activities …</w:t>
      </w:r>
    </w:p>
    <w:p>
      <w:pPr>
        <w:spacing w:after="80"/>
      </w:pPr>
      <w:r>
        <w:rPr>
          <w:b w:val="0"/>
          <w:i w:val="0"/>
        </w:rPr>
        <w:t>Under the proper reading of the ‘same or similar’ clauses, it becomes clear that the‘dealing wholly independently with’ language requires taxing authorities to scru-tinize intra-corporate transactions involving a permanent establishment to ensurethatthetransactionsareaccuratelycharacterizedandreflectarm’slengthtermsand pricing.</w:t>
      </w:r>
    </w:p>
    <w:p>
      <w:pPr>
        <w:spacing w:after="80"/>
      </w:pPr>
      <w:r>
        <w:rPr>
          <w:b w:val="0"/>
          <w:i w:val="0"/>
        </w:rPr>
        <w:t>Tòa án Liên bang Hoa Kỳ cũng kết luận rằng Điều 7(2) cấm việc phân bổ vốn cho một cơ sở thường trú mà nó không có, và nói thêm:</w:t>
      </w:r>
    </w:p>
    <w:p>
      <w:pPr>
        <w:spacing w:after="80"/>
      </w:pPr>
      <w:r>
        <w:rPr>
          <w:b w:val="0"/>
          <w:i w:val="0"/>
        </w:rPr>
        <w:t>To conclude that ‘wholly independently’ requires that the US Branch be taxed asif it were subject to regulatory and market capital requirements is to ignore the factthat the US Branch does not operate under conditions in which it is subject to theserequirements.Inessence,thegovernmentwouldreadthe‘sameorsimilarconditions’ language out of the 1975 Treaty.</w:t>
      </w:r>
    </w:p>
    <w:p>
      <w:pPr>
        <w:spacing w:after="80"/>
      </w:pPr>
      <w:r>
        <w:rPr>
          <w:b w:val="0"/>
          <w:i w:val="0"/>
        </w:rPr>
        <w:t>Theo đó, Tòa án Phúc thẩm đã giữ nguyên phán quyết của tòa án cấp sơ thẩm rằng lợi nhuận chi nhánh phải dựa trên sổ sách được duy trì đúng đắn của chi nhánh. Việc điều chỉnh chỉ thích hợp khi: chi phí lãi bị khấu trừ đối với các khoản tiền ứng trước cho chi nhánh mà không được sử dụng trong hoạt động kinh doanh ngân hàng thông thường của chi nhánh; đối với các khoản được chỉ định là vốn trên sổ sách của chi nhánh hoặc đối với các khoản thực tế được phân bổ cho chi nhánh vì mục đích vốn, chẳng hạn như tài trợ cơ sở hạ tầng vốn; và lãi trả cho các khoản vay liên chi nhánh không theo nguyên tắc thị trường (arm's length).</w:t>
      </w:r>
    </w:p>
    <w:p>
      <w:pPr>
        <w:spacing w:after="80"/>
      </w:pPr>
      <w:r>
        <w:rPr>
          <w:b w:val="0"/>
          <w:i w:val="0"/>
        </w:rPr>
        <w:t>Việc nhấn mạnh vào sổ sách của cơ sở thường trú (permanent establishment) như điểm khởi đầu cho việc phân bổ là điều rõ ràng trong các trường hợp sổ sách tồn tại, và điều này sẽ xảy ra khi sự tồn tại của cơ sở thường trú không bị tranh chấp. Trong</w:t>
      </w:r>
    </w:p>
    <w:p>
      <w:pPr>
        <w:spacing w:after="80"/>
      </w:pPr>
      <w:r>
        <w:rPr>
          <w:b w:val="0"/>
          <w:i w:val="0"/>
        </w:rPr>
        <w:t>264</w:t>
      </w:r>
    </w:p>
    <w:p>
      <w:pPr>
        <w:spacing w:after="80"/>
      </w:pPr>
      <w:r>
        <w:rPr>
          <w:b w:val="0"/>
          <w:i/>
        </w:rPr>
        <w:t>Rolls-Royce plc v Director of Income Tax,</w:t>
      </w:r>
      <w:r>
        <w:rPr>
          <w:b w:val="0"/>
          <w:i w:val="0"/>
        </w:rPr>
        <w:t>30 người nộp thuế đã không duy trì sổ sách kế toán riêng cho các hoạt động tại Ấn Độ, vì đã hoạt động trên cơ sở rằng họ không có cơ sở thường trú tại đó. Hội đồng Xét xử Thuế Thu nhập Ấn Độ đã phán quyết rằng tổng lợi nhuận của doanh nghiệp phải được phân bổ dựa trên nhiều yếu tố khác nhau ảnh hưởng đến việc phát sinh thu nhập. Đầu tiên cần xác định các hoạt động và trách nhiệm có ý nghĩa kinh tế được thực hiện thông qua các hoạt động của cơ sở thường trú bằng cách phân tích chức năng và thực tế trong bối cảnh các hoạt động và trách nhiệm do toàn bộ doanh nghiệp thực hiện. Thứ hai, thù lao cho bất kỳ giao dịch nào như vậy phải được xác định bằng cách áp dụng, theo phép loại suy, nguyên tắc thị trường giữa các doanh nghiệp liên kết, dựa trên các chức năng được thực hiện, tài sản được sử dụng và rủi ro được doanh nghiệp gánh chịu thông qua cơ sở thường trú và thông qua phần còn lại của doanh nghiệp. Mặc dù không được Hội đồng trích dẫn, nhưng thực tế nó đã diễn giải lại Cách tiếp cận được OECD ủy quyền (Authorised OECD Approach).</w:t>
      </w:r>
    </w:p>
    <w:p>
      <w:pPr>
        <w:spacing w:after="80"/>
      </w:pPr>
      <w:r>
        <w:rPr>
          <w:b w:val="0"/>
          <w:i w:val="0"/>
        </w:rPr>
        <w:t xml:space="preserve">Hàm ý trong việc phân bổ cho 'cơ sở thường trú đó' là mỗi cơ sở phải được phân bổ lợi nhuận một cách độc lập. Tuy nhiên, trong </w:t>
      </w:r>
      <w:r>
        <w:rPr>
          <w:b w:val="0"/>
          <w:i/>
        </w:rPr>
        <w:t>National Westminster Bank plc v United States</w:t>
      </w:r>
      <w:r>
        <w:rPr>
          <w:b w:val="0"/>
          <w:i w:val="0"/>
        </w:rPr>
        <w:t>31 sáu văn phòng chi nhánh tại Hoa Kỳ được coi là có khả năng được xử lý như một cơ sở thường trú duy nhất thay vì mỗi văn phòng được xử lý riêng biệt. Mặc dù Tòa án Yêu cầu Liên bang Hoa Kỳ coi vấn đề này là vấn đề pháp lý, nhưng phán quyết chủ yếu dựa trên thực tiễn hành chính trong nước của cả Vương quốc Anh và Hoa Kỳ cũng như cách thức hoạt động kinh doanh được tiến hành.32</w:t>
      </w:r>
    </w:p>
    <w:p>
      <w:pPr>
        <w:spacing w:after="80"/>
      </w:pPr>
      <w:r>
        <w:rPr>
          <w:b w:val="0"/>
          <w:i w:val="0"/>
        </w:rPr>
        <w:t>Bài viết làm rõ rằng việc phân bổ phải được thực hiện ở mỗi quốc gia – quốc gia nơi cơ sở thường trú tọa lạc – nhằm mục đích xác định nghĩa vụ thuế tại đó và quốc gia cư trú nhằm mục đích cấp cứu trợ khỏi đánh thuế hai lần. Mặc dù có nhiều ý kiến cho rằng lý thuyết thực thể riêng biệt (separate enterprise theory) cho phép một phần của doanh nghiệp tạo ra lợi nhuận 'giao dịch' với các phần khác của doanh nghiệp, nhưng quan điểm này không đứng vững vì hai lý do. Thứ nhất, có sự bất khả thi về mặt pháp lý khi một người tự giao dịch với chính mình. Lý thuyết này nhầm lẫn giữa 'thực thể riêng biệt' và 'pháp nhân riêng biệt'. Thứ hai, nó đòi hỏi phải đọc Điều 7(2) một cách tách biệt thay vì trong bối cảnh toàn bộ điều khoản. Lợi nhuận được phân bổ cho cơ sở thường trú là 'lợi nhuận của doanh nghiệp' trong Điều 7(1). Không bao giờ có thể có lợi nhuận tại cơ sở thường trú nếu người tham gia vào doanh nghiệp bị lỗ nói chung. Hơn nữa, khi cho phép phân bổ lợi nhuận của toàn bộ doanh nghiệp, chỉ thị cho mỗi quốc gia thực hiện việc phân bổ ngụ ý rằng sổ sách của trụ sở chính nên xác định lợi nhuận được phân bổ trong trường hợp có xung đột với quốc gia nơi cơ sở thường trú tọa lạc.</w:t>
      </w:r>
    </w:p>
    <w:p>
      <w:pPr>
        <w:spacing w:after="80"/>
      </w:pPr>
      <w:r>
        <w:rPr>
          <w:b w:val="0"/>
          <w:i w:val="0"/>
        </w:rPr>
        <w:t>Các cân nhắc đặc biệt được áp dụng khi xác định lợi nhuận được phân bổ cho cơ sở thường trú đại lý. Cụ thể, liệu đại lý có phải là cơ sở thường trú (như được nêu trong Điều 5(5)) hay không, với kết quả là thù lao theo nguyên tắc thị trường</w:t>
      </w:r>
    </w:p>
    <w:p>
      <w:pPr>
        <w:spacing w:after="80"/>
      </w:pPr>
      <w:r>
        <w:rPr>
          <w:b w:val="0"/>
          <w:i w:val="0"/>
        </w:rPr>
        <w:t>30.</w:t>
      </w:r>
      <w:r>
        <w:rPr>
          <w:b w:val="0"/>
          <w:i/>
        </w:rPr>
        <w:t>Rolls-Royce plc v Director of Income Tax</w:t>
      </w:r>
      <w:r>
        <w:rPr>
          <w:b w:val="0"/>
          <w:i w:val="0"/>
        </w:rPr>
        <w:t xml:space="preserve"> ITA Nos 1496-1501/Del/2007, Income Tax Appellate Tribunal, New Delhi C Bench, 26 tháng 10 năm 2007, [2007] 10 ITLR 327, tại đoạn 24.1.31.</w:t>
      </w:r>
      <w:r>
        <w:rPr>
          <w:b w:val="0"/>
          <w:i/>
        </w:rPr>
        <w:t>National Westminster Bank plc v United States</w:t>
      </w:r>
      <w:r>
        <w:rPr>
          <w:b w:val="0"/>
          <w:i w:val="0"/>
        </w:rPr>
        <w:t xml:space="preserve"> 99-2 USTC ¶50,654; 44 Fed.Cl. 120 (1999).32.Xem thêm về Điều 7 của Hiệp định Thuế Ấn Độ-Anh (1993), </w:t>
      </w:r>
      <w:r>
        <w:rPr>
          <w:b w:val="0"/>
          <w:i/>
        </w:rPr>
        <w:t>Rolls-Royce Industrial Power Ltd v ACIT</w:t>
      </w:r>
      <w:r>
        <w:rPr>
          <w:b w:val="0"/>
          <w:i w:val="0"/>
        </w:rPr>
        <w:t xml:space="preserve"> (2010-TII-139-ITAT-DEL-INTL).</w:t>
      </w:r>
    </w:p>
    <w:p>
      <w:pPr>
        <w:spacing w:after="80"/>
      </w:pPr>
      <w:r>
        <w:rPr>
          <w:b w:val="0"/>
          <w:i w:val="0"/>
        </w:rPr>
        <w:t>265</w:t>
      </w:r>
    </w:p>
    <w:p>
      <w:pPr>
        <w:spacing w:after="80"/>
      </w:pPr>
      <w:r>
        <w:rPr>
          <w:b w:val="0"/>
          <w:i w:val="0"/>
        </w:rPr>
        <w:t xml:space="preserve">của đại lý thỏa mãn việc phân bổ lợi nhuận cho cơ sở thường trú, hay liệu đại lý là người đại diện của cơ sở thường trú, trong trường hợp đó, một yếu tố khác trong lợi nhuận của bên giao đại lý phải được phân bổ cho cơ sở thường trú? Trong </w:t>
      </w:r>
      <w:r>
        <w:rPr>
          <w:b w:val="0"/>
          <w:i/>
        </w:rPr>
        <w:t>Rolls-Royce plc v Director of Income Tax,</w:t>
      </w:r>
      <w:r>
        <w:rPr>
          <w:b w:val="0"/>
          <w:i w:val="0"/>
        </w:rPr>
        <w:t>33 Hội đồng Xét xử Thuế Thu nhập Ấn Độ cho rằng thù lao của đại lý chỉ có thể xóa bỏ nghĩa vụ thuế của cơ sở thường trú đối với lợi nhuận của mình nếu thù lao đó phản ánh các rủi ro mà người không cư trú gánh chịu tại Ấn Độ và các chức năng do đại lý Ấn Độ thực hiện. Trong trường hợp đó, Hội đồng nhận thấy rằng mặc dù đại lý được trả thù lao cho các dịch vụ được mô tả trong một thỏa thuận, nhưng trên thực tế, các dịch vụ của đại lý vượt xa những gì được mô tả. Điều 7 của Hiệp định Thuế Ấn Độ-Anh là bất thường về mặt này, ở chỗ nó chứa một điều khoản cụ thể xử lý việc phân bổ lợi nhuận của cơ sở thường trú đại lý như sau:</w:t>
      </w:r>
    </w:p>
    <w:p>
      <w:pPr>
        <w:spacing w:after="80"/>
      </w:pPr>
      <w:r>
        <w:rPr>
          <w:b w:val="0"/>
          <w:i w:val="0"/>
        </w:rPr>
        <w:t>7(3) Khi một cơ sở thường trú tham gia tích cực vào việc đàm phán, ký kết hoặc thực hiện các hợp đồng được doanh nghiệp giao kết, thì, bất kể các phần khác của doanh nghiệp cũng đã tham gia vào các giao dịch đó, phần lợi nhuận của doanh nghiệp phát sinh từ các hợp đồng đó mà sự đóng góp của cơ sở thường trú cho các giao dịch đó so với sự đóng góp của toàn bộ doanh nghiệp sẽ được coi, cho các mục đích của khoản (1) của Điều này, là lợi nhuận được phân bổ gián tiếp cho cơ sở thường trú đó.</w:t>
      </w:r>
    </w:p>
    <w:p>
      <w:pPr>
        <w:spacing w:after="80"/>
      </w:pPr>
      <w:r>
        <w:rPr>
          <w:b w:val="0"/>
          <w:i w:val="0"/>
        </w:rPr>
        <w:t>Hội đồng lưu ý rằng mức độ doanh số được coi là lợi nhuận được phân bổ tại Ấn Độ phụ thuộc vào các sự kiện và hoàn cảnh thực tế. Quan điểm của OECD được đưa vào Bình luận cho Hiệp định Mẫu năm 2008 là đại lý phụ thuộc và doanh nghiệp mà đại lý đó đang hành động thay mặt tạo thành hai đối tượng nộp thuế tiềm năng riêng biệt.34 Điều này không được lặp lại trong Bình luận về Điều 7 mới.</w:t>
      </w:r>
    </w:p>
    <w:p>
      <w:pPr>
        <w:spacing w:after="80"/>
      </w:pPr>
      <w:r>
        <w:rPr>
          <w:b w:val="0"/>
          <w:i w:val="0"/>
        </w:rPr>
        <w:t xml:space="preserve">Khi cơ sở thường trú tồn tại trong suốt thời gian của một hợp đồng cụ thể, toàn bộ lợi nhuận của hợp đồng đó có thể được phân bổ cho cơ sở thường trú. Trong </w:t>
      </w:r>
      <w:r>
        <w:rPr>
          <w:b w:val="0"/>
          <w:i/>
        </w:rPr>
        <w:t>Adams Challenge (UK) Limited v Commissioner of Internal Revenue</w:t>
      </w:r>
      <w:r>
        <w:rPr>
          <w:b w:val="0"/>
          <w:i w:val="0"/>
        </w:rPr>
        <w:t>,35 một tàu hỗ trợ mỏ dầu được thuê để hỗ trợ việc ngừng khai thác các giếng dầu. Tòa án Thuế Hoa Kỳ dựa vào hợp đồng thuê tàu (charterparty) quy định mức giá hàng ngày trong suốt thời hạn thuê, bất kể hoạt động nào. Thời gian ở cảng để tiếp tế hoặc bảo dưỡng tàu, trong quá trình di chuyển như di chuyển tàu từ cảng đến địa điểm dự án, hoặc trong các hoạt động không sản xuất khác như nằm chờ trên biển vì thời tiết xấu được coi là thiết yếu trong việc thực hiện nhiệm vụ của tàu. Do đó, chúng được thực hiện 'liên quan đến' cơ sở thường trú cho các mục đích của Hiệp định Thuế Thu nhập Anh-Mỹ.36</w:t>
      </w:r>
    </w:p>
    <w:p>
      <w:pPr>
        <w:spacing w:after="80"/>
      </w:pPr>
      <w:r>
        <w:rPr>
          <w:b w:val="0"/>
          <w:i w:val="0"/>
        </w:rPr>
        <w:t>33.</w:t>
      </w:r>
      <w:r>
        <w:rPr>
          <w:b w:val="0"/>
          <w:i/>
        </w:rPr>
        <w:t>Rolls-Royce plc v Director of Income Tax</w:t>
      </w:r>
      <w:r>
        <w:rPr>
          <w:b w:val="0"/>
          <w:i w:val="0"/>
        </w:rPr>
        <w:t xml:space="preserve"> ITA Nos 1496-1501/Del/2007, Income Tax Appellate Tribunal, New Delhi C Bench, [2011] 14 ITLR 180.34.Ủy ban Các vấn đề Tài khóa OECD, Bình luận về Điều 7 (phiên bản trước) của Công ước Mẫu về Thuế của OECD, đoạn 26 (22 tháng 7 năm 2010).35.</w:t>
      </w:r>
      <w:r>
        <w:rPr>
          <w:b w:val="0"/>
          <w:i/>
        </w:rPr>
        <w:t>Adams Challenge (UK) Limited v Commissioner of Internal Revenue</w:t>
      </w:r>
      <w:r>
        <w:rPr>
          <w:b w:val="0"/>
          <w:i w:val="0"/>
        </w:rPr>
        <w:t>, 154 T.C. No.3, Docket 4816-15, (8 tháng 1 năm 2020).36.Xem Chương 13, §13.04 về ý nghĩa đặc biệt của cơ sở thường trú đối với các hoạt động thăm dò và khai thác ngoài khơi trong hiệp định đó. Các khía cạnh vận tải biển của vụ án được trình bày tại §9.15.</w:t>
      </w:r>
    </w:p>
    <w:p>
      <w:pPr>
        <w:spacing w:after="80"/>
      </w:pPr>
      <w:r>
        <w:rPr>
          <w:b w:val="0"/>
          <w:i w:val="0"/>
        </w:rPr>
        <w:t>266</w:t>
      </w:r>
    </w:p>
    <w:p>
      <w:pPr>
        <w:spacing w:after="80"/>
      </w:pPr>
      <w:r>
        <w:rPr>
          <w:b/>
          <w:i w:val="0"/>
        </w:rPr>
        <w:t>§9.05 CÁCH TIẾP CẬN ĐƯỢC OECD ỦY QUYỀN</w:t>
      </w:r>
    </w:p>
    <w:p>
      <w:pPr>
        <w:spacing w:after="80"/>
      </w:pPr>
      <w:r>
        <w:rPr>
          <w:b w:val="0"/>
          <w:i w:val="0"/>
        </w:rPr>
        <w:t>Cách tiếp cận mà OECD hiện đang áp dụng trong các báo cáo năm 2008 và 2010 của mình đã được gọi là "giả thuyết làm việc" (working hypothesis) trong các giai đoạn đầu của nghiên cứu. Để OECD áp dụng phiên bản của mình đối với cách tiếp cận doanh nghiệp tách biệt về mặt chức năng (functionally separate enterprise approach), cần thực hiện các bước sau:</w:t>
      </w:r>
    </w:p>
    <w:p>
      <w:pPr>
        <w:spacing w:after="80"/>
      </w:pPr>
      <w:r>
        <w:rPr>
          <w:b w:val="0"/>
          <w:i w:val="0"/>
        </w:rPr>
        <w:t>(1) Cơ sở thường trú (permanent establishment) phải được giả định là một doanh nghiệp riêng biệt và tách biệt.</w:t>
      </w:r>
    </w:p>
    <w:p>
      <w:pPr>
        <w:spacing w:after="80"/>
      </w:pPr>
      <w:r>
        <w:rPr>
          <w:b w:val="0"/>
          <w:i w:val="0"/>
        </w:rPr>
        <w:t>Điều này đòi hỏi phải phân tích về mặt chức năng và thực tế đối với cơ sở thường trú nhằm xác định các chức năng của doanh nghiệp riêng biệt và tách biệt được giả định đó cũng như các đặc điểm liên quan về mặt kinh tế gắn với việc thực hiện những chức năng ấy. (2) Lợi nhuận của doanh nghiệp riêng biệt và tách biệt được giả định phải được</w:t>
      </w:r>
    </w:p>
    <w:p>
      <w:pPr>
        <w:spacing w:after="80"/>
      </w:pPr>
      <w:r>
        <w:rPr>
          <w:b w:val="0"/>
          <w:i w:val="0"/>
        </w:rPr>
        <w:t>xác định dựa trên phân tích so sánh (comparability analysis). Vì không có giao dịch nào giữa chi nhánh và trụ sở chính trong cùng một pháp nhân, nên cần có sự tương tự với các giao dịch nội bộ (dealings). Giả thuyết làm việc đề cập đến các giao dịch nội bộ giữa cơ sở thường trú và doanh nghiệp mà nó là một phần. Các giao dịch nội bộ liên quan đến những sự kiện cần được ghi nhận nhằm mục đích phân bổ lợi nhuận vì không có điều khoản hợp đồng nào. Hồ sơ kế toán, cùng với bất kỳ tài liệu nội bộ nào được lập cùng thời điểm, sẽ được sử dụng để giả định "các điều khoản của giao dịch nội bộ". (3) Hướng dẫn chuyển giá của OECD sẽ được áp dụng bằng cách tương tự đối với các</w:t>
      </w:r>
    </w:p>
    <w:p>
      <w:pPr>
        <w:spacing w:after="80"/>
      </w:pPr>
      <w:r>
        <w:rPr>
          <w:b w:val="0"/>
          <w:i w:val="0"/>
        </w:rPr>
        <w:t>giao dịch nội bộ đó.</w:t>
      </w:r>
    </w:p>
    <w:p>
      <w:pPr>
        <w:spacing w:after="80"/>
      </w:pPr>
      <w:r>
        <w:rPr>
          <w:b w:val="0"/>
          <w:i w:val="0"/>
        </w:rPr>
        <w:t>Việc áp dụng chính xác cách tiếp cận này vẫn còn gây tranh cãi, và bất chấp cái tên nghe có vẻ đầy quyền uy của nó, nó không được chấp nhận một cách phổ quát. Trong nội bộ OECD, khoảng một nửa số quốc gia thành viên đã đưa ra các quan sát hoặc bảo lưu liên quan đến Bình luận sửa đổi năm 2008 đối với Điều 7, và khoảng 24 quốc gia không phải thành viên đã đăng ký quan điểm về vấn đề này. Đối với luật pháp Vương quốc Anh, địa vị của nó vẫn chỉ là một công cụ hỗ trợ giải thích.37 Vào thời điểm FA 2003 được ban hành, cơ quan thuế (Revenue) đã chỉ rõ rằng luật mới không ngụ ý việc đưa giả thuyết làm việc dự thảo của OECD vào áp dụng. Kết quả là, ngoài các quy tắc liên quan đến việc phân bổ vốn, cơ quan này cho biết không có thay đổi nào trong các quy tắc phân bổ lợi nhuận cho chi nhánh. Đóng góp của Vương quốc Anh vào báo cáo là rất đáng kể và thực tiễn của cơ quan thuế trong việc áp dụng luật trong nước về phân bổ lợi nhuận cho mục đích thuế thu nhập doanh nghiệp phản ánh cách tiếp cận của OECD.38</w:t>
      </w:r>
    </w:p>
    <w:p>
      <w:pPr>
        <w:spacing w:after="80"/>
      </w:pPr>
      <w:r>
        <w:rPr>
          <w:b w:val="0"/>
          <w:i w:val="0"/>
        </w:rPr>
        <w:t>Trong một cuộc trao đổi công hàm ngày 24 tháng 7 năm 2001, liên quan đến Hiệp định thuế giữa Vương quốc Anh và Hoa Kỳ năm 2001, Hướng dẫn chuyển giá của OECD được chính thức thừa nhận là cơ chế tương tự để xác định lợi nhuận quy cho một cơ sở thường trú. Tuy nhiên, hiệu lực chính xác của tuyên bố này vẫn chưa rõ ràng.</w:t>
      </w:r>
    </w:p>
    <w:p>
      <w:pPr>
        <w:spacing w:after="80"/>
      </w:pPr>
      <w:r>
        <w:rPr>
          <w:b w:val="0"/>
          <w:i w:val="0"/>
        </w:rPr>
        <w:t>37. Xem Chương 4, §4.06. 38. HMRC, International Manual, INTM267010 đến INTM267798. Xem §9.07.</w:t>
      </w:r>
    </w:p>
    <w:p>
      <w:pPr>
        <w:spacing w:after="80"/>
      </w:pPr>
      <w:r>
        <w:rPr>
          <w:b w:val="0"/>
          <w:i w:val="0"/>
        </w:rPr>
        <w:t>267</w:t>
      </w:r>
    </w:p>
    <w:p>
      <w:pPr>
        <w:spacing w:after="80"/>
      </w:pPr>
      <w:r>
        <w:rPr>
          <w:b/>
          <w:i w:val="0"/>
        </w:rPr>
        <w:t>§9.06 SỨC HÚT (FORCE OF ATTRACTION)</w:t>
      </w:r>
    </w:p>
    <w:p>
      <w:pPr>
        <w:spacing w:after="80"/>
      </w:pPr>
      <w:r>
        <w:rPr>
          <w:b w:val="0"/>
          <w:i w:val="0"/>
        </w:rPr>
        <w:t>Chính sách hiệp định của Vương quốc Anh là không đưa các quy tắc về sức hút (force of attraction) được tìm thấy trong Hiệp định mẫu của Liên Hợp Quốc (UN Model Treaty) vào các hiệp định của mình. Mô hình của Liên Hợp Quốc mở rộng lợi nhuận quy cho một cơ sở thường trú bao gồm:</w:t>
      </w:r>
    </w:p>
    <w:p>
      <w:pPr>
        <w:spacing w:after="80"/>
      </w:pPr>
      <w:r>
        <w:rPr>
          <w:b w:val="0"/>
          <w:i w:val="0"/>
        </w:rPr>
        <w:t>(b) việc bán hàng hóa hoặc thương phẩm cùng loại hoặc tương tự như những hàng hóa được bán thông qua cơ sở thường trú đó tại quốc gia kia; hoặc (c) các hoạt động kinh doanh khác được tiến hành tại quốc gia kia thuộc loại tương tự như những hoạt động được thực hiện thông qua cơ sở thường trú đó.39</w:t>
      </w:r>
    </w:p>
    <w:p>
      <w:pPr>
        <w:spacing w:after="80"/>
      </w:pPr>
      <w:r>
        <w:rPr>
          <w:b w:val="0"/>
          <w:i w:val="0"/>
        </w:rPr>
        <w:t xml:space="preserve">Trong </w:t>
      </w:r>
      <w:r>
        <w:rPr>
          <w:b w:val="0"/>
          <w:i/>
        </w:rPr>
        <w:t>Linklaters &amp; Paines v Income-tax Officer</w:t>
      </w:r>
      <w:r>
        <w:rPr>
          <w:b w:val="0"/>
          <w:i w:val="0"/>
        </w:rPr>
        <w:t xml:space="preserve">,40 Tòa án Thu nhập Ấn Độ (Indian Income Tax Appellate Tribunal) đã đưa ra kết luận đáng ngạc nhiên rằng cụm từ "lợi nhuận của doanh nghiệp… nhưng chỉ phần lợi nhuận có thể được quy trực tiếp hoặc gián tiếp cho cơ sở thường trú đó" trong Điều 7(1) của Hiệp định thuế thu nhập giữa Ấn Độ và Vương quốc Anh (1993) đã bao hàm một quy tắc sức hút được nhúng sẵn trong điều khoản này. Trong vụ án đó, một công ty luật có trụ sở chính tại London, không có chi nhánh hay bất kỳ hình thức hiện diện thực tế nào ở Ấn Độ, đã thực hiện một số công việc cho các dự án ở Ấn Độ. Phần lớn công việc được thực hiện tại Vương quốc Anh và một phần được thực hiện tại Ấn Độ bởi những người đến đó, làm phát sinh một cơ sở thường trú.41 Tòa án đã giữ nguyên một quyết định ấn định phân bổ lợi nhuận, theo đó đánh thuế tại Ấn Độ toàn bộ thu nhập mà công ty kiếm được từ các dự án ở Ấn Độ, mặc dù chỉ một phần dịch vụ liên quan đến các dự án được thực hiện tại Ấn Độ. Tòa án cho rằng việc quy gián tiếp là đủ để đưa thu nhập từ những dịch vụ đó vào phạm vi chịu thuế tại Ấn Độ nếu chúng đáp ứng các tiêu chí trong Điều 7(1)(b) và (c) của Mô hình Liên Hợp Quốc. Kết luận này rõ ràng là sai lầm. Vấn đề trong </w:t>
      </w:r>
      <w:r>
        <w:rPr>
          <w:b w:val="0"/>
          <w:i/>
        </w:rPr>
        <w:t>Linklaters</w:t>
      </w:r>
      <w:r>
        <w:rPr>
          <w:b w:val="0"/>
          <w:i w:val="0"/>
        </w:rPr>
        <w:t xml:space="preserve"> không phải là liệu lợi nhuận có thể được quy "trực tiếp" hay "gián tiếp" hay không, mà là liệu nó có thể được quy cho bất kỳ ai hay không. Để có thể được quy cho, phải tồn tại mối liên hệ giữa cơ sở thường trú và lợi nhuận. Cơ sở thường trú trong trường hợp này chỉ đơn thuần là việc thực hiện dịch vụ tại Ấn Độ trong một khoảng thời gian đủ dài (chứ không phải là các dự án mà công việc liên quan đến). Việc một cơ sở thường trú như vậy tồn tại không tự nó tạo ra mối liên hệ với công việc được thực hiện tại trụ sở chính ở London. Dù sao đi nữa, các tiêu chí trong Điều 7(1)(b) và (c) của Mô hình Liên Hợp Quốc cũng không được đáp ứng: "hoạt động kinh doanh tương tự khác" được tiến hành tại Vương quốc Anh chứ không phải tại Ấn Độ.</w:t>
      </w:r>
    </w:p>
    <w:p>
      <w:pPr>
        <w:spacing w:after="80"/>
      </w:pPr>
      <w:r>
        <w:rPr>
          <w:b w:val="0"/>
          <w:i w:val="0"/>
        </w:rPr>
        <w:t xml:space="preserve">Việc đưa quy tắc "sức hút" vào </w:t>
      </w:r>
      <w:r>
        <w:rPr>
          <w:b w:val="0"/>
          <w:i/>
        </w:rPr>
        <w:t>Linklaters</w:t>
      </w:r>
      <w:r>
        <w:rPr>
          <w:b w:val="0"/>
          <w:i w:val="0"/>
        </w:rPr>
        <w:t xml:space="preserve"> được cho là đã bị Tòa án Thu nhập Ấn Độ đặt nhầm chỗ một cách rõ ràng trong </w:t>
      </w:r>
      <w:r>
        <w:rPr>
          <w:b w:val="0"/>
          <w:i/>
        </w:rPr>
        <w:t>ADIT (IT) v Clifford Chance.</w:t>
      </w:r>
      <w:r>
        <w:rPr>
          <w:b w:val="0"/>
          <w:i w:val="0"/>
        </w:rPr>
        <w:t>42 Tòa án Mumbai đã phán quyết rằng những gì "được quy trực tiếp" được quy định trong Điều 7(2), trong khi những gì "được quy gián tiếp" được quy định trong Điều 7(3).43</w:t>
      </w:r>
    </w:p>
    <w:p>
      <w:pPr>
        <w:spacing w:after="80"/>
      </w:pPr>
      <w:r>
        <w:rPr>
          <w:b w:val="0"/>
          <w:i w:val="0"/>
        </w:rPr>
        <w:t xml:space="preserve">39. </w:t>
      </w:r>
      <w:r>
        <w:rPr>
          <w:b w:val="0"/>
          <w:i/>
        </w:rPr>
        <w:t>United Nations Model Double Taxation Convention between Developed and Developing Countries</w:t>
      </w:r>
      <w:r>
        <w:rPr>
          <w:b w:val="0"/>
          <w:i w:val="0"/>
        </w:rPr>
        <w:t xml:space="preserve"> 2001, Điều 7(1). 40. </w:t>
      </w:r>
      <w:r>
        <w:rPr>
          <w:b w:val="0"/>
          <w:i/>
        </w:rPr>
        <w:t>Linklaters &amp; Paines v Income-tax Officer</w:t>
      </w:r>
      <w:r>
        <w:rPr>
          <w:b w:val="0"/>
          <w:i w:val="0"/>
        </w:rPr>
        <w:t xml:space="preserve"> (International Taxation), 1(1)(2), Mumbai No. – M.A. No. 223 (MUM.) của năm 2011, IT Appeal Nos. 2896 &amp; 5085 (MUM.) của năm 2003, ngày 19 tháng 12 năm 2012, taxindiaconnect.com. 41. Xem Chương 7, §7.07. 42. </w:t>
      </w:r>
      <w:r>
        <w:rPr>
          <w:b w:val="0"/>
          <w:i/>
        </w:rPr>
        <w:t>ADIT (IT) v Clifford Chance</w:t>
      </w:r>
      <w:r>
        <w:rPr>
          <w:b w:val="0"/>
          <w:i w:val="0"/>
        </w:rPr>
        <w:t xml:space="preserve"> (2013) 24 ITR 1; 87 DTR 210 (SB) (Mum.) (Trib.). 43. Xem §9.04.</w:t>
      </w:r>
    </w:p>
    <w:p>
      <w:pPr>
        <w:spacing w:after="80"/>
      </w:pPr>
      <w:r>
        <w:rPr>
          <w:b w:val="0"/>
          <w:i w:val="0"/>
        </w:rPr>
        <w:t>268</w:t>
      </w:r>
    </w:p>
    <w:p>
      <w:pPr>
        <w:spacing w:after="80"/>
      </w:pPr>
      <w:r>
        <w:rPr>
          <w:b/>
          <w:i w:val="0"/>
        </w:rPr>
        <w:t>§9.07 QUY KẾT LỢI NHUẬN CHO CƠ SỞ THƯỜNG TRÚ (BẢN 2010)</w:t>
      </w:r>
    </w:p>
    <w:p>
      <w:pPr>
        <w:spacing w:after="80"/>
      </w:pPr>
      <w:r>
        <w:rPr>
          <w:b w:val="0"/>
          <w:i w:val="0"/>
        </w:rPr>
        <w:t>Vương quốc Anh đã đạt được thành công không đồng đều trong việc thỏa thuận các hiệp định có chứa phiên bản mới của Điều 7. Kể từ khi công bố hiệp định Mẫu OECD 2010, chỉ có các hiệp định với Barbados, Canada, Đức, Iceland, Nhật Bản, Lichtenstein và Thụy Điển là chứa phiên bản mới. Các hiệp định mới, ví dụ với Albania, Algeria, Bahrain, Bỉ, Trung Quốc, Croatia, Hungary, Na Uy, Senegal, Tây Ban Nha, Tajikistan và Zambia được ký kết sau năm 2010 lại áp dụng phiên bản truyền thống. Văn bản mới xuất hiện trong Hiệp định Thuế Lichtenstein-Vương quốc Anh (2012)44 như sau:</w:t>
      </w:r>
    </w:p>
    <w:p>
      <w:pPr>
        <w:spacing w:after="80"/>
      </w:pPr>
      <w:r>
        <w:rPr>
          <w:b w:val="0"/>
          <w:i w:val="0"/>
        </w:rPr>
        <w:t>7(2) Nhằm mục đích của Điều này và Điều 22, khi một doanh nghiệp của một Quốc gia ký kết tiến hành hoạt động kinh doanh tại Quốc gia ký kết kia thông qua một cơ sở thường trú đặt tại đó, lợi nhuận được quy kết tại mỗi Quốc gia ký kết cho cơ sở thường trú được đề cập tại khoản 1 là lợi nhuận mà cơ sở đó có thể được kỳ vọng tạo ra, đặc biệt trong các giao dịch của nó với các bộ phận khác của doanh nghiệp, nếu nó là một doanh nghiệp riêng biệt và độc lập tham gia vào các hoạt động tương tự hoặc giống nhau trong các điều kiện tương tự hoặc giống nhau, có tính đến các chức năng được thực hiện, tài sản được sử dụng và rủi ro được gánh chịu bởi doanh nghiệp thông qua cơ sở thường trú và thông qua các bộ phận khác của doanh nghiệp.</w:t>
      </w:r>
    </w:p>
    <w:p>
      <w:pPr>
        <w:spacing w:after="80"/>
      </w:pPr>
      <w:r>
        <w:rPr>
          <w:b w:val="0"/>
          <w:i w:val="0"/>
        </w:rPr>
        <w:t>Ủy ban về các vấn đề tài khóa của OECD tin rằng ngôn ngữ sửa đổi này sẽ cho phép quy kết lợi nhuận theo cách được đề cập trong báo cáo năm 2008 của mình.45 Các phần mới trong hướng dẫn về đánh thuế cơ sở thường trú khá khiêm tốn. Thứ nhất, khi xác định lợi nhuận mà một cơ sở thường trú 'có thể được kỳ vọng tạo ra', phải xem xét 'đặc biệt trong các giao dịch của nó với các bộ phận khác của doanh nghiệp'. Hiệu ứng dự kiến của thay đổi này là Điều 7(2) không còn tìm cách phân bổ lợi nhuận của toàn bộ doanh nghiệp cho một cơ sở thường trú nữa. Những lợi nhuận như vậy chắc chắn phát sinh từ các giao dịch với bên thứ ba. Thay vào đó, nó yêu cầu cơ sở thường trú và các bộ phận khác của doanh nghiệp đều được đối xử như thể mỗi bên là một doanh nghiệp riêng biệt. Bằng cách nhấn mạnh vào các giao dịch với các bộ phận khác của doanh nghiệp, việc áp dụng nguyên tắc giá thị trường (arm's-length principle) có nghĩa là mỗi bộ phận của doanh nghiệp có thể được yêu cầu quy gán một khoản lợi nhuận hư cấu dựa trên sự tương tác giữa các bộ phận khác nhau của doanh nghiệp.46 Điều này, như Phần bình luận thừa nhận, sẽ chỉ xảy ra khi luật trong nước cho phép như vậy.47 Kết quả duy nhất của thực tế rằng các giao dịch giữa cơ sở thường trú và các bộ phận khác của doanh nghiệp không có hậu quả pháp lý đối với toàn bộ doanh nghiệp, chính là nhu cầu giám sát những giao dịch đó lớn hơn so với các giao dịch giữa các doanh nghiệp liên kết.48</w:t>
      </w:r>
    </w:p>
    <w:p>
      <w:pPr>
        <w:spacing w:after="80"/>
      </w:pPr>
      <w:r>
        <w:rPr>
          <w:b w:val="0"/>
          <w:i w:val="0"/>
        </w:rPr>
        <w:t>44. Công ước giữa Vương quốc Liên hiệp Anh và Bắc Ireland và Công quốc Liechtenstein về việc tránh đánh thuế hai lần và ngăn ngừa trốn thuế tài khóa đối với thuế thu nhập và thuế vốn ngày 11 tháng 6 năm 2012 (SI 2012/307).45. Xem §9.04 và §9.05.46. Ủy ban về các vấn đề tài khóa của OECD, Phần bình luận về Điều 7 của Công ước Mẫu về Thuế của OECD, đoạn 17 (ngày 22 tháng 7 năm 2010).47. Ủy ban về các vấn đề tài khóa của OECD, Phần bình luận về Điều 7 của Công ước Mẫu về Thuế của OECD, đoạn 28 (ngày 22 tháng 7 năm 2010).48. Ủy ban về các vấn đề tài khóa của OECD, Phần bình luận về Điều 7 của Công ước Mẫu về Thuế của OECD, đoạn 26 (ngày 22 tháng 7 năm 2010).</w:t>
      </w:r>
    </w:p>
    <w:p>
      <w:pPr>
        <w:spacing w:after="80"/>
      </w:pPr>
      <w:r>
        <w:rPr>
          <w:b w:val="0"/>
          <w:i w:val="0"/>
        </w:rPr>
        <w:t>269</w:t>
      </w:r>
    </w:p>
    <w:p>
      <w:pPr>
        <w:spacing w:after="80"/>
      </w:pPr>
      <w:r>
        <w:rPr>
          <w:b w:val="0"/>
          <w:i w:val="0"/>
        </w:rPr>
        <w:t>Thật không dễ để đọc được toàn bộ hiệu lực của công trình OECD trong ngôn ngữ cô đọng của phiên bản 2010 của Điều 7(2). Mặc dù Phần bình luận của OECD đã được coi là tài liệu bổ sung49 và do đó có thể được sử dụng khi quy tắc chung về giải thích hiệp định (a) để lại ý nghĩa mơ hồ hoặc khó hiểu; hoặc (b) dẫn đến một kết quả rõ ràng là vô lý hoặc không hợp lý,50 thật khó để tưởng tượng việc áp dụng Điều 7 mới của OECD mà không cần đến Phần bình luận và các báo cáo của OECD về quy kết lợi nhuận.</w:t>
      </w:r>
    </w:p>
    <w:p>
      <w:pPr>
        <w:spacing w:after="80"/>
      </w:pPr>
      <w:r>
        <w:rPr>
          <w:b w:val="0"/>
          <w:i w:val="0"/>
        </w:rPr>
        <w:t>Điều khoản quy kết lợi nhuận mới không còn bao gồm Điều 7(3) về chi phí,51 Điều 7(4) về các phương pháp thông thường,52 Điều 7(5) về mua hàng hóa hay Điều 7(6) về tính nhất quán, với lý do chúng đã được bao hàm trong nguyên tắc giá thị trường. Mặt khác, Điều 7 mới phù hợp hơn với ngôn ngữ hiện có trong Điều 9 về các doanh nghiệp liên kết.53 Điều này được minh họa bởi Hiệp định Thuế Lichtenstein-Vương quốc Anh (2012), trong đó yêu cầu các điều chỉnh tương ứng như sau:</w:t>
      </w:r>
    </w:p>
    <w:p>
      <w:pPr>
        <w:spacing w:after="80"/>
      </w:pPr>
      <w:r>
        <w:rPr>
          <w:b w:val="0"/>
          <w:i w:val="0"/>
        </w:rPr>
        <w:t>7(3) Khi, theo khoản 2, một Quốc gia ký kết điều chỉnh lợi nhuận được quy kết cho một cơ sở thường trú của một doanh nghiệp thuộc một trong các Quốc gia ký kết và đánh thuế tương ứng đối với lợi nhuận của doanh nghiệp đã bị đánh thuế tại Quốc gia kia, Quốc gia kia, trong phạm vi cần thiết để loại bỏ việc đánh thuế hai lần đối với những lợi nhuận này, phải thực hiện điều chỉnh thích hợp đối với số thuế đánh trên những lợi nhuận đó. Khi xác định điều chỉnh như vậy, các cơ quan có thẩm quyền của các Quốc gia ký kết, nếu cần thiết, phải tham khảo ý kiến của nhau.</w:t>
      </w:r>
    </w:p>
    <w:p>
      <w:pPr>
        <w:spacing w:after="80"/>
      </w:pPr>
      <w:r>
        <w:rPr>
          <w:b w:val="0"/>
          <w:i w:val="0"/>
        </w:rPr>
        <w:t>Ngôn ngữ như vậy, ở một mức độ nào đó, là thừa thãi trong phiên bản trước đó vì việc quy kết lợi nhuận theo cách không nhất quán với Điều 7 sẽ dẫn đến việc đánh thuế không phù hợp với hiệp định, điều này có thể được giải quyết bằng thủ tục thỏa thuận song phương trong Điều 25. Sự khác biệt chính trong phiên bản mới là việc giải quyết bất kỳ việc đánh thuế hai lần nào phát sinh là bắt buộc chứ không chỉ là vấn đề nỗ lực, như yêu cầu của Điều 25.54</w:t>
      </w:r>
    </w:p>
    <w:p>
      <w:pPr>
        <w:spacing w:after="80"/>
      </w:pPr>
      <w:r>
        <w:rPr>
          <w:b/>
          <w:i w:val="0"/>
        </w:rPr>
        <w:t>§9.08 QUY KẾT TRONG NƯỚC: THUẾ THU NHẬP</w:t>
      </w:r>
    </w:p>
    <w:p>
      <w:pPr>
        <w:spacing w:after="80"/>
      </w:pPr>
      <w:r>
        <w:rPr>
          <w:b w:val="0"/>
          <w:i w:val="0"/>
        </w:rPr>
        <w:t>Cơ sở pháp lý để quy kết lợi nhuận cho một chi nhánh tại Vương quốc Anh của một đối tượng không cư trú đối với thuế thu nhập theo luật trong nước là không rõ ràng. Trong lịch sử, việc đánh giá được thực hiện đối với một chi nhánh hoặc đại lý mà qua đó hoạt động kinh doanh được tiến hành. Điều này cũng đúng đối với các công ty không cư trú mà lợi nhuận chịu thuế là bất kỳ thu nhập kinh doanh nào phát sinh trực tiếp hoặc gián tiếp thông qua hoặc từ chi nhánh hoặc đại lý, và bất kỳ thu nhập nào từ tài sản hoặc quyền được sử dụng bởi hoặc được giữ cho chi nhánh hoặc đại lý.55</w:t>
      </w:r>
    </w:p>
    <w:p>
      <w:pPr>
        <w:spacing w:after="80"/>
      </w:pPr>
      <w:r>
        <w:rPr>
          <w:b w:val="0"/>
          <w:i w:val="0"/>
        </w:rPr>
        <w:t>Có rất ít thẩm quyền trực tiếp của Vương quốc Anh về phương pháp xác định thu nhập phát sinh 'trực tiếp hoặc gián tiếp' thông qua hoặc từ chi nhánh hoặc đại lý. Trong một vụ án ban đầu,</w:t>
      </w:r>
    </w:p>
    <w:p>
      <w:pPr>
        <w:spacing w:after="80"/>
      </w:pPr>
      <w:r>
        <w:rPr>
          <w:b w:val="0"/>
          <w:i w:val="0"/>
        </w:rPr>
        <w:t>49.</w:t>
      </w:r>
      <w:r>
        <w:rPr>
          <w:b w:val="0"/>
          <w:i/>
        </w:rPr>
        <w:t>IRC v Commerzbank AG</w:t>
      </w:r>
      <w:r>
        <w:rPr>
          <w:b w:val="0"/>
          <w:i w:val="0"/>
        </w:rPr>
        <w:t xml:space="preserve"> [1990] BTC 172; [1990] STC 285 Ch. D tại 297-298. Xem Chương 4, §4.03.50.</w:t>
      </w:r>
      <w:r>
        <w:rPr>
          <w:b w:val="0"/>
          <w:i/>
        </w:rPr>
        <w:t>Công ước Vienna về Luật Hiệp định</w:t>
      </w:r>
      <w:r>
        <w:rPr>
          <w:b w:val="0"/>
          <w:i w:val="0"/>
        </w:rPr>
        <w:t>, Điều 32. Xem Chương 4, §4.06.51. Xem §9.10.52. Xem §9.12.53. Xem §9.17.54. Xem Chương 20.55. ICTA 1988, s. 11(2), trước khi được sửa đổi bởi FA 2003.</w:t>
      </w:r>
    </w:p>
    <w:p>
      <w:pPr>
        <w:spacing w:after="80"/>
      </w:pPr>
      <w:r>
        <w:rPr>
          <w:b w:val="0"/>
          <w:i w:val="0"/>
        </w:rPr>
        <w:t>270</w:t>
      </w:r>
    </w:p>
    <w:p>
      <w:pPr>
        <w:spacing w:after="80"/>
      </w:pPr>
      <w:r>
        <w:rPr>
          <w:b w:val="0"/>
          <w:i/>
        </w:rPr>
        <w:t>Pommery và Greno đối Aptthorpe</w:t>
      </w:r>
      <w:r>
        <w:rPr>
          <w:b w:val="0"/>
          <w:i w:val="0"/>
        </w:rPr>
        <w:t>,56 về câu hỏi liệu những người không cư trú có đang kinh doanh tại Vương quốc Anh hay không, Thẩm phán Denman đã nói:57</w:t>
      </w:r>
    </w:p>
    <w:p>
      <w:pPr>
        <w:spacing w:after="80"/>
      </w:pPr>
      <w:r>
        <w:rPr>
          <w:b w:val="0"/>
          <w:i w:val="0"/>
        </w:rPr>
        <w:t>Có thể sẽ có chút khó khăn ở một số khía cạnh về cách tính khoản chi phí được trừ vào lợi nhuận, liệu có phải là cách làm thích hợp khi nhìn vào hàng hóa gửi sang Anh rồi xem xét chúng tạo ra lợi nhuận bao nhiêu, định giá hợp lý khi chúng đến, và khi tiền được chuyển đi, hay liệu trong trường hợp như vậy có cần phải xem xét kỹ lưỡng hơn về lợi nhuận và thua lỗ của toàn bộ hoạt động thương mại được tiến hành một phần ở Pháp và một phần ở Anh. … Đó là vấn đề về lượng (quantum), một vấn đề để những người có chuyên môn trong việc xử lý những việc như đánh giá lợi nhuận thương mại xem xét.</w:t>
      </w:r>
    </w:p>
    <w:p>
      <w:pPr>
        <w:spacing w:after="80"/>
      </w:pPr>
      <w:r>
        <w:rPr>
          <w:b w:val="0"/>
          <w:i w:val="0"/>
        </w:rPr>
        <w:t xml:space="preserve">Đoạn này đã được cơ quan thuế (Revenue) trích dẫn như một mô tả ban đầu về nguyên tắc giao dịch độc lập (arm's-length principle). Những vấn đề về phân bổ trong bối cảnh không có hiệp định được minh họa rõ ràng trong </w:t>
      </w:r>
      <w:r>
        <w:rPr>
          <w:b w:val="0"/>
          <w:i/>
        </w:rPr>
        <w:t>Yates v GCA International Ltd</w:t>
      </w:r>
      <w:r>
        <w:rPr>
          <w:b w:val="0"/>
          <w:i w:val="0"/>
        </w:rPr>
        <w:t xml:space="preserve">.58 Trong trường hợp đó, một công ty Anh đã ký hợp đồng với một công ty Venezuela để cung cấp một số dịch vụ nhất định. Thù lao được chia giữa công việc thực hiện ở Anh và công việc thực hiện ở Venezuela. Theo Bộ luật Thuế Venezuela, thu nhập được coi là phát sinh từ nguồn Venezuela </w:t>
      </w:r>
      <w:r>
        <w:rPr>
          <w:b w:val="0"/>
          <w:i/>
        </w:rPr>
        <w:t>inter alia</w:t>
      </w:r>
      <w:r>
        <w:rPr>
          <w:b w:val="0"/>
          <w:i w:val="0"/>
        </w:rPr>
        <w:t xml:space="preserve"> nếu nguyên nhân phát sinh thu nhập nằm trong lãnh thổ Venezuela hoặc đối với các dịch vụ cung cấp cho cư dân Venezuela hoặc các dịch vụ kỹ thuật được sử dụng trong nước; tuy nhiên, nhằm mục đích xác định mức tín dụng thuế được hưởng ở Anh theo điều khoản nay là TIOPA 2010, s. 9(1)(b), người ta quy định rằng thu nhập đang xét phải phát sinh trong lãnh thổ áp đặt thuế đó. Scott J (chức danh khi đó của ông) kết luận rằng các khái niệm của luật Anh về việc xác định nơi phát sinh thu nhập phải được áp dụng để xác định mức độ thù lao theo hợp đồng là 'thu nhập phát sinh tại' Venezuela. Ông phán quyết rằng việc phân bổ nguồn lợi nhuận là khả thi và rằng các Ủy viên Đặc biệt (Special Commissioners) đã đưa ra cách phân bổ hiển nhiên, cụ thể là dựa trên chính hợp đồng, và ông không thay đổi điều đó.</w:t>
      </w:r>
    </w:p>
    <w:p>
      <w:pPr>
        <w:spacing w:after="80"/>
      </w:pPr>
      <w:r>
        <w:rPr>
          <w:b w:val="0"/>
          <w:i w:val="0"/>
        </w:rPr>
        <w:t xml:space="preserve">Trong vụ </w:t>
      </w:r>
      <w:r>
        <w:rPr>
          <w:b w:val="0"/>
          <w:i/>
        </w:rPr>
        <w:t>Sun Life</w:t>
      </w:r>
      <w:r>
        <w:rPr>
          <w:b w:val="0"/>
          <w:i w:val="0"/>
        </w:rPr>
        <w:t>,59 tòa án xem xét liệu, trong bối cảnh Hiệp định Thuế Thu nhập Canada-Anh, các hợp đồng bảo hiểm có được lập tại hoặc thông qua một chi nhánh hay đại lý ở Anh trong các tình huống sau hay không: một công ty bảo hiểm Canada chia hoạt động kinh doanh của mình thành các bộ phận. Bộ phận Anh không chỉ bao gồm các lãnh thổ trong nước Anh mà còn cả Cộng hòa Ireland, Malta, Guernsey, Jersey và Đảo Man. Tòa Phúc thẩm kết luận rằng chi nhánh hoặc đại lý được cấu thành bởi toàn bộ hoạt động trong nước Anh và rằng các văn phòng bên ngoài nước Anh, chẳng hạn ở Cộng hòa Ireland, không có thẩm quyền ký kết bất kỳ hoạt động kinh doanh bảo hiểm nào. Chúng chỉ là những kênh hành chính để các đề xuất đến được London, nơi chúng được xử lý một cách hiệu quả và nơi các hợp đồng bảo hiểm được phát hành.</w:t>
      </w:r>
    </w:p>
    <w:p>
      <w:pPr>
        <w:spacing w:after="80"/>
      </w:pPr>
      <w:r>
        <w:rPr>
          <w:b w:val="0"/>
          <w:i w:val="0"/>
        </w:rPr>
        <w:t>Không có nhiều thay đổi cho đến khi ban hành FA 1995, đạo luật đã đưa ra cả những thay đổi về nội dung lẫn thủ tục đối với việc đánh thuế người không cư trú. Vấn đề xác định lợi nhuận của người không cư trú đã được tranh luận tại Nghị viện do nhận thấy những điểm chưa thỏa đáng</w:t>
      </w:r>
    </w:p>
    <w:p>
      <w:pPr>
        <w:spacing w:after="80"/>
      </w:pPr>
      <w:r>
        <w:rPr>
          <w:b w:val="0"/>
          <w:i w:val="0"/>
        </w:rPr>
        <w:t>56.</w:t>
      </w:r>
      <w:r>
        <w:rPr>
          <w:b w:val="0"/>
          <w:i/>
        </w:rPr>
        <w:t>Pommery and Greno v Aptthorpe</w:t>
      </w:r>
      <w:r>
        <w:rPr>
          <w:b w:val="0"/>
          <w:i w:val="0"/>
        </w:rPr>
        <w:t xml:space="preserve"> (1886) 2 TC 182.57.At 189.58.</w:t>
      </w:r>
      <w:r>
        <w:rPr>
          <w:b w:val="0"/>
          <w:i/>
        </w:rPr>
        <w:t>Yates v GCA International Ltd</w:t>
      </w:r>
      <w:r>
        <w:rPr>
          <w:b w:val="0"/>
          <w:i w:val="0"/>
        </w:rPr>
        <w:t xml:space="preserve"> [1991] BTC 107; [1991] STC 157, Ch. D.59.</w:t>
      </w:r>
      <w:r>
        <w:rPr>
          <w:b w:val="0"/>
          <w:i/>
        </w:rPr>
        <w:t>SunLifeAssuranceCompanyofCanadavPearson(H.M.InspectorofTaxes)</w:t>
      </w:r>
      <w:r>
        <w:rPr>
          <w:b w:val="0"/>
          <w:i w:val="0"/>
        </w:rPr>
        <w:t>[1986]STC335,[1986] BTC 282, 59 TC 250.</w:t>
      </w:r>
    </w:p>
    <w:p>
      <w:pPr>
        <w:spacing w:after="80"/>
      </w:pPr>
      <w:r>
        <w:rPr>
          <w:b w:val="0"/>
          <w:i w:val="0"/>
        </w:rPr>
        <w:t>271</w:t>
      </w:r>
    </w:p>
    <w:p>
      <w:pPr>
        <w:spacing w:after="80"/>
      </w:pPr>
      <w:r>
        <w:rPr>
          <w:b w:val="0"/>
          <w:i w:val="0"/>
        </w:rPr>
        <w:t xml:space="preserve">của dự luật được đề xuất.60 Trong quá trình tranh luận tại Ủy ban Thường trực về Dự luật Tài chính, Chính phủ tái khẳng định rằng 'nguyên tắc giao dịch độc lập áp dụng chung cho việc xác định lợi nhuận bị đánh thuế đối với người không cư trú'. Chính phủ không sẵn lòng chấp nhận các sửa đổi đối với luật này, nhưng sau đó cơ quan thuế đã ban hành một tuyên bố trên </w:t>
      </w:r>
      <w:r>
        <w:rPr>
          <w:b w:val="0"/>
          <w:i/>
        </w:rPr>
        <w:t>Tax Bulletin</w:t>
      </w:r>
      <w:r>
        <w:rPr>
          <w:b w:val="0"/>
          <w:i w:val="0"/>
        </w:rPr>
        <w:t>,61 với sự đồng thuận của các tổ chức chuyên môn thuế lớn, với nội dung rằng nguyên tắc giao dịch độc lập như được nêu trong Hiệp định Mẫu OECD và các ấn phẩm của OECD áp dụng cho việc xác định lợi nhuận bị đánh thuế đối với người không cư trú liên quan đến hoạt động thương mại tại Anh như một vấn đề pháp lý, bất kể có hiệp định được áp dụng hay không. Về mặt pháp lý, một chi nhánh không phải là một pháp nhân tách biệt với công ty mà nó thuộc về mà là một phần của công ty đó. ITA 2007, s. 853E(3) Quy tắc 2 quy định rằng nhằm mục đích của điều khoản đó (xác định nghĩa vụ thuế của đại diện tại Anh của một người không cư trú (tức là chi nhánh hoặc đại lý)), đại diện đó được đối xử như thể là một người tách biệt và riêng biệt với người không cư trú. Điều này có thể đưa ra một số hỗ trợ theo luật định cho giả thuyết doanh nghiệp tách biệt như một vấn đề của luật trong nước.</w:t>
      </w:r>
    </w:p>
    <w:p>
      <w:pPr>
        <w:spacing w:after="80"/>
      </w:pPr>
      <w:r>
        <w:rPr>
          <w:b w:val="0"/>
          <w:i w:val="0"/>
        </w:rPr>
        <w:t>Các quy định chuyển giá theo luật định trong TIOPA 2010, Phần 4 tự chúng không áp dụng cho việc phân bổ lợi nhuận giữa một chi nhánh tại Anh và các phần khác trong hoạt động kinh doanh của một người không cư trú. Tuy nhiên, cần lưu ý rằng nếu một người không cư trú thuộc diện chịu thuế tại Anh, các giao dịch giữa người đó và các công ty khác mà có sự quản lý, kiểm soát hoặc vốn chung như được xác định theo TIOPA 2010, s. 148 sẽ thuộc phạm vi các quy tắc chuyển giá của Anh. Do đó, việc xác định giá chuyển nhượng sẽ ở hai cấp độ: thứ nhất, giữa người đó và các phần khác của tập đoàn, và thứ hai, giữa trụ sở chính và cơ sở thường trú tại Anh. Cả hai cấp độ đều liên quan đến thuế của Anh.</w:t>
      </w:r>
    </w:p>
    <w:p>
      <w:pPr>
        <w:spacing w:after="80"/>
      </w:pPr>
      <w:r>
        <w:rPr>
          <w:b w:val="0"/>
          <w:i w:val="0"/>
        </w:rPr>
        <w:t>Việc đánh thuế thu nhập và thuế doanh nghiệp của Ireland phù hợp với cách tiếp cận truyền thống của Anh.62 Việc phân bổ lợi nhuận trong trường hợp các công ty theo s. 25(2)(a):</w:t>
      </w:r>
    </w:p>
    <w:p>
      <w:pPr>
        <w:spacing w:after="80"/>
      </w:pPr>
      <w:r>
        <w:rPr>
          <w:b w:val="0"/>
          <w:i w:val="0"/>
        </w:rPr>
        <w:t>(2) Nhằm mục đích của thuế doanh nghiệp, lợi nhuận chịu thuế của một công ty không cư trú tại Nhà nước nhưng tiến hành hoạt động thương mại tại Nhà nước thông qua một chi nhánh hoặc đại lý sẽ là –</w:t>
      </w:r>
    </w:p>
    <w:p>
      <w:pPr>
        <w:spacing w:after="80"/>
      </w:pPr>
      <w:r>
        <w:rPr>
          <w:b w:val="0"/>
          <w:i w:val="0"/>
        </w:rPr>
        <w:t>(a) bất kỳ thu nhập thương mại nào phát sinh trực tiếp hoặc gián tiếp thông qua hoặc từ chi nhánh hoặc</w:t>
      </w:r>
    </w:p>
    <w:p>
      <w:pPr>
        <w:spacing w:after="80"/>
      </w:pPr>
      <w:r>
        <w:rPr>
          <w:b w:val="0"/>
          <w:i w:val="0"/>
        </w:rPr>
        <w:t>đại lý, và bất kỳ thu nhập nào từ tài sản hoặc quyền được sử dụng bởi, hoặc được nắm giữ bởi hoặc cho, chi nhánh hoặc đại lý, nhưng khoản này sẽ không bao gồm các khoản phân phối nhận được từ các công ty cư trú tại Nhà nước.</w:t>
      </w:r>
    </w:p>
    <w:p>
      <w:pPr>
        <w:spacing w:after="80"/>
      </w:pPr>
      <w:r>
        <w:rPr>
          <w:b w:val="0"/>
          <w:i w:val="0"/>
        </w:rPr>
        <w:t xml:space="preserve">Trong vụ </w:t>
      </w:r>
      <w:r>
        <w:rPr>
          <w:b w:val="0"/>
          <w:i/>
        </w:rPr>
        <w:t>Murphy v Data Products (Dublin) Ltd</w:t>
      </w:r>
      <w:r>
        <w:rPr>
          <w:b w:val="0"/>
          <w:i w:val="0"/>
        </w:rPr>
        <w:t>,63 Tòa án Cấp cao đã phán quyết rằng 'thu nhập từ tài sản hoặc quyền được sử dụng bởi, hoặc được nắm giữ bởi hoặc cho, chi nhánh hoặc đại lý' của một công ty không cư trú tại Ireland đề cập đến tài sản được kiểm soát bởi nhân viên của một chi nhánh hoặc nó không bao gồm thu nhập từ tài sản được kiểm soát bởi nhân viên hoặc giám đốc không cư trú của đại lý ngay cả khi tài sản đó được cung cấp cho chi nhánh hoặc đại lý đó. Một công ty không cư trú không có nhân viên kiểm soát tài sản của mình thông qua các giám đốc của nó.</w:t>
      </w:r>
    </w:p>
    <w:p>
      <w:pPr>
        <w:spacing w:after="80"/>
      </w:pPr>
      <w:r>
        <w:rPr>
          <w:b w:val="0"/>
          <w:i w:val="0"/>
        </w:rPr>
        <w:t>60.</w:t>
      </w:r>
      <w:r>
        <w:rPr>
          <w:b w:val="0"/>
          <w:i/>
        </w:rPr>
        <w:t>Hansard</w:t>
      </w:r>
      <w:r>
        <w:rPr>
          <w:b w:val="0"/>
          <w:i w:val="0"/>
        </w:rPr>
        <w:t>, HC Standing Committee D, 2 March 1995, p. 547.61.August 1995, p. 234.62.Income tax: TCA s. 18(1)(a); corporation tax: TCA s. 25.63.</w:t>
      </w:r>
      <w:r>
        <w:rPr>
          <w:b w:val="0"/>
          <w:i/>
        </w:rPr>
        <w:t>S Murphy (Inspector of Taxes) v Data Products (Dublin) Ltd</w:t>
      </w:r>
      <w:r>
        <w:rPr>
          <w:b w:val="0"/>
          <w:i w:val="0"/>
        </w:rPr>
        <w:t xml:space="preserve"> 1988 IV ITR 12.</w:t>
      </w:r>
    </w:p>
    <w:p>
      <w:pPr>
        <w:spacing w:after="80"/>
      </w:pPr>
      <w:r>
        <w:rPr>
          <w:b w:val="0"/>
          <w:i w:val="0"/>
        </w:rPr>
        <w:t>272</w:t>
      </w:r>
    </w:p>
    <w:p>
      <w:pPr>
        <w:spacing w:after="80"/>
      </w:pPr>
      <w:r>
        <w:rPr>
          <w:b w:val="0"/>
          <w:i w:val="0"/>
        </w:rPr>
        <w:t xml:space="preserve">Cách thức phân bổ lợi nhuận cho các chi nhánh của các công ty không cư trú như được nêu trong các phán quyết do cơ quan thuế Ireland ban hành đã được Tòa án Chung của Liên minh Châu Âu xem xét trong vụ </w:t>
      </w:r>
      <w:r>
        <w:rPr>
          <w:b w:val="0"/>
          <w:i/>
        </w:rPr>
        <w:t>Apple Sales International và Apple Operations Europe v European Commission</w:t>
      </w:r>
      <w:r>
        <w:rPr>
          <w:b w:val="0"/>
          <w:i w:val="0"/>
        </w:rPr>
        <w:t>.64 Tòa án nhận thấy rằng việc đánh thuế thông thường đối với các chi nhánh theo luật Ireland bao gồm việc phân tích chức năng và thực tế các hoạt động được thực hiện bởi chi nhánh. Điều này đòi hỏi một phân tích khách quan về các sự kiện, bao gồm, thứ nhất, xác định các hoạt động được thực hiện bởi chi nhánh, các tài sản mà chi nhánh sử dụng cho hoạt động của mình, bao gồm cả tài sản vô hình như sở hữu trí tuệ (IP), và các rủi ro liên quan mà chi nhánh gánh chịu, và thứ hai, xác định giá trị của loại hoạt động đó trên thị trường. Như vậy, có một số điểm chồng chéo giữa việc áp dụng s. 25 và Cách tiếp cận OECD được Ủy quyền (Authorised OECD Approach).65</w:t>
      </w:r>
    </w:p>
    <w:p>
      <w:pPr>
        <w:spacing w:after="80"/>
      </w:pPr>
      <w:r>
        <w:rPr>
          <w:b w:val="0"/>
          <w:i w:val="0"/>
        </w:rPr>
        <w:t xml:space="preserve">Các nguyên tắc độ dài sải tay (arm's-length) nói chung, tuy nhiên, được đưa vào các quy tắc hiệp ước quy định tại Điều 7(2) của Mô hình OECD (OECD Model), trong đó yêu cầu lợi nhuận được phân bổ cho một cơ sở thường trú (permanent establishment) phải là mức lợi nhuận mà cơ sở đó sẽ tạo ra nếu thay vì giao dịch với trụ sở chính, nó giao dịch với một doanh nghiệp hoàn toàn độc lập trong các điều kiện và mức giá phổ biến trên thị trường thông thường. Việc áp dụng giả thuyết thực thể tách biệt (separate entity hypothesis) đã được các tòa án xem xét liên quan đến các hiệp ước của Vương quốc Anh với Úc, Canada và Hà Lan. Hai trong số các vụ án này liên quan đến việc phân bổ lợi nhuận của các công ty bảo hiểm nhân thọ nước ngoài cho các cơ sở thường trú tại Vương quốc Anh. Pháp luật trong nước quy định lợi nhuận trên cơ sở danh nghĩa (notional basis) tự nó được thiết kế để vượt qua những khó khăn trong việc phân bổ. Trong </w:t>
      </w:r>
      <w:r>
        <w:rPr>
          <w:b w:val="0"/>
          <w:i/>
        </w:rPr>
        <w:t>Ostime v Australian Mutual Provident Society</w:t>
      </w:r>
      <w:r>
        <w:rPr>
          <w:b w:val="0"/>
          <w:i w:val="0"/>
        </w:rPr>
        <w:t>,66 Lord Radcliffe đã xác định các vấn đề của Điều 7(2) như sau:67</w:t>
      </w:r>
    </w:p>
    <w:p>
      <w:pPr>
        <w:spacing w:after="80"/>
      </w:pPr>
      <w:r>
        <w:rPr>
          <w:b w:val="0"/>
          <w:i w:val="0"/>
        </w:rPr>
        <w:t>Không phải hoàn toàn do ý chí của cơ quan thuế Vương quốc Anh quyết định cơ sở để việc phân bổ lợi nhuận thương mại đó được thực hiện. Điều [7(2)] quy định theo các điều khoản của mình một cơ sở mà trên thực tế đòi hỏi giả thuyết rằng chi nhánh là một doanh nghiệp độc lập giao dịch như một thực thể độc lập theo nguyên tắc độ dài sải tay với trụ sở chính. Lợi nhuận phát sinh từ một phép tính dựa trên giả thuyết này được coi là thu nhập có nguồn gốc từ Vương quốc Anh.</w:t>
      </w:r>
    </w:p>
    <w:p>
      <w:pPr>
        <w:spacing w:after="80"/>
      </w:pPr>
      <w:r>
        <w:rPr>
          <w:b w:val="0"/>
          <w:i w:val="0"/>
        </w:rPr>
        <w:t>Tôi không nghĩ rằng có thể quyết định hậu quả của việc đánh thuế lợi nhuận thương mại của bị đơn theo công thức mới này sẽ là gì. Không hề dễ dàng để thấy những giả thuyết nào khác được yêu cầu hoặc bị loại trừ bởi giả thuyết trung tâm. Theo quan điểm của ông, công thức phân bổ lợi nhuận danh nghĩa không thể được áp dụng cho doanh nghiệp độc lập giả định 'mà không vi phạm chính giả thuyết … được thiết kế để đặt ra cơ sở của việc chịu thuế'.</w:t>
      </w:r>
    </w:p>
    <w:p>
      <w:pPr>
        <w:spacing w:after="80"/>
      </w:pPr>
      <w:r>
        <w:rPr>
          <w:b w:val="0"/>
          <w:i w:val="0"/>
        </w:rPr>
        <w:t>Trong cùng vụ án đó, Lord Denning đã mô tả phép thử trong phán quyết bất đồng của mình như sau:</w:t>
      </w:r>
    </w:p>
    <w:p>
      <w:pPr>
        <w:spacing w:after="80"/>
      </w:pPr>
      <w:r>
        <w:rPr>
          <w:b w:val="0"/>
          <w:i w:val="0"/>
        </w:rPr>
        <w:t>Hiệp định tiếp tục nói cách xác định số tiền này. Đó là bằng phương tiện của một giả thuyết nhất định. Bạn phải đối xử với cơ sở ở đây như thể nó hoàn toàn độc lập với trụ sở chính tại Úc và đang giao dịch theo nguyên tắc độ dài sải tay với nó, và bạn phải ước tính lợi nhuận mà một doanh nghiệp độc lập như vậy</w:t>
      </w:r>
    </w:p>
    <w:p>
      <w:pPr>
        <w:spacing w:after="80"/>
      </w:pPr>
      <w:r>
        <w:rPr>
          <w:b w:val="0"/>
          <w:i w:val="0"/>
        </w:rPr>
        <w:t>64.</w:t>
      </w:r>
      <w:r>
        <w:rPr>
          <w:b w:val="0"/>
          <w:i/>
        </w:rPr>
        <w:t>Ireland v European Commission</w:t>
      </w:r>
      <w:r>
        <w:rPr>
          <w:b w:val="0"/>
          <w:i w:val="0"/>
        </w:rPr>
        <w:t>;</w:t>
      </w:r>
      <w:r>
        <w:rPr>
          <w:b w:val="0"/>
          <w:i/>
        </w:rPr>
        <w:t>Apple Sales International and Apple Operations Europe v European Commission</w:t>
      </w:r>
      <w:r>
        <w:rPr>
          <w:b w:val="0"/>
          <w:i w:val="0"/>
        </w:rPr>
        <w:t xml:space="preserve"> (Joined Cases T-778/16 and T-892/16) ECLI:EU:T:2020:338.65.Tại các đoạn 238, 239, và 249.66.</w:t>
      </w:r>
      <w:r>
        <w:rPr>
          <w:b w:val="0"/>
          <w:i/>
        </w:rPr>
        <w:t>Ostime v Australian Mutual Provident Society</w:t>
      </w:r>
      <w:r>
        <w:rPr>
          <w:b w:val="0"/>
          <w:i w:val="0"/>
        </w:rPr>
        <w:t xml:space="preserve"> (1956-1960) 38 TC 492, HL; [1960] AC 459.67.Tại 517.</w:t>
      </w:r>
    </w:p>
    <w:p>
      <w:pPr>
        <w:spacing w:after="80"/>
      </w:pPr>
      <w:r>
        <w:rPr>
          <w:b w:val="0"/>
          <w:i w:val="0"/>
        </w:rPr>
        <w:t>273</w:t>
      </w:r>
    </w:p>
    <w:p>
      <w:pPr>
        <w:spacing w:after="80"/>
      </w:pPr>
      <w:r>
        <w:rPr>
          <w:b w:val="0"/>
          <w:i w:val="0"/>
        </w:rPr>
        <w:t>có thể được kỳ vọng sẽ tạo ra một mình, và sau đó đánh thuế nó trên số tiền được xác định như vậy.</w:t>
      </w:r>
    </w:p>
    <w:p>
      <w:pPr>
        <w:spacing w:after="80"/>
      </w:pPr>
      <w:r>
        <w:rPr>
          <w:b w:val="0"/>
          <w:i w:val="0"/>
        </w:rPr>
        <w:t xml:space="preserve">Tầm quan trọng của cách hoạt động chi nhánh thực sự được tiến hành được nhấn mạnh trong </w:t>
      </w:r>
      <w:r>
        <w:rPr>
          <w:b w:val="0"/>
          <w:i/>
        </w:rPr>
        <w:t>General Reinsurance Company Ltd v Tomlinson</w:t>
      </w:r>
      <w:r>
        <w:rPr>
          <w:b w:val="0"/>
          <w:i w:val="0"/>
        </w:rPr>
        <w:t>.68 Một công ty tái bảo hiểm Hà Lan điều hành một chi nhánh tại Vương quốc Anh. Công ty duy trì một danh mục đầu tư được tích lũy từ lợi nhuận của hoạt động kinh doanh tái bảo hiểm tại London, bao gồm các khoản đầu tư tại Vương quốc Anh và một số khoản đầu tư bằng đô la được nắm giữ tại New York. Việc ra quyết định về danh mục đầu tư diễn ra tại Hà Lan. Thu nhập từ đầu tư trong bối cảnh này được coi là lợi nhuận thu được từ việc tiến hành hoạt động kinh doanh của công ty. Điều này áp dụng cho lợi nhuận từ các khoản đầu tư tại Hoa Kỳ, mặc dù chúng được dành riêng cho các khiếu nại tiềm tàng tại Hoa Kỳ. Vì hoạt động kinh doanh tại Hoa Kỳ được công ty thực hiện tại London, thu nhập từ đầu tư là một phần lợi nhuận của công ty theo pháp luật trong nước. Trong vụ án đó, người ta cho rằng nếu cơ sở thường trú được đối xử như một doanh nghiệp độc lập, thì phải coi việc nó có một danh mục đầu tư là cần thiết để tiến hành hoạt động kinh doanh của mình. Mặc dù tòa án thừa nhận rằng có những khó khăn trong việc quyết định quy mô thích hợp của danh mục đầu tư là bao nhiêu, trong vụ án đó, tòa án xác định rằng vì danh mục đầu tư tại London được tích lũy từ lợi nhuận trong quá khứ của hoạt động kinh doanh của chi nhánh, nên không có gì cho thấy danh mục đầu tư tại London là quá lớn hoặc quá nhỏ so với khối lượng hoạt động kinh doanh do chi nhánh London thực hiện.</w:t>
      </w:r>
    </w:p>
    <w:p>
      <w:pPr>
        <w:spacing w:after="80"/>
      </w:pPr>
      <w:r>
        <w:rPr>
          <w:b/>
          <w:i w:val="0"/>
        </w:rPr>
        <w:t>§9.09 PHÂN BỔ TRONG NƯỚC: THUẾ DOANH NGHIỆP</w:t>
      </w:r>
    </w:p>
    <w:p>
      <w:pPr>
        <w:spacing w:after="80"/>
      </w:pPr>
      <w:r>
        <w:rPr>
          <w:b w:val="0"/>
          <w:i w:val="0"/>
        </w:rPr>
        <w:t>Việc đưa khái niệm cơ sở thường trú vào pháp luật trong nước năm 2003 kéo theo các quy tắc phân bổ của Điều 7(2) cho mục đích thuế doanh nghiệp:</w:t>
      </w:r>
    </w:p>
    <w:p>
      <w:pPr>
        <w:spacing w:after="80"/>
      </w:pPr>
      <w:r>
        <w:rPr>
          <w:b w:val="0"/>
          <w:i w:val="0"/>
        </w:rPr>
        <w:t>Lợi nhuận của công ty không cư trú tại Vương quốc Anh được phân bổ cho cơ sở thường trú là những khoản mà cơ sở đó sẽ tạo ra nếu nó là một doanh nghiệp riêng biệt và tách biệt mà –</w:t>
      </w:r>
    </w:p>
    <w:p>
      <w:pPr>
        <w:spacing w:after="80"/>
      </w:pPr>
      <w:r>
        <w:rPr>
          <w:b w:val="0"/>
          <w:i w:val="0"/>
        </w:rPr>
        <w:t>(a) tham gia vào các hoạt động giống hoặc tương tự trong các điều kiện giống hoặc tương tự,</w:t>
      </w:r>
    </w:p>
    <w:p>
      <w:pPr>
        <w:spacing w:after="80"/>
      </w:pPr>
      <w:r>
        <w:rPr>
          <w:b w:val="0"/>
          <w:i w:val="0"/>
        </w:rPr>
        <w:t>và (b) giao dịch hoàn toàn độc lập với công ty không cư trú tại Vương quốc Anh.69</w:t>
      </w:r>
    </w:p>
    <w:p>
      <w:pPr>
        <w:spacing w:after="80"/>
      </w:pPr>
      <w:r>
        <w:rPr>
          <w:b w:val="0"/>
          <w:i w:val="0"/>
        </w:rPr>
        <w:t>Vấn đề trở nên phức tạp hơn với việc đưa ra một quy định miễn trừ tùy chọn đối với lợi nhuận của các cơ sở thường trú nước ngoài của các công ty cư trú tại Vương quốc Anh trong FA 2011: CTA 2009, Phần 2, Chương 4 áp dụng để xác định lợi nhuận của một cơ sở thường trú tại Vương quốc Anh của một công ty không cư trú. Một bộ quy tắc riêng trong Phần 2, Chương 3A giải quyết việc phân bổ lợi nhuận của các cơ sở thường trú nước ngoài của các công ty Vương quốc Anh cho mục đích miễn trừ tùy chọn. TIOPA 2010, s. 43 cung cấp một bộ quy tắc bổ sung để xác định lợi nhuận của một cơ sở thường trú nước ngoài của một công ty cư trú tại Vương quốc Anh cho mục đích giảm trừ thuế đối với thuế nước ngoài đã nộp trên lợi nhuận của cơ sở thường trú đó. Kết quả là, có ba chế độ riêng biệt để phân bổ lợi nhuận cho các cơ sở thường trú theo pháp luật trong nước của Vương quốc Anh.</w:t>
      </w:r>
    </w:p>
    <w:p>
      <w:pPr>
        <w:spacing w:after="80"/>
      </w:pPr>
      <w:r>
        <w:rPr>
          <w:b w:val="0"/>
          <w:i w:val="0"/>
        </w:rPr>
        <w:t>68.</w:t>
      </w:r>
      <w:r>
        <w:rPr>
          <w:b w:val="0"/>
          <w:i/>
        </w:rPr>
        <w:t>General Reinsurance Company Ltd v Tomlinson</w:t>
      </w:r>
      <w:r>
        <w:rPr>
          <w:b w:val="0"/>
          <w:i w:val="0"/>
        </w:rPr>
        <w:t xml:space="preserve"> (1970) 48 TC 81.69.CTA 2009, s. 21(1).</w:t>
      </w:r>
    </w:p>
    <w:p>
      <w:pPr>
        <w:spacing w:after="80"/>
      </w:pPr>
      <w:r>
        <w:rPr>
          <w:b w:val="0"/>
          <w:i w:val="0"/>
        </w:rPr>
        <w:t>274</w:t>
      </w:r>
    </w:p>
    <w:p>
      <w:pPr>
        <w:spacing w:after="80"/>
      </w:pPr>
      <w:r>
        <w:rPr>
          <w:b/>
          <w:i w:val="0"/>
        </w:rPr>
        <w:t>[A] Cơ sở thường trú tại Vương quốc Anh</w:t>
      </w:r>
    </w:p>
    <w:p>
      <w:pPr>
        <w:spacing w:after="80"/>
      </w:pPr>
      <w:r>
        <w:rPr>
          <w:b w:val="0"/>
          <w:i/>
        </w:rPr>
        <w:t>Đạo luật Thuế Doanh nghiệp</w:t>
      </w:r>
      <w:r>
        <w:rPr>
          <w:b w:val="0"/>
          <w:i w:val="0"/>
        </w:rPr>
        <w:t xml:space="preserve"> năm 2009 đưa ra các quy tắc chi tiết cụ thể để xác định lợi nhuận quy cho một cơ sở thường trú tại Vương quốc Anh của một công ty không cư trú theo nguyên tắc doanh nghiệp riêng biệt. Có thể thấy rằng s.21(1) áp dụng khá rộng rãi cách diễn đạt của Điều 7(1) của Hiệp định mẫu OECD. Theo đó, lợi nhuận mà cơ sở thường trú lẽ ra đã kiếm được nếu nó là một doanh nghiệp riêng biệt và độc lập tham gia vào các hoạt động tương tự hoặc tương tự trong cùng hoặc các điều kiện tương tự, giao dịch hoàn toàn độc lập với công ty không cư trú, sẽ được quy cho cơ sở thường trú. Phạm vi và mức độ chính xác mà cơ sở thường trú được đối xử như một doanh nghiệp riêng biệt và độc lập, cũng như tác động của điều này, bản thân chúng có phần gây tranh cãi trong các điều khoản hiệp định. Pháp luật không giải quyết đầy đủ vấn đề này. Tuy nhiên, một số giả định nhất định được đưa vào việc quy lợi nhuận theo s.21(2). Thứ nhất, phải giả định rằng cơ sở thường trú có cùng xếp hạng tín dụng như công ty không cư trú. Thứ hai, cũng phải giả định rằng cơ sở thường trú có vốn chủ sở hữu với số tiền không ít hơn số vốn mà nó sẽ có nếu hoạt động như một thực thể riêng biệt và độc lập. Thứ ba, vốn vay của nó không được vượt quá số tiền mà nó sẽ có nếu nó có số vốn chủ sở hữu đó. Không có định nghĩa nào cho 'vốn chủ sở hữu' hay 'vốn vay' được đưa ra.</w:t>
      </w:r>
    </w:p>
    <w:p>
      <w:pPr>
        <w:spacing w:after="80"/>
      </w:pPr>
      <w:r>
        <w:rPr>
          <w:b w:val="0"/>
          <w:i w:val="0"/>
        </w:rPr>
        <w:t xml:space="preserve">Tính tương thích của các quy tắc quy vốn của Vương quốc Anh với Điều 7(2) của dạng điều khoản lợi nhuận kinh doanh truyền thống đã được xem xét kỹ lưỡng trong </w:t>
      </w:r>
      <w:r>
        <w:rPr>
          <w:b w:val="0"/>
          <w:i/>
        </w:rPr>
        <w:t>Irish Bank Resolution Corporation Ltd &amp; Anor v HMRC.</w:t>
      </w:r>
      <w:r>
        <w:rPr>
          <w:b w:val="0"/>
          <w:i w:val="0"/>
        </w:rPr>
        <w:t>70 Tòa án Phúc thẩm Anh đã giữ nguyên kết luận của cả Tòa án Sơ thẩm và Tòa án Cấp cao rằng việc quy vốn danh nghĩa cho một cơ sở thường trú theo yêu cầu của điều hiện nay là CTA 2009, s. 21(2)(b) không mâu thuẫn với Điều 8 của hiệp định tránh đánh thuế hai lần Ireland-Vương quốc Anh năm 1976, vốn tuân theo Điều 7 của Hiệp định mẫu OECD trước năm 2010. Vụ án liên quan đến việc quy lợi nhuận cho các cơ sở thường trú tại Vương quốc Anh của các tổ chức tài chính cư trú tại Ireland. Người nộp thuế lập luận rằng giả thuyết 'doanh nghiệp riêng biệt và độc lập' đòi hỏi phải giả định rằng cơ sở thường trú tham gia vào cùng loại hình kinh doanh hoặc loại hình tương tự như loại hình mà nó thực hiện với cùng tỷ lệ vốn tự có trên vốn vay như thực tế nó có.71 Tòa án cho rằng sổ sách của cơ sở thường trú và cách nó thực sự tiến hành hoạt động kinh doanh chỉ là bước đầu tiên. Nếu cần thiết, bước thứ hai yêu cầu trình bày lại sổ sách bằng cách so sánh với một doanh nghiệp riêng biệt và độc lập giao dịch theo nguyên tắc thị trường với trụ sở chính trong khi 'tham gia vào các hoạt động tương tự hoặc tương tự trong cùng hoặc các điều kiện tương tự'. Tòa kết luận rằng nếu làm khác đi sẽ 'tước đi khả năng thực sự của Điều [7(2)] để tách khỏi cách xử lý kế toán của cơ sở thường trú mà công ty nước ngoài có thể chọn áp dụng, và nó sẽ khiến việc áp dụng một tiêu chí quy lợi nhuận thống nhất trở nên bất khả thi'.72</w:t>
      </w:r>
    </w:p>
    <w:p>
      <w:pPr>
        <w:spacing w:after="80"/>
      </w:pPr>
      <w:r>
        <w:rPr>
          <w:b w:val="0"/>
          <w:i w:val="0"/>
        </w:rPr>
        <w:t>70.</w:t>
      </w:r>
      <w:r>
        <w:rPr>
          <w:b w:val="0"/>
          <w:i/>
        </w:rPr>
        <w:t>Irish Bank Resolution Corporation Ltd (đang trong quá trình thanh lý đặc biệt) v Revenue and Customs</w:t>
      </w:r>
      <w:r>
        <w:rPr>
          <w:b w:val="0"/>
          <w:i w:val="0"/>
        </w:rPr>
        <w:t xml:space="preserve"> [2020] EWCA Civ 1128, [2020] STC 1946, [2020] BTC 26, [2020] WLR(D) 485.71.</w:t>
      </w:r>
      <w:r>
        <w:rPr>
          <w:b w:val="0"/>
          <w:i/>
        </w:rPr>
        <w:t>Irish Bank</w:t>
      </w:r>
      <w:r>
        <w:rPr>
          <w:b w:val="0"/>
          <w:i w:val="0"/>
        </w:rPr>
        <w:t xml:space="preserve"> tại đoạn 11.72.</w:t>
      </w:r>
      <w:r>
        <w:rPr>
          <w:b w:val="0"/>
          <w:i/>
        </w:rPr>
        <w:t>Irish Bank</w:t>
      </w:r>
      <w:r>
        <w:rPr>
          <w:b w:val="0"/>
          <w:i w:val="0"/>
        </w:rPr>
        <w:t xml:space="preserve"> tại các đoạn 35-40.</w:t>
      </w:r>
    </w:p>
    <w:p>
      <w:pPr>
        <w:spacing w:after="80"/>
      </w:pPr>
      <w:r>
        <w:rPr>
          <w:b w:val="0"/>
          <w:i w:val="0"/>
        </w:rPr>
        <w:t>275</w:t>
      </w:r>
    </w:p>
    <w:p>
      <w:pPr>
        <w:spacing w:after="80"/>
      </w:pPr>
      <w:r>
        <w:rPr>
          <w:b w:val="0"/>
          <w:i w:val="0"/>
        </w:rPr>
        <w:t xml:space="preserve">Tòa án Phúc thẩm đã từ chối tuân theo Tòa án Phúc thẩm Hoa Kỳ trong vụ </w:t>
      </w:r>
      <w:r>
        <w:rPr>
          <w:b w:val="0"/>
          <w:i/>
        </w:rPr>
        <w:t>National Westminster Bank</w:t>
      </w:r>
      <w:r>
        <w:rPr>
          <w:b w:val="0"/>
          <w:i w:val="0"/>
        </w:rPr>
        <w:t xml:space="preserve"> hay Conseil d'Etat của Pháp (Tòa án Hành chính Tối cao) và Tòa án Phúc thẩm Tây Ban Nha,73 mỗi tòa đều kết luận rằng việc quy vốn danh nghĩa không tương thích với Điều 7 của Hiệp định mẫu OECD. Tòa lập luận rằng các phán quyết trong </w:t>
      </w:r>
      <w:r>
        <w:rPr>
          <w:b w:val="0"/>
          <w:i/>
        </w:rPr>
        <w:t>National Westminster Bank</w:t>
      </w:r>
      <w:r>
        <w:rPr>
          <w:b w:val="0"/>
          <w:i w:val="0"/>
        </w:rPr>
        <w:t xml:space="preserve"> và Conseil d'Etat chỉ xem xét liệu cơ sở thường trú có nên được so sánh với một ngân hàng địa phương hay không và không loại trừ mọi hình thức quy vốn.74 Tòa không đồng ý với Tòa án Tây Ban Nha.75 Tòa án Phúc thẩm nhận xét rằng kết luận của mình không dựa vào phiên bản năm 2008 của Bình luận OECD vốn đưa ra Cách tiếp cận OECD được ủy quyền, mà nhất quán với nó.76 Tòa coi mục đích của phần thảo luận về quy vốn trong Bình luận OECD năm 2008 là đưa ra một phương pháp ưu tiên để quy vốn và chi phí nhằm mang lại sự nhất quán, trong khi trước đây nhiều quốc gia áp dụng nhiều phương pháp khác nhau.77 Theo quan điểm của tác giả, yêu cầu quy lợi nhuận dựa trên 'cùng hoặc các điều kiện tương tự' trong Điều 8(2) của hiệp định đề cập đến các điều kiện thực tế của cơ sở thường trú được áp dụng khi giả định về doanh nghiệp riêng biệt, chứ không phải các chức năng và tài sản mà nó có thể có. Cần thêm một giả định bổ sung để quy cho nó những tài sản mà nó không có. Ngữ cảnh của 'cùng hoặc các điều kiện tương tự' là '</w:t>
      </w:r>
      <w:r>
        <w:rPr>
          <w:b w:val="0"/>
          <w:i/>
        </w:rPr>
        <w:t>cơ sở thường trú đó</w:t>
      </w:r>
      <w:r>
        <w:rPr>
          <w:b w:val="0"/>
          <w:i w:val="0"/>
        </w:rPr>
        <w:t>' và 'cùng hoặc các điều kiện tương tự' đề cập đến các điều kiện của nó chứ không phải các điều kiện giả định.</w:t>
      </w:r>
    </w:p>
    <w:p>
      <w:pPr>
        <w:spacing w:after="80"/>
      </w:pPr>
      <w:r>
        <w:rPr>
          <w:b w:val="0"/>
          <w:i w:val="0"/>
        </w:rPr>
        <w:t xml:space="preserve">Khả năng khấu trừ chi phí lãi vay cũng là vấn đề trong </w:t>
      </w:r>
      <w:r>
        <w:rPr>
          <w:b w:val="0"/>
          <w:i/>
        </w:rPr>
        <w:t>BlueCrest Capital Management Cayman Ltd &amp; Ors v HMRC</w:t>
      </w:r>
      <w:r>
        <w:rPr>
          <w:b w:val="0"/>
          <w:i w:val="0"/>
        </w:rPr>
        <w:t>.78 Ở đó, một công ty không cư trú tại Vương quốc Anh tiến hành hoạt động kinh doanh thông qua một cơ sở thường trú tại Vương quốc Anh. Công ty đã vay tiền để mua một phần vốn góp và do đó trở thành thành viên hợp danh trong hoạt động kinh doanh hợp danh tại Vương quốc Anh. Theo pháp luật nội địa Vương quốc Anh, lợi nhuận của hoạt động kinh doanh hợp danh được tính ở cấp độ hợp danh và sau đó được phân bổ cho các thành viên hợp danh theo thỏa thuận chia sẻ lợi nhuận. Khi một công ty là thành viên hợp danh, lợi nhuận hợp danh được tính theo các quy tắc thuế doanh nghiệp. Chỉ lãi vay trên các khoản nợ của hợp danh mới được khấu trừ cho mục đích thuế doanh nghiệp. Do đó, không có chi phí tài chính nào từ khoản vay để mua phần vốn góp hợp danh được cơ sở thường trú khấu trừ.</w:t>
      </w:r>
    </w:p>
    <w:p>
      <w:pPr>
        <w:spacing w:after="80"/>
      </w:pPr>
      <w:r>
        <w:rPr>
          <w:b w:val="0"/>
          <w:i w:val="0"/>
        </w:rPr>
        <w:t xml:space="preserve">Hội đồng xét xử cũng xem xét một lập luận rằng việc khấu trừ lãi vay bị hạn chế vì cơ sở thường trú bị mỏng vốn cho mục đích của các quy tắc chuyển giá nội địa. Đoạn 176 của </w:t>
      </w:r>
      <w:r>
        <w:rPr>
          <w:b w:val="0"/>
          <w:i/>
        </w:rPr>
        <w:t>Báo cáo OECD năm 2008 về Quy lợi nhuận cho Cơ sở thường trú</w:t>
      </w:r>
      <w:r>
        <w:rPr>
          <w:b w:val="0"/>
          <w:i w:val="0"/>
        </w:rPr>
        <w:t xml:space="preserve"> đã được HMRC viện dẫn để lập luận rằng cơ sở thường trú có tỷ lệ nợ trên vốn chủ sở hữu khác với công ty nói chung. Điều này đã bị bác bỏ trên thực tế, với lý do rằng cơ sở thường trú tại Vương quốc Anh là 'tất cả những gì tồn tại của [công ty] và như vậy, không thể</w:t>
      </w:r>
    </w:p>
    <w:p>
      <w:pPr>
        <w:spacing w:after="80"/>
      </w:pPr>
      <w:r>
        <w:rPr>
          <w:b w:val="0"/>
          <w:i w:val="0"/>
        </w:rPr>
        <w:t>73.</w:t>
      </w:r>
      <w:r>
        <w:rPr>
          <w:b w:val="0"/>
          <w:i/>
        </w:rPr>
        <w:t>In Re Bayerische Hypo und Vereinbank AG</w:t>
      </w:r>
      <w:r>
        <w:rPr>
          <w:b w:val="0"/>
          <w:i w:val="0"/>
        </w:rPr>
        <w:t xml:space="preserve"> (2014) 18 ITLR 1; </w:t>
      </w:r>
      <w:r>
        <w:rPr>
          <w:b w:val="0"/>
          <w:i/>
        </w:rPr>
        <w:t>ING Direct and others v Central Court for Economic and Administrative Matters</w:t>
      </w:r>
      <w:r>
        <w:rPr>
          <w:b w:val="0"/>
          <w:i w:val="0"/>
        </w:rPr>
        <w:t xml:space="preserve"> (2015) 18 ITLR 680.74.</w:t>
      </w:r>
      <w:r>
        <w:rPr>
          <w:b w:val="0"/>
          <w:i/>
        </w:rPr>
        <w:t>Irish Bank</w:t>
      </w:r>
      <w:r>
        <w:rPr>
          <w:b w:val="0"/>
          <w:i w:val="0"/>
        </w:rPr>
        <w:t xml:space="preserve"> tại các đoạn 43-50.75.</w:t>
      </w:r>
      <w:r>
        <w:rPr>
          <w:b w:val="0"/>
          <w:i/>
        </w:rPr>
        <w:t>Irish Bank</w:t>
      </w:r>
      <w:r>
        <w:rPr>
          <w:b w:val="0"/>
          <w:i w:val="0"/>
        </w:rPr>
        <w:t xml:space="preserve"> tại các đoạn 51-52.76.</w:t>
      </w:r>
      <w:r>
        <w:rPr>
          <w:b w:val="0"/>
          <w:i/>
        </w:rPr>
        <w:t>Irish Bank</w:t>
      </w:r>
      <w:r>
        <w:rPr>
          <w:b w:val="0"/>
          <w:i w:val="0"/>
        </w:rPr>
        <w:t xml:space="preserve"> tại đoạn 42. Xem Chương 4, §4.06 về việc sử dụng các Bình luận OECD sau này.77.</w:t>
      </w:r>
      <w:r>
        <w:rPr>
          <w:b w:val="0"/>
          <w:i/>
        </w:rPr>
        <w:t>Irish Bank</w:t>
      </w:r>
      <w:r>
        <w:rPr>
          <w:b w:val="0"/>
          <w:i w:val="0"/>
        </w:rPr>
        <w:t xml:space="preserve"> tại đoạn 34. Tuy nhiên, tòa đã bình luận về việc sử dụng hay không sử dụng Bình luận đó trong các phán quyết nước ngoài mà tòa đã xem xét.78.</w:t>
      </w:r>
      <w:r>
        <w:rPr>
          <w:b w:val="0"/>
          <w:i/>
        </w:rPr>
        <w:t>BlueCrest Capital Management Cayman Ltd &amp; Ors v Revenue &amp; Customs</w:t>
      </w:r>
      <w:r>
        <w:rPr>
          <w:b w:val="0"/>
          <w:i w:val="0"/>
        </w:rPr>
        <w:t xml:space="preserve"> [2020] UKFTT 298 (TC).</w:t>
      </w:r>
    </w:p>
    <w:p>
      <w:pPr>
        <w:spacing w:after="80"/>
      </w:pPr>
      <w:r>
        <w:rPr>
          <w:b w:val="0"/>
          <w:i w:val="0"/>
        </w:rPr>
        <w:t>276</w:t>
      </w:r>
    </w:p>
    <w:p>
      <w:pPr>
        <w:spacing w:after="80"/>
      </w:pPr>
      <w:r>
        <w:rPr>
          <w:b w:val="0"/>
          <w:i w:val="0"/>
        </w:rPr>
        <w:t>phân biệt được làm thế nào PE có thể có tỷ lệ nợ/vốn chủ sở hữu khác với chính [công ty]'.79</w:t>
      </w:r>
    </w:p>
    <w:p>
      <w:pPr>
        <w:spacing w:after="80"/>
      </w:pPr>
      <w:r>
        <w:rPr>
          <w:b w:val="0"/>
          <w:i w:val="0"/>
        </w:rPr>
        <w:t xml:space="preserve">Các giới hạn của giả thuyết doanh nghiệp riêng biệt đã được đề cập trong </w:t>
      </w:r>
      <w:r>
        <w:rPr>
          <w:b w:val="0"/>
          <w:i/>
        </w:rPr>
        <w:t>Bloomberg Inc &amp; Anor v HMRC</w:t>
      </w:r>
      <w:r>
        <w:rPr>
          <w:b w:val="0"/>
          <w:i w:val="0"/>
        </w:rPr>
        <w:t>.80 Hai thành viên cư trú tại Hoa Kỳ của một công ty hợp danh trách nhiệm hữu hạn Delaware tiến hành hoạt động kinh doanh tại Vương quốc Anh thông qua các cơ sở thường trú. Mỗi người trong số họ tìm cách ghi giảm giá trị của tài sản cố định vô hình liên quan đến việc họ mua thêm phần vốn góp trong hợp danh, với lý do rằng mỗi cơ sở thường trú phải được đối xử như một doanh nghiệp riêng biệt theo Điều 7(2) của Hiệp định Thuế Thu nhập Vương quốc Anh-Hoa Kỳ. Theo pháp luật nội địa Vương quốc Anh, lợi nhuận hợp danh được tính ở cấp độ hợp danh, sau đó mỗi thành viên hợp danh kê khai và nộp thuế trên phần lợi nhuận của mình.81</w:t>
      </w:r>
    </w:p>
    <w:p>
      <w:pPr>
        <w:spacing w:after="80"/>
      </w:pPr>
      <w:r>
        <w:rPr>
          <w:b w:val="0"/>
          <w:i w:val="0"/>
        </w:rPr>
        <w:t>Tòa án Sơ thẩm nhận xét rằng mục đích của Điều 7(2) là 'tách lợi nhuận của một thực thể cư trú tại một trong hai quốc gia ký kết để những lợi nhuận mà, theo đánh giá công bằng, một PE tiến hành hoạt động kinh doanh tại quốc gia kia kiếm được sẽ bị đánh thuế ở đó,… trong khi… lợi nhuận, không bao gồm lợi nhuận của PE, bị đánh thuế tại… quốc gia cư trú'.82</w:t>
      </w:r>
    </w:p>
    <w:p>
      <w:pPr>
        <w:spacing w:after="80"/>
      </w:pPr>
      <w:r>
        <w:rPr>
          <w:b w:val="0"/>
          <w:i w:val="0"/>
        </w:rPr>
        <w:t>Hội đồng xét xử bác bỏ lập luận rằng một phân tích thực tế và chức năng theo yêu cầu của giả thuyết doanh nghiệp riêng biệt tất yếu có nghĩa là giao dịch phải được xem như một sự chuyển nhượng tài sản.83 Tòa phán quyết rằng hợp danh là một trong những 'điều kiện tương tự' cần được tính đến khi áp dụng giả thuyết. Điều này là vì 'các điều kiện tương tự' không chỉ giới hạn ở các điều kiện thương mại mà có thể bao gồm các điều kiện pháp lý như quan hệ hợp danh.84 Hội đồng xét xử do đó kết luận rằng quan điểm đúng đắn là lập sổ sách ở cấp độ hợp danh theo yêu cầu của pháp luật nội địa. Những sổ sách này sẽ không cho thấy việc mua tài sản cố định vô hình nào.85 Theo quan điểm của tác giả, kết luận này đáng ngờ vì không có lời giải thích nào về lý do tại sao thỏa thuận hợp danh là một điều kiện pháp lý tương tự, nhưng việc mua bán giữa các thành viên hợp danh lại bị bỏ qua: việc tính lợi nhuận ở cấp độ hợp danh, bỏ qua các giao dịch giữa các thành viên hợp danh, là một hư cấu pháp lý khác theo yêu cầu của pháp luật nội địa.</w:t>
      </w:r>
    </w:p>
    <w:p>
      <w:pPr>
        <w:spacing w:after="80"/>
      </w:pPr>
      <w:r>
        <w:rPr>
          <w:b w:val="0"/>
          <w:i w:val="0"/>
        </w:rPr>
        <w:t>Để giải thích rõ hơn, s.22 quy định rằng theo nguyên tắc doanh nghiệp riêng biệt, các giao dịch giữa cơ sở thường trú và bất kỳ phần nào khác của công ty không cư trú được coi là diễn ra theo các điều khoản mà các bên giao dịch theo nguyên tắc thị trường sẽ đồng ý. Không có lời giải thích nào về việc điều gì tạo thành một 'giao dịch'. Sự thiếu vắng này đặc biệt quan trọng vì về nguyên tắc, không thể có giao dịch trong nội bộ một pháp nhân. Một số dấu hiệu ngữ cảnh về ý nghĩa được đưa ra bởi quy tắc rằng khi hàng hóa hoặc dịch vụ được công ty không cư trú cung cấp cho cơ sở thường trú, thì nguyên tắc doanh nghiệp riêng biệt được áp dụng nếu hàng hóa hoặc dịch vụ thuộc loại mà công ty cung cấp trong hoạt động kinh doanh thông thường của mình cho các bên thứ ba giao dịch với mình theo nguyên tắc thị trường. Nếu không,</w:t>
      </w:r>
    </w:p>
    <w:p>
      <w:pPr>
        <w:spacing w:after="80"/>
      </w:pPr>
      <w:r>
        <w:rPr>
          <w:b w:val="0"/>
          <w:i w:val="0"/>
        </w:rPr>
        <w:t>79. Tại đoạn 205.80.</w:t>
      </w:r>
      <w:r>
        <w:rPr>
          <w:b w:val="0"/>
          <w:i/>
        </w:rPr>
        <w:t>Bloomberg Inc &amp; Anor v Revenue and Customs</w:t>
      </w:r>
      <w:r>
        <w:rPr>
          <w:b w:val="0"/>
          <w:i w:val="0"/>
        </w:rPr>
        <w:t xml:space="preserve"> [2018] UKFTT 205 (TC), [2018] SFTD 1079, [2018]TC 06449.81.CTA 2009 ss 1259 và 1262.82.Tại đoạn 124.83.Tại đoạn 128.84.Tại các đoạn 138-146.85.Tại đoạn 171.</w:t>
      </w:r>
    </w:p>
    <w:p>
      <w:pPr>
        <w:spacing w:after="80"/>
      </w:pPr>
      <w:r>
        <w:rPr>
          <w:b w:val="0"/>
          <w:i w:val="0"/>
        </w:rPr>
        <w:t>277</w:t>
      </w:r>
    </w:p>
    <w:p>
      <w:pPr>
        <w:spacing w:after="80"/>
      </w:pPr>
      <w:r>
        <w:rPr>
          <w:b w:val="0"/>
          <w:i w:val="0"/>
        </w:rPr>
        <w:t>thì việc cung cấp hàng hóa hoặc dịch vụ được xử lý như một khoản chi phí mà công ty không cư trú phải gánh chịu vì mục đích của cơ sở thường trú.86 Việc 'cung cấp' hàng hóa và dịch vụ không đòi hỏi một thỏa thuận pháp lý nào và gợi ý rằng cụm từ 'giao dịch' tương tự với 'các mối quan hệ' được đề cập trong Bình luận của OECD về điều 7(2).87</w:t>
      </w:r>
    </w:p>
    <w:p>
      <w:pPr>
        <w:spacing w:after="80"/>
      </w:pPr>
      <w:r>
        <w:rPr>
          <w:b w:val="0"/>
          <w:i w:val="0"/>
        </w:rPr>
        <w:t>Các quy tắc trong điều 23 chỉ áp dụng cho hàng hóa và dịch vụ được cung cấp cho cơ sở thường trú, chứ không áp dụng cho hàng hóa và dịch vụ được cung cấp bởi cơ sở thường trú. Thật vậy, phần trình bày chi tiết về nguyên tắc doanh nghiệp riêng biệt trong các điều 23-32 gần như hoàn toàn dành cho việc xử lý các khoản khấu trừ. Việc xác định các khoản thu của một hoạt động kinh doanh với cơ sở thường trú được để hoàn toàn cho nguyên tắc chung được nêu trong các điều 21 và 22. HMRC tán thành cách tiếp cận của OECD trong việc phân bổ các khoản thu đó.88 Họ mô tả điểm khởi đầu là các tài khoản cho các hoạt động tại Vương quốc Anh, với các điều chỉnh theo các Đạo luật Thuế và việc phân bổ sử dụng các nguyên tắc định giá chuyển nhượng.89</w:t>
      </w:r>
    </w:p>
    <w:p>
      <w:pPr>
        <w:spacing w:after="80"/>
      </w:pPr>
      <w:r>
        <w:rPr>
          <w:b w:val="0"/>
          <w:i w:val="0"/>
        </w:rPr>
        <w:t>Không được phép khấu trừ đối với tiền bản quyền hoặc các khoản thanh toán tương tự cho các bộ phận khác của công ty không cư trú để sử dụng tài sản vô hình.90 Điều này cũng đúng đối với lãi suất hoặc các chi phí tài chính khác, ngoại trừ liên quan đến việc vay mượn của một cơ sở thường trú trong quá trình thông thường của một hoạt động kinh doanh tài chính do nó thực hiện.91</w:t>
      </w:r>
    </w:p>
    <w:p>
      <w:pPr>
        <w:spacing w:after="80"/>
      </w:pPr>
      <w:r>
        <w:rPr>
          <w:b w:val="0"/>
          <w:i w:val="0"/>
        </w:rPr>
        <w:t>HMRC lưu ý rằng trong phần lớn các trường hợp, các quy định về thuế thu nhập và thuế thu nhập doanh nghiệp sẽ dẫn đến cùng một lợi nhuận và lãi vốn chịu thuế. Họ xác định hai điểm khác biệt có thể có: Thứ nhất, vì mục đích thuế thu nhập, chỉ thu nhập từ lãi suất và tiền bản quyền có nguồn gốc Vương quốc Anh của một người không cư trú mới có khả năng được phân bổ. Một công ty chịu thuế thu nhập doanh nghiệp có thể có thu nhập từ lãi suất và tiền bản quyền có nguồn gốc ngoài Vương quốc Anh phát sinh từ bên ngoài Vương quốc Anh, có khả năng nằm trong lợi nhuận chịu thuế nếu chúng phát sinh từ tài sản hoặc quyền được sử dụng hoặc nắm giữ bởi hoặc cho cơ sở thường trú theo CTA 2009, s.19(3)(b). Họ thừa nhận rằng điều này phụ thuộc vào sự điều chỉnh bởi hiệp ước. Thứ hai, không có quy tắc phân bổ vốn nào cho những người không cư trú phải chịu thuế thu nhập.92</w:t>
      </w:r>
    </w:p>
    <w:p>
      <w:pPr>
        <w:spacing w:after="80"/>
      </w:pPr>
      <w:r>
        <w:rPr>
          <w:b w:val="0"/>
          <w:i w:val="0"/>
        </w:rPr>
        <w:t xml:space="preserve">Trong </w:t>
      </w:r>
      <w:r>
        <w:rPr>
          <w:b w:val="0"/>
          <w:i/>
        </w:rPr>
        <w:t xml:space="preserve"> HMRC v English Holdings</w:t>
      </w:r>
      <w:r>
        <w:rPr>
          <w:b w:val="0"/>
          <w:i w:val="0"/>
        </w:rPr>
        <w:t>,93 Tòa án Sơ thẩm đã phán quyết rằng các khoản lỗ kinh doanh của một cơ sở thường trú tại Vương quốc Anh có thể được bù trừ với lợi nhuận phát sinh từ hoạt động kinh doanh cho thuê bất động sản đầu tư tại Vương quốc Anh của nó,94 mặc dù bất kỳ lợi nhuận kinh doanh nào cũng sẽ phải chịu một khoản thuế thu nhập doanh nghiệp riêng, không giống như thu nhập cho thuê bất động sản, vào thời điểm đó, phải chịu thuế thu nhập.</w:t>
      </w:r>
    </w:p>
    <w:p>
      <w:pPr>
        <w:spacing w:after="80"/>
      </w:pPr>
      <w:r>
        <w:rPr>
          <w:b w:val="0"/>
          <w:i w:val="0"/>
        </w:rPr>
        <w:t>86.CTA 2009, s. 23.87.Bình luận của OECD về điều 7, đoạn 18.88.HMRC, Sổ tay Quốc tế, INTM267040.89.HMRC, Sổ tay Quốc tế, INTM267050.90.CTA 2009, s. 30.91.CTA 2009, s. 31.92.HMRC, Sổ tay Quốc tế, INTM 267030.93.</w:t>
      </w:r>
      <w:r>
        <w:rPr>
          <w:b w:val="0"/>
          <w:i/>
        </w:rPr>
        <w:t>Revenue and Customs v English Holdings</w:t>
      </w:r>
      <w:r>
        <w:rPr>
          <w:b w:val="0"/>
          <w:i w:val="0"/>
        </w:rPr>
        <w:t xml:space="preserve"> [2017] UKUT 842 (TCC), [2018] BTC 501, [2018] STC220.94.Xem Chương 10, §10.02 về đánh thuế thu nhập từ hoạt động kinh doanh bất động sản (cho thuê).</w:t>
      </w:r>
    </w:p>
    <w:p>
      <w:pPr>
        <w:spacing w:after="80"/>
      </w:pPr>
      <w:r>
        <w:rPr>
          <w:b w:val="0"/>
          <w:i w:val="0"/>
        </w:rPr>
        <w:t>278</w:t>
      </w:r>
    </w:p>
    <w:p>
      <w:pPr>
        <w:spacing w:after="80"/>
      </w:pPr>
      <w:r>
        <w:rPr>
          <w:b/>
          <w:i w:val="0"/>
        </w:rPr>
        <w:t>[B]Cơ sở thường trú ở nước ngoài</w:t>
      </w:r>
    </w:p>
    <w:p>
      <w:pPr>
        <w:spacing w:after="80"/>
      </w:pPr>
      <w:r>
        <w:rPr>
          <w:b w:val="0"/>
          <w:i w:val="0"/>
        </w:rPr>
        <w:t>Một bộ quy tắc riêng áp dụng cho các mục đích của luật trong nước liên quan đến việc phân bổ lợi nhuận cho các cơ sở thường trú ở nước ngoài của các công ty Vương quốc Anh nhằm mục đích khấu trừ thuế nước ngoài.95</w:t>
      </w:r>
    </w:p>
    <w:p>
      <w:pPr>
        <w:spacing w:after="80"/>
      </w:pPr>
      <w:r>
        <w:rPr>
          <w:b w:val="0"/>
          <w:i w:val="0"/>
        </w:rPr>
        <w:t>Các quy tắc chung cho mục đích của các quy tắc khấu trừ thuế nước ngoài đối với các cơ sở thường trú ở nước ngoài giải quyết vấn đề này như sau:</w:t>
      </w:r>
    </w:p>
    <w:p>
      <w:pPr>
        <w:spacing w:after="80"/>
      </w:pPr>
      <w:r>
        <w:rPr>
          <w:b w:val="0"/>
          <w:i w:val="0"/>
        </w:rPr>
        <w:t>43(2) Lợi nhuận của công ty được phân bổ cho cơ sở thường trú là những khoản mà cơ sở thường trú sẽ tạo ra nếu nó là một doanh nghiệp riêng biệt và độc lập mà –</w:t>
      </w:r>
    </w:p>
    <w:p>
      <w:pPr>
        <w:spacing w:after="80"/>
      </w:pPr>
      <w:r>
        <w:rPr>
          <w:b w:val="0"/>
          <w:i w:val="0"/>
        </w:rPr>
        <w:t>(a)tham gia vào các hoạt động giống hoặc tương tự trong các điều kiện giống hoặc tương tự,</w:t>
      </w:r>
    </w:p>
    <w:p>
      <w:pPr>
        <w:spacing w:after="80"/>
      </w:pPr>
      <w:r>
        <w:rPr>
          <w:b w:val="0"/>
          <w:i w:val="0"/>
        </w:rPr>
        <w:t>và(b)giao dịch hoàn toàn độc lập với công ty.</w:t>
      </w:r>
    </w:p>
    <w:p>
      <w:pPr>
        <w:spacing w:after="80"/>
      </w:pPr>
      <w:r>
        <w:rPr>
          <w:b w:val="0"/>
          <w:i w:val="0"/>
        </w:rPr>
        <w:t>(3) Khi áp dụng khoản (2), giả định rằng –</w:t>
      </w:r>
    </w:p>
    <w:p>
      <w:pPr>
        <w:spacing w:after="80"/>
      </w:pPr>
      <w:r>
        <w:rPr>
          <w:b w:val="0"/>
          <w:i w:val="0"/>
        </w:rPr>
        <w:t>(c) cơ sở thường trú có cùng xếp hạng tín dụng như công ty, và (d) (theo quy định tại khoản (5)) cơ sở thường trú có vốn chủ sở hữu và</w:t>
      </w:r>
    </w:p>
    <w:p>
      <w:pPr>
        <w:spacing w:after="80"/>
      </w:pPr>
      <w:r>
        <w:rPr>
          <w:b w:val="0"/>
          <w:i w:val="0"/>
        </w:rPr>
        <w:t>vốn vay ở mức mà nó có thể được kỳ vọng một cách hợp lý nếu vốn chủ sở hữu và vốn vay của công ty được phân bổ theo khoản (4).</w:t>
      </w:r>
    </w:p>
    <w:p>
      <w:pPr>
        <w:spacing w:after="80"/>
      </w:pPr>
      <w:r>
        <w:rPr>
          <w:b w:val="0"/>
          <w:i w:val="0"/>
        </w:rPr>
        <w:t>(4) Việc phân bổ được thực hiện trên cơ sở công bằng và hợp lý giữa các cơ sở thường trú tại các vùng lãnh thổ ngoài Vương quốc Anh mà qua đó công ty tiến hành hoạt động kinh doanh và thực thể mà công ty sẽ bao gồm nếu mỗi cơ sở thường trú như vậy là một thực thể riêng biệt và tách biệt với công ty.</w:t>
      </w:r>
    </w:p>
    <w:p>
      <w:pPr>
        <w:spacing w:after="80"/>
      </w:pPr>
      <w:r>
        <w:rPr>
          <w:b w:val="0"/>
          <w:i w:val="0"/>
        </w:rPr>
        <w:t>Điểm khác biệt then chốt là không có quy tắc cụ thể nào xử lý việc khấu trừ cho cơ sở thường trú. Nó chỉ đơn giản yêu cầu phân bổ một cách 'công bằng và hợp lý'. Cách diễn đạt này không có trong các hiệp định. Một ngoại lệ được đặt ra liên quan đến việc phân bổ vốn nếu cơ sở thường trú nằm trong một 'vùng lãnh thổ có hiệp định đầy đủ' (full-treaty territory). Trong trường hợp đó, khoản (3)(b) có hiệu lực tùy thuộc vào các quy định của hiệp định thuế hiện hành. Về mặt điều khoản, điều này có nghĩa là các hiệp định cấm phân bổ vốn sẽ cung cấp quy định này. Điều này có vẻ không cần thiết vì luật trong nước vốn đã phải tuân theo các hiệp định. Một 'vùng lãnh thổ có hiệp định đầy đủ' là nơi hiệp định hiện hành có chứa quy định cấm phân biệt đối xử với cơ sở thường trú.96 Trong phạm vi mà các hiệp định không chứa những điều khoản cấm như vậy không cho phép phân bổ vốn trong các quy tắc phân bổ lợi nhuận của chúng, thì luật thuế trong nước của Vương quốc Anh sẽ trái với những hiệp định đó. Các hiệp định theo mô thức thuộc địa cũ thường không chứa các quy định về không phân biệt đối xử. Tuy nhiên, chúng cũng chứa các quy tắc phân bổ lợi nhuận tương tự như Điều 7.97</w:t>
      </w:r>
    </w:p>
    <w:p>
      <w:pPr>
        <w:spacing w:after="80"/>
      </w:pPr>
      <w:r>
        <w:rPr>
          <w:b w:val="0"/>
          <w:i w:val="0"/>
        </w:rPr>
        <w:t>95. TIOPA 2010, s. 43. 96. TIOPA 2010, s. 43(5) với CTA 2009, s. 18R. Xem thêm Chương 16, §16.05. 97. Xem, ví dụ, Hiệp định Solomon Islands-UK (</w:t>
      </w:r>
      <w:r>
        <w:rPr>
          <w:b w:val="0"/>
          <w:i/>
        </w:rPr>
        <w:t>Arrangement between His Majesty's Government and the Government of the British Solomon Islands Protectorate for the Avoidance of Double Taxation and the Prevention of Fiscal Evasion with Respect to Taxes on Income Arrangement of 10 May 1950</w:t>
      </w:r>
      <w:r>
        <w:rPr>
          <w:b w:val="0"/>
          <w:i w:val="0"/>
        </w:rPr>
        <w:t>) (SI 1950/748).</w:t>
      </w:r>
    </w:p>
    <w:p>
      <w:pPr>
        <w:spacing w:after="80"/>
      </w:pPr>
      <w:r>
        <w:rPr>
          <w:b w:val="0"/>
          <w:i w:val="0"/>
        </w:rPr>
        <w:t>279</w:t>
      </w:r>
    </w:p>
    <w:p>
      <w:pPr>
        <w:spacing w:after="80"/>
      </w:pPr>
      <w:r>
        <w:rPr>
          <w:b w:val="0"/>
          <w:i w:val="0"/>
        </w:rPr>
        <w:t>Một cách xây dựng hoàn toàn khác được áp dụng cho việc phân bổ lợi nhuận cho cơ sở thường trú nhằm mục đích miễn thuế thu nhập doanh nghiệp đối với lợi nhuận cơ sở thường trú nước ngoài trong CTA 2009, Phần 2, Chương 3A như được quy định tại s. 18A(6), nội dung như sau:</w:t>
      </w:r>
    </w:p>
    <w:p>
      <w:pPr>
        <w:spacing w:after="80"/>
      </w:pPr>
      <w:r>
        <w:rPr>
          <w:b w:val="0"/>
          <w:i w:val="0"/>
        </w:rPr>
        <w:t>Nhằm mục đích của Chương này, 'số lợi nhuận liên quan', liên quan đến một vùng lãnh thổ nước ngoài liên quan và một kỳ kế toán của một công ty, có nghĩa là –</w:t>
      </w:r>
    </w:p>
    <w:p>
      <w:pPr>
        <w:spacing w:after="80"/>
      </w:pPr>
      <w:r>
        <w:rPr>
          <w:b w:val="0"/>
          <w:i w:val="0"/>
        </w:rPr>
        <w:t>(a) trong trường hợp một vùng lãnh thổ có hiệp định đầy đủ, lợi nhuận được coi là</w:t>
      </w:r>
    </w:p>
    <w:p>
      <w:pPr>
        <w:spacing w:after="80"/>
      </w:pPr>
      <w:r>
        <w:rPr>
          <w:b w:val="0"/>
          <w:i w:val="0"/>
        </w:rPr>
        <w:t>quy cho cơ sở thường trú của công ty tại vùng lãnh thổ đó nhằm mục đích xác định số tín dụng thuế được phép theo TIOPA 2010 (liên quan đến thuế đã nộp theo luật của vùng lãnh thổ nước ngoài liên quan) để cấn trừ vào thuế thu nhập doanh nghiệp nếu công ty phải chịu thuế thu nhập doanh nghiệp cho kỳ kế toán đó (ngoài Chương này), hoặc (b) trong trường hợp bất kỳ vùng lãnh thổ nào khác, lợi nhuận được coi là</w:t>
      </w:r>
    </w:p>
    <w:p>
      <w:pPr>
        <w:spacing w:after="80"/>
      </w:pPr>
      <w:r>
        <w:rPr>
          <w:b w:val="0"/>
          <w:i w:val="0"/>
        </w:rPr>
        <w:t>quy cho cho mục đích đó nếu vùng lãnh thổ đó là một vùng lãnh thổ có hiệp định đầy đủ và các thỏa thuận đánh thuế hai lần có hiệu lực liên quan đến vùng lãnh thổ đó được quy định theo các điều khoản của mô hình OECD.98</w:t>
      </w:r>
    </w:p>
    <w:p>
      <w:pPr>
        <w:spacing w:after="80"/>
      </w:pPr>
      <w:r>
        <w:rPr>
          <w:b w:val="0"/>
          <w:i w:val="0"/>
        </w:rPr>
        <w:t>Hiệu lực của các tham chiếu chéo này là áp dụng phương pháp phân bổ được hiệp định liên quan quy định khi vùng lãnh thổ được đề cập là một 'vùng lãnh thổ có hiệp định đầy đủ'. Khi các hiệp định khác áp dụng, thì việc phân bổ phải tuân theo mô hình OECD. Mô hình OECD cho mục đích này là phiên bản năm 2010.99 Do đó, Điều 7 đã sửa đổi thay vì Điều 7 truyền thống sẽ áp dụng trong những trường hợp như vậy, đòi hỏi việc áp dụng đầy đủ Cách tiếp cận OECD được ủy quyền (Authorised OECD Approach) bao gồm tất cả các giao dịch nội bộ thực thể liên quan.100</w:t>
      </w:r>
    </w:p>
    <w:p>
      <w:pPr>
        <w:spacing w:after="80"/>
      </w:pPr>
      <w:r>
        <w:rPr>
          <w:b/>
          <w:i w:val="0"/>
        </w:rPr>
        <w:t>§9.10 KHẤU TRỪ CHI PHÍ</w:t>
      </w:r>
    </w:p>
    <w:p>
      <w:pPr>
        <w:spacing w:after="80"/>
      </w:pPr>
      <w:r>
        <w:rPr>
          <w:b w:val="0"/>
          <w:i w:val="0"/>
        </w:rPr>
        <w:t>Việc khấu trừ chi phí của một cơ sở thường trú được công nhận rõ ràng trong Điều 7(3) của Mô hình OECD trước năm 2017. Ví dụ, điều khoản đó trong Hiệp định UK-Macedonia có nội dung:</w:t>
      </w:r>
    </w:p>
    <w:p>
      <w:pPr>
        <w:spacing w:after="80"/>
      </w:pPr>
      <w:r>
        <w:rPr>
          <w:b w:val="0"/>
          <w:i w:val="0"/>
        </w:rPr>
        <w:t>7(3) Khi xác định lợi nhuận của một cơ sở thường trú, các chi phí phát sinh vì mục đích của cơ sở thường trú phải được cho phép khấu trừ, bao gồm các chi phí điều hành và quản lý chung phát sinh như vậy, dù tại Quốc gia nơi cơ sở thường trú tọa lạc hay ở nơi khác.</w:t>
      </w:r>
    </w:p>
    <w:p>
      <w:pPr>
        <w:spacing w:after="80"/>
      </w:pPr>
      <w:r>
        <w:rPr>
          <w:b w:val="0"/>
          <w:i w:val="0"/>
        </w:rPr>
        <w:t>Điều này làm rõ phương pháp phân bổ chi phí được quy định bởi Điều 7(2). Nó quy định rằng khi xác định lợi nhuận của một cơ sở thường trú, việc khấu trừ chi phí phải được cho phép khi chúng phát sinh vì cơ sở thường trú. Điều này bao gồm các chi phí điều hành và quản lý chung phát sinh dù chúng ở tại quốc gia nơi cơ sở thường trú tọa lạc hay ở nơi khác.101 Như một</w:t>
      </w:r>
    </w:p>
    <w:p>
      <w:pPr>
        <w:spacing w:after="80"/>
      </w:pPr>
      <w:r>
        <w:rPr>
          <w:b w:val="0"/>
          <w:i w:val="0"/>
        </w:rPr>
        <w:t xml:space="preserve">98. Định nghĩa tương ứng của ‘số lỗ liên quan’ (relevant losses amount) được quy định tại CTA 2009, s. 18A(7).99.CTA 2009, s. 18S.100.Xem §9.07 </w:t>
      </w:r>
      <w:r>
        <w:rPr>
          <w:b w:val="0"/>
          <w:i/>
        </w:rPr>
        <w:t>Phân bổ lợi nhuận cho cơ sở thường trú</w:t>
      </w:r>
      <w:r>
        <w:rPr>
          <w:b w:val="0"/>
          <w:i w:val="0"/>
        </w:rPr>
        <w:t xml:space="preserve"> (phiên bản 2010).101.Trong </w:t>
      </w:r>
      <w:r>
        <w:rPr>
          <w:b w:val="0"/>
          <w:i/>
        </w:rPr>
        <w:t>Bloomberg Inc &amp; Anor v Revenue and Customs</w:t>
      </w:r>
      <w:r>
        <w:rPr>
          <w:b w:val="0"/>
          <w:i w:val="0"/>
        </w:rPr>
        <w:t xml:space="preserve"> [2018] UKFTT 205 (TC), [2018] SFTD 1079, [2018] TC 06449, Tòa án sơ thẩm (First-tier Tribunal) nhận xét, tại đoạn 175, rằng điều 7(3) không nhằm</w:t>
      </w:r>
    </w:p>
    <w:p>
      <w:pPr>
        <w:spacing w:after="80"/>
      </w:pPr>
      <w:r>
        <w:rPr>
          <w:b w:val="0"/>
          <w:i w:val="0"/>
        </w:rPr>
        <w:t>280</w:t>
      </w:r>
    </w:p>
    <w:p>
      <w:pPr>
        <w:spacing w:after="80"/>
      </w:pPr>
      <w:r>
        <w:rPr>
          <w:b w:val="0"/>
          <w:i w:val="0"/>
        </w:rPr>
        <w:t>dẫn đến việc nơi phát sinh chi phí không còn liên quan và một khoản khấu trừ phải được cho phép đối với các chi phí chung liên quan đến cơ sở thường trú. Quy định này nhấn mạnh rằng cơ sở tính thuế gộp (gross basis) không được áp dụng cho lợi nhuận kinh doanh bất cứ nơi nào điều 7 được áp dụng.102</w:t>
      </w:r>
    </w:p>
    <w:p>
      <w:pPr>
        <w:spacing w:after="80"/>
      </w:pPr>
      <w:r>
        <w:rPr>
          <w:b w:val="0"/>
          <w:i w:val="0"/>
        </w:rPr>
        <w:t>Các hiệp ước áp dụng cách tiếp cận của Mô hình UN (UN Model) làm rõ rằng các giao dịch nội bộ trong doanh nghiệp không thể được ghi nhận. Một phiên bản được tìm thấy trong Hiệp ước Anh-Mexico (UK-Mexico Treaty), sửa đổi điều 7(3) như sau:</w:t>
      </w:r>
    </w:p>
    <w:p>
      <w:pPr>
        <w:spacing w:after="80"/>
      </w:pPr>
      <w:r>
        <w:rPr>
          <w:b w:val="0"/>
          <w:i w:val="0"/>
        </w:rPr>
        <w:t>7(4) … Tuy nhiên, không được cho phép khấu trừ như vậy đối với các khoản tiền, nếu có, được trả (khác với việc hoàn trả chi phí thực tế) bởi cơ sở thường trú cho trụ sở chính của doanh nghiệp hoặc bất kỳ văn phòng nào khác của doanh nghiệp, dưới hình thức tiền bản quyền, phí hoặc các khoản thanh toán tương tự để đổi lấy việc sử dụng bằng sáng chế hoặc các quyền khác, hoặc dưới hình thức hoa hồng, cho các dịch vụ cụ thể được thực hiện hoặc cho việc quản lý, hoặc, trừ trường hợp ngân hàng, dưới hình thức lãi suất đối với tiền cho cơ sở thường trú vay.</w:t>
      </w:r>
    </w:p>
    <w:p>
      <w:pPr>
        <w:spacing w:after="80"/>
      </w:pPr>
      <w:r>
        <w:rPr>
          <w:b w:val="0"/>
          <w:i w:val="0"/>
        </w:rPr>
        <w:t>Rõ ràng là cách tiếp cận được OECD ủy quyền (authorised OECD approach) không thể áp dụng một cách thích hợp trong trường hợp các hiệp ước áp dụng ngôn ngữ tương tự. Có một giả định rằng các khoản phí kiểu này chỉ được trụ sở chính tính cho cơ sở thường trú chứ không phải ngược lại. Không có giới hạn nào như vậy được đặt ra đối với các khoản thanh toán từ trụ sở chính cho cơ sở thường trú.</w:t>
      </w:r>
    </w:p>
    <w:p>
      <w:pPr>
        <w:spacing w:after="80"/>
      </w:pPr>
      <w:r>
        <w:rPr>
          <w:b w:val="0"/>
          <w:i w:val="0"/>
        </w:rPr>
        <w:t>Theo luật trong nước, các khoản khấu trừ được cho phép đối với chi phí phát sinh cho các mục đích của cơ sở thường trú bao gồm cả chi phí hành chính điều hành và chi phí quản lý chung phát sinh như vậy, dù ở Anh hay ở nơi khác.103 Chính sách này nhất quán với cách tiếp cận trong Mô hình OECD, điều 7(3). Khả năng khấu trừ chỉ áp dụng cho các loại chi phí mà nếu phát sinh bởi một công ty cư trú tại Anh thì sẽ được khấu trừ. Như đã lưu ý, pháp luật trong nước giải quyết nguyên tắc doanh nghiệp riêng biệt (separate enterprise principle) phần lớn dành cho việc giới hạn các khoản khấu trừ dành cho cơ sở thường trú.</w:t>
      </w:r>
    </w:p>
    <w:p>
      <w:pPr>
        <w:spacing w:after="80"/>
      </w:pPr>
      <w:r>
        <w:rPr>
          <w:b w:val="0"/>
          <w:i w:val="0"/>
        </w:rPr>
        <w:t>Nguyên tắc doanh nghiệp riêng biệt phải được áp dụng trên các giả định về cơ cấu vốn trong s. 21(2). Không được cho phép khấu trừ đối với chi phí vượt quá mức sẽ phát sinh theo giả định này.104 Nếu hiểu theo nghĩa đen, hiệu lực của lệnh cấm này có khả năng cực kỳ rộng. Việc áp dụng lệnh cấm cho các khía cạnh tính toán khác mà vốn của thực thể không liên quan có khả năng vi phạm các quy định không phân biệt đối xử của hầu hết các hiệp ước.105 Trong bối cảnh tài trợ cho cơ sở thường trú, các yêu cầu về vốn nhằm mục đích làm cho cơ sở thường trú giống như các công ty con. Kết quả là, cách tiếp cận chống mỏng vốn (thin-capitalisation) được mở rộng cho việc tài trợ cho cơ sở thường trú. Cách tiếp cận này quy cho cơ sở thường trú các hoạt động giống hoặc tương tự trong các điều kiện giống hoặc tương tự như một thực thể riêng biệt. Hiệu quả là giới hạn số lượng nợ mà cơ sở thường trú có thể khấu trừ lãi suất và các chi phí tài chính khác.106 Chỉ</w:t>
      </w:r>
    </w:p>
    <w:p>
      <w:pPr>
        <w:spacing w:after="80"/>
      </w:pPr>
      <w:r>
        <w:rPr>
          <w:b w:val="0"/>
          <w:i w:val="0"/>
        </w:rPr>
        <w:t>đưa ra một bài kiểm tra độc lập hoạt động để cung cấp một khoản khấu trừ độc lập với việc tính toán thu nhập mà từ đó các khoản khấu trừ được thực hiện nhằm xác định lợi nhuận.102.</w:t>
      </w:r>
      <w:r>
        <w:rPr>
          <w:b w:val="0"/>
          <w:i/>
        </w:rPr>
        <w:t>Rolls-Royce Industrial Power Ltd v ACIT</w:t>
      </w:r>
      <w:r>
        <w:rPr>
          <w:b w:val="0"/>
          <w:i w:val="0"/>
        </w:rPr>
        <w:t xml:space="preserve"> (2010-TII-139-ITAT-DEL-INTL).103.CTA 2009, s. 29.104.CTA 2009, s. 30.105.Xem Chương 16, §16.05.106.HMRC, International Manual, INTM267120. Đối với cách tiếp cận của HMRC để xác định vốn hóa của cơ sở thường trú, xem INTM267130 đến INTM267150. Đối với các quan hệ cho vay</w:t>
      </w:r>
    </w:p>
    <w:p>
      <w:pPr>
        <w:spacing w:after="80"/>
      </w:pPr>
      <w:r>
        <w:rPr>
          <w:b w:val="0"/>
          <w:i w:val="0"/>
        </w:rPr>
        <w:t>281</w:t>
      </w:r>
    </w:p>
    <w:p>
      <w:pPr>
        <w:spacing w:after="80"/>
      </w:pPr>
      <w:r>
        <w:rPr>
          <w:b w:val="0"/>
          <w:i w:val="0"/>
        </w:rPr>
        <w:t>chi phí tài trợ của bên thứ ba mới được khấu trừ vì không được cho phép khấu trừ đối với chi phí tài chính do cơ sở thường trú thực hiện cho trụ sở chính hoặc bất kỳ phần nào khác của đối tượng không cư trú, trừ trường hợp ngân hàng.107</w:t>
      </w:r>
    </w:p>
    <w:p>
      <w:pPr>
        <w:spacing w:after="80"/>
      </w:pPr>
      <w:r>
        <w:rPr>
          <w:b w:val="0"/>
          <w:i w:val="0"/>
        </w:rPr>
        <w:t xml:space="preserve">Lệnh cấm khấu trừ đối với ‘giao dịch’ (dealings) được mở rộng một cách tổng quát bởi CTA 2009, s. 29(4), điều này chỉ cho phép khấu trừ số tiền chi phí thực tế cho công ty không cư trú. Kết quả là một ngoại lệ hạn chế được đưa ra bởi s. 23, áp dụng nếu công ty không cư trú cung cấp hàng hóa hoặc dịch vụ cho cơ sở thường trú. Nếu hàng hóa hoặc dịch vụ thuộc loại mà công ty cung cấp, trong quá trình kinh doanh thông thường, cho các bên thứ ba giao dịch với mình theo nguyên tắc thị trường (arm’s length), thì vấn đề được xử lý như một giao dịch mà nguyên tắc doanh nghiệp riêng biệt áp dụng.108 Do đó, nếu một nhà sản xuất không cư trú gửi hàng hóa sản xuất mà mình bán như một phần trong hoạt động kinh doanh của mình đến cơ sở thường trú tại Anh để phân phối, cơ sở thường trú có thể khấu trừ chi phí hàng hóa được cung cấp thông qua các giao dịch giả định, áp dụng nguyên tắc thị trường bằng cách tương tự. Bất kỳ hàng hóa hoặc dịch vụ nào khác được cung cấp cho cơ sở thường trú đều chịu sự điều chỉnh của quy tắc chung trong s. 29(4). Lệnh cấm rõ ràng tương tự đối với việc giảm trừ liên quan đến ‘giao dịch’ tài sản vô hình cũng được đưa ra. Do đó, không được cho phép khấu trừ đối với tiền bản quyền hoặc các khoản thanh toán tương tự được thực hiện bởi cơ sở thường trú cho bất kỳ phần nào khác của công ty không cư trú liên quan đến việc sử dụng tài sản vô hình do công ty nắm giữ. Tuy nhiên, điều này không ngăn cản việc khấu trừ đối với bất kỳ khoản đóng góp nào của cơ sở thường trú vào chi phí tạo ra một tài sản vô hình.109 Việc áp dụng bất đối xứng nguyên tắc doanh nghiệp riêng biệt trong chế độ thuế thu nhập doanh nghiệp trong nước phù hợp với các quy định của Mô hình UN nhằm hạn chế việc khấu trừ chi phí của cơ sở thường trú có thể phát sinh liên quan đến ‘giao dịch’ liên quan đến bất cứ thứ gì được cung cấp cho cơ sở thường trú. Về khía cạnh này, nó không nhất quán với mô hình OECD vốn không có lệnh cấm như vậy. Tuy nhiên, Bình luận (Commentary), bất chấp việc sửa đổi lặp đi lặp lại trong lĩnh vực này, từ lâu đã không tán thành việc cho phép các khoản phí nội bộ thực thể tương tự như lãi suất và tiền bản quyền bên ngoài lĩnh vực ngân hàng. Tuy nhiên, phán quyết của Mỹ trong </w:t>
      </w:r>
      <w:r>
        <w:rPr>
          <w:b w:val="0"/>
          <w:i/>
        </w:rPr>
        <w:t>National Westminster Bank plc v United States of America</w:t>
      </w:r>
      <w:r>
        <w:rPr>
          <w:b w:val="0"/>
          <w:i w:val="0"/>
        </w:rPr>
        <w:t>,110 đặt câu hỏi về việc từ chối khấu trừ đối với các giao dịch nội bộ thực thể khi chúng được ghi chép đúng đắn trên sổ sách của công ty con và phản ánh các điều khoản theo nguyên tắc thị trường.</w:t>
      </w:r>
    </w:p>
    <w:p>
      <w:pPr>
        <w:spacing w:after="80"/>
      </w:pPr>
      <w:r>
        <w:rPr>
          <w:b/>
          <w:i w:val="0"/>
        </w:rPr>
        <w:t>§9.11 CÁC TỔ CHỨC TÀI CHÍNH</w:t>
      </w:r>
    </w:p>
    <w:p>
      <w:pPr>
        <w:spacing w:after="80"/>
      </w:pPr>
      <w:r>
        <w:rPr>
          <w:b w:val="0"/>
          <w:i w:val="0"/>
        </w:rPr>
        <w:t>Các ngân hàng nước ngoài hoạt động thông qua chi nhánh tại Anh được đề cập cụ thể trong pháp luật. CTA 2009, ss 25-28 quy định các quy tắc cho các tổ chức tài chính. Những quy định này áp dụng cho các ngân hàng như được định nghĩa trong CTA 2010, s. 1120. Các hạn chế đối với việc khấu trừ lãi suất hoặc các chi phí tài chính khác bởi cơ sở thường trú cho các phần khác của</w:t>
      </w:r>
    </w:p>
    <w:p>
      <w:pPr>
        <w:spacing w:after="80"/>
      </w:pPr>
      <w:r>
        <w:rPr>
          <w:b w:val="0"/>
          <w:i w:val="0"/>
        </w:rPr>
        <w:t>các quy tắc tính toán và Nguyên tắc Kế toán được Chấp nhận Chung (GAAP) của các công ty không thuộc Anh, xem HMRC, Corporate Finance Manual, CFM33090.107.CTA 2009, s. 32. Đối với việc xử lý các ngân hàng, xem §9.11.108.CTA 2009, s. 23(2).109.CTA 2009, s. 31.110.</w:t>
      </w:r>
      <w:r>
        <w:rPr>
          <w:b w:val="0"/>
          <w:i/>
        </w:rPr>
        <w:t>National Westminster Bank plc v United States of America</w:t>
      </w:r>
      <w:r>
        <w:rPr>
          <w:b w:val="0"/>
          <w:i w:val="0"/>
        </w:rPr>
        <w:t>, US Court of Appeals, Federal Circuit; 2007-5028, 15 tháng 1 năm 2008, 512 F3d 1347. Xem §9.04.</w:t>
      </w:r>
    </w:p>
    <w:p>
      <w:pPr>
        <w:spacing w:after="80"/>
      </w:pPr>
      <w:r>
        <w:rPr>
          <w:b w:val="0"/>
          <w:i w:val="0"/>
        </w:rPr>
        <w:t>282</w:t>
      </w:r>
    </w:p>
    <w:p>
      <w:pPr>
        <w:spacing w:after="80"/>
      </w:pPr>
      <w:r>
        <w:rPr>
          <w:b w:val="0"/>
          <w:i w:val="0"/>
        </w:rPr>
        <w:t>Công ty không cư trú không áp dụng cho các ngân hàng hoặc các cơ sở thường trú khác trong hoạt động kinh doanh tài chính thông thường.111 Trong bối cảnh này, hoạt động kinh doanh tài chính có nghĩa là ngân hàng, nhận tiền gửi, cho vay tiền, bao thanh toán nợ, hoặc hoạt động kinh doanh tương tự như bất kỳ hoạt động nào trong số đó, cũng như giao dịch hàng hóa hoặc hợp đồng tương lai tài chính.112 Các giao dịch nội bộ trong cùng một thực thể liên quan đến các khoản vay và tài sản tài chính khác được công nhận cụ thể trong trường hợp của các ngân hàng, nhưng một điều khoản chống tránh thuế ngăn cản việc công nhận các chuyển nhượng tài sản đó không được thực hiện vì lý do thương mại hợp lệ, bao gồm cả các chuyển nhượng nhằm đạt được lợi thế thuế.113</w:t>
      </w:r>
    </w:p>
    <w:p>
      <w:pPr>
        <w:spacing w:after="80"/>
      </w:pPr>
      <w:r>
        <w:rPr>
          <w:b w:val="0"/>
          <w:i w:val="0"/>
        </w:rPr>
        <w:t>Các quy tắc đặc biệt quy kết các khoản vay và tài sản tài chính cũng như lợi nhuận phát sinh từ chúng cho các cơ sở thường trú, và khi cơ sở thường trú vay vốn cho mục đích của một phần khác của công ty đóng vai trò là đại lý hoặc trung gian,114</w:t>
      </w:r>
    </w:p>
    <w:p>
      <w:pPr>
        <w:spacing w:after="80"/>
      </w:pPr>
      <w:r>
        <w:rPr>
          <w:b w:val="0"/>
          <w:i w:val="0"/>
        </w:rPr>
        <w:t>thực tiễn và hướng dẫn phong phú của HMRC trong lĩnh vực này song hành với Phần II của báo cáo OECD về quy kết lợi nhuận.115</w:t>
      </w:r>
    </w:p>
    <w:p>
      <w:pPr>
        <w:spacing w:after="80"/>
      </w:pPr>
      <w:r>
        <w:rPr>
          <w:b w:val="0"/>
          <w:i w:val="0"/>
        </w:rPr>
        <w:t>CTA 2009, s. 24 trao quyền cho HMRC ban hành các quy định về việc quy kết lợi nhuận của các công ty bảo hiểm không cư trú cho các cơ sở thường trú tại Vương quốc Anh.116 Quan điểm của OECD được trình bày trong Phần IV của báo cáo năm 2008.</w:t>
      </w:r>
    </w:p>
    <w:p>
      <w:pPr>
        <w:spacing w:after="80"/>
      </w:pPr>
      <w:r>
        <w:rPr>
          <w:b/>
          <w:i w:val="0"/>
        </w:rPr>
        <w:t>§9.12 CÁC PHƯƠNG PHÁP PHÂN BỔ THÔNG THƯỜNG</w:t>
      </w:r>
    </w:p>
    <w:p>
      <w:pPr>
        <w:spacing w:after="80"/>
      </w:pPr>
      <w:r>
        <w:rPr>
          <w:b w:val="0"/>
          <w:i w:val="0"/>
        </w:rPr>
        <w:t>Điều 7(4) của Mẫu OECD trước năm 2017 cho phép áp dụng các phương pháp thông thường để quy kết lợi nhuận cho các cơ sở thường trú. Các điều khoản của nó được phản ánh trong Điều 7(4) của Hiệp định Romania-Vương quốc Anh, được viết như sau:</w:t>
      </w:r>
    </w:p>
    <w:p>
      <w:pPr>
        <w:spacing w:after="80"/>
      </w:pPr>
      <w:r>
        <w:rPr>
          <w:b w:val="0"/>
          <w:i w:val="0"/>
        </w:rPr>
        <w:t>Trong phạm vi một Quốc gia ký kết đã có thông lệ xác định lợi nhuận được quy kết cho một cơ sở thường trú trên cơ sở phân bổ tổng lợi nhuận của doanh nghiệp cho các phần khác nhau của nó, thì không có nội dung nào trong khoản (2) của Điều này ngăn cản Quốc gia ký kết đó xác định lợi nhuận phải chịu thuế bằng cách phân bổ như có thể đã thành thông lệ; tuy nhiên, phương pháp phân bổ được áp dụng phải sao cho kết quả phù hợp với các nguyên tắc được thể hiện trong Điều này.</w:t>
      </w:r>
    </w:p>
    <w:p>
      <w:pPr>
        <w:spacing w:after="80"/>
      </w:pPr>
      <w:r>
        <w:rPr>
          <w:b w:val="0"/>
          <w:i w:val="0"/>
        </w:rPr>
        <w:t xml:space="preserve">Ý nghĩa và việc áp dụng các quy định này đã được làm nổi bật trong các vụ án liên quan đến việc xác định lợi nhuận tại Vương quốc Anh của các công ty bảo hiểm nhân thọ nước ngoài. Theo luật trong nước, các công ty bảo hiểm nhân thọ nước ngoài được đánh thuế trên cơ sở thông thường; lợi nhuận thông thường cho mục đích này được xác định bằng cách tham chiếu đến tỷ lệ thu nhập đầu tư tương ứng với tỷ lệ hoạt động kinh doanh được thực hiện tại Vương quốc Anh so với toàn bộ hoạt động kinh doanh. Trong </w:t>
      </w:r>
      <w:r>
        <w:rPr>
          <w:b w:val="0"/>
          <w:i/>
        </w:rPr>
        <w:t>Ostime v Australian Mutual Provident Society</w:t>
      </w:r>
      <w:r>
        <w:rPr>
          <w:b w:val="0"/>
          <w:i w:val="0"/>
        </w:rPr>
        <w:t>,117 tòa án đã xem xét Hiệp định Australia-Vương quốc Anh năm 1947. 'Lợi nhuận công nghiệp hoặc thương mại' được định nghĩa hẹp trong hiệp định và đặc biệt loại trừ thu nhập dưới hình thức cổ tức, tiền lãi, tiền thuê, tiền bản quyền, phí quản lý hoặc thù lao cho</w:t>
      </w:r>
    </w:p>
    <w:p>
      <w:pPr>
        <w:spacing w:after="80"/>
      </w:pPr>
      <w:r>
        <w:rPr>
          <w:b w:val="0"/>
          <w:i w:val="0"/>
        </w:rPr>
        <w:t xml:space="preserve">111. CTA 2009, s. 32(2).112. CTA 2009, s. 32(3).113. CTA 2009, s. 26.114. Các khoản 9 và 10.115. HMRC, International Manual, INTM267500 đến INTM267798.116. </w:t>
      </w:r>
      <w:r>
        <w:rPr>
          <w:b w:val="0"/>
          <w:i/>
        </w:rPr>
        <w:t>Non-resident Insurance Companies Regulations</w:t>
      </w:r>
      <w:r>
        <w:rPr>
          <w:b w:val="0"/>
          <w:i w:val="0"/>
        </w:rPr>
        <w:t xml:space="preserve"> 2003 (SI 2003/2714).117. </w:t>
      </w:r>
      <w:r>
        <w:rPr>
          <w:b w:val="0"/>
          <w:i/>
        </w:rPr>
        <w:t>Ostime v Australian Mutual Provident Society</w:t>
      </w:r>
      <w:r>
        <w:rPr>
          <w:b w:val="0"/>
          <w:i w:val="0"/>
        </w:rPr>
        <w:t xml:space="preserve"> (1956-1960) 38 TC 492, HL; [1960] AC 459.</w:t>
      </w:r>
    </w:p>
    <w:p>
      <w:pPr>
        <w:spacing w:after="80"/>
      </w:pPr>
      <w:r>
        <w:rPr>
          <w:b w:val="0"/>
          <w:i w:val="0"/>
        </w:rPr>
        <w:t>283</w:t>
      </w:r>
    </w:p>
    <w:p>
      <w:pPr>
        <w:spacing w:after="80"/>
      </w:pPr>
      <w:r>
        <w:rPr>
          <w:b w:val="0"/>
          <w:i w:val="0"/>
        </w:rPr>
        <w:t>dịch vụ cá nhân. Các quy định quy kết lợi nhuận cho một cơ sở thường trú trong Điều III(2) không chứa ngôn từ bảo tồn các phương pháp thông thường để quy kết thu nhập. Do đó, hiệp định đã thay thế việc áp dụng quy tắc trong nước.</w:t>
      </w:r>
    </w:p>
    <w:p>
      <w:pPr>
        <w:spacing w:after="80"/>
      </w:pPr>
      <w:r>
        <w:rPr>
          <w:b w:val="0"/>
          <w:i w:val="0"/>
        </w:rPr>
        <w:t xml:space="preserve">Trong vụ án </w:t>
      </w:r>
      <w:r>
        <w:rPr>
          <w:b w:val="0"/>
          <w:i/>
        </w:rPr>
        <w:t>Sun Life</w:t>
      </w:r>
      <w:r>
        <w:rPr>
          <w:b w:val="0"/>
          <w:i w:val="0"/>
        </w:rPr>
        <w:t>, quy định của hiệp định liên quan đến các phương pháp thông thường đã được Tòa án Phúc thẩm xem xét.118 Tòa kết luận rằng không có nghi ngờ gì về tính chất thông thường của luật quy chế trong nước về quy kết dựa trên một phần thu nhập trên toàn thế giới, vốn đã tồn tại từ năm 1915. Tòa lưu ý rằng Điều 7(4) của Mẫu OECD không yêu cầu sự tương ứng chặt chẽ giữa phương pháp được cho phép bởi điều đó và nguyên tắc doanh nghiệp riêng biệt trong Điều 7(2). Do đó, tòa đã phán quyết rằng Điều 7(4) cho phép một số tính toán dựa trên việc phân bổ tổng lợi nhuận. Trong phạm vi một phương pháp thông thường nhằm thực hiện nguyên tắc doanh nghiệp riêng biệt, nó phải, ở một mức độ nào đó, thô sơ trong hoạt động của mình. Các giới hạn của Điều 7(4) là không chính xác và tòa án không sẵn sàng nói rằng luật trong nước không phù hợp với các nguyên tắc của Điều 7. Mặc dù việc phân bổ tổng lợi nhuận bằng cách tham chiếu đến một công thức không phải là quy kết lợi nhuận trên cơ sở doanh nghiệp riêng biệt, tính chất thông thường của các quy tắc Vương quốc Anh có nghĩa là luật trong nước đã mang lại hiệu lực hợp lý cho các nguyên tắc của Điều 7.</w:t>
      </w:r>
    </w:p>
    <w:p>
      <w:pPr>
        <w:spacing w:after="80"/>
      </w:pPr>
      <w:r>
        <w:rPr>
          <w:b/>
          <w:i w:val="0"/>
        </w:rPr>
        <w:t>§9.13 DỊCH VỤ CÁ NHÂN ĐỘC LẬP</w:t>
      </w:r>
    </w:p>
    <w:p>
      <w:pPr>
        <w:spacing w:after="80"/>
      </w:pPr>
      <w:r>
        <w:rPr>
          <w:b w:val="0"/>
          <w:i w:val="0"/>
        </w:rPr>
        <w:t>Theo luật trong nước của Vương quốc Anh, thuế thu nhập được đánh trên lợi nhuận của bất kỳ nghề nghiệp hoặc ngành nghề nào theo ITTOIA 2005, s. 5. Điều này được phân biệt ở một số khía cạnh với thu nhập từ hoạt động thương mại, nhưng phạm vi lãnh thổ của việc đánh thuế là giống hệt nhau.119 Trong nhiều năm, các hiệp định của Vương quốc Anh, đặc biệt là những hiệp định theo mô hình dự thảo OECD 1963 và mẫu 1977, đã phân biệt giữa lợi nhuận kinh doanh trong Điều 7 và 'dịch vụ chuyên nghiệp và các hoạt động khác có tính chất độc lập' được đề cập trong Điều 14.</w:t>
      </w:r>
    </w:p>
    <w:p>
      <w:pPr>
        <w:spacing w:after="80"/>
      </w:pPr>
      <w:r>
        <w:rPr>
          <w:b w:val="0"/>
          <w:i w:val="0"/>
        </w:rPr>
        <w:t>Một hiệp định như vậy là Hiệp định Vương quốc Anh-Bỉ, quy định rằng:</w:t>
      </w:r>
    </w:p>
    <w:p>
      <w:pPr>
        <w:spacing w:after="80"/>
      </w:pPr>
      <w:r>
        <w:rPr>
          <w:b w:val="0"/>
          <w:i w:val="0"/>
        </w:rPr>
        <w:t>14(1) Thu nhập mà một cư dân của một Quốc gia ký kết có được từ các dịch vụ chuyên nghiệp hoặc các hoạt động khác có tính chất độc lập sẽ chỉ bị đánh thuế tại Quốc gia đó trừ khi người đó có một cơ sở cố định thường xuyên sẵn có tại Quốc gia ký kết kia cho mục đích thực hiện các hoạt động của mình. Nếu người đó có một cơ sở cố định như vậy, thu nhập có thể bị đánh thuế tại Quốc gia kia nhưng chỉ phần thu nhập được quy kết cho cơ sở cố định đó.</w:t>
      </w:r>
    </w:p>
    <w:p>
      <w:pPr>
        <w:spacing w:after="80"/>
      </w:pPr>
      <w:r>
        <w:rPr>
          <w:b w:val="0"/>
          <w:i w:val="0"/>
        </w:rPr>
        <w:t>Một cơ sở cố định (fixed base) trong ngữ cảnh này có phần tương tự về khái niệm với một địa điểm kinh doanh cố định trong Điều 5(1), mặc dù cách diễn đạt không được giải thích chi tiết đến cùng mức độ. Không có điều khoản tương đương với cơ sở thường trú (permanent establishment) do đại lý trong Điều 14, nhấn mạnh rằng chính việc thực hiện dịch vụ, chứ không phải việc ký kết hợp đồng để cung cấp dịch vụ, mới làm phát sinh lợi nhuận. Cơ sở cố định phải thường xuyên sẵn có cho người cung cấp dịch vụ nhằm mục đích cung cấp dịch vụ của mình. Nói cách khác, quyền đánh thuế mang tính cá nhân chứ không phải là sự viện dẫn đến một doanh nghiệp. Việc không có bất kỳ điều khoản tương đương với Điều 7(2) có nghĩa là chỉ cho phép áp dụng cơ sở phân bổ dựa trên hoạt động kinh doanh (nghề nghiệp) có liên quan.</w:t>
      </w:r>
    </w:p>
    <w:p>
      <w:pPr>
        <w:spacing w:after="80"/>
      </w:pPr>
      <w:r>
        <w:rPr>
          <w:b w:val="0"/>
          <w:i w:val="0"/>
        </w:rPr>
        <w:t>118.</w:t>
      </w:r>
      <w:r>
        <w:rPr>
          <w:b w:val="0"/>
          <w:i/>
        </w:rPr>
        <w:t>Sun Life Assurance Company of Canada v Pearson (H.M. Inspector of Taxes)</w:t>
      </w:r>
      <w:r>
        <w:rPr>
          <w:b w:val="0"/>
          <w:i w:val="0"/>
        </w:rPr>
        <w:t xml:space="preserve"> [1986] STC 335, [1986] BTC 282, 59 TC 250.119.ITTOIA 2005, s. 6(3).</w:t>
      </w:r>
    </w:p>
    <w:p>
      <w:pPr>
        <w:spacing w:after="80"/>
      </w:pPr>
      <w:r>
        <w:rPr>
          <w:b w:val="0"/>
          <w:i w:val="0"/>
        </w:rPr>
        <w:t>284</w:t>
      </w:r>
    </w:p>
    <w:p>
      <w:pPr>
        <w:spacing w:after="80"/>
      </w:pPr>
      <w:r>
        <w:rPr>
          <w:b w:val="0"/>
          <w:i w:val="0"/>
        </w:rPr>
        <w:t>Không phải lúc nào cũng rõ hoạt động nào thuộc lợi nhuận kinh doanh thay vì dịch vụ cá nhân độc lập. Điều 14 của Hiệp định Anh-Bỉ tiếp tục:</w:t>
      </w:r>
    </w:p>
    <w:p>
      <w:pPr>
        <w:spacing w:after="80"/>
      </w:pPr>
      <w:r>
        <w:rPr>
          <w:b w:val="0"/>
          <w:i w:val="0"/>
        </w:rPr>
        <w:t>14(2) Thuật ngữ 'dịch vụ chuyên môn' bao gồm, đặc biệt, các hoạt động khoa học, văn học, nghệ thuật, giáo dục hoặc giảng dạy độc lập cũng như các hoạt động độc lập của bác sĩ, luật sư, kỹ sư, kiến trúc sư, nha sĩ và kế toán viên.</w:t>
      </w:r>
    </w:p>
    <w:p>
      <w:pPr>
        <w:spacing w:after="80"/>
      </w:pPr>
      <w:r>
        <w:rPr>
          <w:b w:val="0"/>
          <w:i w:val="0"/>
        </w:rPr>
        <w:t>Cũng có những vấn đề tương tự trong việc xác định ranh giới theo luật trong nước. Một nghề nghiệp nói chung liên quan đến một công việc đòi hỏi kỹ năng thuần túy trí tuệ hoặc kỹ năng thủ công được kiểm soát bởi kỹ năng trí tuệ của người thực hiện, chẳng hạn như hội họa.120 Đây là vấn đề thực tế và mức độ. Câu hỏi thiết yếu là mức độ kỹ năng trí tuệ liên quan.121 Thông lệ của cơ quan thuế (Revenue) nói chung là xử lý dịch vụ cá nhân độc lập bằng cách tương tự với lợi nhuận kinh doanh.122 Hướng dẫn của Revenue lưu ý rằng mặc dù điều khoản này chủ yếu liên quan đến các cá nhân hành nghề chuyên môn, nó cũng có thể liên quan đến một cá nhân hành nghề thương mại. Điều này giải quyết sự thiếu ranh giới chung giữa 'thương mại' và 'nghề nghiệp hoặc thiên hướng' theo ITTOIA 2005, Phần 2, một mặt, và mặt khác, các khái niệm hiệp định về 'lợi nhuận kinh doanh' trong Điều 7 và 'dịch vụ cá nhân độc lập' trong Điều 14. Nó cũng giải quyết sự phân biệt giữa thương mại và nghề nghiệp trong các án lệ cũ có vẻ khó xảy ra trong bối cảnh hiện đại. Do đó, một nhiếp ảnh gia là một thương nhân123 trong khi một jockey hành nghề theo thiên hướng.124</w:t>
      </w:r>
    </w:p>
    <w:p>
      <w:pPr>
        <w:spacing w:after="80"/>
      </w:pPr>
      <w:r>
        <w:rPr>
          <w:b w:val="0"/>
          <w:i w:val="0"/>
        </w:rPr>
        <w:t>Điều 14 đã bị xóa khỏi Mô hình OECD vào ngày 29 tháng 4 năm 2000 trên cơ sở một báo cáo của OECD có tiêu đề 'Các vấn đề liên quan đến Điều 14 của Công ước thuế Mô hình OECD'.125 Việc xóa bỏ dựa trên thực tế rằng không có sự khác biệt dự định nào giữa các khái niệm cơ sở thường trú được sử dụng trong Điều 7 và cơ sở cố định được sử dụng trong Điều 14, và giữa cách tính lợi nhuận và cách tính thuế tùy theo việc áp dụng Điều 7 hay 14. Hiệp định Anh-Mỹ (2001) là hiệp định đầu tiên của Anh áp dụng cách tiếp cận này. Điều 14 không xuất hiện, và thuật ngữ 'kinh doanh' được định nghĩa bao gồm việc thực hiện các dịch vụ chuyên môn và các hoạt động khác có tính chất độc lập, như OECD khuyến nghị. Điều này được thực hiện để ngăn chặn cách giải thích hạn chế về 'kinh doanh' có thể loại trừ các hoạt động như vậy. Tuy nhiên, sự thay đổi này trong Hiệp định Anh-Mỹ làm thay đổi cơ sở mà theo đó các công ty hợp danh chuyên môn xuyên biên giới bị đánh thuế, chuyển chúng sang cơ sở doanh nghiệp.126</w:t>
      </w:r>
    </w:p>
    <w:p>
      <w:pPr>
        <w:spacing w:after="80"/>
      </w:pPr>
      <w:r>
        <w:rPr>
          <w:b w:val="0"/>
          <w:i w:val="0"/>
        </w:rPr>
        <w:t>Điều 14 của hiệp định Mô hình UN duy trì cách xử lý riêng đối với dịch vụ cá nhân độc lập. Cách tiếp cận đó được minh họa bởi Điều 14(1) của Hiệp định Anh-Trung 2011, trong đó viết:</w:t>
      </w:r>
    </w:p>
    <w:p>
      <w:pPr>
        <w:spacing w:after="80"/>
      </w:pPr>
      <w:r>
        <w:rPr>
          <w:b w:val="0"/>
          <w:i w:val="0"/>
        </w:rPr>
        <w:t>Thu nhập có được bởi một cá nhân là cư dân của một Quốc gia ký kết liên quan đến dịch vụ chuyên môn hoặc các hoạt động khác có tính chất độc lập sẽ</w:t>
      </w:r>
    </w:p>
    <w:p>
      <w:pPr>
        <w:spacing w:after="80"/>
      </w:pPr>
      <w:r>
        <w:rPr>
          <w:b w:val="0"/>
          <w:i w:val="0"/>
        </w:rPr>
        <w:t>120.</w:t>
      </w:r>
      <w:r>
        <w:rPr>
          <w:b w:val="0"/>
          <w:i/>
        </w:rPr>
        <w:t>IRC v Maxse</w:t>
      </w:r>
      <w:r>
        <w:rPr>
          <w:b w:val="0"/>
          <w:i w:val="0"/>
        </w:rPr>
        <w:t xml:space="preserve"> (1919) 12 TC 41.121.</w:t>
      </w:r>
      <w:r>
        <w:rPr>
          <w:b w:val="0"/>
          <w:i/>
        </w:rPr>
        <w:t>Currie v IRC</w:t>
      </w:r>
      <w:r>
        <w:rPr>
          <w:b w:val="0"/>
          <w:i w:val="0"/>
        </w:rPr>
        <w:t xml:space="preserve"> (1921) 12 TC 245.122.HMRC, Double Taxation Relief Manual, DT1740.123.</w:t>
      </w:r>
      <w:r>
        <w:rPr>
          <w:b w:val="0"/>
          <w:i/>
        </w:rPr>
        <w:t>Cecil v IRC</w:t>
      </w:r>
      <w:r>
        <w:rPr>
          <w:b w:val="0"/>
          <w:i w:val="0"/>
        </w:rPr>
        <w:t xml:space="preserve"> (1919) 36 TLR 164.124.</w:t>
      </w:r>
      <w:r>
        <w:rPr>
          <w:b w:val="0"/>
          <w:i/>
        </w:rPr>
        <w:t>Wing v O'Connell</w:t>
      </w:r>
      <w:r>
        <w:rPr>
          <w:b w:val="0"/>
          <w:i w:val="0"/>
        </w:rPr>
        <w:t xml:space="preserve"> [1927] IR 84.125.Được Ủy ban về các vấn đề tài khóa thông qua ngày 27 tháng 1 năm 2000.126.Hiệp định thuế Mỹ-Anh (2001), Điều 3(1)(d).</w:t>
      </w:r>
    </w:p>
    <w:p>
      <w:pPr>
        <w:spacing w:after="80"/>
      </w:pPr>
      <w:r>
        <w:rPr>
          <w:b w:val="0"/>
          <w:i w:val="0"/>
        </w:rPr>
        <w:t>285</w:t>
      </w:r>
    </w:p>
    <w:p>
      <w:pPr>
        <w:spacing w:after="80"/>
      </w:pPr>
      <w:r>
        <w:rPr>
          <w:b w:val="0"/>
          <w:i w:val="0"/>
        </w:rPr>
        <w:t>chỉ bị đánh thuế ở Quốc gia đó trừ các trường hợp sau đây, khi thu nhập đó cũng có thể bị đánh thuế ở Quốc gia ký kết kia:</w:t>
      </w:r>
    </w:p>
    <w:p>
      <w:pPr>
        <w:spacing w:after="80"/>
      </w:pPr>
      <w:r>
        <w:rPr>
          <w:b w:val="0"/>
          <w:i w:val="0"/>
        </w:rPr>
        <w:t>(a) nếu người đó có một cơ sở cố định thường xuyên sẵn có cho mình ở Quốc gia ký kết kia</w:t>
      </w:r>
    </w:p>
    <w:p>
      <w:pPr>
        <w:spacing w:after="80"/>
      </w:pPr>
      <w:r>
        <w:rPr>
          <w:b w:val="0"/>
          <w:i w:val="0"/>
        </w:rPr>
        <w:t>nhằm mục đích thực hiện các hoạt động của mình; trong trường hợp đó, chỉ phần thu nhập được quy cho cơ sở cố định đó mới có thể bị đánh thuế ở Quốc gia kia; hoặc (b) nếu thời gian lưu trú của người đó ở Quốc gia ký kết kia là một khoảng thời gian hoặc các khoảng thời gian tổng cộng</w:t>
      </w:r>
    </w:p>
    <w:p>
      <w:pPr>
        <w:spacing w:after="80"/>
      </w:pPr>
      <w:r>
        <w:rPr>
          <w:b w:val="0"/>
          <w:i w:val="0"/>
        </w:rPr>
        <w:t>từ 183 ngày trở lên trong bất kỳ giai đoạn mười hai tháng nào bắt đầu hoặc kết thúc trong năm tài chính liên quan; trong trường hợp đó, chỉ phần thu nhập có được từ các hoạt động của người đó được thực hiện ở Quốc gia kia mới có thể bị đánh thuế ở Quốc gia kia.</w:t>
      </w:r>
    </w:p>
    <w:p>
      <w:pPr>
        <w:spacing w:after="80"/>
      </w:pPr>
      <w:r>
        <w:rPr>
          <w:b w:val="0"/>
          <w:i w:val="0"/>
        </w:rPr>
        <w:t>Tính nhất quán được duy trì giữa việc cung cấp dịch vụ độc lập của một cá nhân và việc xử lý dịch vụ do một doanh nghiệp cung cấp trong Điều 5(3)(b) của Hiệp định Trung-Anh ở chỗ hoặc là cần có một cơ sở cố định, hoặc là cần có sự hiện diện của cá nhân trong một khoảng thời gian đủ dài. Tính nhất quán tương tự cũng được duy trì giữa việc cung cấp dịch vụ độc lập và việc xử lý nhân viên trong Điều 15(2)(a) bởi vì chỉ sự hiện diện đơn thuần ở quốc gia ký kết đã xác định thẩm quyền đánh thuế thay vì khoảng thời gian mà dịch vụ được cung cấp. Ngược lại, cơ sở thường trú dịch vụ (service permanent establishment) đối với một doanh nghiệp trong Điều 5(3)(b) được xác định bởi thời hạn của dịch vụ được cung cấp.</w:t>
      </w:r>
    </w:p>
    <w:p>
      <w:pPr>
        <w:spacing w:after="80"/>
      </w:pPr>
      <w:r>
        <w:rPr>
          <w:b w:val="0"/>
          <w:i w:val="0"/>
        </w:rPr>
        <w:t xml:space="preserve">Phù hợp với Mô hình của Liên Hợp Quốc, Hiệp định Thuế Ấn Độ - Vương quốc Anh bao gồm cả ngôn ngữ về cơ sở thường trú dịch vụ (service permanent establishment) cũng như quy định về dịch vụ cá nhân độc lập (independent personal services). </w:t>
      </w:r>
      <w:r>
        <w:rPr>
          <w:b w:val="0"/>
          <w:i/>
        </w:rPr>
        <w:t>Clifford Chance (UK) (một công ty luật) v Deputy Commissioner of Income Tax</w:t>
      </w:r>
      <w:r>
        <w:rPr>
          <w:b w:val="0"/>
          <w:i w:val="0"/>
        </w:rPr>
        <w:t>127</w:t>
      </w:r>
    </w:p>
    <w:p>
      <w:pPr>
        <w:spacing w:after="80"/>
      </w:pPr>
      <w:r>
        <w:rPr>
          <w:b w:val="0"/>
          <w:i w:val="0"/>
        </w:rPr>
        <w:t xml:space="preserve">liên quan đến một công ty luật quốc tế, cư trú tại Vương quốc Anh. Công ty này không có văn phòng hay cơ sở cố định (fixed base) tại Ấn Độ. Công ty được chỉ định làm cố vấn luật Anh cho các dự án tại Ấn Độ. Các thành viên hợp danh đã vượt quá chín mươi ngày tại Ấn Độ trong năm liên quan. Công ty đã nộp tờ khai thuế thể hiện nghĩa vụ thuế tại Ấn Độ trên cơ sở thu nhập quy cho các hoạt động của mình tại Ấn Độ đối với các dự án. Tòa án nhận xét rằng, nếu thỏa mãn phép thử chín mươi ngày, thì hiệu quả là gần như đưa người nộp thuế ra khỏi hiệp định, dẫn đến việc khả năng chịu thuế của thu nhập được xác định theo luật trong nước. Kết luận này có sai sót ở chỗ nó bỏ qua các yêu cầu bổ sung của Điều 15(1)(a) rằng các dịch vụ phải được thực hiện tại quốc gia ký kết. Tuy nhiên, tòa án đã quyết định trên cơ sở luật trong nước của Ấn Độ rằng nơi thực hiện dịch vụ là yếu tố quyết định. Khi tiếp cận vấn đề, tòa án đã lẫn lộn giữa câu hỏi về quyền được hưởng thuế và việc quy kết lợi nhuận. Trong </w:t>
      </w:r>
      <w:r>
        <w:rPr>
          <w:b w:val="0"/>
          <w:i/>
        </w:rPr>
        <w:t>Linklaters LLP v Income Tax Officer,</w:t>
      </w:r>
      <w:r>
        <w:rPr>
          <w:b w:val="0"/>
          <w:i w:val="0"/>
        </w:rPr>
        <w:t>128 các tình tiết là giống hệt nhau. Hội đồng xét xử, trong một quyết định có lý lẽ đầy đủ hơn, đã xác định, trên cơ sở Bình luận về Công ước Mô hình của Liên Hợp Quốc, rằng Điều 15 được viện dẫn khi các dịch vụ chuyên môn hoặc dịch vụ cá nhân độc lập được cung cấp bởi một cá nhân, nhưng khi các dịch vụ được cung cấp bởi một doanh nghiệp, thì Điều 5 sẽ được viện dẫn.</w:t>
      </w:r>
    </w:p>
    <w:p>
      <w:pPr>
        <w:spacing w:after="80"/>
      </w:pPr>
      <w:r>
        <w:rPr>
          <w:b w:val="0"/>
          <w:i w:val="0"/>
        </w:rPr>
        <w:t xml:space="preserve">127. </w:t>
      </w:r>
      <w:r>
        <w:rPr>
          <w:b w:val="0"/>
          <w:i/>
        </w:rPr>
        <w:t>Clifford Chance (UK) (một công ty luật) v Deputy Commissioner of Income Tax Appeal</w:t>
      </w:r>
      <w:r>
        <w:rPr>
          <w:b w:val="0"/>
          <w:i w:val="0"/>
        </w:rPr>
        <w:t xml:space="preserve"> Nos 181 of 2002 và 182 of 2002, Tòa án Cấp cao Ấn Độ, Mumbai [2010] 11 ITLR 585. 128. </w:t>
      </w:r>
      <w:r>
        <w:rPr>
          <w:b w:val="0"/>
          <w:i/>
        </w:rPr>
        <w:t>Linklaters LLP v Income Tax Officer - International Taxation Ward</w:t>
      </w:r>
      <w:r>
        <w:rPr>
          <w:b w:val="0"/>
          <w:i w:val="0"/>
        </w:rPr>
        <w:t xml:space="preserve"> 1(1)(2), Mumbai ITA Nos 4896/Mum/03, 5085/Mum/03 (www.itatonline.org), [2010] 13 ITLR 245.</w:t>
      </w:r>
    </w:p>
    <w:p>
      <w:pPr>
        <w:spacing w:after="80"/>
      </w:pPr>
      <w:r>
        <w:rPr>
          <w:b w:val="0"/>
          <w:i w:val="0"/>
        </w:rPr>
        <w:t>286</w:t>
      </w:r>
    </w:p>
    <w:p>
      <w:pPr>
        <w:spacing w:after="80"/>
      </w:pPr>
      <w:r>
        <w:rPr>
          <w:b/>
          <w:i w:val="0"/>
        </w:rPr>
        <w:t>§9.14 PHÍ DỊCH VỤ KỸ THUẬT</w:t>
      </w:r>
    </w:p>
    <w:p>
      <w:pPr>
        <w:spacing w:after="80"/>
      </w:pPr>
      <w:r>
        <w:rPr>
          <w:b w:val="0"/>
          <w:i w:val="0"/>
        </w:rPr>
        <w:t>Một số hiệp định với các quốc gia đang phát triển tạo ra một ngoại lệ quan trọng đối với nguyên tắc cơ sở thường trú trong bối cảnh phí dịch vụ kỹ thuật. Một ví dụ được tìm thấy trong Hiệp định Gambia - Vương quốc Anh. Điều 14 đọc một phần như sau:</w:t>
      </w:r>
    </w:p>
    <w:p>
      <w:pPr>
        <w:spacing w:after="80"/>
      </w:pPr>
      <w:r>
        <w:rPr>
          <w:b w:val="0"/>
          <w:i w:val="0"/>
        </w:rPr>
        <w:t>(1) Phí dịch vụ kỹ thuật phát sinh tại một trong các lãnh thổ và được trả cho một cư dân</w:t>
      </w:r>
    </w:p>
    <w:p>
      <w:pPr>
        <w:spacing w:after="80"/>
      </w:pPr>
      <w:r>
        <w:rPr>
          <w:b w:val="0"/>
          <w:i w:val="0"/>
        </w:rPr>
        <w:t>của lãnh thổ kia có thể bị đánh thuế tại lãnh thổ kia đó. (2) Bất chấp các quy định của Điều 7, các khoản phí đó cũng có thể bị đánh thuế tại</w:t>
      </w:r>
    </w:p>
    <w:p>
      <w:pPr>
        <w:spacing w:after="80"/>
      </w:pPr>
      <w:r>
        <w:rPr>
          <w:b w:val="0"/>
          <w:i w:val="0"/>
        </w:rPr>
        <w:t>lãnh thổ nơi chúng phát sinh và theo luật của lãnh thổ đó; nhưng khi các khoản phí đó được trả cho một cư dân của lãnh thổ kia, người chịu thuế tại đó đối với các khoản phí đó, thì thuế được đánh tại lãnh thổ nơi phí phát sinh sẽ không vượt quá 15% tổng số tiền phí phát sinh tại đó.</w:t>
      </w:r>
    </w:p>
    <w:p>
      <w:pPr>
        <w:spacing w:after="80"/>
      </w:pPr>
      <w:r>
        <w:rPr>
          <w:b w:val="0"/>
          <w:i w:val="0"/>
        </w:rPr>
        <w:t>Do đó, khi các dịch vụ kỹ thuật được cung cấp, chúng có thể bị đánh thuế tại quốc gia nguồn, bất chấp việc không có cơ sở thường trú tại quốc gia nguồn nơi phí phát sinh thay vì tại nơi thực hiện dịch vụ. Điều này phân biệt các quy định như vậy với cơ sở thường trú dịch vụ, vốn yêu cầu các dịch vụ phải được thực hiện tại quốc gia nguồn.129 Các điều khoản này được đưa vào theo yêu cầu của các quốc gia ký kết khác và thường nhằm bảo vệ thuế khấu trừ đối với tổng phí trả cho người không cư trú cho các dịch vụ tư vấn khi không có cơ sở thường trú. Mức thuế thường được liên kết với mức được đặt đối với tiền bản quyền. Điều khoản này trao quyền đánh thuế chính đối với các khoản phí cho quốc gia nơi phí phát sinh, được coi là quốc gia nơi người trả là cư dân.130</w:t>
      </w:r>
    </w:p>
    <w:p>
      <w:pPr>
        <w:spacing w:after="80"/>
      </w:pPr>
      <w:r>
        <w:rPr>
          <w:b w:val="0"/>
          <w:i w:val="0"/>
        </w:rPr>
        <w:t>Các điều khoản này gây ra những vấn đề đáng kể trong việc xác định ranh giới giữa các trường hợp liên quan đến dịch vụ kỹ thuật so với dịch vụ cá nhân độc lập hoặc lợi nhuận kinh doanh, cũng như sự phân biệt giữa phí dịch vụ kỹ thuật và tiền bản quyền. Các phiên bản đầu tiên của những điều khoản này chứa các định nghĩa khá đơn giản. Ví dụ, Điều 14(3) của Hiệp định Gambia - Vương quốc Anh đọc:</w:t>
      </w:r>
    </w:p>
    <w:p>
      <w:pPr>
        <w:spacing w:after="80"/>
      </w:pPr>
      <w:r>
        <w:rPr>
          <w:b w:val="0"/>
          <w:i w:val="0"/>
        </w:rPr>
        <w:t>Thuật ngữ 'phí dịch vụ kỹ thuật' được sử dụng trong Điều này có nghĩa là các khoản thanh toán dưới bất kỳ hình thức nào cho bất kỳ người nào, ngoài cho một nhân viên của người thực hiện thanh toán, để đổi lấy bất kỳ dịch vụ nào có tính chất kỹ thuật hoặc tư vấn.</w:t>
      </w:r>
    </w:p>
    <w:p>
      <w:pPr>
        <w:spacing w:after="80"/>
      </w:pPr>
      <w:r>
        <w:rPr>
          <w:b w:val="0"/>
          <w:i w:val="0"/>
        </w:rPr>
        <w:t xml:space="preserve">Yếu tố chung nhỏ nhất trong các khoản thanh toán cho 'dịch vụ quản lý, kỹ thuật hoặc tư vấn bao gồm việc cung cấp dịch vụ bởi nhân sự kỹ thuật hoặc nhân sự khác …' trong Điều 12(2)(b) của Hiệp định Ấn Độ - Ireland được cho là yêu cầu yếu tố 'giao diện con người' (human interface) trong </w:t>
      </w:r>
      <w:r>
        <w:rPr>
          <w:b w:val="0"/>
          <w:i/>
        </w:rPr>
        <w:t>Income Tax Officer v Right Florists Pvt Ltd</w:t>
      </w:r>
      <w:r>
        <w:rPr>
          <w:b w:val="0"/>
          <w:i w:val="0"/>
        </w:rPr>
        <w:t>.131 Tại đó, Hội đồng Xét xử Thuế Thu nhập Ấn Độ đã phán quyết rằng các khoản thanh toán của một công ty cư trú tại Ấn Độ cho Google Ireland cho quảng cáo được xác định bởi các công cụ tìm kiếm, như một quy trình hoàn toàn tự động, không cấu thành dịch vụ kỹ thuật.</w:t>
      </w:r>
    </w:p>
    <w:p>
      <w:pPr>
        <w:spacing w:after="80"/>
      </w:pPr>
      <w:r>
        <w:rPr>
          <w:b w:val="0"/>
          <w:i w:val="0"/>
        </w:rPr>
        <w:t>Định nghĩa này không hỗ trợ nhiều trong việc xác định ranh giới giữa, ví dụ, các dịch vụ chuyên môn mang tính 'kỹ thuật' ở một bên, và các khoản thanh toán cho</w:t>
      </w:r>
    </w:p>
    <w:p>
      <w:pPr>
        <w:spacing w:after="80"/>
      </w:pPr>
      <w:r>
        <w:rPr>
          <w:b w:val="0"/>
          <w:i w:val="0"/>
        </w:rPr>
        <w:t xml:space="preserve">129. Xem Chương 7, §7.13. 130. HMRC, International Tax Manual, INTM153140. 131. </w:t>
      </w:r>
      <w:r>
        <w:rPr>
          <w:b w:val="0"/>
          <w:i/>
        </w:rPr>
        <w:t>Income Tax Officer v Right Florists Pvt Ltd</w:t>
      </w:r>
      <w:r>
        <w:rPr>
          <w:b w:val="0"/>
          <w:i w:val="0"/>
        </w:rPr>
        <w:t xml:space="preserve"> (ITA No. 1336/Kol/2011) (12 April 2013) 15 ITLR 784.</w:t>
      </w:r>
    </w:p>
    <w:p>
      <w:pPr>
        <w:spacing w:after="80"/>
      </w:pPr>
      <w:r>
        <w:rPr>
          <w:b w:val="0"/>
          <w:i w:val="0"/>
        </w:rPr>
        <w:t>287</w:t>
      </w:r>
    </w:p>
    <w:p>
      <w:pPr>
        <w:spacing w:after="80"/>
      </w:pPr>
      <w:r>
        <w:rPr>
          <w:b w:val="0"/>
          <w:i w:val="0"/>
        </w:rPr>
        <w:t xml:space="preserve">‘know-how’ (bí quyết kỹ thuật), có thể thuộc phạm vi điều khoản về tiền bản quyền. Các phiên bản sau này, chẳng hạn như Điều 13(4) của Hiệp định Ấn Độ - Vương quốc Anh (1993), chứa những mô tả dài dòng về các dịch vụ kỹ thuật cùng các khoản tiền được coi là bao gồm và loại trừ. Trong hiệp định đó, dịch vụ quản lý </w:t>
      </w:r>
      <w:r>
        <w:rPr>
          <w:b w:val="0"/>
          <w:i/>
        </w:rPr>
        <w:t>không phải</w:t>
      </w:r>
      <w:r>
        <w:rPr>
          <w:b w:val="0"/>
          <w:i w:val="0"/>
        </w:rPr>
        <w:t xml:space="preserve"> là phí dịch vụ kỹ thuật.132 Theo Điều 13(4)(c) của Hiệp định Thuế thu nhập Ấn Độ - Vương quốc Anh, các khoản thanh toán để đổi lấy việc cung cấp bất kỳ dịch vụ kỹ thuật hay tư vấn nào được coi là ‘phí dịch vụ kỹ thuật’ nếu chúng ‘cung cấp kiến thức kỹ thuật, kinh nghiệm, kỹ năng, bí quyết kỹ thuật hoặc quy trình, hoặc bao gồm việc phát triển và chuyển giao một kế hoạch kỹ thuật hoặc thiết kế kỹ thuật’. Một số phán quyết của Tòa án Thuế thu nhập Ấn Độ (Indian Income Tax Appellate Tribunal) và Cơ quan Phán quyết Trước (Authority for Advance Rulings) đã có cách nhìn hẹp hòi về thời điểm mà những hạng mục như vậy được ‘cung cấp’. Trong </w:t>
      </w:r>
      <w:r>
        <w:rPr>
          <w:b w:val="0"/>
          <w:i/>
        </w:rPr>
        <w:t>ITO v Alstom Ltd</w:t>
      </w:r>
      <w:r>
        <w:rPr>
          <w:b w:val="0"/>
          <w:i w:val="0"/>
        </w:rPr>
        <w:t xml:space="preserve">,133 một công ty cư trú tại Vương quốc Anh đã cung cấp hỗ trợ mạng cho một mạng diện rộng để truyền dữ liệu và thông tin trong nội bộ một tập đoàn đa quốc gia, nhằm giúp các công ty con ở nhiều quốc gia khác nhau, bao gồm cả Ấn Độ, có quyền truy cập trực tuyến tức thời vào nhiều loại dữ liệu và thông tin. Tòa án Thuế thu nhập Ấn Độ phán quyết rằng công ty Vương quốc Anh không cung cấp bất kỳ kiến thức hay kỹ thuật nào cho hoạt động kinh doanh mà công ty Ấn Độ đang tiến hành, và cũng không cung cấp bất kỳ dịch vụ kỹ thuật hay trí tuệ nào thuộc phạm vi Điều 13(4)(c). Trong </w:t>
      </w:r>
      <w:r>
        <w:rPr>
          <w:b w:val="0"/>
          <w:i/>
        </w:rPr>
        <w:t>Income Tax Officer v CEPH Imaging Pvt Ltd</w:t>
      </w:r>
      <w:r>
        <w:rPr>
          <w:b w:val="0"/>
          <w:i w:val="0"/>
        </w:rPr>
        <w:t>134 một công ty Ấn Độ cung cấp các giải pháp liên quan đến xuất bản theo yêu cầu riêng. Công ty này đã ký một thỏa thuận với một công ty cư trú tại Vương quốc Anh để quảng bá hoạt động kinh doanh và tiếp thị các dịch vụ của mình. Khoản thanh toán cho các dịch vụ bao gồm một khoản phí 2% trên tổng doanh thu nhận được từ khách hàng, hoàn trả các chi phí phát sinh khi cung cấp dịch vụ, và một khoản lợi nhuận cộng thêm (mark-up) 5% trên chi phí. Tòa án Thuế thu nhập phán quyết rằng công việc liên quan đến xuất bản đòi hỏi một yếu tố kiến thức và kỹ năng mà chỉ có thể đạt được thông qua chuyên môn và thực hành. Kiến thức đó đã không được cung cấp cho công ty Ấn Độ. Không có kiến thức kỹ thuật, chuyên môn, kỹ năng, bí quyết kỹ thuật hay quy trình nào được chuyển giao để Người nộp thuế có thể sử dụng trong tương lai mà không cần tham chiếu thêm đến nhà cung cấp dịch vụ.</w:t>
      </w:r>
    </w:p>
    <w:p>
      <w:pPr>
        <w:spacing w:after="80"/>
      </w:pPr>
      <w:r>
        <w:rPr>
          <w:b w:val="0"/>
          <w:i w:val="0"/>
        </w:rPr>
        <w:t xml:space="preserve">Trong một phán quyết liên quan đến </w:t>
      </w:r>
      <w:r>
        <w:rPr>
          <w:b w:val="0"/>
          <w:i/>
        </w:rPr>
        <w:t>Ernst &amp; Young</w:t>
      </w:r>
      <w:r>
        <w:rPr>
          <w:b w:val="0"/>
          <w:i w:val="0"/>
        </w:rPr>
        <w:t>,135 Cơ quan Phán quyết Trước đã bác bỏ lập luận rằng việc hoàn trả cho các dịch vụ hỗ trợ theo một thỏa thuận đóng góp chi phí là phí dịch vụ kỹ thuật, với lý do rằng kiến thức kỹ thuật, kinh nghiệm, kỹ năng hoặc bí quyết kỹ thuật đã không được cung cấp thông qua việc cung cấp các dịch vụ hỗ trợ. E&amp;Y, Vương quốc Anh không tạo ra bất kỳ công nghệ nào. Công ty chỉ đơn thuần thu thập thông tin đã có sẵn và đặt nó trước các đơn vị thành viên để họ tham khảo. Tương tự, việc cung cấp nhân sự theo hình thức biệt phái, để quản lý việc thiết lập hoạt động kinh doanh, tài sản</w:t>
      </w:r>
    </w:p>
    <w:p>
      <w:pPr>
        <w:spacing w:after="80"/>
      </w:pPr>
      <w:r>
        <w:rPr>
          <w:b w:val="0"/>
          <w:i w:val="0"/>
        </w:rPr>
        <w:t>132.</w:t>
      </w:r>
      <w:r>
        <w:rPr>
          <w:b w:val="0"/>
          <w:i/>
        </w:rPr>
        <w:t>Armayesh Global v ACIT</w:t>
      </w:r>
      <w:r>
        <w:rPr>
          <w:b w:val="0"/>
          <w:i w:val="0"/>
        </w:rPr>
        <w:t xml:space="preserve">, Tòa án Thuế thu nhập Ấn Độ (ITA/8222/Mum/2010), (11 tháng 5 năm 2012) (IBFD Tax Research Database). Xem thêm </w:t>
      </w:r>
      <w:r>
        <w:rPr>
          <w:b w:val="0"/>
          <w:i/>
        </w:rPr>
        <w:t>DIT v International Insurance Broker</w:t>
      </w:r>
      <w:r>
        <w:rPr>
          <w:b w:val="0"/>
          <w:i w:val="0"/>
        </w:rPr>
        <w:t xml:space="preserve"> (TS-271HC-2012(Del)(IBFD Tax Research Database)), các khoản thanh toán nhận được với tư cách môi giới hoặc hoạt động như một trung gian để đặt rủi ro tái bảo hiểm của các công ty Ấn Độ với các công ty bảo hiểm quốc tế không thể được phân loại là phí dịch vụ kỹ thuật. Dù có tưởng tượng phong phú đến đâu cũng không thể coi đó là khoản thanh toán cho các dịch vụ tư vấn liên quan đến phân tích tài chính, tư vấn của tổ chức xếp hạng tín nhiệm, hay phân tích vốn dựa trên rủi ro.133.</w:t>
      </w:r>
      <w:r>
        <w:rPr>
          <w:b w:val="0"/>
          <w:i/>
        </w:rPr>
        <w:t>ITO v Alstom Ltd</w:t>
      </w:r>
      <w:r>
        <w:rPr>
          <w:b w:val="0"/>
          <w:i w:val="0"/>
        </w:rPr>
        <w:t xml:space="preserve"> (2010-TII-182-ITAT-MAD-INTL) (19 tháng 11 năm 2010) (IBFD Tax Research Database).134.</w:t>
      </w:r>
      <w:r>
        <w:rPr>
          <w:b w:val="0"/>
          <w:i/>
        </w:rPr>
        <w:t>Income Tax Officer v CEPH Imaging Pvt Ltd</w:t>
      </w:r>
      <w:r>
        <w:rPr>
          <w:b w:val="0"/>
          <w:i w:val="0"/>
        </w:rPr>
        <w:t xml:space="preserve"> (2009-TIOL-558-ITAT-BANG) (24 tháng 7 năm 2009) (IBFD Tax Research Database).135.</w:t>
      </w:r>
      <w:r>
        <w:rPr>
          <w:b w:val="0"/>
          <w:i/>
        </w:rPr>
        <w:t>Ernst &amp; Young (P.) Ltd</w:t>
      </w:r>
      <w:r>
        <w:rPr>
          <w:b w:val="0"/>
          <w:i w:val="0"/>
        </w:rPr>
        <w:t xml:space="preserve"> (AAR/820/2009) (19 tháng 3 năm 2010) (IBFD Tax Research Database).</w:t>
      </w:r>
    </w:p>
    <w:p>
      <w:pPr>
        <w:spacing w:after="80"/>
      </w:pPr>
      <w:r>
        <w:rPr>
          <w:b w:val="0"/>
          <w:i w:val="0"/>
        </w:rPr>
        <w:t>288</w:t>
      </w:r>
    </w:p>
    <w:p>
      <w:pPr>
        <w:spacing w:after="80"/>
      </w:pPr>
      <w:r>
        <w:rPr>
          <w:b w:val="0"/>
          <w:i w:val="0"/>
        </w:rPr>
        <w:t xml:space="preserve">lựa chọn và vận hành bán lẻ, lựa chọn sản phẩm và hàng hóa, cùng việc thiết lập một đội ngũ bán hàng, đã không nhằm mục đích hoặc không dẫn đến việc truyền đạt kiến thức kỹ thuật có thể được sử dụng trong tương lai mà không cần sự hỗ trợ của nhà cung cấp dịch vụ.136 Nhu cầu xem xét kỹ lưỡng các dịch vụ được thể hiện qua </w:t>
      </w:r>
      <w:r>
        <w:rPr>
          <w:b w:val="0"/>
          <w:i/>
        </w:rPr>
        <w:t>Veeda Clinical Research Private Limited v DIT</w:t>
      </w:r>
      <w:r>
        <w:rPr>
          <w:b w:val="0"/>
          <w:i w:val="0"/>
        </w:rPr>
        <w:t>,137 liên quan đến các khoản thanh toán cho một người cư trú tại Vương quốc Anh cho ‘đào tạo nội bộ nhân viên IT và nhân viên y tế’ và ‘đào tạo về nhận thức thị trường và phát triển thị trường’. Tòa án Thuế thu nhập Ấn Độ công nhận rằng đào tạo kỹ thuật có thể dẫn đến việc chuyển giao công nghệ. Tuy nhiên, trong trường hợp này, việc đào tạo mang tính chất chung chung, và không có bằng chứng cho thấy nó dẫn đến việc chuyển giao công nghệ.</w:t>
      </w:r>
    </w:p>
    <w:p>
      <w:pPr>
        <w:spacing w:after="80"/>
      </w:pPr>
      <w:r>
        <w:rPr>
          <w:b w:val="0"/>
          <w:i w:val="0"/>
        </w:rPr>
        <w:t xml:space="preserve">Việc thanh toán thông qua sử dụng một tiện ích mạng thoại ảo đã được xác định không phải là phí dịch vụ kỹ thuật trong </w:t>
      </w:r>
      <w:r>
        <w:rPr>
          <w:b w:val="0"/>
          <w:i/>
        </w:rPr>
        <w:t>Interroute Communications Limited v DDIT</w:t>
      </w:r>
      <w:r>
        <w:rPr>
          <w:b w:val="0"/>
          <w:i w:val="0"/>
        </w:rPr>
        <w:t>.138 Ở đó, một công ty cư trú thuế tại Vương quốc Anh đã cung cấp các tiện ích kết nối mạng viễn thông quốc tế cho các nhà khai thác viễn thông, những đơn vị này cung cấp khả năng kết nối liên thông cho các hãng vận tải bên thứ ba thông qua cổng viễn thông của công ty. Toàn bộ cơ sở hạ tầng và thiết bị đều nằm ngoài Ấn Độ và không có công việc nào được thực hiện tại Ấn Độ. Tòa án Thuế thu nhập Mumbai phán quyết rằng nếu không có việc chuyển giao công nghệ thì không có dịch vụ kỹ thuật nào được cung cấp.</w:t>
      </w:r>
    </w:p>
    <w:p>
      <w:pPr>
        <w:spacing w:after="80"/>
      </w:pPr>
      <w:r>
        <w:rPr>
          <w:b w:val="0"/>
          <w:i w:val="0"/>
        </w:rPr>
        <w:t xml:space="preserve">Tương tự, trong </w:t>
      </w:r>
      <w:r>
        <w:rPr>
          <w:b w:val="0"/>
          <w:i/>
        </w:rPr>
        <w:t>Measurement Technology Limited</w:t>
      </w:r>
      <w:r>
        <w:rPr>
          <w:b w:val="0"/>
          <w:i w:val="0"/>
        </w:rPr>
        <w:t>,139 hoạt động kinh doanh của một tập đoàn có trụ sở tại Vương quốc Anh là phát triển và cung cấp các thiết bị bảo vệ chống nổ an toàn nội tại. Công ty cư trú tại Vương quốc Anh đã ký một thỏa thuận dịch vụ quản lý với công ty con cư trú tại Ấn Độ của mình để cung cấp hướng dẫn và giám sát chung thông qua một nhân viên duy nhất bằng điện thoại, e-mail và các chuyến thăm Ấn Độ không thường xuyên. Một thỏa thuận dịch vụ mua sắm cung cấp dịch vụ của một đội ngũ mua sắm tập trung. Cơ quan Phán quyết Trước của Ấn Độ xác định rằng cả hai đều không phải là dịch vụ kỹ thuật vì chúng không cung cấp bất kỳ kiến thức kỹ thuật, kinh nghiệm hay bí quyết kỹ thuật nào.</w:t>
      </w:r>
    </w:p>
    <w:p>
      <w:pPr>
        <w:spacing w:after="80"/>
      </w:pPr>
      <w:r>
        <w:rPr>
          <w:b w:val="0"/>
          <w:i w:val="0"/>
        </w:rPr>
        <w:t>Các điều khoản về dịch vụ kỹ thuật có thể không áp dụng khi có một cơ sở thường trú (permanent establishment), từ đó khuyến khích việc thành lập cơ sở thường trú trong bối cảnh dịch vụ kỹ thuật, nhằm tránh các loại thuế đánh trên cơ sở tổng (gross basis).140 Từ góc độ Vương quốc Anh, điều này sẽ quan trọng trong bối cảnh các hợp đồng dịch vụ kỹ thuật được thực hiện ở nước ngoài, nơi việc đánh thuế trên cơ sở tổng có thể dẫn đến việc bị đánh thuế thực tế ở mức cao hơn mức thuế của Vương quốc Anh. Trong một số hiệp định, chẳng hạn như Hiệp định Gambia - Vương quốc Anh, người nhận các khoản phí như vậy có thể chọn để thuế được đánh trên cơ sở ròng (net basis).141 Ngoài ra, các hiệp định như vậy thường coi nguồn gốc của</w:t>
      </w:r>
    </w:p>
    <w:p>
      <w:pPr>
        <w:spacing w:after="80"/>
      </w:pPr>
      <w:r>
        <w:rPr>
          <w:b w:val="0"/>
          <w:i w:val="0"/>
        </w:rPr>
        <w:t>136.</w:t>
      </w:r>
      <w:r>
        <w:rPr>
          <w:b w:val="0"/>
          <w:i/>
        </w:rPr>
        <w:t>ADIT v Mark and Spencer Reliance India Private Limited</w:t>
      </w:r>
      <w:r>
        <w:rPr>
          <w:b w:val="0"/>
          <w:i w:val="0"/>
        </w:rPr>
        <w:t xml:space="preserve"> Tòa án Thuế thu nhập Ấn Độ (27ITR(Trib)448); </w:t>
      </w:r>
      <w:r>
        <w:rPr>
          <w:b w:val="0"/>
          <w:i/>
        </w:rPr>
        <w:t>Abbey Business Services (India) Private Limited v CIT</w:t>
      </w:r>
      <w:r>
        <w:rPr>
          <w:b w:val="0"/>
          <w:i w:val="0"/>
        </w:rPr>
        <w:t xml:space="preserve"> (ITA1141/Bang/2010) (18 tháng 7 năm 2012).137.</w:t>
      </w:r>
      <w:r>
        <w:rPr>
          <w:b w:val="0"/>
          <w:i/>
        </w:rPr>
        <w:t>Veeda Clinical Research Private Limited v DIT</w:t>
      </w:r>
      <w:r>
        <w:rPr>
          <w:b w:val="0"/>
          <w:i w:val="0"/>
        </w:rPr>
        <w:t xml:space="preserve"> Tòa án Thuế thu nhập Ấn Độ (ITA No.1406/Ahd/2009) (28 tháng 6 năm 2013).138.</w:t>
      </w:r>
      <w:r>
        <w:rPr>
          <w:b w:val="0"/>
          <w:i/>
        </w:rPr>
        <w:t>Interroute Communications Limited v DDIT</w:t>
      </w:r>
      <w:r>
        <w:rPr>
          <w:b w:val="0"/>
          <w:i w:val="0"/>
        </w:rPr>
        <w:t xml:space="preserve"> (ITA No. 2284/Mum/2014).139.</w:t>
      </w:r>
      <w:r>
        <w:rPr>
          <w:b w:val="0"/>
          <w:i/>
        </w:rPr>
        <w:t>Measurement Technology Limited</w:t>
      </w:r>
      <w:r>
        <w:rPr>
          <w:b w:val="0"/>
          <w:i w:val="0"/>
        </w:rPr>
        <w:t xml:space="preserve"> (AAR/966/2010).140.Xem, ví dụ, Hiệp định Thuế Ấn Độ - Vương quốc Anh (1993), Điều 13(6).141.Công ước giữa Chính phủ Vương quốc Liên hiệp Anh và Bắc Ireland và Chính phủ Cộng hòa Gambia về Việc Tránh Đánh Thuế Hai Lần và Ngăn Ngừa Trốn Thuế Tài chính đối với Thuế Thu nhập và Thu nhập từ Vốn, Công ước ngày 20 tháng 5 năm 1980 (SI 1980/1963), Điều 14(5).</w:t>
      </w:r>
    </w:p>
    <w:p>
      <w:pPr>
        <w:spacing w:after="80"/>
      </w:pPr>
      <w:r>
        <w:rPr>
          <w:b w:val="0"/>
          <w:i w:val="0"/>
        </w:rPr>
        <w:t>289</w:t>
      </w:r>
    </w:p>
    <w:p>
      <w:pPr>
        <w:spacing w:after="80"/>
      </w:pPr>
      <w:r>
        <w:rPr>
          <w:b w:val="0"/>
          <w:i w:val="0"/>
        </w:rPr>
        <w:t>các khoản thanh toán là quốc gia nơi người trả tiền cư trú.142 Điều này sẽ cho phép một người cư trú tại Vương quốc Anh được khấu trừ khoản thuế đã nộp, bất kể công việc được thực hiện tại Vương quốc Anh.</w:t>
      </w:r>
    </w:p>
    <w:p>
      <w:pPr>
        <w:spacing w:after="80"/>
      </w:pPr>
      <w:r>
        <w:rPr>
          <w:b/>
          <w:i w:val="0"/>
        </w:rPr>
        <w:t>§9.15 VẬN TẢI BIỂN VÀ HÀNG KHÔNG</w:t>
      </w:r>
    </w:p>
    <w:p>
      <w:pPr>
        <w:spacing w:after="80"/>
      </w:pPr>
      <w:r>
        <w:rPr>
          <w:b w:val="0"/>
          <w:i w:val="0"/>
        </w:rPr>
        <w:t>Các quy tắc cụ thể về việc phân bổ quyền đánh thuế đối với vận tải biển và hàng không được tìm thấy trong một số loại hiệp định. Nó luôn được bao gồm trong các hiệp định thuế thu nhập toàn diện. Nó cũng thường được tìm thấy trong các hiệp định cũ chỉ bao gồm vận tải biển và hàng không, chẳng hạn như các hiệp định của Vương quốc Anh với Algeria, Brazil, Cameroon, Iran, Lebanon và Zaire.</w:t>
      </w:r>
    </w:p>
    <w:p>
      <w:pPr>
        <w:spacing w:after="80"/>
      </w:pPr>
      <w:r>
        <w:rPr>
          <w:b w:val="0"/>
          <w:i w:val="0"/>
        </w:rPr>
        <w:t>Hiệp định Vương quốc Anh - Mauritius là điển hình cho các hiệp định của Vương quốc Anh theo Mô hình OECD, như được trình bày ở đây:</w:t>
      </w:r>
    </w:p>
    <w:p>
      <w:pPr>
        <w:spacing w:after="80"/>
      </w:pPr>
      <w:r>
        <w:rPr>
          <w:b w:val="0"/>
          <w:i w:val="0"/>
        </w:rPr>
        <w:t>8(1) Lợi nhuận từ việc vận hành tàu biển hoặc tàu bay trong vận tải quốc tế chỉ được đánh thuế tại Quốc gia Ký kết nơi đặt trụ sở quản lý hiệu quả của doanh nghiệp.</w:t>
      </w:r>
    </w:p>
    <w:p>
      <w:pPr>
        <w:spacing w:after="80"/>
      </w:pPr>
      <w:r>
        <w:rPr>
          <w:b w:val="0"/>
          <w:i w:val="0"/>
        </w:rPr>
        <w:t>8(2) Nếu trụ sở quản lý hiệu quả của một doanh nghiệp vận tải biển nằm trên một con tàu thì nó được coi là nằm tại Quốc gia Ký kết nơi đặt cảng nhà của con tàu, hoặc, nếu không có cảng nhà như vậy, thì tại Quốc gia Ký kết mà người điều hành con tàu là cư dân.</w:t>
      </w:r>
    </w:p>
    <w:p>
      <w:pPr>
        <w:spacing w:after="80"/>
      </w:pPr>
      <w:r>
        <w:rPr>
          <w:b w:val="0"/>
          <w:i w:val="0"/>
        </w:rPr>
        <w:t>8(3) Các quy định tại khoản (1) của Điều này cũng sẽ áp dụng cho lợi nhuận từ việc tham gia vào một nhóm chung, một hoạt động kinh doanh chung hoặc một cơ quan khai thác quốc tế.</w:t>
      </w:r>
    </w:p>
    <w:p>
      <w:pPr>
        <w:spacing w:after="80"/>
      </w:pPr>
      <w:r>
        <w:rPr>
          <w:b w:val="0"/>
          <w:i w:val="0"/>
        </w:rPr>
        <w:t>OECD Model cho đến năm 2017 cũng giới hạn việc đánh thuế vào quốc gia quản lý đối với tàu thuyền hoạt động trên đường thủy nội địa, nhưng quy định này thường bị loại trừ khỏi các hiệp định của Vương quốc Anh theo một bảo lưu tại Điều 8 của OECD Model.143</w:t>
      </w:r>
    </w:p>
    <w:p>
      <w:pPr>
        <w:spacing w:after="80"/>
      </w:pPr>
      <w:r>
        <w:rPr>
          <w:b w:val="0"/>
          <w:i w:val="0"/>
        </w:rPr>
        <w:t>Cho đến năm 2005, Vương quốc Anh bảo lưu quyền đưa vào điều khoản này lợi nhuận từ việc cho thuê tàu thủy hoặc máy bay theo hình thức thuê trần (bareboat) và từ việc cho thuê container.144 Một số hiệp định khác biệt so với OECD Model bằng cách áp dụng các yếu tố kết nối khác nhau làm phát sinh quyền đánh thuế đối với lợi nhuận từ những nguồn này, chẳng hạn như cảng đăng ký,145</w:t>
      </w:r>
    </w:p>
    <w:p>
      <w:pPr>
        <w:spacing w:after="80"/>
      </w:pPr>
      <w:r>
        <w:rPr>
          <w:b w:val="0"/>
          <w:i w:val="0"/>
        </w:rPr>
        <w:t>nơi cư trú,146 hoặc nơi quản lý và kiểm soát cộng với trụ sở chính147 – mặc dù ý chí chung của nó là chỉ cho phép đánh thuế tại một quốc gia duy nhất đối với hoạt động vận tải quốc tế. Vận tải quốc tế đòi hỏi hành trình không được hoàn toàn nằm trong lãnh thổ của một quốc gia.148 Năm 2017</w:t>
      </w:r>
    </w:p>
    <w:p>
      <w:pPr>
        <w:spacing w:after="80"/>
      </w:pPr>
      <w:r>
        <w:rPr>
          <w:b w:val="0"/>
          <w:i w:val="0"/>
        </w:rPr>
        <w:t xml:space="preserve">142. Hiệp định Thuế Gambia-UK, Điều 14(6). 143. Bình luận về Điều 8, khoản 32. 144. Bình luận OECD về Điều 8, khoản 34. 145. Công ước giữa Chính phủ Vương quốc Liên hiệp Anh và Bắc Ireland và Chính phủ Vương quốc Hy Lạp về Tránh đánh thuế hai lần và Ngăn ngừa trốn thuế liên quan đến Thuế thu nhập, Công ước ngày 25 tháng 6 năm 1953 (SI 1954/142), Điều 5. 146. Công ước giữa Vương quốc Liên hiệp Anh và Bắc Ireland và Malta về Tránh đánh thuế hai lần và Ngăn ngừa trốn thuế liên quan đến Thuế thu nhập và Lợi nhuận vốn, Công ước ngày 12 tháng 5 năm 1994 (SI 1995/763), Điều 8(1). 147. Hiệp định Brazil (Vận tải biển và hàng không) ngày 29 tháng 12 năm 1967 (SI 1968/572), Điều 3. 148. Vụ án 8K8084/97, </w:t>
      </w:r>
      <w:r>
        <w:rPr>
          <w:b w:val="0"/>
          <w:i/>
        </w:rPr>
        <w:t>Finanzgericht</w:t>
      </w:r>
      <w:r>
        <w:rPr>
          <w:b w:val="0"/>
          <w:i w:val="0"/>
        </w:rPr>
        <w:t>, Berlin (Tòa án Thuế, Berlin), ngày 17 tháng 1 năm 2000 (Cơ sở dữ liệu Nghiên cứu Thuế IBFD). Một hãng hàng không cư trú tại Vương quốc Anh không còn hoạt động trong vận tải quốc tế với</w:t>
      </w:r>
    </w:p>
    <w:p>
      <w:pPr>
        <w:spacing w:after="80"/>
      </w:pPr>
      <w:r>
        <w:rPr>
          <w:b w:val="0"/>
          <w:i w:val="0"/>
        </w:rPr>
        <w:t>290</w:t>
      </w:r>
    </w:p>
    <w:p>
      <w:pPr>
        <w:spacing w:after="80"/>
      </w:pPr>
      <w:r>
        <w:rPr>
          <w:b w:val="0"/>
          <w:i w:val="0"/>
        </w:rPr>
        <w:t>OECD Model bảo lưu quyền đánh thuế độc quyền cho quốc gia cư trú của chủ tàu.</w:t>
      </w:r>
    </w:p>
    <w:p>
      <w:pPr>
        <w:spacing w:after="80"/>
      </w:pPr>
      <w:r>
        <w:rPr>
          <w:b w:val="0"/>
          <w:i w:val="0"/>
        </w:rPr>
        <w:t xml:space="preserve">Việc khai thác tàu thuyền bao gồm việc vận hành tàu của chủ sở hữu hoặc người thuê tàu, hoặc việc sử dụng tàu của chủ sở hữu hoặc người thuê tàu.149 Điều này không mở rộng đến các hoạt động dịch vụ do người quản lý tàu hoặc đại lý tàu thực hiện. Trong vụ </w:t>
      </w:r>
      <w:r>
        <w:rPr>
          <w:b w:val="0"/>
          <w:i/>
        </w:rPr>
        <w:t>Furness, Withy &amp; Co Ltd v MNR</w:t>
      </w:r>
      <w:r>
        <w:rPr>
          <w:b w:val="0"/>
          <w:i w:val="0"/>
        </w:rPr>
        <w:t xml:space="preserve">,150 Tòa án Tài chính Canada đã bác bỏ lập luận rằng người quản lý tàu là người khai thác, hoặc rằng khoản phí của đại lý – vốn đại diện cho một phần doanh thu kiếm được từ việc sử dụng tàu để chuyên chở hàng hóa – có nghĩa là chủ sở hữu đã tự thực hiện chức năng của đại lý. Điều này xuất phát từ việc khai thác tàu theo Điều III của Hiệp định Thuế Thu nhập Canada-UK (1946). Mặt khác, việc vận chuyển hàng hóa hoặc hành khách trên tàu của người khác có thể được coi là lợi nhuận từ việc khai thác tàu. Trong vụ </w:t>
      </w:r>
      <w:r>
        <w:rPr>
          <w:b w:val="0"/>
          <w:i/>
        </w:rPr>
        <w:t>Deputy Director of Income Tax (International Taxation) v Balaji Shipping UK Ltd</w:t>
      </w:r>
      <w:r>
        <w:rPr>
          <w:b w:val="0"/>
          <w:i w:val="0"/>
        </w:rPr>
        <w:t>,151 Tòa án Cấp cao Ấn Độ đã phán quyết, dựa trên Bình luận OECD về Điều 8, rằng các thỏa thuận 'thuê chỗ' (slot hire) là một phần không thể tách rời của việc khai thác tàu và do đó thuộc phạm vi Điều 9 của Hiệp định Thuế Thu nhập Ấn Độ-UK (1993). Trong vụ đó, một công ty cư trú tại Vương quốc Anh hoạt động trong lĩnh vực vận chuyển hàng hóa quốc tế bằng đường biển. Các tàu mà công ty thuê không hoạt động trong lãnh hải Ấn Độ, vì vậy công ty đã ký các thỏa thuận thuê chỗ với các nhà khai thác tàu bên thứ ba để cung cấp không gian container ('chỗ') trên tàu của họ cho công ty khi cần thiết. Khi dịch vụ thuê chỗ được sử dụng, công ty đã sắp xếp để hàng hóa được vận chuyển từ các cảng Ấn Độ đến các điểm đến ngoài Ấn Độ, từ đó các tàu thuê của công ty chở hàng đến điểm đến cuối cùng. Tòa án Cấp cao đã phán quyết rằng điều khoản này không yêu cầu tàu phải thuộc sở hữu của người khai thác nếu việc vận chuyển trên tàu của người khác có liên quan trực tiếp đến hoạt động khai thác tàu hoặc máy bay trong vận tải quốc tế của doanh nghiệp liên quan, hoặc là một hoạt động phụ trợ.</w:t>
      </w:r>
    </w:p>
    <w:p>
      <w:pPr>
        <w:spacing w:after="80"/>
      </w:pPr>
      <w:r>
        <w:rPr>
          <w:b w:val="0"/>
          <w:i w:val="0"/>
        </w:rPr>
        <w:t xml:space="preserve">Việc cung cấp dịch vụ dầu khí theo một hợp đồng thuê để cung cấp tàu hỗ trợ với thiết bị chuyên dụng cho hoạt động tháo dỡ (decommissioning) không chỉ đơn thuần là vận chuyển hành khách hoặc hàng hóa theo Điều 8 của Hiệp định Thuế Thu nhập UK-US trong vụ </w:t>
      </w:r>
      <w:r>
        <w:rPr>
          <w:b w:val="0"/>
          <w:i/>
        </w:rPr>
        <w:t>Adams Challenge (UK) Limited v CIR</w:t>
      </w:r>
      <w:r>
        <w:rPr>
          <w:b w:val="0"/>
          <w:i w:val="0"/>
        </w:rPr>
        <w:t>.152 Tàu chỉ hoạt động trong lãnh hải Hoa Kỳ, tại các cảng Hoa Kỳ, hoặc trên Thềm lục địa ngoài khơi Hoa Kỳ. Do đó, Tòa án Thuế Hoa Kỳ cũng phán quyết rằng tàu không tham gia vào vận tải quốc tế.</w:t>
      </w:r>
    </w:p>
    <w:p>
      <w:pPr>
        <w:spacing w:after="80"/>
      </w:pPr>
      <w:r>
        <w:rPr>
          <w:b w:val="0"/>
          <w:i w:val="0"/>
        </w:rPr>
        <w:t>Một công ty cư trú tại Vương quốc Anh thuộc chế độ Thuế Trọng tải (Tonnage Tax) trong FA 2000, Sch.22, và do đó được miễn thuế thu nhập doanh nghiệp đối với 'lợi nhuận vận tải biển liên quan' của mình, vẫn có thể đủ điều kiện hưởng các lợi ích đó.</w:t>
      </w:r>
    </w:p>
    <w:p>
      <w:pPr>
        <w:spacing w:after="80"/>
      </w:pPr>
      <w:r>
        <w:rPr>
          <w:b w:val="0"/>
          <w:i w:val="0"/>
        </w:rPr>
        <w:t xml:space="preserve">Điều VI của Hiệp định Thuế Đức-UK (1964) sau khi thống nhất Đông và Tây Đức trên các tuyến từ Tây Đức đến Berlin. 149. Nơi đăng ký của tàu hoặc máy bay không mang tính quyết định. Xem lập luận trái ngược của HMRC trong </w:t>
      </w:r>
      <w:r>
        <w:rPr>
          <w:b w:val="0"/>
          <w:i/>
        </w:rPr>
        <w:t>Lockhart v Revenue and Customs</w:t>
      </w:r>
      <w:r>
        <w:rPr>
          <w:b w:val="0"/>
          <w:i w:val="0"/>
        </w:rPr>
        <w:t xml:space="preserve"> [2017] UKFTT 559 (TC), tại khoản 49. 150. </w:t>
      </w:r>
      <w:r>
        <w:rPr>
          <w:b w:val="0"/>
          <w:i/>
        </w:rPr>
        <w:t>Furness, Withy &amp; Co Ltd v MNR</w:t>
      </w:r>
      <w:r>
        <w:rPr>
          <w:b w:val="0"/>
          <w:i w:val="0"/>
        </w:rPr>
        <w:t xml:space="preserve"> [1966] CTC 482, ExCh. 151. </w:t>
      </w:r>
      <w:r>
        <w:rPr>
          <w:b w:val="0"/>
          <w:i/>
        </w:rPr>
        <w:t>Deputy Director of Income Tax (International Taxation) v Balaji Shipping UK Ltd</w:t>
      </w:r>
      <w:r>
        <w:rPr>
          <w:b w:val="0"/>
          <w:i w:val="0"/>
        </w:rPr>
        <w:t xml:space="preserve"> (TS-635-HC-2012 (Bom)). 152. </w:t>
      </w:r>
      <w:r>
        <w:rPr>
          <w:b w:val="0"/>
          <w:i/>
        </w:rPr>
        <w:t>Adams Challenge (UK) Limited v Commissioner of Internal Revenue</w:t>
      </w:r>
      <w:r>
        <w:rPr>
          <w:b w:val="0"/>
          <w:i w:val="0"/>
        </w:rPr>
        <w:t>, 154 T.C. No. 3, Docket 4816-15 (ngày 8 tháng 1 năm 2020). Xem Chương 13, §13.04 về ý nghĩa đặc biệt của cơ sở thường trú đối với hoạt động thăm dò và khai thác ngoài khơi trong hiệp định đó được xem xét trong vụ án này.</w:t>
      </w:r>
    </w:p>
    <w:p>
      <w:pPr>
        <w:spacing w:after="80"/>
      </w:pPr>
      <w:r>
        <w:rPr>
          <w:b w:val="0"/>
          <w:i w:val="0"/>
        </w:rPr>
        <w:t>291</w:t>
      </w:r>
    </w:p>
    <w:p>
      <w:pPr>
        <w:spacing w:after="80"/>
      </w:pPr>
      <w:r>
        <w:rPr>
          <w:b/>
          <w:i w:val="0"/>
        </w:rPr>
        <w:t>§9.16 NGHỆ SĨ VÀ VẬN ĐỘNG VIÊN</w:t>
      </w:r>
    </w:p>
    <w:p>
      <w:pPr>
        <w:spacing w:after="80"/>
      </w:pPr>
      <w:r>
        <w:rPr>
          <w:b w:val="0"/>
          <w:i w:val="0"/>
        </w:rPr>
        <w:t>Nghệ sĩ biểu diễn và vận động viên tạo thành một nhóm đối tượng kinh doanh khác được xác định để đối xử đặc biệt. Một số hiệp định, theo mô hình thuộc địa cũ, chỉ đơn giản loại trừ nghệ sĩ biểu diễn khỏi các điều khoản về dịch vụ cá nhân (ví dụ: Belize-UK). Những hiệp định khác (ví dụ: Gambia-UK) không có quy định cụ thể, để nghệ sĩ biểu diễn thuộc quy tắc chung về dịch vụ cá nhân. Điểm chung trong các quy định của hiệp định nhắm đến nghệ sĩ và vận động viên là chúng cho phép đánh thuế thu nhập của những cá nhân này tại quốc gia ký kết nơi họ thực hiện hoạt động nghề nghiệp, bất chấp việc không có cơ sở thường trú hoặc cơ sở cố định. Do đó, Điều 17(1) của Hiệp định Đan Mạch-UK quy định:</w:t>
      </w:r>
    </w:p>
    <w:p>
      <w:pPr>
        <w:spacing w:after="80"/>
      </w:pPr>
      <w:r>
        <w:rPr>
          <w:b w:val="0"/>
          <w:i w:val="0"/>
        </w:rPr>
        <w:t>Bất kể các quy định tại Điều 14 và 15, thu nhập mà một cư dân của một Quốc gia ký kết có được với tư cách là nghệ sĩ biểu diễn, chẳng hạn như nghệ sĩ sân khấu, điện ảnh, phát thanh hoặc truyền hình, hoặc nhạc sĩ, hoặc với tư cách là vận động viên, từ các hoạt động cá nhân của mình được thực hiện tại Quốc gia ký kết kia, có thể bị đánh thuế tại Quốc gia kia.</w:t>
      </w:r>
    </w:p>
    <w:p>
      <w:pPr>
        <w:spacing w:after="80"/>
      </w:pPr>
      <w:r>
        <w:rPr>
          <w:b w:val="0"/>
          <w:i w:val="0"/>
        </w:rPr>
        <w:t xml:space="preserve">Mọi thu nhập từ hoạt động cá nhân đều thuộc phạm vi điều khoản này. Các khoản thanh toán riêng cho việc chỉ huy các buổi biểu diễn opera và hòa nhạc cũng như hỗ trợ chương trình âm nhạc, lên lịch và tập luyện cho giám đốc âm nhạc của một dàn nhạc đã được Tòa án Thuế Đức (Finanzgericht – Tòa án Sơ thẩm về Thuế) coi là hoạt động của một nghệ sĩ biểu diễn theo Điều 9(6) của Hiệp định Thuế Đức-UK (1964).153 Mặt khác, một giám đốc opera không phải là 'nghệ sĩ biểu diễn công chúng' theo cùng các quy định đó vì ông không biểu diễn trước công chúng.154 Các tòa án khác tập trung vào tính chất chính xác của các khoản thanh toán để xác định liệu chúng có liên quan đến hoạt động cá nhân của nghệ sĩ biểu diễn hay vận động viên hay không. So sánh, trong vụ </w:t>
      </w:r>
      <w:r>
        <w:rPr>
          <w:b w:val="0"/>
          <w:i/>
        </w:rPr>
        <w:t>Retief Goosen v Commissioner of Internal Revenue,</w:t>
      </w:r>
      <w:r>
        <w:rPr>
          <w:b w:val="0"/>
          <w:i w:val="0"/>
        </w:rPr>
        <w:t>155 một golfer chuyên nghiệp cư trú tại Vương quốc Anh nhưng không có quốc tịch bản địa (non-domiciled) đã thi đấu tại Hoa Kỳ. Ông đã ký các thỏa thuận quảng cáo với các nhà tài trợ, theo đó ông đồng ý cho tất cả các nhà tài trợ sử dụng tên, khuôn mặt, hình ảnh và chân dung của mình trong các chiến dịch quảng cáo và tiếp thị trên toàn thế giới. Ông cũng đồng ý thực hiện các dịch vụ cho các nhà tài trợ. Tất cả các thỏa thuận đều dự tính một khoản phí quảng cáo cơ bản và một số thỏa thuận cung cấp tiền thưởng khi đạt được thành tích cụ thể trong một giải đấu của Hiệp hội Golf Chuyên nghiệp (PGA) hoặc European Tour, hoặc một thứ hạng cụ thể trên Bảng xếp hạng Golf Thế giới. Tòa án Thuế Hoa Kỳ đã phân loại các khoản phí quảng cáo và tiền thưởng là 50% thu nhập từ dịch vụ cá nhân và 50% thu nhập từ tiền bản quyền. Một người mẫu cư trú tại Bỉ tham gia các buổi chụp ảnh tại Vương quốc Anh để hình ảnh được xuất bản trong các danh mục và tạp chí đã được coi là nhận thu nhập từ dịch vụ cá nhân độc lập theo Điều 14(1) của Hiệp định Thuế Bỉ-UK (1987), chứ không phải từ một buổi biểu diễn nghệ thuật theo Điều 17 bởi Tòa án Bỉ</w:t>
      </w:r>
    </w:p>
    <w:p>
      <w:pPr>
        <w:spacing w:after="80"/>
      </w:pPr>
      <w:r>
        <w:rPr>
          <w:b w:val="0"/>
          <w:i w:val="0"/>
        </w:rPr>
        <w:t>153.</w:t>
      </w:r>
      <w:r>
        <w:rPr>
          <w:b w:val="0"/>
          <w:i/>
        </w:rPr>
        <w:t>Finanzgericht Münster</w:t>
      </w:r>
      <w:r>
        <w:rPr>
          <w:b w:val="0"/>
          <w:i w:val="0"/>
        </w:rPr>
        <w:t xml:space="preserve"> (Tòa án Thuế, Münster), Vụ án 11 V 1848/04 E, ngày 19 tháng 5 năm 2004 (IBFD OnlineDatabase).154.</w:t>
      </w:r>
      <w:r>
        <w:rPr>
          <w:b w:val="0"/>
          <w:i/>
        </w:rPr>
        <w:t>Bundesfinanzhof</w:t>
      </w:r>
      <w:r>
        <w:rPr>
          <w:b w:val="0"/>
          <w:i w:val="0"/>
        </w:rPr>
        <w:t xml:space="preserve"> (Tòa án Thuế Liên bang Đức), Vụ án I R 51/96, Munich, ngày 8 tháng 4 năm 1997.155.</w:t>
      </w:r>
      <w:r>
        <w:rPr>
          <w:b w:val="0"/>
          <w:i/>
        </w:rPr>
        <w:t>Retief Goosen v Commissioner of Internal Revenue,</w:t>
      </w:r>
      <w:r>
        <w:rPr>
          <w:b w:val="0"/>
          <w:i w:val="0"/>
        </w:rPr>
        <w:t xml:space="preserve"> 136 TC No. 27 (Tòa án Thuế Hoa Kỳ) (ngày 9 tháng 6 năm 2011).</w:t>
      </w:r>
    </w:p>
    <w:p>
      <w:pPr>
        <w:spacing w:after="80"/>
      </w:pPr>
      <w:r>
        <w:rPr>
          <w:b w:val="0"/>
          <w:i w:val="0"/>
        </w:rPr>
        <w:t>292</w:t>
      </w:r>
    </w:p>
    <w:p>
      <w:pPr>
        <w:spacing w:after="80"/>
      </w:pPr>
      <w:r>
        <w:rPr>
          <w:b w:val="0"/>
          <w:i w:val="0"/>
        </w:rPr>
        <w:t>Première Instance (Tòa án Sơ thẩm), Liège.156 Tòa án đã phán quyết rằng việc tham gia một buổi trình diễn thời trang là một buổi biểu diễn sân khấu, nhưng việc tham gia một buổi chụp ảnh để công bố thì không phải. Người mẫu nộp thuế không có cơ sở cố định tại Vương quốc Anh nên thu nhập của cô ấy không bị đánh thuế ở đó.</w:t>
      </w:r>
    </w:p>
    <w:p>
      <w:pPr>
        <w:spacing w:after="80"/>
      </w:pPr>
      <w:r>
        <w:rPr>
          <w:b w:val="0"/>
          <w:i w:val="0"/>
        </w:rPr>
        <w:t xml:space="preserve">Một số hiệp định đưa ra ngoại lệ cho một số loại hình biểu diễn nhất định. Ví dụ, các chuyến thăm do nhà nước tài trợ, các tổ chức phi lợi nhuận và các cuộc trao đổi văn hóa chính thức được loại trừ trong Điều 17 của Hiệp định Áo-Anh. Những hiệp định khác, chẳng hạn như Điều 17(1) của Hiệp định Hungary-Anh, có một điều khoản </w:t>
      </w:r>
      <w:r>
        <w:rPr>
          <w:b w:val="0"/>
          <w:i/>
        </w:rPr>
        <w:t>de minimis</w:t>
      </w:r>
      <w:r>
        <w:rPr>
          <w:b w:val="0"/>
          <w:i w:val="0"/>
        </w:rPr>
        <w:t xml:space="preserve"> cho tổng thu nhập không vượt quá £8,000. Trong một số trường hợp, việc loại trừ cho các chuyến thăm do nhà nước tài trợ và các tổ chức phi lợi nhuận chỉ áp dụng cho chính các tổ chức đó. Những hiệp định khác, chẳng hạn như Hiệp định Canada-Anh, Điều 16, cũng loại trừ cả nhân viên của họ.</w:t>
      </w:r>
    </w:p>
    <w:p>
      <w:pPr>
        <w:spacing w:after="80"/>
      </w:pPr>
      <w:r>
        <w:rPr>
          <w:b w:val="0"/>
          <w:i w:val="0"/>
        </w:rPr>
        <w:t>Năm 1974, Ủy ban về các vấn đề tài chính (Committee on Fiscal Affairs) đã bổ sung nội dung vào Dự thảo Công ước OECD năm 1963 để xử lý các khoản tiền phát sinh cho những người không phải là nghệ sĩ biểu diễn hoặc vận động viên. Một ví dụ về điều này được tìm thấy trong Điều 18(2) của Hiệp định New Zealand-Anh (như được trình bày dưới đây):</w:t>
      </w:r>
    </w:p>
    <w:p>
      <w:pPr>
        <w:spacing w:after="80"/>
      </w:pPr>
      <w:r>
        <w:rPr>
          <w:b w:val="0"/>
          <w:i w:val="0"/>
        </w:rPr>
        <w:t>Khi thu nhập liên quan đến các hoạt động cá nhân được thực hiện bởi một nghệ sĩ biểu diễn hoặc một vận động viên với tư cách đó phát sinh không phải cho chính nghệ sĩ biểu diễn hoặc vận động viên mà cho một người khác, thì thu nhập đó, bất kể các quy định tại Điều 8, 15 và 16, có thể bị đánh thuế tại Quốc gia Ký kết nơi các hoạt động của nghệ sĩ biểu diễn hoặc vận động viên được thực hiện.</w:t>
      </w:r>
    </w:p>
    <w:p>
      <w:pPr>
        <w:spacing w:after="80"/>
      </w:pPr>
      <w:r>
        <w:rPr>
          <w:b w:val="0"/>
          <w:i w:val="0"/>
        </w:rPr>
        <w:t xml:space="preserve">Trong trường hợp không có quy định như vậy, các khoản thanh toán cho một công ty Ireland cho sự xuất hiện của một nghệ sĩ chuyên nghiệp tại Bỉ đã được xác định là nằm ngoài Điều 17 của Hiệp định Bỉ-Ireland và là lợi nhuận kinh doanh.157 Trong </w:t>
      </w:r>
      <w:r>
        <w:rPr>
          <w:b w:val="0"/>
          <w:i/>
        </w:rPr>
        <w:t>General State Administration v Stage Enterteinment SL</w:t>
      </w:r>
      <w:r>
        <w:rPr>
          <w:b w:val="0"/>
          <w:i w:val="0"/>
        </w:rPr>
        <w:t>,158 Tribunal Supremo (Tòa án Tối cao) Tây Ban Nha coi Điều 17(2) của Hiệp định Ireland-Tây Ban Nha như một điều khoản chống lạm dụng được thiết kế để ngăn chặn việc trốn thuế bằng cách sử dụng các công ty trung gian. Tòa án giải thích quy tắc này áp dụng cho mọi trường hợp mà thu nhập liên quan đến các buổi biểu diễn được quy cho bất kỳ người nào không phải là nghệ sĩ biểu diễn. Vụ án liên quan đến nhóm nhạc rock U2, những người đã biểu diễn trong một buổi hòa nhạc tại Tây Ban Nha. Các khoản thanh toán được thực hiện cho hai công ty Ireland riêng biệt, một cho dịch vụ của các nhạc sĩ và một cho các nhà cung cấp dịch vụ khác tham gia vào buổi hòa nhạc, bao gồm thiết bị âm thanh, ánh sáng, sân khấu, video và laser cũng như các dịch vụ quảng bá và đặt chỗ. Tòa án phán quyết rằng cả hai khoản thanh toán đều xuất phát từ buổi biểu diễn của nhóm tại Tây Ban Nha và thuộc phạm vi Điều 17(2). Khi đi đến kết luận này, tòa án dường như đã bị ảnh hưởng bởi luật trong nước Tây Ban Nha, luật này áp đặt thuế đối với thu nhập phát sinh trực tiếp hoặc gián tiếp từ buổi biểu diễn của nghệ sĩ tại Tây Ban Nha. Theo quan điểm của tác giả, điều này không nhất quán với và vượt xa việc ngăn chặn</w:t>
      </w:r>
    </w:p>
    <w:p>
      <w:pPr>
        <w:spacing w:after="80"/>
      </w:pPr>
      <w:r>
        <w:rPr>
          <w:b w:val="0"/>
          <w:i w:val="0"/>
        </w:rPr>
        <w:t>156. Vụ án số 05/5497/A, Tribunal de Première Instance Liège (Tòa án Sơ thẩm), ngày 16 tháng 3 năm 2009 (IBFD Online Database).157. Hof van Cassatie van België (Tòa án Hành chính Tối cao Bỉ) (F.12.0112.N), ngày 9 tháng 1 năm 2015, 18 ITLR 33.158.</w:t>
      </w:r>
      <w:r>
        <w:rPr>
          <w:b w:val="0"/>
          <w:i/>
        </w:rPr>
        <w:t>General State Administration v Stage Enterteinment SL</w:t>
      </w:r>
      <w:r>
        <w:rPr>
          <w:b w:val="0"/>
          <w:i w:val="0"/>
        </w:rPr>
        <w:t>, Tribunal Supremo, Sala de lo Contencioso (Tòa án Tối cao Tây Ban Nha), ngày 7 tháng 12 năm 2012, STS 8946/2012, recurso No. 1139/2010, 15 ITLR 882.</w:t>
      </w:r>
    </w:p>
    <w:p>
      <w:pPr>
        <w:spacing w:after="80"/>
      </w:pPr>
      <w:r>
        <w:rPr>
          <w:b w:val="0"/>
          <w:i w:val="0"/>
        </w:rPr>
        <w:t>293</w:t>
      </w:r>
    </w:p>
    <w:p>
      <w:pPr>
        <w:spacing w:after="80"/>
      </w:pPr>
      <w:r>
        <w:rPr>
          <w:b w:val="0"/>
          <w:i w:val="0"/>
        </w:rPr>
        <w:t>lạm dụng liên quan đến việc sử dụng các công ty trung gian bởi những nghệ sĩ biểu diễn có thu nhập thuộc phạm vi Điều 17(1).</w:t>
      </w:r>
    </w:p>
    <w:p>
      <w:pPr>
        <w:spacing w:after="80"/>
      </w:pPr>
      <w:r>
        <w:rPr>
          <w:b w:val="0"/>
          <w:i w:val="0"/>
        </w:rPr>
        <w:t xml:space="preserve">Việc mở rộng này không áp dụng theo Điều 16(2) của Hiệp định Anh-Mỹ nếu người nhận thanh toán chứng minh rằng cả nghệ sĩ biểu diễn lẫn vận động viên cũng như những người có liên quan đến họ đều không tham gia trực tiếp hoặc gián tiếp vào lợi nhuận của người khác đó dưới bất kỳ hình thức nào. Trong </w:t>
      </w:r>
      <w:r>
        <w:rPr>
          <w:b w:val="0"/>
          <w:i/>
        </w:rPr>
        <w:t>Agassi v Robinson (HM Inspector of Taxes)</w:t>
      </w:r>
      <w:r>
        <w:rPr>
          <w:b w:val="0"/>
          <w:i w:val="0"/>
        </w:rPr>
        <w:t>,159 người nộp thuế là một vận động viên quần vợt chuyên nghiệp nổi tiếng cư trú tại Mỹ, người đã thi đấu tại Vương quốc Anh trong một số ngày giới hạn mỗi năm. Ông đã thành lập một công ty được thành lập và cư trú tại Mỹ mà ông kiểm soát và thông qua đó ông ký kết các hợp đồng quảng cáo với hai nhà sản xuất quần áo và thiết bị thể thao, cả hai đều không cư trú hoặc không có hiện diện thuế tại Vương quốc Anh. Công ty của ông nhận được các khoản thanh toán tại Mỹ từ các nhà sản xuất. Thượng viện (House of Lords) đã phán quyết (với ý kiến bất đồng của Lord Walker xứ Gestingthorpe) rằng các khoản thanh toán liên quan đến 'hoạt động có liên quan' tại Vương quốc Anh theo quy định hiện nay là ITTOIA 2005, s.13 và do đó phải chịu thuế thu nhập đối với các khoản thanh toán đó. Khi vụ việc được xét xử trước các Ủy viên Đặc biệt (Special Commissioners),160 các bên đều đồng ý rằng hiệp định với Mỹ không ngăn cản bất kỳ khoản thuế nào.</w:t>
      </w:r>
    </w:p>
    <w:p>
      <w:pPr>
        <w:spacing w:after="80"/>
      </w:pPr>
      <w:r>
        <w:rPr>
          <w:b w:val="0"/>
          <w:i w:val="0"/>
        </w:rPr>
        <w:t xml:space="preserve">Tuy nhiên, cần phải phân tích cẩn thận các khoản thanh toán ngay cả khi chúng được trả cho một bên thứ ba. </w:t>
      </w:r>
      <w:r>
        <w:rPr>
          <w:b w:val="0"/>
          <w:i/>
        </w:rPr>
        <w:t>ADIT v Wizcraft International Entertainment Pvt Ltd</w:t>
      </w:r>
      <w:r>
        <w:rPr>
          <w:b w:val="0"/>
          <w:i w:val="0"/>
        </w:rPr>
        <w:t>161 đã xem xét liệu thuế Ấn Độ có nên được khấu trừ bởi một công ty cư trú tại Ấn Độ hoạt động trong lĩnh vực tổ chức các sự kiện có sự tham gia của các nghệ sĩ biểu diễn nước ngoài tại Ấn Độ đối với các khoản thanh toán cho đại lý cư trú tại Vương quốc Anh của các nghệ sĩ biểu diễn nước ngoài hay không. Các thỏa thuận giữa nhà tổ chức Ấn Độ và đại lý cư trú tại Vương quốc Anh đề cập đến các khoản thanh toán gộp, sau đó được chia thành phí cho nghệ sĩ, hoa hồng của đại lý và chi phí. Tòa án Tối cao Bombay đã bác bỏ lập luận rằng các khoản thanh toán do đại lý thực hiện là một khoản thù lao duy nhất phải trả cho các nghệ sĩ và rằng phí của đại lý và việc hoàn trả chi phí là một phần của phí phải trả cho các nghệ sĩ nước ngoài và phải chịu thuế tại Ấn Độ theo Điều 18 của Hiệp định Thuế Ấn Độ-Anh. Bằng chứng không chứng minh được kết luận rằng toàn bộ khoản thù lao bao gồm cả phí phải trả cho đại lý thực chất là phí phải trả cho các nghệ sĩ biểu diễn cho buổi biểu diễn tại Ấn Độ. Một số hiệp định cũng bao gồm các hoạt động cung cấp dịch vụ của nghệ sĩ biểu diễn đại chúng như tạo thành một cơ sở thường trú (ví dụ: Hiệp định Jamaica-Anh, Điều 4(4)(a)).</w:t>
      </w:r>
    </w:p>
    <w:p>
      <w:pPr>
        <w:spacing w:after="80"/>
      </w:pPr>
      <w:r>
        <w:rPr>
          <w:b w:val="0"/>
          <w:i w:val="0"/>
        </w:rPr>
        <w:t>Cách thức đánh thuế đối với nghệ sĩ biểu diễn và vận động viên theo luật trong nước rất khác nhau tùy theo hoàn cảnh của họ. Thông thường, những cá nhân như vậy có thể là nhân viên phải chịu thuế theo ITEPA 2003 hoặc hành nghề thương mại hoặc nghề nghiệp theo ITTOIA 2005, Phần 2. Nghệ sĩ biểu diễn cũng có thể nhận được tiền bản quyền thường liên quan đến bản quyền hoặc các quyền tương tự. Khi nguồn thu nhập là việc làm hoặc tiền bản quyền, việc khấu trừ sẽ được áp dụng theo PAYE,162 hoặc trong trường hợp tiền bản quyền.163</w:t>
      </w:r>
    </w:p>
    <w:p>
      <w:pPr>
        <w:spacing w:after="80"/>
      </w:pPr>
      <w:r>
        <w:rPr>
          <w:b w:val="0"/>
          <w:i w:val="0"/>
        </w:rPr>
        <w:t>159.</w:t>
      </w:r>
      <w:r>
        <w:rPr>
          <w:b w:val="0"/>
          <w:i/>
        </w:rPr>
        <w:t>Agassi v Robinson (HM Inspector of Taxes)</w:t>
      </w:r>
      <w:r>
        <w:rPr>
          <w:b w:val="0"/>
          <w:i w:val="0"/>
        </w:rPr>
        <w:t xml:space="preserve"> [2006] STC 1056, [2006] BTC 372 [2006] UKHL 23.160.Sub nom</w:t>
      </w:r>
      <w:r>
        <w:rPr>
          <w:b w:val="0"/>
          <w:i/>
        </w:rPr>
        <w:t xml:space="preserve"> Set &amp; Ors v Robinson (HMIT)</w:t>
      </w:r>
      <w:r>
        <w:rPr>
          <w:b w:val="0"/>
          <w:i w:val="0"/>
        </w:rPr>
        <w:t xml:space="preserve"> [2003] UKSC SPC 373, (2003) Sp C 373, một quyết định ẩn danh ở giai đoạn đó.161.</w:t>
      </w:r>
      <w:r>
        <w:rPr>
          <w:b w:val="0"/>
          <w:i/>
        </w:rPr>
        <w:t>WizcraftInternationalEntertainmentPvtLtdvADIT</w:t>
      </w:r>
      <w:r>
        <w:rPr>
          <w:b w:val="0"/>
          <w:i w:val="0"/>
        </w:rPr>
        <w:t>(ITANo.2293of2011)Tòa án Tối cao Bombay (ngày 21 tháng 4 năm 2014) giữ nguyên</w:t>
      </w:r>
      <w:r>
        <w:rPr>
          <w:b w:val="0"/>
          <w:i/>
        </w:rPr>
        <w:t xml:space="preserve"> ADIT v Wizcraft International Entertainment Pvt. Ltd</w:t>
      </w:r>
      <w:r>
        <w:rPr>
          <w:b w:val="0"/>
          <w:i w:val="0"/>
        </w:rPr>
        <w:t xml:space="preserve"> (ITANo. 3208/MUM/2003) (Ủy ban Kháng nghị Thuế Thu nhập Ấn Độ) (IBFD Online Database).162.ITEPA 2003, Phần 11, và các quy định liên quan.163.ITA 2007, s. 906.</w:t>
      </w:r>
    </w:p>
    <w:p>
      <w:pPr>
        <w:spacing w:after="80"/>
      </w:pPr>
      <w:r>
        <w:rPr>
          <w:b w:val="0"/>
          <w:i w:val="0"/>
        </w:rPr>
        <w:t>294</w:t>
      </w:r>
    </w:p>
    <w:p>
      <w:pPr>
        <w:spacing w:after="80"/>
      </w:pPr>
      <w:r>
        <w:rPr>
          <w:b w:val="0"/>
          <w:i w:val="0"/>
        </w:rPr>
        <w:t xml:space="preserve">Mặc dù không có cơ chế khấu trừ chung đối với thu nhập bị đánh thuế theo ITTOIA 2005, Phần 2, nhưng một cơ chế khấu trừ đối với nghệ sĩ biểu diễn nước ngoài được áp dụng theo ITA 2007, ss 966-970, và </w:t>
      </w:r>
      <w:r>
        <w:rPr>
          <w:b w:val="0"/>
          <w:i/>
        </w:rPr>
        <w:t>Income Tax (Entertainers and Sportsmen) Regulations</w:t>
      </w:r>
      <w:r>
        <w:rPr>
          <w:b w:val="0"/>
          <w:i w:val="0"/>
        </w:rPr>
        <w:t xml:space="preserve"> 1987 (SI 1987/530). Các vận động viên tham gia một số sự kiện thể thao danh giá nhất định được hưởng miễn thuế đối với việc tham gia của họ. Các đối thủ không cư trú và một số cá nhân khác tham gia Thế vận hội Olympic và Paralympic London 2012 đã được miễn thuế.164</w:t>
      </w:r>
    </w:p>
    <w:p>
      <w:pPr>
        <w:spacing w:after="80"/>
      </w:pPr>
      <w:r>
        <w:rPr>
          <w:b w:val="0"/>
          <w:i w:val="0"/>
        </w:rPr>
        <w:t>Các đối thủ tại London Anniversary Games 2013 và Glasgow Commonwealth Games 2014 cũng được miễn tương tự.165</w:t>
      </w:r>
    </w:p>
    <w:p>
      <w:pPr>
        <w:spacing w:after="80"/>
      </w:pPr>
      <w:r>
        <w:rPr>
          <w:b/>
          <w:i w:val="0"/>
        </w:rPr>
        <w:t>§9.17 CÁC DOANH NGHIỆP LIÊN KẾT</w:t>
      </w:r>
    </w:p>
    <w:p>
      <w:pPr>
        <w:spacing w:after="80"/>
      </w:pPr>
      <w:r>
        <w:rPr>
          <w:b w:val="0"/>
          <w:i w:val="0"/>
        </w:rPr>
        <w:t>Hầu như tất cả các hiệp ước thuế thu nhập đều chứa các điều khoản tương đương với Điều 9 của OECD Model, cho phép áp dụng các quy tắc chuyển giá trong nước. Hiệp ước Canada-Anh, được xây dựng dựa trên OECD Model, có nội dung như sau:</w:t>
      </w:r>
    </w:p>
    <w:p>
      <w:pPr>
        <w:spacing w:after="80"/>
      </w:pPr>
      <w:r>
        <w:rPr>
          <w:b w:val="0"/>
          <w:i w:val="0"/>
        </w:rPr>
        <w:t>9(1) Khi:</w:t>
      </w:r>
    </w:p>
    <w:p>
      <w:pPr>
        <w:spacing w:after="80"/>
      </w:pPr>
      <w:r>
        <w:rPr>
          <w:b w:val="0"/>
          <w:i w:val="0"/>
        </w:rPr>
        <w:t>(a) một doanh nghiệp của một trong các Quốc gia Ký kết tham gia trực tiếp hoặc gián tiếp</w:t>
      </w:r>
    </w:p>
    <w:p>
      <w:pPr>
        <w:spacing w:after="80"/>
      </w:pPr>
      <w:r>
        <w:rPr>
          <w:b w:val="0"/>
          <w:i w:val="0"/>
        </w:rPr>
        <w:t>vào việc quản lý, kiểm soát hoặc vốn của một doanh nghiệp của Quốc gia Ký kết kia; hoặc (b) cùng những người tham gia trực tiếp hoặc gián tiếp vào việc quản lý, kiểm soát</w:t>
      </w:r>
    </w:p>
    <w:p>
      <w:pPr>
        <w:spacing w:after="80"/>
      </w:pPr>
      <w:r>
        <w:rPr>
          <w:b w:val="0"/>
          <w:i w:val="0"/>
        </w:rPr>
        <w:t>hoặc vốn của một doanh nghiệp của một trong các Quốc gia Ký kết và của một doanh nghiệp của Quốc gia Ký kết kia;</w:t>
      </w:r>
    </w:p>
    <w:p>
      <w:pPr>
        <w:spacing w:after="80"/>
      </w:pPr>
      <w:r>
        <w:rPr>
          <w:b w:val="0"/>
          <w:i w:val="0"/>
        </w:rPr>
        <w:t>và trong cả hai trường hợp, các điều kiện được đặt ra hoặc áp đặt giữa hai doanh nghiệp, trong quan hệ thương mại hoặc tài chính của họ, khác với những điều kiện sẽ được đặt ra giữa các doanh nghiệp độc lập, thì bất kỳ khoản lợi nhuận nào lẽ ra, nếu không vì những điều kiện đó, đã thuộc về một trong các doanh nghiệp, nhưng do những điều kiện đó mà không thuộc về như vậy, có thể được tính vào lợi nhuận của doanh nghiệp đó và bị đánh thuế tương ứng.</w:t>
      </w:r>
    </w:p>
    <w:p>
      <w:pPr>
        <w:spacing w:after="80"/>
      </w:pPr>
      <w:r>
        <w:rPr>
          <w:b w:val="0"/>
          <w:i w:val="0"/>
        </w:rPr>
        <w:t>Tại Anh, việc đưa vào tiền thân của TIOPA 2010, Phần 4 có mục tiêu đã nêu là ban hành Điều 9 của OECD Model thành luật trong nước. Là nạn nhân của Dự án Viết lại Luật Thuế (Tax Law Rewrite Project), quy tắc trong nước tại s. 147 được diễn đạt bằng những thuật ngữ có phần rời rạc. Bất chấp cách soạn thảo vụng về của chính nó, s. 164 yêu cầu luật trong nước phải được giải thích sao cho phù hợp với Điều 9 và 'Hướng dẫn chuyển giá cho các doanh nghiệp đa quốc gia' (gọi tắt là 'Hướng dẫn chuyển giá').166</w:t>
      </w:r>
    </w:p>
    <w:p>
      <w:pPr>
        <w:spacing w:after="80"/>
      </w:pPr>
      <w:r>
        <w:rPr>
          <w:b w:val="0"/>
          <w:i w:val="0"/>
        </w:rPr>
        <w:t>Mục đích của điều khoản này là giới hạn các trường hợp có thể thực hiện điều chỉnh lợi nhuận của một doanh nghiệp để tránh đánh thuế hai lần về mặt kinh tế. Những trường hợp đó là, thứ nhất, khi tồn tại mối quan hệ tham gia cần thiết, và thứ hai, những điều chỉnh như vậy bị giới hạn trong phạm vi vị thế sẽ như thế nào nếu các bên là những doanh nghiệp độc lập. Những giới hạn này đảm bảo rằng việc điều chỉnh lợi nhuận của</w:t>
      </w:r>
    </w:p>
    <w:p>
      <w:pPr>
        <w:spacing w:after="80"/>
      </w:pPr>
      <w:r>
        <w:rPr>
          <w:b w:val="0"/>
          <w:i w:val="0"/>
        </w:rPr>
        <w:t>164. FA 2006, s. 68 và Quy định Thuế về Thế vận hội Olympic và Paralympic London 2010 (SI 2010/2913). 165. FA 2013, ss 8 và 9. 166. Được Hội đồng OECD phê duyệt ngày 27 tháng 6 năm 1995.</w:t>
      </w:r>
    </w:p>
    <w:p>
      <w:pPr>
        <w:spacing w:after="80"/>
      </w:pPr>
      <w:r>
        <w:rPr>
          <w:b w:val="0"/>
          <w:i w:val="0"/>
        </w:rPr>
        <w:t>295</w:t>
      </w:r>
    </w:p>
    <w:p>
      <w:pPr>
        <w:spacing w:after="80"/>
      </w:pPr>
      <w:r>
        <w:rPr>
          <w:b w:val="0"/>
          <w:i w:val="0"/>
        </w:rPr>
        <w:t>các cơ quan có thẩm quyền của một quốc gia không dẫn đến việc đánh thuế hai lần về mặt kinh tế do cùng một khoản lợi nhuận cũng bị đánh thuế vào tay một doanh nghiệp liên kết ở quốc gia ký kết kia. Theo đó, có hai rào cản phải vượt qua trước khi có thể điều chỉnh lợi nhuận của một doanh nghiệp. Thứ nhất, phải có sự tham gia cần thiết vào việc quản lý, kiểm soát hoặc vốn theo Điều 9(1)(a) hoặc (b). Những cách diễn đạt này không được định nghĩa trong điều khoản, nhưng 'điều kiện tham gia' trong TIOPA 2010, s. 148, quy định khi nào một người tham gia trực tiếp hoặc gián tiếp vào việc quản lý, kiểm soát hoặc vốn của một người khác theo mục đích của quy tắc trong nước. Sự tham gia gián tiếp theo luật trong nước bao gồm sự tham gia được coi là tồn tại nhờ các quy tắc quy kết rộng rãi.167 Những quy tắc quy kết này đưa các cách diễn đạt trong nước ra ngoài phạm vi những gì có trong ngôn ngữ của hiệp ước.</w:t>
      </w:r>
    </w:p>
    <w:p>
      <w:pPr>
        <w:spacing w:after="80"/>
      </w:pPr>
      <w:r>
        <w:rPr>
          <w:b w:val="0"/>
          <w:i w:val="0"/>
        </w:rPr>
        <w:t>Rào cản thứ hai cần vượt qua là các điều kiện giữa hai doanh nghiệp trong quan hệ thương mại và tài chính của họ phải khác với các điều khoản theo nguyên tắc thị trường (arm's-length terms). Bình luận về Điều 9 của OECD Model168 và 'Hướng dẫn chuyển giá'169 làm rõ rằng điều này đề cập đến toàn bộ các điều khoản của các giao dịch mà hai doanh nghiệp thực hiện. Do đó, mặc dù điều khoản cho phép điều chỉnh lợi nhuận, việc điều chỉnh như vậy dựa trên các giao dịch cụ thể chứ không dựa trên lợi nhuận của doanh nghiệp nói chung. Quy tắc trong nước công nhận cơ sở giao dịch một cách rõ ràng.170</w:t>
      </w:r>
    </w:p>
    <w:p>
      <w:pPr>
        <w:spacing w:after="80"/>
      </w:pPr>
      <w:r>
        <w:rPr>
          <w:b w:val="0"/>
          <w:i w:val="0"/>
        </w:rPr>
        <w:t>HMRC xác nhận rằng thuật ngữ 'provision' (quy định) nhìn chung tương tự với cụm từ 'conditions made or imposed' (các điều kiện được đặt ra hoặc áp đặt) trong Điều 9, và bao hàm tất cả các điều khoản và điều kiện gắn với một giao dịch hoặc một loạt giao dịch.171</w:t>
      </w:r>
    </w:p>
    <w:p>
      <w:pPr>
        <w:spacing w:after="80"/>
      </w:pPr>
      <w:r>
        <w:rPr>
          <w:b w:val="0"/>
          <w:i w:val="0"/>
        </w:rPr>
        <w:t xml:space="preserve">Ý nghĩa trong nước của 'transaction' (giao dịch) bao gồm các thỏa thuận, hiểu biết và thông lệ chung (dù có hay không có, hoặc có ý định, được pháp luật ràng buộc).172 Không có hiệp ước nào được áp dụng trong </w:t>
      </w:r>
      <w:r>
        <w:rPr>
          <w:b w:val="0"/>
          <w:i/>
        </w:rPr>
        <w:t>DSG Retail Ltd v HMRC</w:t>
      </w:r>
      <w:r>
        <w:rPr>
          <w:b w:val="0"/>
          <w:i w:val="0"/>
        </w:rPr>
        <w:t>,173 liên quan đến các giao dịch với một công ty bảo hiểm nội bộ (captive insurance company) ở Isle of Man. Tuy nhiên, khi giải thích các quy định trong nước, các Ủy viên Đặc biệt (Special Commissioners) đã lưu ý rằng:</w:t>
      </w:r>
    </w:p>
    <w:p>
      <w:pPr>
        <w:spacing w:after="80"/>
      </w:pPr>
      <w:r>
        <w:rPr>
          <w:b w:val="0"/>
          <w:i w:val="0"/>
        </w:rPr>
        <w:t>Không có định nghĩa nào khác về ‘provision’ (khoản cung cấp) trong phụ lục. Nhưng chúng tôi lưu ý rằng giao dịch bao gồm các thỏa thuận và hiểu biết không chính thức cùng chuỗi các thỏa thuận và hiểu biết tương tự. Điều đó cho thấy rằng ‘provision’ không chỉ giới hạn ở các thỏa thuận chính thức hoặc có thể thi hành mà có thể có tính chất tương tự, vì nó có thể được thực hiện thông qua các thỏa thuận hoặc hiểu biết không chính thức như vậy. Điều 9 của OECD Model Tax Convention (Công ước mẫu về thuế của OECD) có cụm từ ‘conditions made or imposed between the two enterprises in their commercial or financial relations’ (các điều kiện được đặt ra hoặc áp đặt giữa hai doanh nghiệp trong quan hệ thương mại hoặc tài chính của họ), và các Bên kháng cáo lưu ý rằng đoạn 42 của Explanatory Notes (Ghi chú giải thích) cho khoản 106 của Finance Bill 1998 (Dự luật Tài chính 1998) đã nêu rằng</w:t>
      </w:r>
    </w:p>
    <w:p>
      <w:pPr>
        <w:spacing w:after="80"/>
      </w:pPr>
      <w:r>
        <w:rPr>
          <w:b w:val="0"/>
          <w:i w:val="0"/>
        </w:rPr>
        <w:t xml:space="preserve">167. TIOPA 2010, s. 159. 168. Đoạn 1. 169. Được Hội đồng OECD phê duyệt ngày 27 tháng 6 năm 1995, Chương 1. Hướng dẫn về giá chuyển nhượng được OECD phê duyệt ngày 22 tháng 7 năm 2010 áp dụng từ ngày 1 tháng 4 năm 2011 cho mục đích thuế doanh nghiệp và từ năm thuế 2011-2012 cho thuế thu nhập. 170. TIOPA 2010, s. 147(1)(a). 171. HMRC, International Tax Manual (Sổ tay Thuế Quốc tế), INTM412050. Cho đến ngày 8 tháng 3 năm 2021, sổ tay này nêu rằng ‘Mặc dù, theo HMRC, thuật ngữ provision (khoản cung cấp) được cho là rộng hơn cụm từ “conditions made or imposed” (các điều kiện được đặt ra hoặc áp đặt), nó không bao giờ được giải thích như vậy.’ (International Tax Manual, INTM432040). 172. S. 150(1). 173. </w:t>
      </w:r>
      <w:r>
        <w:rPr>
          <w:b w:val="0"/>
          <w:i/>
        </w:rPr>
        <w:t>DSG Retail Ltd; Mastercare Coverplan Service Agreements Ltd; Mastercare Service and Distribution Ltd</w:t>
      </w:r>
      <w:r>
        <w:rPr>
          <w:b w:val="0"/>
          <w:i w:val="0"/>
        </w:rPr>
        <w:t xml:space="preserve"> [2009] TC 00001 [2009] UKFTT 31 (TC).</w:t>
      </w:r>
    </w:p>
    <w:p>
      <w:pPr>
        <w:spacing w:after="80"/>
      </w:pPr>
      <w:r>
        <w:rPr>
          <w:b w:val="0"/>
          <w:i w:val="0"/>
        </w:rPr>
        <w:t>296</w:t>
      </w:r>
    </w:p>
    <w:p>
      <w:pPr>
        <w:spacing w:after="80"/>
      </w:pPr>
      <w:r>
        <w:rPr>
          <w:b w:val="0"/>
          <w:i w:val="0"/>
        </w:rPr>
        <w:t>thuật ngữ provision (khoản cung cấp) tương tự với cụm từ đó. Nghĩa vụ giải thích đoạn 1 theo cách tốt nhất đảm bảo sự nhất quán với mô hình OECD cho thấy rằng ‘provision’ nên được hiểu theo nghĩa tương tự như nghĩa nên được dành cho ‘condition’ (điều kiện) trong mô hình. Tuy nhiên, theo chúng tôi, dường như không có gì trong mô hình cho thấy rằng ‘condition’ nên bị giới hạn ở các thỏa thuận chính thức hoặc có thể thi hành.174</w:t>
      </w:r>
    </w:p>
    <w:p>
      <w:pPr>
        <w:spacing w:after="80"/>
      </w:pPr>
      <w:r>
        <w:rPr>
          <w:b w:val="0"/>
          <w:i w:val="0"/>
        </w:rPr>
        <w:t>Cụm từ ‘commercial or financial relations’ (quan hệ thương mại hoặc tài chính) trong Hiệp định Thuế Đức-Anh (1964) đã được German Finanzgericht Köln (Tòa án Thuế sơ thẩm, Cologne) xem xét là không giới hạn ở các trường hợp có thỏa thuận hợp đồng giữa công ty và cổ đông tại thời điểm các khoản thanh toán liên quan được thực hiện, và mở rộng, ít nhất, đến các trường hợp mà các điều kiện được đặt ra hoặc áp đặt có thể được xác định trên cơ sở các thỏa thuận hợp đồng hồi tố.175</w:t>
      </w:r>
    </w:p>
    <w:p>
      <w:pPr>
        <w:spacing w:after="80"/>
      </w:pPr>
      <w:r>
        <w:rPr>
          <w:b w:val="0"/>
          <w:i w:val="0"/>
        </w:rPr>
        <w:t xml:space="preserve">Hai phán quyết trái ngược nhau của First-tier Tribunal (Tòa án sơ thẩm cấp một) đã xem xét liệu việc phát hành cổ phiếu có thể là một ‘provision’ (khoản cung cấp) hoặc cấu thành quan hệ thương mại hoặc tài chính cho mục đích của Điều 9 hay không. Trong </w:t>
      </w:r>
      <w:r>
        <w:rPr>
          <w:b w:val="0"/>
          <w:i/>
        </w:rPr>
        <w:t>Abbey National Treasury Services PLC v Revenue and Customs,</w:t>
      </w:r>
      <w:r>
        <w:rPr>
          <w:b w:val="0"/>
          <w:i w:val="0"/>
        </w:rPr>
        <w:t>176</w:t>
      </w:r>
    </w:p>
    <w:p>
      <w:pPr>
        <w:spacing w:after="80"/>
      </w:pPr>
      <w:r>
        <w:rPr>
          <w:b w:val="0"/>
          <w:i w:val="0"/>
        </w:rPr>
        <w:t xml:space="preserve">việc phát hành cổ phiếu tracker được xác định là một provision trong ý nghĩa của các quy tắc giá chuyển nhượng trong bối cảnh một giao dịch phức tạp tạo ra lỗ. Ngược lại, phán quyết này không được tuân theo trong </w:t>
      </w:r>
      <w:r>
        <w:rPr>
          <w:b w:val="0"/>
          <w:i/>
        </w:rPr>
        <w:t>Union Castle Mail Steamship Company Ltd v Revenue and Customs,</w:t>
      </w:r>
      <w:r>
        <w:rPr>
          <w:b w:val="0"/>
          <w:i w:val="0"/>
        </w:rPr>
        <w:t>177 nơi tòa án lưu ý sự phân biệt trong hướng dẫn OECD giữa các giao dịch cổ đông và không phải cổ đông và sự thiếu vắng các án lệ khác. Quan điểm hợp lý hơn là các giao dịch cổ đông không phải là quan hệ thương mại và tài chính cho mục đích này, ngoại trừ có thể các trường hợp mà một loại cổ phiếu bất thường được tích hợp chặt chẽ với một giao dịch tài chính khác đến mức hai giao dịch phải được xem xét thực chất như một.</w:t>
      </w:r>
    </w:p>
    <w:p>
      <w:pPr>
        <w:spacing w:after="80"/>
      </w:pPr>
      <w:r>
        <w:rPr>
          <w:b w:val="0"/>
          <w:i w:val="0"/>
        </w:rPr>
        <w:t>Khi hai yêu cầu được đáp ứng, thì lợi nhuận của doanh nghiệp có lợi nhuận thấp hơn so với mức lẽ ra có được, nếu không tính đến giao dịch thực tế, có thể được điều chỉnh tăng lên để phản ánh mức lợi nhuận lẽ ra có được nếu giao dịch được thực hiện theo nguyên tắc thị trường (arm’s length). Việc điều chỉnh chỉ theo hướng tăng này chỉ được thực hiện đối với tính toán thuế. Nó không yêu cầu giao dịch phải được thực hiện theo nguyên tắc thị trường hoặc được coi là như vậy cho mục đích thuế hay bất kỳ mục đích nào khác.</w:t>
      </w:r>
    </w:p>
    <w:p>
      <w:pPr>
        <w:spacing w:after="80"/>
      </w:pPr>
      <w:r>
        <w:rPr>
          <w:b w:val="0"/>
          <w:i w:val="0"/>
        </w:rPr>
        <w:t>Bất kỳ điều chỉnh tăng lợi nhuận nào như vậy đều mang theo rủi ro đánh thuế hai lần vì cùng một khoản lợi nhuận sẽ được đưa vào tính toán thuế của cả hai doanh nghiệp. Điều 9(2) của Hiệp định Nhật-Anh nhìn chung tuân theo OECD Model trong việc cung cấp một cơ chế để giải quyết việc đánh thuế hai lần như vậy:</w:t>
      </w:r>
    </w:p>
    <w:p>
      <w:pPr>
        <w:spacing w:after="80"/>
      </w:pPr>
      <w:r>
        <w:rPr>
          <w:b w:val="0"/>
          <w:i w:val="0"/>
        </w:rPr>
        <w:t>9(2) Khi một Quốc gia ký kết bao gồm, theo các quy định của đoạn 1 của Điều này, vào lợi nhuận của một doanh nghiệp của Quốc gia ký kết đó – và đánh thuế tương ứng – lợi nhuận mà một doanh nghiệp của Quốc gia ký kết kia đã bị đánh thuế tại Quốc gia ký kết kia và cơ quan có thẩm quyền</w:t>
      </w:r>
    </w:p>
    <w:p>
      <w:pPr>
        <w:spacing w:after="80"/>
      </w:pPr>
      <w:r>
        <w:rPr>
          <w:b w:val="0"/>
          <w:i w:val="0"/>
        </w:rPr>
        <w:t xml:space="preserve">174. Tại đoạn 66. 175. </w:t>
      </w:r>
      <w:r>
        <w:rPr>
          <w:b w:val="0"/>
          <w:i/>
        </w:rPr>
        <w:t>Finanzgericht, Köln</w:t>
      </w:r>
      <w:r>
        <w:rPr>
          <w:b w:val="0"/>
          <w:i w:val="0"/>
        </w:rPr>
        <w:t xml:space="preserve"> (Tòa án Thuế, Cologne), Vụ án 13K647/03, ngày 22 tháng 8 năm 2007 (IBFD Tax research Platform). 176. </w:t>
      </w:r>
      <w:r>
        <w:rPr>
          <w:b w:val="0"/>
          <w:i/>
        </w:rPr>
        <w:t>Abbey National Treasury Services PLC v Revenue and Customs</w:t>
      </w:r>
      <w:r>
        <w:rPr>
          <w:b w:val="0"/>
          <w:i w:val="0"/>
        </w:rPr>
        <w:t xml:space="preserve"> [2015] UKFTT 0341 (TC), [2015] SFTD 929, [2015] TC 04525. 177. </w:t>
      </w:r>
      <w:r>
        <w:rPr>
          <w:b w:val="0"/>
          <w:i/>
        </w:rPr>
        <w:t>Union Castle Mail Steamship Company Ltd v Revenue and Customs</w:t>
      </w:r>
      <w:r>
        <w:rPr>
          <w:b w:val="0"/>
          <w:i w:val="0"/>
        </w:rPr>
        <w:t xml:space="preserve"> [2016] UKFTT 0526 (TC), [2016] TC 05275.</w:t>
      </w:r>
    </w:p>
    <w:p>
      <w:pPr>
        <w:spacing w:after="80"/>
      </w:pPr>
      <w:r>
        <w:rPr>
          <w:b w:val="0"/>
          <w:i w:val="0"/>
        </w:rPr>
        <w:t>297</w:t>
      </w:r>
    </w:p>
    <w:p>
      <w:pPr>
        <w:spacing w:after="80"/>
      </w:pPr>
      <w:r>
        <w:rPr>
          <w:b w:val="0"/>
          <w:i w:val="0"/>
        </w:rPr>
        <w:t>của Quốc gia ký kết kia đồng ý rằng lợi nhuận được bao gồm như vậy là lợi nhuận lẽ ra đã thuộc về doanh nghiệp của Quốc gia ký kết được đề cập đầu tiên nếu các điều kiện được đặt ra giữa hai doanh nghiệp là những điều kiện lẽ ra được đặt ra giữa các doanh nghiệp độc lập, thì Quốc gia ký kết kia phải thực hiện điều chỉnh thích hợp đối với số thuế đánh tại đó trên lợi nhuận đó. Khi xác định điều chỉnh như vậy, phải xem xét đầy đủ đến các quy định khác của Công ước này.</w:t>
      </w:r>
    </w:p>
    <w:p>
      <w:pPr>
        <w:spacing w:after="80"/>
      </w:pPr>
      <w:r>
        <w:rPr>
          <w:b w:val="0"/>
          <w:i w:val="0"/>
        </w:rPr>
        <w:t>Điều 9(2) trao quyền được điều chỉnh tương ứng tại một quốc gia ký kết khi có sự gia tăng nghĩa vụ thuế tại quốc gia ký kết kia do kết quả của việc điều chỉnh giá chuyển nhượng. Điều 9(2) của Hiệp định Nhật-Anh khác với OECD Model ở chỗ chỉ yêu cầu các điều chỉnh như vậy nếu cơ quan có thẩm quyền của quốc gia ký kết kia đồng ý với các điều chỉnh ban đầu theo Điều 9(1), do đó các điều chỉnh như vậy không tự động. Các hiệp định theo mô hình OECD yêu cầu các quốc gia ký kết tham khảo ý kiến lẫn nhau ‘nếu cần thiết’. Thực tiễn của Vương quốc Anh là trình bày một vụ việc theo thủ tục thỏa thuận song phương trong TIOPA 2010, ss 124 và 125.178</w:t>
      </w:r>
    </w:p>
    <w:p>
      <w:pPr>
        <w:spacing w:after="80"/>
      </w:pPr>
      <w:r>
        <w:rPr>
          <w:b w:val="0"/>
          <w:i w:val="0"/>
        </w:rPr>
        <w:t>Nhiều hiệp định cũ của Vương quốc Anh không có Điều 9(2) (xem, ví dụ, Hiệp định Kenya-Anh), nhưng xu hướng hiện đại là đưa nó vào. Việc giải quyết các tranh chấp như vậy là một phần của tiêu chuẩn tối thiểu Base Erosion and Profit Shifting Action 14 (Hành động 14 về Xói mòn cơ sở thuế và Chuyển dịch lợi nhuận).179 Trong những hiệp định không có điều khoản này, thủ tục thỏa thuận song phương theo Điều 25 là cơ sở duy nhất để thực hiện các điều chỉnh tương ứng. TIOPA 2010, Phần 4 cho phép điều chỉnh tương ứng bằng yêu cầu liên quan đến các giao dịch của Vương quốc Anh nhưng không cho các giao dịch xuyên biên giới.180 Do đó phải viện dẫn thủ tục thỏa thuận song phương.181</w:t>
      </w:r>
    </w:p>
    <w:p>
      <w:pPr>
        <w:spacing w:after="80"/>
      </w:pPr>
      <w:r>
        <w:rPr>
          <w:b/>
          <w:i w:val="0"/>
        </w:rPr>
        <w:t>[A]Thuế Lợi nhuận Chuyển hướng</w:t>
      </w:r>
    </w:p>
    <w:p>
      <w:pPr>
        <w:spacing w:after="80"/>
      </w:pPr>
      <w:r>
        <w:rPr>
          <w:b w:val="0"/>
          <w:i w:val="0"/>
        </w:rPr>
        <w:t xml:space="preserve">Một chế độ chuyển giá riêng biệt, được thiết kế để hoạt động ngoài tầm với của các hiệp định thuế, đã được đưa vào Vương quốc Anh bởi </w:t>
      </w:r>
      <w:r>
        <w:rPr>
          <w:b w:val="0"/>
          <w:i/>
        </w:rPr>
        <w:t>Finance Act</w:t>
      </w:r>
      <w:r>
        <w:rPr>
          <w:b w:val="0"/>
          <w:i w:val="0"/>
        </w:rPr>
        <w:t xml:space="preserve"> 2015 trong Thuế Lợi nhuận Chuyển hướng (Diverted Profits Tax).182</w:t>
      </w:r>
    </w:p>
    <w:p>
      <w:pPr>
        <w:spacing w:after="80"/>
      </w:pPr>
      <w:r>
        <w:rPr>
          <w:b w:val="0"/>
          <w:i w:val="0"/>
        </w:rPr>
        <w:t>Nó áp dụng cho các công ty cư trú tại Vương quốc Anh là một bên của một giao dịch (bao gồm giao dịch tạo thành một phần của một chuỗi giao dịch) với một người khác, khi các bên có liên kết vì mục đích chuyển giá183 và một trong hai thực thể hoặc giao dịch liên quan thiếu bản chất kinh tế, và khi một quy định được thực hiện theo giao dịch (hoặc chuỗi giao dịch) dẫn đến kết quả không khớp thuế hiệu quả giữa các bên.184 Kết quả không khớp thuế hiệu quả xảy ra khi việc khấu trừ chi phí hoặc giảm thu nhập của công ty Vương quốc Anh dẫn đến việc giảm thuế phải nộp của công ty Vương quốc Anh vượt quá mức tăng thuế liên quan phải nộp của bên kia, đến mức thuế mà bên kia phải nộp ít hơn 80% thuế Vương quốc Anh (số thuế lẽ ra phải nộp nếu không có việc khấu trừ hoặc giảm thu nhập đó).185 Một quy tắc tương tự cũng áp dụng cho</w:t>
      </w:r>
    </w:p>
    <w:p>
      <w:pPr>
        <w:spacing w:after="80"/>
      </w:pPr>
      <w:r>
        <w:rPr>
          <w:b w:val="0"/>
          <w:i w:val="0"/>
        </w:rPr>
        <w:t>178. HMRC, International Manual, INTM161320. 179. Xem Chương 18, §18.08. 180. TIOPA 2010, Phần 4 Chương 4. 181. Xem Chương 20, §20.01. 182. Xem Chương 2, §2.15. 183. FA 2015, s. 106. 184. FA 2015, s. 80. 185. FA 2015, s. 107.</w:t>
      </w:r>
    </w:p>
    <w:p>
      <w:pPr>
        <w:spacing w:after="80"/>
      </w:pPr>
      <w:r>
        <w:rPr>
          <w:b w:val="0"/>
          <w:i w:val="0"/>
        </w:rPr>
        <w:t>298</w:t>
      </w:r>
    </w:p>
    <w:p>
      <w:pPr>
        <w:spacing w:after="80"/>
      </w:pPr>
      <w:r>
        <w:rPr>
          <w:b w:val="0"/>
          <w:i w:val="0"/>
        </w:rPr>
        <w:t>các công ty không cư trú thực hiện hoạt động kinh doanh tại Vương quốc Anh thông qua một cơ sở thường trú tại đó.186</w:t>
      </w:r>
    </w:p>
    <w:p>
      <w:pPr>
        <w:spacing w:after="80"/>
      </w:pPr>
      <w:r>
        <w:rPr>
          <w:b w:val="0"/>
          <w:i w:val="0"/>
        </w:rPr>
        <w:t>Không có đủ bản chất kinh tế nếu hợp lý khi giả định rằng giao dịch (hoặc chuỗi giao dịch) được thiết kế để đảm bảo việc giảm thuế, trừ khi hai tiêu chí được đáp ứng: thứ nhất, đối với cả hai bên (tính gộp lại), các lợi ích phi thuế liên quan đến giao dịch sẽ vượt quá lợi ích tài chính của việc giảm thuế; và thứ hai, hoặc (a) hợp lý khi giả định rằng, đối với cả hai bên (tính gộp lại), các lợi ích phi thuế liên quan đến phần đóng góp của người đó vào giao dịch hoặc chuỗi giao dịch, xét về các chức năng hoặc hoạt động mà nhân viên của người đó thực hiện, vượt quá lợi ích tài chính của việc giảm thuế; hoặc (b) thu nhập quy cho các chức năng hoặc hoạt động thường xuyên của nhân viên người đó, xét về phần đóng góp của họ vào giao dịch hoặc các giao dịch (bỏ qua các chức năng hoặc hoạt động liên quan đến việc nắm giữ, duy trì hoặc bảo vệ bất kỳ tài sản nào mà thu nhập quy cho giao dịch hoặc các giao dịch bắt nguồn từ đó), vượt quá thu nhập khác quy cho giao dịch hoặc các giao dịch.187</w:t>
      </w:r>
    </w:p>
    <w:p>
      <w:pPr>
        <w:spacing w:after="80"/>
      </w:pPr>
      <w:r>
        <w:rPr>
          <w:b w:val="0"/>
          <w:i w:val="0"/>
        </w:rPr>
        <w:t>Không phát sinh khoản thuế lợi nhuận chuyển hướng nào khi 'Điều chỉnh chuyển giá đầy đủ' được thực hiện nếu tất cả lợi nhuận chuyển hướng của công ty (những khoản dẫn đến kết quả không khớp thuế), trong tờ khai thuế công ty của công ty.188 Có vẻ như việc điều chỉnh như vậy được thực hiện trong tờ khai thuế sẽ, về nguyên tắc, là một điều chỉnh tăng thuộc phạm vi của Điều 9(1).</w:t>
      </w:r>
    </w:p>
    <w:p>
      <w:pPr>
        <w:spacing w:after="80"/>
      </w:pPr>
      <w:r>
        <w:rPr>
          <w:b/>
          <w:i w:val="0"/>
        </w:rPr>
        <w:t>§9.18 THUẾ DỊCH VỤ KỸ THUẬT SỐ</w:t>
      </w:r>
    </w:p>
    <w:p>
      <w:pPr>
        <w:spacing w:after="80"/>
      </w:pPr>
      <w:r>
        <w:rPr>
          <w:b w:val="0"/>
          <w:i w:val="0"/>
        </w:rPr>
        <w:t>Thuế Dịch vụ Kỹ thuật số được đưa vào Vương quốc Anh bởi Finance Act 2020, Phần 2, là một loại thuế riêng biệt, được đánh trên 'doanh thu dịch vụ kỹ thuật số của Vương quốc Anh'. 'Doanh thu dịch vụ kỹ thuật số của Vương quốc Anh' là doanh thu quy cho người dùng Vương quốc Anh từ các dịch vụ kỹ thuật số sau: các giao dịch trên sàn giao dịch trực tuyến với người dùng Vương quốc Anh, quảng cáo trực tuyến cho các dịch vụ, hàng hóa hoặc tài sản khác cụ thể trên sàn giao dịch trực tuyến được người dùng Vương quốc Anh trả tiền, bất kỳ nội dung trực tuyến nào khác được người dùng Vương quốc Anh xem hoặc tiêu thụ theo cách khác và các dịch vụ kỹ thuật số khác khi doanh thu 'phát sinh liên quan đến người dùng Vương quốc Anh'.189 Trong mỗi trường hợp, thuế áp dụng cho các công ty cung cấp phương tiện truyền thông xã hội, công cụ tìm kiếm internet, hoặc sàn giao dịch trực tuyến.190 Thuế được đánh trên tổng doanh thu191 hoặc, theo lựa chọn, trên biên lợi nhuận hoạt động khi chỉ được khấu trừ các khoản chi tiêu được chỉ định.192 Thuế được đánh giá đối với nhà cung cấp dịch vụ và không phải là thuế khấu trừ tại nguồn.</w:t>
      </w:r>
    </w:p>
    <w:p>
      <w:pPr>
        <w:spacing w:after="80"/>
      </w:pPr>
      <w:r>
        <w:rPr>
          <w:b w:val="0"/>
          <w:i w:val="0"/>
        </w:rPr>
        <w:t>186. FA 2015, s. 81. Xem Chương 7, §7.15. 187. FA 2015, s. 110. 188. FA 2015, s. 81. 189. FA 2020, s. 42. 190. FA 2020, s. 43. 191. FA 2020, s. 47. 192. FA 2020, ss 48 và 49.</w:t>
      </w:r>
    </w:p>
    <w:p>
      <w:pPr>
        <w:spacing w:after="80"/>
      </w:pPr>
      <w:r>
        <w:rPr>
          <w:b w:val="0"/>
          <w:i w:val="0"/>
        </w:rPr>
        <w:t>299</w:t>
      </w:r>
    </w:p>
    <w:p>
      <w:pPr>
        <w:spacing w:before="240" w:after="80"/>
      </w:pPr>
      <w:r>
        <w:rPr>
          <w:b/>
          <w:sz w:val="32"/>
        </w:rPr>
        <w:t>CHƯƠNG 10 Thu nhập từ Tài sản</w:t>
      </w:r>
    </w:p>
    <w:p>
      <w:pPr>
        <w:spacing w:after="80"/>
      </w:pPr>
      <w:r>
        <w:rPr>
          <w:b/>
          <w:i w:val="0"/>
        </w:rPr>
        <w:t>§10.01 GIỚI THIỆU</w:t>
      </w:r>
    </w:p>
    <w:p>
      <w:pPr>
        <w:spacing w:after="80"/>
      </w:pPr>
      <w:r>
        <w:rPr>
          <w:b w:val="0"/>
          <w:i w:val="0"/>
        </w:rPr>
        <w:t>Chương này xem xét thu nhập từ tài sản, đôi khi được mô tả là thu nhập đầu tư. Nó bao gồm thu nhập từ bất động sản, (OECD Model, Điều 6), cổ tức (OECD Model, Điều 10), Lãi (OECD Model, Điều 11) và tiền bản quyền (OECD Model, Điều 12). Đặc điểm chung là số tiền đang được xem xét là một khoản địa tô kinh tế bắt nguồn từ quyền sở hữu một tài sản. Trong mỗi trường hợp, thu nhập có thể được nhận trong quá trình kinh doanh hoặc như một khoản đầu tư cá nhân. Khi số tiền là một phần của hoạt động kinh doanh, sự tương tác giữa các điều này và những điều được thảo luận trong Chương 9, §§9.01ff. đòi hỏi phải xem xét cẩn thận. Việc xử lý cổ tức, lãi và tiền bản quyền trong Liên minh Châu Âu (EU) cũng phải tuân theo việc áp dụng pháp luật EU.1</w:t>
      </w:r>
    </w:p>
    <w:p>
      <w:pPr>
        <w:spacing w:after="80"/>
      </w:pPr>
      <w:r>
        <w:rPr>
          <w:b/>
          <w:i w:val="0"/>
        </w:rPr>
        <w:t>§10.02 THU NHẬP TỪ BẤT ĐỘNG SẢN</w:t>
      </w:r>
    </w:p>
    <w:p>
      <w:pPr>
        <w:spacing w:after="80"/>
      </w:pPr>
      <w:r>
        <w:rPr>
          <w:b w:val="0"/>
          <w:i w:val="0"/>
        </w:rPr>
        <w:t>Điều 6 của OECD Model Treaty quy định rằng thu nhập từ bất động sản có thể bị đánh thuế tại quốc gia nơi tài sản tọa lạc. Quyền đánh thuế do đó được trao cho cả hai quốc gia. Bất động sản được hiểu theo luật của quốc gia ký kết nơi tài sản tọa lạc. OECD Model đã được sửa đổi vào năm 1977 để quy định rằng thu nhập từ bất động sản bao gồm thu nhập từ nông nghiệp hoặc lâm nghiệp. Điều 6(1) của Hiệp định Thuế Thu nhập Ethiopia-Vương quốc Anh là một ví dụ tiêu biểu:</w:t>
      </w:r>
    </w:p>
    <w:p>
      <w:pPr>
        <w:spacing w:after="80"/>
      </w:pPr>
      <w:r>
        <w:rPr>
          <w:b w:val="0"/>
          <w:i w:val="0"/>
        </w:rPr>
        <w:t>Thu nhập phát sinh từ bất động sản (bao gồm thu nhập từ nông nghiệp hoặc lâm nghiệp) nằm ở Quốc gia Ký kết kia mà một cư dân của một Quốc gia Ký kết nhận được có thể bị đánh thuế tại Quốc gia kia.2</w:t>
      </w:r>
    </w:p>
    <w:p>
      <w:pPr>
        <w:spacing w:after="80"/>
      </w:pPr>
      <w:r>
        <w:rPr>
          <w:b w:val="0"/>
          <w:i w:val="0"/>
        </w:rPr>
        <w:t>1. Xem Chương 14, §§14.01ff. 2. Công ước giữa Chính phủ Vương quốc Liên hiệp Anh và Bắc Ireland và Chính phủ Cộng hòa Dân chủ Liên bang Ethiopia về Việc Tránh</w:t>
      </w:r>
    </w:p>
    <w:p>
      <w:pPr>
        <w:spacing w:after="80"/>
      </w:pPr>
      <w:r>
        <w:rPr>
          <w:b w:val="0"/>
          <w:i w:val="0"/>
        </w:rPr>
        <w:t>301</w:t>
      </w:r>
    </w:p>
    <w:p>
      <w:pPr>
        <w:spacing w:after="80"/>
      </w:pPr>
      <w:r>
        <w:rPr>
          <w:b w:val="0"/>
          <w:i w:val="0"/>
        </w:rPr>
        <w:t>Địa điểm nơi bất động sản đó tọa lạc không được quy định cụ thể trong điều khoản này. Thay vào đó, người ta dựa vào luật quốc tế tư nhân (private international law) để xác định bất động sản nằm ở đâu. Ý nghĩa của "bất động sản" cũng được để cho luật quốc tế tư nhân quyết định, như được minh họa bởi Điều 6(2) của Hiệp định Thuế Ethiopia-Anh:</w:t>
      </w:r>
    </w:p>
    <w:p>
      <w:pPr>
        <w:spacing w:after="80"/>
      </w:pPr>
      <w:r>
        <w:rPr>
          <w:b w:val="0"/>
          <w:i w:val="0"/>
        </w:rPr>
        <w:t>Thuật ngữ "bất động sản" sẽ mang ý nghĩa mà nó có theo luật của Quốc gia Ký kết nơi bất động sản đang xét tọa lạc. Thuật ngữ này trong mọi trường hợp bao gồm tài sản phụ thuộc bất động sản, gia súc và thiết bị dùng trong nông nghiệp và lâm nghiệp, các quyền được áp dụng các quy định của luật phổ thông liên quan đến tài sản đất đai, quyền hưởng dụng (usufruct) bất động sản và các quyền đối với các khoản thanh toán biến đổi hoặc cố định như là khoản đền bù cho việc khai thác, hoặc quyền khai thác, các mỏ khoáng sản, nguồn tài nguyên và các tài nguyên thiên nhiên khác; tàu thuyền và máy bay sẽ không được coi là bất động sản.</w:t>
      </w:r>
    </w:p>
    <w:p>
      <w:pPr>
        <w:spacing w:after="80"/>
      </w:pPr>
      <w:r>
        <w:rPr>
          <w:b w:val="0"/>
          <w:i w:val="0"/>
        </w:rPr>
        <w:t>Vị trí của bất động sản thường được xác định theo các quy tắc xung đột pháp luật (conflict of law) chung. Quan trọng nhất, đất đai nằm ở quốc gia nơi nó tọa lạc. Tuy nhiên, đối với các quyền tài sản vô hình (choses in action), chúng thường nằm ở quốc gia nơi chúng có thể được thu hồi hoặc thực thi một cách hợp pháp. Động sản hữu hình (chattels) nằm ở quốc gia nơi chúng được đặt tại bất kỳ thời điểm nào. Việc phân loại tài sản thành động sản và bất động sản được áp dụng trong các hệ thống luật dân sự (civil law). Tuy nhiên, trong luật Anh, sự phân biệt quan trọng là giữa bất động sản (realty) và động sản (personalty). Sự phân chia giữa tài sản động sản và bất động sản được công nhận trong hệ thống luật dân sự dựa trên luật La Mã của Scotland. Thu nhập từ đất đai có lẽ là nguồn thu nhập từ bất động sản dễ nhận diện nhất trong bối cảnh này. Thu nhập từ đất đai được xử lý theo ITTOIA 2005, Phần 4, và phân biệt giữa hoạt động kinh doanh bất động sản tại Vương quốc Anh của một người, bao gồm việc tạo thu nhập từ đất đai tại Vương quốc Anh,3 và hoạt động kinh doanh bất động sản ở nước ngoài của một người, bao gồm cùng hoạt động đó từ đất đai bên ngoài Vương quốc Anh.4 Cách phân loại tương tự cũng được áp dụng cho các công ty chịu thuế thu nhập doanh nghiệp trong trường hợp đất đai nằm tại Vương quốc Anh5 và đất đai nằm ở nước ngoài.6</w:t>
      </w:r>
    </w:p>
    <w:p>
      <w:pPr>
        <w:spacing w:after="80"/>
      </w:pPr>
      <w:r>
        <w:rPr>
          <w:b w:val="0"/>
          <w:i w:val="0"/>
        </w:rPr>
        <w:t>Về vấn đề này, cả quyền sở hữu vĩnh viễn (freehold) và quyền thuê đất (leasehold) đối với đất đai ở Anh đều được coi là bất động sản.7 Quyền của người thế chấp (mortgagee) đối với đất đai ở Anh, bao gồm quyền được thanh toán khoản nợ của họ, được coi là quyền đối với bất động sản. Tuy nhiên, trong bối cảnh hiệp định thuế, tiền lãi thế chấp thường được xử lý theo Điều 11 (tiền lãi) trên cơ sở rằng các quy định chung hơn liên quan đến bất động sản bị ghi đè bởi tham chiếu cụ thể trong Điều 11(3), do đó "tiền lãi" bao gồm thu nhập từ "các khiếu nại nợ dưới mọi hình thức dù có được bảo đảm bằng thế chấp hay không". Trong Hiệp định Thuế Anh-Mỹ năm 2001, cụm từ "bất động sản" (real property), thay vì "bất động sản" (immovable property), được sử dụng trong Điều 6.</w:t>
      </w:r>
    </w:p>
    <w:p>
      <w:pPr>
        <w:spacing w:after="80"/>
      </w:pPr>
      <w:r>
        <w:rPr>
          <w:b w:val="0"/>
          <w:i w:val="0"/>
        </w:rPr>
        <w:t xml:space="preserve">Thuế Đánh Hai Lần và Ngăn ngừa Trốn thuế Liên quan đến Thuế Thu nhập và Thuế Lợi tức Vốn ngày 9 tháng 6 năm 2011 (SI 2011/2725). 3. ITTOIA 2005, s. 264. 4. ITTOIA 2005, s. 265. 5. CTA 2009, s. 205. 6. CTA 2009, s. 206. 7. Trong </w:t>
      </w:r>
      <w:r>
        <w:rPr>
          <w:b w:val="0"/>
          <w:i/>
        </w:rPr>
        <w:t xml:space="preserve"> Lloyd-Webber v Revenue and Customs</w:t>
      </w:r>
      <w:r>
        <w:rPr>
          <w:b w:val="0"/>
          <w:i w:val="0"/>
        </w:rPr>
        <w:t xml:space="preserve"> [2019] UKFTT 717 (TC), [2019] TC 07488, các hợp đồng mua trước khi xây dựng (off-plan) cho các căn nhà nghỉ dưỡng ở Barbados chưa bao giờ được xây dựng chỉ là các quyền theo hợp đồng chứ không phải quyền sở hữu đất đai, theo "cách tiếp cận thực tế". Chúng sẽ chỉ trở thành đất đai nếu các căn nhà được xây dựng. Người ta giả định rằng luật của Barbados giống như luật của Anh.</w:t>
      </w:r>
    </w:p>
    <w:p>
      <w:pPr>
        <w:spacing w:after="80"/>
      </w:pPr>
      <w:r>
        <w:rPr>
          <w:b w:val="0"/>
          <w:i w:val="0"/>
        </w:rPr>
        <w:t>302</w:t>
      </w:r>
    </w:p>
    <w:p>
      <w:pPr>
        <w:spacing w:after="80"/>
      </w:pPr>
      <w:r>
        <w:rPr>
          <w:b w:val="0"/>
          <w:i w:val="0"/>
        </w:rPr>
        <w:t>Các hiệp định hiện đại với các khu vực tài phán theo luật phổ thông (common law) khác áp dụng cách tiếp cận tương tự,8 nhưng các hiệp định cũ hơn sử dụng ngôn ngữ của OECD.9 Các hiệp định với các khu vực tài phán theo luật dân sự có thể chứa phân loại tài sản bổ sung để giảm thiểu rủi ro phân loại không khớp. Do đó, Điều 4 của nghị định thư bổ sung cho Hiệp định Thuế Thu nhập Pháp-Anh (2008) xác nhận rằng "thuật ngữ 'bất động sản' như được định nghĩa trong Điều 6 bao gồm các quyền chọn và các quyền tương tự liên quan đến bất động sản đó". Các hiệp định theo mô hình thuộc địa không chứa điều khoản về thu nhập từ bất động sản.10 Vì các hiệp định như vậy thường không toàn diện, chúng thường không giới hạn quyền đánh thuế thu nhập từ đất đai của Vương quốc Anh.</w:t>
      </w:r>
    </w:p>
    <w:p>
      <w:pPr>
        <w:spacing w:after="80"/>
      </w:pPr>
      <w:r>
        <w:rPr>
          <w:b w:val="0"/>
          <w:i w:val="0"/>
        </w:rPr>
        <w:t xml:space="preserve">Tính chất của các khoản thanh toán được thực hiện để thanh toán một khoản nợ từ khoản tiền mà một ngân hàng Canada cho một công ty Canada tham gia thăm dò và khai thác dầu ở khu vực Biển Bắc thuộc Vương quốc Anh vay đã được xác định là "quyền đối với … các khoản thanh toán như là khoản đền bù cho việc khai thác, hoặc quyền khai thác, các mỏ khoáng sản, nguồn tài nguyên và các tài nguyên thiên nhiên khác" trong phạm vi Điều 6(2) của Hiệp định Canada-Anh trong vụ </w:t>
      </w:r>
      <w:r>
        <w:rPr>
          <w:b w:val="0"/>
          <w:i/>
        </w:rPr>
        <w:t xml:space="preserve"> Royal Bank of Canada v HMRC</w:t>
      </w:r>
      <w:r>
        <w:rPr>
          <w:b w:val="0"/>
          <w:i w:val="0"/>
        </w:rPr>
        <w:t>.11</w:t>
      </w:r>
    </w:p>
    <w:p>
      <w:pPr>
        <w:spacing w:after="80"/>
      </w:pPr>
      <w:r>
        <w:rPr>
          <w:b w:val="0"/>
          <w:i w:val="0"/>
        </w:rPr>
        <w:t>Vào những năm 1980, giấy phép cho hoạt động này chỉ được cấp cho các công ty cư trú tại Vương quốc Anh. Thực tế phổ biến vào thời điểm đó là các công ty không cư trú ký kết một "Thỏa thuận Minh họa" (Illustrative Agreement) với một chủ giấy phép là công ty con cư trú tại Vương quốc Anh. Theo các thỏa thuận như vậy, chi phí phát triển và khai thác sẽ do công ty mẹ không cư trú chịu, đổi lại là phần dầu khai thác được từ khu vực được cấp phép thuộc về chủ giấy phép.</w:t>
      </w:r>
    </w:p>
    <w:p>
      <w:pPr>
        <w:spacing w:after="80"/>
      </w:pPr>
      <w:r>
        <w:rPr>
          <w:b w:val="0"/>
          <w:i w:val="0"/>
        </w:rPr>
        <w:t>Công ty Canada gặp khó khăn về tài chính và đã bán quyền lợi của mình trong mỏ dầu cho tập đoàn BP. Khoản đền bù cho việc bán bao gồm quyền được hưởng các khoản thanh toán tiền bản quyền phụ thuộc vào sản lượng khai thác từ mỏ dầu, gắn với phần chênh lệch giữa giá thị trường của dầu cao hơn một mức đã thỏa thuận. Công ty Canada sau đó rơi vào tình trạng bị tiếp nhận (receivership), vào thời điểm đó, giá dầu đã tăng, và một số khoản thanh toán đã được thực hiện theo thỏa thuận bán. Sau khi phần tài sản còn lại của mình được bán, công ty Canada vẫn còn nợ ngân hàng khoảng 185 triệu đô la và các quyền của mình đối với tất cả các khoản thanh toán trong tương lai đã chính thức được chuyển nhượng cho Ngân hàng với sự phê duyệt của tòa án Canada. BP sau đó đã chuyển nhượng quyền lợi của mình trong mỏ dầu cho một công ty dầu khác và ngân hàng trở nên có quyền hưởng các khoản thanh toán tiền bản quyền theo một thỏa thuận thay thế nghĩa vụ (novation agreement) giữa cả ba bên. Ngân hàng xử lý các khoản thanh toán này cho mục đích thuế Canada như là các khoản thu của hoạt động ngân hàng tại Canada và như là một phần thu hồi khoản nợ xấu mà ngân hàng đã ghi nhận trước đó đối với khoản cho vay của mình đối với công ty Canada.</w:t>
      </w:r>
    </w:p>
    <w:p>
      <w:pPr>
        <w:spacing w:after="80"/>
      </w:pPr>
      <w:r>
        <w:rPr>
          <w:b w:val="0"/>
          <w:i w:val="0"/>
        </w:rPr>
        <w:t xml:space="preserve">8. Hiệp định Thuế Úc-Anh (2003), Điều 6(2). Bất động sản trong các khu vực tài phán theo luật phổ thông bao gồm một loại tài sản hẹp hơn so với khái niệm bất động sản cho mục đích xung đột pháp luật ở các khu vực tài phán đó. Ý nghĩa mở rộng đưa phạm vi của các quy định này gần hơn với Mô hình OECD. Xem Schwarz, J. </w:t>
      </w:r>
      <w:r>
        <w:rPr>
          <w:b w:val="0"/>
          <w:i/>
        </w:rPr>
        <w:t xml:space="preserve"> Taxation of Immovable Property from a Common Law Perspective</w:t>
      </w:r>
      <w:r>
        <w:rPr>
          <w:b w:val="0"/>
          <w:i w:val="0"/>
        </w:rPr>
        <w:t xml:space="preserve">, Chương 2 trong 'Immovable Property under Domestic Law, EU Law and Tax Treaties', chủ biên Maisto, G. (IBFD 2015). 9. Công ước giữa Chính phủ Vương quốc Liên hiệp Anh và Bắc Ireland và Chính phủ New Zealand về Việc Tránh Đánh Thuế Hai Lần và Ngăn ngừa Trốn thuế Liên quan đến Thuế Thu nhập và Thuế Lợi tức Vốn, Công ước ngày 4 tháng 8 năm 1983 (SI 1984/365), Điều 7(2). 10. Xem, ví dụ, Thỏa thuận giữa Chính phủ của Quốc vương và Chính phủ Brunei về Việc Tránh Đánh Thuế Hai Lần và Ngăn ngừa Trốn thuế Liên quan đến Thuế Thu nhập, Thỏa thuận ngày 8 tháng 12 năm 1950 (SI 1950/1977). 11. </w:t>
      </w:r>
      <w:r>
        <w:rPr>
          <w:b w:val="0"/>
          <w:i/>
        </w:rPr>
        <w:t>Royal Bank of Canada v Revenue &amp; Customs</w:t>
      </w:r>
      <w:r>
        <w:rPr>
          <w:b w:val="0"/>
          <w:i w:val="0"/>
        </w:rPr>
        <w:t xml:space="preserve"> [2020] UKFTT 267 (TC), [2020] TC 07751.</w:t>
      </w:r>
    </w:p>
    <w:p>
      <w:pPr>
        <w:spacing w:after="80"/>
      </w:pPr>
      <w:r>
        <w:rPr>
          <w:b w:val="0"/>
          <w:i w:val="0"/>
        </w:rPr>
        <w:t>303</w:t>
      </w:r>
    </w:p>
    <w:p>
      <w:pPr>
        <w:spacing w:after="80"/>
      </w:pPr>
      <w:r>
        <w:rPr>
          <w:b w:val="0"/>
          <w:i w:val="0"/>
        </w:rPr>
        <w:t>Người nộp thuế lập luận rằng cụm từ này liên quan đến việc cấp, chứ không phải chuyển nhượng, một quyền khai thác và rằng các khoản thanh toán phải được thực hiện như là khoản đền bù cho việc cấp quyền khai thác để được coi là thu nhập từ bất động sản. Hội đồng xét xử phán quyết rằng định nghĩa trong Điều 6(2) không nên bị giới hạn ở các khoản thanh toán được thực hiện trực tiếp cho chủ sở hữu các quyền để đổi lấy việc cấp quyền khai thác chúng. Hội đồng xét xử kết luận rằng "bản chất cơ bản của các quyền thanh toán (như là khoản đền bù cho quyền khai thác mỏ dầu liên quan) vẫn không bị ảnh hưởng bởi danh tính của chủ thể nắm giữ các quyền đó hay lịch sử về cách các quyền đó được trao cho chủ thể đó".12</w:t>
      </w:r>
    </w:p>
    <w:p>
      <w:pPr>
        <w:spacing w:after="80"/>
      </w:pPr>
      <w:r>
        <w:rPr>
          <w:b w:val="0"/>
          <w:i w:val="0"/>
        </w:rPr>
        <w:t>Điều 6(3) thường quy định rằng quyền của quốc gia ký kết nơi bất động sản tọa lạc sẽ áp dụng cho ‘thu nhập phát sinh từ việc sử dụng trực tiếp, cho thuê hoặc sử dụng dưới bất kỳ hình thức nào khác đối với bất động sản’. Cách diễn đạt này không phù hợp để bao quát thu nhập được coi là phát sinh liên quan đến các quy định chống tránh thuế của ITA 2007, Pt, 14, Chapter 3.13</w:t>
      </w:r>
    </w:p>
    <w:p>
      <w:pPr>
        <w:spacing w:after="80"/>
      </w:pPr>
      <w:r>
        <w:rPr>
          <w:b w:val="0"/>
          <w:i w:val="0"/>
        </w:rPr>
        <w:t>Điều 6 không ảnh hưởng đến cách thức đánh thuế thu nhập, qua đó cho phép khấu trừ thuế từ thu nhập của một người có nơi cư trú thông thường ngoài Vương quốc Anh (‘người không cư trú’), và khoản thu nhập đó đang hoặc có thể trở thành đối tượng chịu thuế như lợi nhuận của một hoạt động kinh doanh bất động sản tại Vương quốc Anh.14</w:t>
      </w:r>
    </w:p>
    <w:p>
      <w:pPr>
        <w:spacing w:after="80"/>
      </w:pPr>
      <w:r>
        <w:rPr>
          <w:b w:val="0"/>
          <w:i w:val="0"/>
        </w:rPr>
        <w:t>Theo luật nội địa của Vương quốc Anh, một số hoạt động được coi là thu nhập từ bất động sản từ lâu đã được xử lý như hoạt động thương mại. Những hoạt động này bao gồm nông nghiệp và trồng trọt thương mại15 và việc khai thác đất đai vì mục đích thương mại tại Vương quốc Anh,16 mặc dù việc khai thác rừng vì mục đích thương mại tại Vương quốc Anh không phải là hoạt động thương mại.17 Một số hoạt động khác không được xử lý như hoạt động thương mại nhưng lợi nhuận của chúng được tính toán như thể là hoạt động thương mại. Những hoạt động này bao gồm:18</w:t>
      </w:r>
    </w:p>
    <w:p>
      <w:pPr>
        <w:spacing w:after="80"/>
      </w:pPr>
      <w:r>
        <w:rPr>
          <w:b w:val="0"/>
          <w:i w:val="0"/>
        </w:rPr>
        <w:t>– mỏ và mỏ đá (bao gồm mỏ sỏi, mỏ cát và lò gạch); – xưởng luyện sắt, xưởng khí đốt, suối hoặc xưởng muối, mỏ hoặc xưởng phèn, công trình cấp nước</w:t>
      </w:r>
    </w:p>
    <w:p>
      <w:pPr>
        <w:spacing w:after="80"/>
      </w:pPr>
      <w:r>
        <w:rPr>
          <w:b w:val="0"/>
          <w:i w:val="0"/>
        </w:rPr>
        <w:t>và các dòng nước; – kênh đào, đường thủy nội địa, bến cảng và hệ thống thoát nước hoặc hệ thống đê điều; – quyền đánh bắt cá; – quyền tổ chức chợ và hội chợ, phí cầu đường, cầu và bến phà; và – đường sắt và các loại đường khác.</w:t>
      </w:r>
    </w:p>
    <w:p>
      <w:pPr>
        <w:spacing w:after="80"/>
      </w:pPr>
      <w:r>
        <w:rPr>
          <w:b w:val="0"/>
          <w:i w:val="0"/>
        </w:rPr>
        <w:t>Các quy tắc tính toán này tự chúng không chỉ ra liệu lợi nhuận đó là thu nhập từ bất động sản hay từ một nguồn khác. Hầu hết các hoạt động kinh doanh này có khả năng, nhưng không nhất thiết, cần được tiến hành thông qua một địa điểm cố định, nhấn mạnh sự cần thiết phải phân loại cẩn thận theo hiệp định cụ thể. Các hiệp định rất sớm không chứa các quy định đề cập đến thu nhập từ bất động sản. Một số hiệp định của Vương quốc Anh có trước Mẫu OECD 1977 lại xử lý nhầm lẫn loại thu nhập này như</w:t>
      </w:r>
    </w:p>
    <w:p>
      <w:pPr>
        <w:spacing w:after="80"/>
      </w:pPr>
      <w:r>
        <w:rPr>
          <w:b w:val="0"/>
          <w:i w:val="0"/>
        </w:rPr>
        <w:t>12. Tại đoạn 65.13. CTA 2010, Phần 18, về việc chuyển nhượng quyền lợi đối với đất đai trong trường hợp các công ty.14. ITA 2007, s. 971, và Taxation of Income from Land (Non-Residents) Regulations 1995 (SI 1995/2902).15. ITTOIA 2005, s. 9.16. ITTOIA 2005, s. 10.17. ITTOIA 2005, s. 11.18. ITTOIA 2005, s. 12. Điều này hiện nay ít có ý nghĩa vì lợi nhuận của một hoạt động kinh doanh bất động sản nói chung được tính toán theo cùng cách như lợi nhuận của một hoạt động thương mại. Xem s. 272.</w:t>
      </w:r>
    </w:p>
    <w:p>
      <w:pPr>
        <w:spacing w:after="80"/>
      </w:pPr>
      <w:r>
        <w:rPr>
          <w:b w:val="0"/>
          <w:i w:val="0"/>
        </w:rPr>
        <w:t>304</w:t>
      </w:r>
    </w:p>
    <w:p>
      <w:pPr>
        <w:spacing w:after="80"/>
      </w:pPr>
      <w:r>
        <w:rPr>
          <w:b w:val="0"/>
          <w:i w:val="0"/>
        </w:rPr>
        <w:t>thuộc lợi nhuận kinh doanh.19 Một số hiệp định nêu rõ sự chồng chéo giữa điều này và các quy định chung hơn về lợi nhuận kinh doanh, chẳng hạn như Hiệp định Vương quốc Anh – Argentina, trong đó quy định:</w:t>
      </w:r>
    </w:p>
    <w:p>
      <w:pPr>
        <w:spacing w:after="80"/>
      </w:pPr>
      <w:r>
        <w:rPr>
          <w:b w:val="0"/>
          <w:i w:val="0"/>
        </w:rPr>
        <w:t>6(4) Các quy định tại khoản (1) và (3) của Điều này cũng sẽ áp dụng cho thu nhập từ bất động sản của một doanh nghiệp và cho thu nhập từ bất động sản được sử dụng để thực hiện các dịch vụ cá nhân độc lập.</w:t>
      </w:r>
    </w:p>
    <w:p>
      <w:pPr>
        <w:spacing w:after="80"/>
      </w:pPr>
      <w:r>
        <w:rPr>
          <w:b/>
          <w:i w:val="0"/>
        </w:rPr>
        <w:t>[A] Quyền sở hữu theo thời gian (Timeshare) và các Thỏa thuận Tương tự</w:t>
      </w:r>
    </w:p>
    <w:p>
      <w:pPr>
        <w:spacing w:after="80"/>
      </w:pPr>
      <w:r>
        <w:rPr>
          <w:b w:val="0"/>
          <w:i w:val="0"/>
        </w:rPr>
        <w:t>Tây Ban Nha là một địa điểm phổ biến cho nhà nghỉ dưỡng thứ hai do các cá nhân Vương quốc Anh sở hữu. Để giải quyết sự không chắc chắn về việc áp dụng thuế Tây Ban Nha đối với những người nắm giữ quyền sở hữu theo thời gian (timeshare) ở Vương quốc Anh, Điều 6(3) của Hiệp định Tây Ban Nha – Vương quốc Anh (1975) đã được sửa đổi bằng nghị định thư20 để loại trừ thu nhập từ việc sử dụng hoặc cho thuê quyền sở hữu theo thời gian đối với bất động sản tọa lạc tại một quốc gia ký kết (thuộc sở hữu của một cư dân của quốc gia ký kết kia và trong một khoảng thời gian hoặc các khoảng thời gian mà tổng cộng không vượt quá bốn tuần trong bất kỳ năm dương lịch nào). Khi tính khoảng thời gian hoặc các khoảng thời gian, tất cả các quyền sở hữu theo thời gian do một cư dân của một quốc gia ký kết sở hữu đối với bất động sản tọa lạc tại quốc gia ký kết kia đều phải được tính đến. Điều IV của nghị định thư bổ sung cho Hiệp định Tây Ban Nha – Vương quốc Anh ngày 14 tháng 3 năm 2013 chỉ đơn giản quy định rằng ‘không có thu nhập nào phát sinh từ bất động sản được quy cho chủ sở hữu các quyền hưởng dụng bất động sản đó theo một thỏa thuận sở hữu theo thời gian, khi việc hưởng dụng đó không vượt quá hai tuần trong một năm dương lịch’. Ngôn ngữ khó hiểu này, mặc dù rút ngắn khoảng thời gian cho thuê miễn thuế tại quốc gia nguồn, nhưng không yêu cầu rõ ràng rằng tất cả các thỏa thuận sở hữu theo thời gian phải được tổng hợp lại.</w:t>
      </w:r>
    </w:p>
    <w:p>
      <w:pPr>
        <w:spacing w:after="80"/>
      </w:pPr>
      <w:r>
        <w:rPr>
          <w:b w:val="0"/>
          <w:i w:val="0"/>
        </w:rPr>
        <w:t>Ngược lại, thẩm quyền rõ ràng cho quốc gia nơi bất động sản tọa lạc được đánh thuế đối với các thỏa thuận tương tự được quy định tại Điều 6(5) của Hiệp định Thuế Pháp – Vương quốc Anh (2008), trong đó nêu rõ:</w:t>
      </w:r>
    </w:p>
    <w:p>
      <w:pPr>
        <w:spacing w:after="80"/>
      </w:pPr>
      <w:r>
        <w:rPr>
          <w:b w:val="0"/>
          <w:i w:val="0"/>
        </w:rPr>
        <w:t>Khi cổ phần hoặc các quyền khác trong một công ty, pháp nhân khác, công ty hợp danh, quỹ tín thác hoặc bất kỳ tổ chức tương tự nào trao quyền hưởng dụng bất động sản tọa lạc tại một Quốc gia ký kết và do công ty, pháp nhân khác, công ty hợp danh, quỹ tín thác hoặc tổ chức tương tự đó nắm giữ, thì thu nhập phát sinh từ việc sử dụng trực tiếp, cho thuê hoặc sử dụng dưới bất kỳ hình thức nào khác đối với quyền hưởng dụng đó có thể bị đánh thuế tại Quốc gia đó bất kể các quy định của Điều 7.</w:t>
      </w:r>
    </w:p>
    <w:p>
      <w:pPr>
        <w:spacing w:after="80"/>
      </w:pPr>
      <w:r>
        <w:rPr>
          <w:b/>
          <w:i w:val="0"/>
        </w:rPr>
        <w:t>[B] Quỹ Tín thác Đầu tư Bất động sản</w:t>
      </w:r>
    </w:p>
    <w:p>
      <w:pPr>
        <w:spacing w:after="80"/>
      </w:pPr>
      <w:r>
        <w:rPr>
          <w:b w:val="0"/>
          <w:i w:val="0"/>
        </w:rPr>
        <w:t>Thuật ngữ quỹ tín thác đầu tư bất động sản (real estate investment trust – REIT) có nguồn gốc từ Hoa Kỳ nhưng nay đã trở nên thông dụng. Hình thức chung của nó được OECD mô tả như sau:</w:t>
      </w:r>
    </w:p>
    <w:p>
      <w:pPr>
        <w:spacing w:after="80"/>
      </w:pPr>
      <w:r>
        <w:rPr>
          <w:b w:val="0"/>
          <w:i w:val="0"/>
        </w:rPr>
        <w:t>19.Xem ví dụ, Hiệp định giữa Chính phủ Vương quốc Anh và Bắc Ireland và Chính phủ Cộng hòa Kenya về Tránh đánh thuế hai lần và Ngăn ngừa trốn thuế đối với thuế thu nhập và lợi tức vốn, ngày 31 tháng 7 năm 1973 (SI 1977/1299).20.SI 1995/765.</w:t>
      </w:r>
    </w:p>
    <w:p>
      <w:pPr>
        <w:spacing w:after="80"/>
      </w:pPr>
      <w:r>
        <w:rPr>
          <w:b w:val="0"/>
          <w:i w:val="0"/>
        </w:rPr>
        <w:t>305</w:t>
      </w:r>
    </w:p>
    <w:p>
      <w:pPr>
        <w:spacing w:after="80"/>
      </w:pPr>
      <w:r>
        <w:rPr>
          <w:b w:val="0"/>
          <w:i w:val="0"/>
        </w:rPr>
        <w:t>Một công ty, quỹ tín thác hoặc thỏa thuận hợp đồng hoặc ủy thác được nắm giữ rộng rãi, có thu nhập chủ yếu từ đầu tư dài hạn vào bất động sản (real estate), phân phối phần lớn thu nhập đó hàng năm và không nộp thuế thu nhập đối với thu nhập liên quan đến bất động sản được phân phối như vậy. Việc công cụ REIT không nộp thuế đối với thu nhập đó là kết quả của các quy tắc thuế quy định mức thuế một tầng duy nhất đối với nhà đầu tư trong REIT.21</w:t>
      </w:r>
    </w:p>
    <w:p>
      <w:pPr>
        <w:spacing w:after="80"/>
      </w:pPr>
      <w:r>
        <w:rPr>
          <w:b w:val="0"/>
          <w:i w:val="0"/>
        </w:rPr>
        <w:t>Tại Vương quốc Anh, REIT là một công ty hoặc tập đoàn mà CTA 2010, Phần 12 áp dụng.22</w:t>
      </w:r>
    </w:p>
    <w:p>
      <w:pPr>
        <w:spacing w:after="80"/>
      </w:pPr>
      <w:r>
        <w:rPr>
          <w:b w:val="0"/>
          <w:i w:val="0"/>
        </w:rPr>
        <w:t>Chỉ các công ty cư trú tại Vương quốc Anh thực hiện hoạt động kinh doanh cho thuê bất động sản tại Vương quốc Anh hoặc ở nước ngoài mới có thể đủ điều kiện.23 Các REIT đủ điều kiện được miễn thuế thu nhập doanh nghiệp đối với lợi nhuận từ hoạt động cho thuê bất động sản của họ.24 Các khoản phân phối của REIT cho cổ đông được coi là lợi nhuận của hoạt động kinh doanh bất động sản tại Vương quốc Anh.25 Các khoản phân phối này được trả sau khi khấu trừ thuế theo thuế suất cơ bản.26 Mặc dù khoản phân phối được coi là thu nhập từ bất động sản tại Vương quốc Anh, nó không thuộc thu nhập của chủ cho thuê không cư trú phải chịu thuế thu nhập có thể được khấu trừ sau khi trừ chi phí.27 HMRC không coi các khoản phân phối là thu nhập từ bất động sản theo Điều 6 mà là cổ tức theo Điều 10. Điều này nhất quán với việc phân loại cổ phần trong một công ty là tài sản động sản, bất kể tính chất của tài sản mà công ty sở hữu. Việc xử lý các khoản phân phối của REIT trong các hiệp định được trình bày tại §10.03 dưới đây.</w:t>
      </w:r>
    </w:p>
    <w:p>
      <w:pPr>
        <w:spacing w:after="80"/>
      </w:pPr>
      <w:r>
        <w:rPr>
          <w:b/>
          <w:i w:val="0"/>
        </w:rPr>
        <w:t>§10.03 CỔ TỨC</w:t>
      </w:r>
    </w:p>
    <w:p>
      <w:pPr>
        <w:spacing w:after="80"/>
      </w:pPr>
      <w:r>
        <w:rPr>
          <w:b w:val="0"/>
          <w:i w:val="0"/>
        </w:rPr>
        <w:t>Cổ tức và các khoản phân phối khác từ các công ty cư trú tại Vương quốc Anh nhìn chung không phải chịu thuế thu nhập đối với người không cư trú theo luật trong nước. Con đường lập pháp dẫn đến cách xử lý đơn giản này khá phức tạp: cổ tức và các khoản phân phối khác từ các công ty Vương quốc Anh thuộc diện chịu thuế thu nhập theo ITTOIA 2005, Phần 4, Chương 3 hoặc Chương 5. Không có quy định về việc khấu trừ thuế tại nguồn đối với các khoản tiền đó; cổ tức và các khoản phân phối khác từ các công ty Vương quốc Anh là 'thu nhập được bỏ qua'.28 Nghĩa vụ thuế của người không cư trú liên quan đến 'thu nhập được bỏ qua' chỉ giới hạn ở các khoản tiền được khấu trừ tại nguồn.29</w:t>
      </w:r>
    </w:p>
    <w:p>
      <w:pPr>
        <w:spacing w:after="80"/>
      </w:pPr>
      <w:r>
        <w:rPr>
          <w:b w:val="0"/>
          <w:i w:val="0"/>
        </w:rPr>
        <w:t>Một ngoại lệ đối với quy tắc này được áp dụng liên quan đến các khoản phân phối của REIT.30 Các khoản phân phối như vậy chịu thuế khấu trừ tại nguồn theo thuế suất cơ bản.31 Hệ thống quy kết (imputation system), được đưa ra vào năm 1973, phần lớn đã bị bãi bỏ vào năm 1999 nhưng vẫn tiếp tục cung cấp một khoản tín dụng thuế</w:t>
      </w:r>
    </w:p>
    <w:p>
      <w:pPr>
        <w:spacing w:after="80"/>
      </w:pPr>
      <w:r>
        <w:rPr>
          <w:b w:val="0"/>
          <w:i w:val="0"/>
        </w:rPr>
        <w:t>21.Bình luận của OECD về Điều 10, đoạn 67.1.22.CTA 2010, s. 518(4).23.CTA 2010, s. 519(1).24.CTA 2010, Phần 12, Chương 3.25.CTA 2010, s. 548.26.ITA 2007, s. 973, và Quy định về Quỹ Đầu tư Bất động sản (Đánh giá và Thu hồi Thuế) 2006 (SI 2006/2867), quy định 3.27.CTA 2010, s. 548(5), (6) và (7).28.ITA 2007, s. 813(1)(a) với s. 825(1)(a).29.ITA 2007, s. 811(3). Trong trường hợp cổ tức, người không cư trú chỉ phải chịu trách nhiệm trong phạm vi tín dụng thuế trên cổ tức được thỏa mãn bởi tín dụng thuế (ss 811, 813, 815, 816 và 825).30.ITA 2007, s. 973, và (SI 2006/2867), quy định 3.31.20% trong năm 2013-2014, FA 2012, s. 1(1)(a).</w:t>
      </w:r>
    </w:p>
    <w:p>
      <w:pPr>
        <w:spacing w:after="80"/>
      </w:pPr>
      <w:r>
        <w:rPr>
          <w:b w:val="0"/>
          <w:i w:val="0"/>
        </w:rPr>
        <w:t>306</w:t>
      </w:r>
    </w:p>
    <w:p>
      <w:pPr>
        <w:spacing w:after="80"/>
      </w:pPr>
      <w:r>
        <w:rPr>
          <w:b w:val="0"/>
          <w:i w:val="0"/>
        </w:rPr>
        <w:t>cho các cổ tức đủ điều kiện được trả cho cá nhân cư trú tại Vương quốc Anh và một số người không cư trú nhất định.32 Tuy nhiên, tín dụng thuế chỉ áp dụng trong phạm vi khoản phân phối được đưa vào diện chịu thuế thu nhập. Nó không được hoàn lại.</w:t>
      </w:r>
    </w:p>
    <w:p>
      <w:pPr>
        <w:spacing w:after="80"/>
      </w:pPr>
      <w:r>
        <w:rPr>
          <w:b/>
          <w:i w:val="0"/>
        </w:rPr>
        <w:t>[A]Các Điều khoản về Cổ tức</w:t>
      </w:r>
    </w:p>
    <w:p>
      <w:pPr>
        <w:spacing w:after="80"/>
      </w:pPr>
      <w:r>
        <w:rPr>
          <w:b w:val="0"/>
          <w:i w:val="0"/>
        </w:rPr>
        <w:t>Một số yếu tố của các hiệp định Vương quốc Anh phản ánh Điều 10 của Mẫu OECD. Tuy nhiên, nội dung của các điều khoản cổ tức này rất khác nhau trong các hiệp định của Vương quốc Anh. Vương quốc Anh đã trải qua nhiều thay đổi trong luật trong nước liên quan đến thuế kể từ khi các hiệp định hiện hành lâu đời nhất được đàm phán khoảng 70 năm trước. Ở một đầu của phổ là những hiệp định Vương quốc Anh hoàn toàn không chứa điều khoản về cổ tức, chẳng hạn như hiệp định với Hy Lạp. Nhóm hiệp định thứ hai chỉ đơn giản quy định việc miễn thuế đối với cổ tức được trả bởi một công ty cư trú tại một quốc gia ký kết cho một cổ đông cư trú tại quốc gia kia, hoặc giới hạn thuế suất được khấu trừ ở mức thuế suất quy định trong hiệp định. Loại hiệp định thứ ba quy định việc hoàn trả tín dụng thuế và theo sau việc đưa hệ thống quy kết thuế thu nhập doanh nghiệp vào Vương quốc Anh năm 1973. Quyền được hoàn trả tín dụng thuế theo hiệp định chỉ được mở rộng cho một số đối tác hiệp định được chọn. Chính sách hiện tại của Vương quốc Anh là rút lại lợi ích này ở những nơi trước đây đã được cung cấp. Việc hoàn trả tín dụng thuế chỉ được dự tính trong một số ít hiệp định, chẳng hạn như hiệp định với Ý. Trong mọi trường hợp, số tiền ròng phải trả cho cổ đông theo các hiệp định đó sau khi khấu trừ được phép ít hơn khoản hoàn trả tín dụng thuế, vì vậy không có yêu cầu giảm thuế nào được HMRC xử lý.33 Tín dụng quy kết có thể có sẵn ở quốc gia ký kết kia. Tòa án Tối cao Ý (Corte di Cassazione) đã giữ nguyên quyền của một công ty cư trú tại Vương quốc Anh được hưởng tín dụng quy kết theo Điều 10(4) của Hiệp định Thuế Thu nhập Ý-Vương quốc Anh mặc dù không có thuế khấu trừ của Ý do hiệu lực của chỉ thị Công ty mẹ-Công ty con của EU vào thời điểm đó. Tòa án đã phán quyết rằng mục đích của quy định là loại bỏ đánh thuế hai lần về kinh tế trong một tập đoàn mà việc miễn thuế khấu trừ không đạt được hoàn toàn.34 Loại điều khoản cổ tức thứ tư đã xuất hiện ở đầu kia của phổ, với sự ra đời của REIT quy định cách xử lý thuế áp dụng cho các khoản phân phối của chúng cho cổ đông cư trú theo hiệp định, bao gồm theo các hiệp định Vương quốc Anh-Ả Rập Xê Út, Vương quốc Anh-Pháp và Vương quốc Anh-Hà Lan.</w:t>
      </w:r>
    </w:p>
    <w:p>
      <w:pPr>
        <w:spacing w:after="80"/>
      </w:pPr>
      <w:r>
        <w:rPr>
          <w:b/>
          <w:i w:val="0"/>
        </w:rPr>
        <w:t>[B]Thuế Khấu trừ tại Nguồn</w:t>
      </w:r>
    </w:p>
    <w:p>
      <w:pPr>
        <w:spacing w:after="80"/>
      </w:pPr>
      <w:r>
        <w:rPr>
          <w:b w:val="0"/>
          <w:i w:val="0"/>
        </w:rPr>
        <w:t>Vì Vương quốc Anh hiện không áp đặt thuế đối với cổ tức được trả bởi các công ty cư trú tại Vương quốc Anh cho người không cư trú theo luật trong nước, hiệu lực của các quy định hiệp định đối với cổ tức hướng ra nước ngoài là hẹp. HMRC cho rằng các khoản phân phối được trả bởi các REIT cư trú tại Vương quốc Anh thuộc các điều khoản cổ tức của hiệp định chứ không phải các điều khoản liên quan đến thu nhập từ bất động sản. Phù hợp với Điều 10 của Mẫu OECD,</w:t>
      </w:r>
    </w:p>
    <w:p>
      <w:pPr>
        <w:spacing w:after="80"/>
      </w:pPr>
      <w:r>
        <w:rPr>
          <w:b w:val="0"/>
          <w:i w:val="0"/>
        </w:rPr>
        <w:t>32.ITTOIA 2005, s. 397.33.Inland Revenue,</w:t>
      </w:r>
      <w:r>
        <w:rPr>
          <w:b w:val="0"/>
          <w:i/>
        </w:rPr>
        <w:t xml:space="preserve"> Tax Bulletin</w:t>
      </w:r>
      <w:r>
        <w:rPr>
          <w:b w:val="0"/>
          <w:i w:val="0"/>
        </w:rPr>
        <w:t xml:space="preserve"> (tháng 2 năm 1999), tr. 626.34.Corte Suprema di Cassazione (Tòa án Hành chính Tối cao Ý) (Số 2313, ngày 31 tháng 1 năm 2020). Xem Chương 14, §14.06 về Chỉ thị Công ty mẹ-Công ty con.</w:t>
      </w:r>
    </w:p>
    <w:p>
      <w:pPr>
        <w:spacing w:after="80"/>
      </w:pPr>
      <w:r>
        <w:rPr>
          <w:b w:val="0"/>
          <w:i w:val="0"/>
        </w:rPr>
        <w:t>307</w:t>
      </w:r>
    </w:p>
    <w:p>
      <w:pPr>
        <w:spacing w:after="80"/>
      </w:pPr>
      <w:r>
        <w:rPr>
          <w:b w:val="0"/>
          <w:i w:val="0"/>
        </w:rPr>
        <w:t>cách thức giảm thuế đó được phản ánh trong Hiệp định UK-Malaysia như sau:</w:t>
      </w:r>
    </w:p>
    <w:p>
      <w:pPr>
        <w:spacing w:after="80"/>
      </w:pPr>
      <w:r>
        <w:rPr>
          <w:b w:val="0"/>
          <w:i w:val="0"/>
        </w:rPr>
        <w:t>10(1) Cổ tức do một công ty cư trú tại một Quốc gia Ký kết trả cho một cư dân của Quốc gia Ký kết kia có thể bị đánh thuế tại Quốc gia kia.</w:t>
      </w:r>
    </w:p>
    <w:p>
      <w:pPr>
        <w:spacing w:after="80"/>
      </w:pPr>
      <w:r>
        <w:rPr>
          <w:b w:val="0"/>
          <w:i w:val="0"/>
        </w:rPr>
        <w:t>(2) Tuy nhiên, cổ tức đó cũng có thể bị đánh thuế tại Quốc gia Ký kết mà công ty trả cổ tức cư trú và theo luật của Quốc gia đó, nhưng nếu người nhận là chủ sở hữu hưởng lợi của cổ tức và phải chịu thuế đối với cổ tức tại Quốc gia Ký kết kia, thì thuế đánh như vậy không được vượt quá:</w:t>
      </w:r>
    </w:p>
    <w:p>
      <w:pPr>
        <w:spacing w:after="80"/>
      </w:pPr>
      <w:r>
        <w:rPr>
          <w:b w:val="0"/>
          <w:i w:val="0"/>
        </w:rPr>
        <w:t>(a) 5% tổng số tiền cổ tức nếu chủ sở hữu hưởng lợi là một công ty</w:t>
      </w:r>
    </w:p>
    <w:p>
      <w:pPr>
        <w:spacing w:after="80"/>
      </w:pPr>
      <w:r>
        <w:rPr>
          <w:b w:val="0"/>
          <w:i w:val="0"/>
        </w:rPr>
        <w:t>kiểm soát, trực tiếp hoặc gián tiếp, ít nhất 10% quyền biểu quyết trong công ty trả cổ tức; (b) 10% tổng số tiền cổ tức trong mọi trường hợp khác.</w:t>
      </w:r>
    </w:p>
    <w:p>
      <w:pPr>
        <w:spacing w:after="80"/>
      </w:pPr>
      <w:r>
        <w:rPr>
          <w:b w:val="0"/>
          <w:i w:val="0"/>
        </w:rPr>
        <w:t>Các công ty kiểm soát ít nhất 10% quyền biểu quyết trong công ty cư trú tại UK đủ điều kiện hưởng mức thuế tối đa ưu đãi trong phần lớn các hiệp định. Mức thuế ưu đãi này trên thực tế có thể không áp dụng đối với các khoản phân phối của REIT do các biện pháp trong luật REIT được thiết kế để ngăn chặn REIT có cổ đông lớn đủ điều kiện hưởng mức ưu đãi. Một REIT thực hiện phân phối cho một người nắm giữ cổ phần vượt quá mức tối đa được phép sẽ phải chịu thuế trên một khoản danh nghĩa được coi là thu nhập mà REIT nhận được.35 Một người kiểm soát (trực tiếp hoặc gián tiếp 10% hoặc hơn quyền biểu quyết trong một công ty vượt quá mức nắm giữ cổ phần tối đa được phép).36 REIT được yêu cầu thực hiện các bước hợp lý để ngăn chặn khả năng xảy ra phân phối như vậy.37 Do đó, REIT thường sẽ có các cơ chế để ngăn chặn bất kỳ công ty nào thường xuyên đủ điều kiện hưởng mức thuế giảm cho việc tham gia biểu quyết đáng kể.</w:t>
      </w:r>
    </w:p>
    <w:p>
      <w:pPr>
        <w:spacing w:after="80"/>
      </w:pPr>
      <w:r>
        <w:rPr>
          <w:b w:val="0"/>
          <w:i w:val="0"/>
        </w:rPr>
        <w:t>Việc xử lý các khoản phân phối của REIT không đồng nhất, ngay cả trong số ít các hiệp định đề cập đến vấn đề này. Hiệp định UK-Saudi Arabia đề cập đến một 'phương tiện đầu tư bất động sản'.38 Điều này được định nghĩa trong một nghị định thư của hiệp định có nghĩa là 'một phương tiện đầu tư được nắm giữ rộng rãi phân phối phần lớn thu nhập của mình – từ bất động sản theo nghĩa của Điều 6 (thu nhập từ bất động sản) – mà nó được miễn thuế'.39 Cổ tức như vậy đủ điều kiện hưởng mức thuế tối đa 15% tại quốc gia nguồn, so với 5% trong mọi trường hợp khác. Ngược lại, một số khoản phân phối nhất định bị loại trừ khỏi việc hưởng mức thuế giảm trong Hiệp định UK-France (2008). Việc loại trừ áp dụng cho:</w:t>
      </w:r>
    </w:p>
    <w:p>
      <w:pPr>
        <w:spacing w:after="80"/>
      </w:pPr>
      <w:r>
        <w:rPr>
          <w:b w:val="0"/>
          <w:i w:val="0"/>
        </w:rPr>
        <w:t>35. SI 2006/2867, quy định 10(1).36. CTA 2010, s. 553.37. Quy định về Tín thác Đầu tư Bất động sản (Vi phạm Điều kiện) 2006 (SI 2006/2864), quy định 10(1)(b).38. Công ước giữa Chính phủ Vương quốc Liên hiệp Anh và Bắc Ireland và Chính phủ Vương quốc Saudi Arabia về Tránh Đánh thuế Hai lần và Ngăn chặn Trốn thuế đối với Thuế Thu nhập và Thuế Vốn Công ước ngày 31 tháng 10 năm 2007 (SI 2008/1770), Điều 10(2)(a).39. Trao đổi Công hàm ngày 31 tháng 10 năm 2007, Điều 5(a).</w:t>
      </w:r>
    </w:p>
    <w:p>
      <w:pPr>
        <w:spacing w:after="80"/>
      </w:pPr>
      <w:r>
        <w:rPr>
          <w:b w:val="0"/>
          <w:i w:val="0"/>
        </w:rPr>
        <w:t>308</w:t>
      </w:r>
    </w:p>
    <w:p>
      <w:pPr>
        <w:spacing w:after="80"/>
      </w:pPr>
      <w:r>
        <w:rPr>
          <w:b w:val="0"/>
          <w:i w:val="0"/>
        </w:rPr>
        <w:t>10(1) Cổ tức được trả từ thu nhập hoặc lợi nhuận thu được từ bất động sản theo nghĩa của Điều 6 (Thu nhập từ bất động sản) bởi một phương tiện đầu tư:</w:t>
      </w:r>
    </w:p>
    <w:p>
      <w:pPr>
        <w:spacing w:after="80"/>
      </w:pPr>
      <w:r>
        <w:rPr>
          <w:b w:val="0"/>
          <w:i w:val="0"/>
        </w:rPr>
        <w:t>(a) phân phối phần lớn thu nhập này hàng năm; và (b) có thu nhập hoặc lợi nhuận từ bất động sản đó được miễn thuế;</w:t>
      </w:r>
    </w:p>
    <w:p>
      <w:pPr>
        <w:spacing w:after="80"/>
      </w:pPr>
      <w:r>
        <w:rPr>
          <w:b w:val="0"/>
          <w:i w:val="0"/>
        </w:rPr>
        <w:t>khi chủ sở hữu hưởng lợi của cổ tức đó nắm giữ, trực tiếp hoặc gián tiếp, 10% hoặc hơn vốn của phương tiện trả cổ tức.40</w:t>
      </w:r>
    </w:p>
    <w:p>
      <w:pPr>
        <w:spacing w:after="80"/>
      </w:pPr>
      <w:r>
        <w:rPr>
          <w:b w:val="0"/>
          <w:i w:val="0"/>
        </w:rPr>
        <w:t>Trong khi Mô hình OECD chỉ tìm cách phân biệt giữa những người nhận cổ tức nói chung và các cổ đông doanh nghiệp có sự tham gia đáng kể (thường là 10% hoặc hơn) trong quyền kiểm soát biểu quyết của công ty trả cổ tức, các hiệp định của UK ngày càng đề cập đến các loại cổ đông khác. Hiệp định UK-US loại bỏ việc đánh thuế cổ tức đối với cư dân đủ điều kiện có 80% hoặc hơn quyền biểu quyết của công ty trả cổ tức trong khoảng thời gian mười hai tháng kết thúc vào ngày cổ tức được tuyên bố.41 Các công ty khác cũng có thể đủ điều kiện nếu họ được niêm yết trên một sàn giao dịch chứng khoán được công nhận hoặc được kiểm soát bởi các công ty như vậy,42 cũng như một số công ty được nắm giữ chặt chẽ nhất định hoặc nếu cơ quan có thẩm quyền liên quan đồng ý.43 Hiệp định UK-Japan quy định cách xử lý tương tự đối với cổ phần đại diện cho ít nhất 50% quyền biểu quyết của công ty trả cổ tức trong khoảng thời gian sáu tháng.44 Trong mỗi trường hợp, sự sẵn có của khoản giảm thuế này được bảo vệ bởi các điều khoản giới hạn lợi ích chi tiết và dài dòng.</w:t>
      </w:r>
    </w:p>
    <w:p>
      <w:pPr>
        <w:spacing w:after="80"/>
      </w:pPr>
      <w:r>
        <w:rPr>
          <w:b w:val="0"/>
          <w:i w:val="0"/>
        </w:rPr>
        <w:t>Các quỹ hưu trí hoặc chương trình hưu trí cũng thường đủ điều kiện để loại bỏ thuế tại quốc gia nguồn trong các hiệp định hiện đại.45 Hiệp định UK-France năm 2008 giới hạn mức thuế Pháp đối với cổ tức do các công ty Pháp trả cho các quỹ hưu trí UK ở mức 15%, nhưng không đề cập đến cổ tức do các công ty UK trả cho các quỹ hưu trí Pháp.46 Các tổ chức tôn giáo, từ thiện, khoa học, văn hóa hoặc giáo dục được miễn thuế theo luật trong nước của quốc gia gốc của họ đủ điều kiện được miễn thuế theo Hiệp định UK-Netherlands.47 Mức thuế đối với các chương trình hưu trí được giới hạn ở 10% trong Hiệp định UK-Germany (2010).48 Mặt khác, Hiệp định Barbados-UK (2012) và Liechtenstein-UK</w:t>
      </w:r>
    </w:p>
    <w:p>
      <w:pPr>
        <w:spacing w:after="80"/>
      </w:pPr>
      <w:r>
        <w:rPr>
          <w:b w:val="0"/>
          <w:i w:val="0"/>
        </w:rPr>
        <w:t>40. Hiệp định Thuế France-UK (2008), Điều 11(5).41. Hiệp định Thuế US-UK (2001), Điều 10(3)(a)(i).42. Hiệp định Thuế US-UK (2001), Điều 10(3)(a)(ii).43. Hiệp định Thuế US-UK (2001), Điều 10(3)(a)(ii).44. Hiệp định Thuế Japan-UK (2006), Điều 10(3)(a).45. Hiệp định Thuế US-UK (2001), Điều 10(3)(b); Hiệp định Thuế Japan-UK (2006), Điều 10(3)(b); Hiệp định Thuế Netherlands-UK (2008), Điều 10(2)(b)(ii).46. Hiệp định Thuế France-UK (2008), Điều 11(1)(d).47. Hiệp định Thuế Netherlands-UK (2008), Điều 10(2)(b)(iii). Xem thêm thỏa thuận chung về việc áp dụng Công ước giữa Chính phủ Vương quốc Hà Lan và Chính phủ Vương quốc Liên hiệp Anh và Bắc Ireland về Tránh Đánh thuế Hai lần và Ngăn chặn Trốn thuế Tài chính đối với thuế thu nhập và thuế lợi nhuận vốn, và nghị định thư liên quan được ký ngày 26 tháng 9 năm 2008 đối với chương trình hưu trí UK và các nhà đầu tư Từ thiện trong Quỹ Đầu tư Chung UK (sau đây cũng được gọi là 'CIF') ngày 19 tháng 9 năm 2014.48. Điều 10(2)(b) về ý nghĩa của chương trình hưu trí trong bối cảnh này, xem Điều 1 của Nghị định thư của hiệp định đó ngày 30 tháng 3 năm 2010.</w:t>
      </w:r>
    </w:p>
    <w:p>
      <w:pPr>
        <w:spacing w:after="80"/>
      </w:pPr>
      <w:r>
        <w:rPr>
          <w:b w:val="0"/>
          <w:i w:val="0"/>
        </w:rPr>
        <w:t>309</w:t>
      </w:r>
    </w:p>
    <w:p>
      <w:pPr>
        <w:spacing w:after="80"/>
      </w:pPr>
      <w:r>
        <w:rPr>
          <w:b w:val="0"/>
          <w:i w:val="0"/>
        </w:rPr>
        <w:t>Hiệp định (2012) đều loại trừ một cách cụ thể các chương trình lương hưu khỏi việc giảm thuế tại nguồn đối với các khoản phân phối do một REIT thực hiện.49</w:t>
      </w:r>
    </w:p>
    <w:p>
      <w:pPr>
        <w:spacing w:after="80"/>
      </w:pPr>
      <w:r>
        <w:rPr>
          <w:b/>
          <w:i w:val="0"/>
        </w:rPr>
        <w:t>[C]Ý nghĩa của Cổ tức</w:t>
      </w:r>
    </w:p>
    <w:p>
      <w:pPr>
        <w:spacing w:after="80"/>
      </w:pPr>
      <w:r>
        <w:rPr>
          <w:b w:val="0"/>
          <w:i w:val="0"/>
        </w:rPr>
        <w:t>Luật nội địa của Vương quốc Anh nhìn chung không đề cập đến cổ tức, mà thay vào đó là các khoản phân phối.50</w:t>
      </w:r>
    </w:p>
    <w:p>
      <w:pPr>
        <w:spacing w:after="80"/>
      </w:pPr>
      <w:r>
        <w:rPr>
          <w:b w:val="0"/>
          <w:i w:val="0"/>
        </w:rPr>
        <w:t>Định nghĩa của OECD về cổ tức được phản ánh trong Điều 10(4) của Hiệp định Na Uy - Vương quốc Anh, với nội dung như sau:</w:t>
      </w:r>
    </w:p>
    <w:p>
      <w:pPr>
        <w:spacing w:after="80"/>
      </w:pPr>
      <w:r>
        <w:rPr>
          <w:b w:val="0"/>
          <w:i w:val="0"/>
        </w:rPr>
        <w:t>Thuật ngữ 'cổ tức' được sử dụng trong điều này có nghĩa là thu nhập từ cổ phần, hoặc các quyền khác, không phải là các khoản nợ phải trả, tham gia vào lợi nhuận, cũng như thu nhập từ các quyền của công ty khác được đối xử về thuế giống như thu nhập từ cổ phần theo luật của Quốc gia Ký kết mà công ty thực hiện phân phối là cư dân, và cũng bao gồm bất kỳ khoản mục nào khác, theo luật của Quốc gia mà công ty trả cổ tức là cư dân, được đối xử như cổ tức hoặc phân phối của công ty.</w:t>
      </w:r>
    </w:p>
    <w:p>
      <w:pPr>
        <w:spacing w:after="80"/>
      </w:pPr>
      <w:r>
        <w:rPr>
          <w:b w:val="0"/>
          <w:i w:val="0"/>
        </w:rPr>
        <w:t>Định nghĩa này vừa cung cấp một ý nghĩa tự trị vừa mở rộng bằng cách tham chiếu đến luật nội địa của quốc gia nơi công ty trả tiền là cư dân. Hiện tại, các điều khoản về cổ tức như vậy có ứng dụng trực tiếp hạn chế đối với các khoản phân phối do các công ty cư trú tại Vương quốc Anh không phải là REIT thực hiện. Chúng có vai trò bổ trợ kết hợp với điều khoản về lãi suất trong bối cảnh vốn mỏng (thincapitalisation). Trong những hiệp định có bao gồm tham chiếu, việc xác định đặc tính của khoản thanh toán theo luật thuế nội địa của quốc gia nơi công ty trả cổ tức là cư dân, luật nội địa đó cũng sẽ ảnh hưởng đến việc xác định đặc tính của các khoản thanh toán lãi suất theo Điều 11, khi lãi suất được đối xử như một khoản phân phối theo luật nội địa đó. Điều này được thảo luận chi tiết liên quan đến lãi suất bên dưới.51 Quốc gia của chủ sở hữu hưởng lợi của khoản thanh toán được yêu cầu áp dụng cùng cách xác định đặc tính của quốc gia nguồn khi loại bỏ đánh thuế hai lần.52</w:t>
      </w:r>
    </w:p>
    <w:p>
      <w:pPr>
        <w:spacing w:after="80"/>
      </w:pPr>
      <w:r>
        <w:rPr>
          <w:b w:val="0"/>
          <w:i w:val="0"/>
        </w:rPr>
        <w:t xml:space="preserve">Ý nghĩa của thuật ngữ 'cổ tức' theo Hiệp định Đức - Vương quốc Anh năm 1964 đã được xem xét trong </w:t>
      </w:r>
      <w:r>
        <w:rPr>
          <w:b w:val="0"/>
          <w:i/>
        </w:rPr>
        <w:t>Memec plc v IRC</w:t>
      </w:r>
      <w:r>
        <w:rPr>
          <w:b w:val="0"/>
          <w:i w:val="0"/>
        </w:rPr>
        <w:t>.53 Điều 6(4) định nghĩa cổ tức trong điều đó bao gồm thu nhập mà một đối tác ngủ (sleeping partner) có được từ việc tham gia với tư cách đó. Vụ án phát sinh từ các khoản phân phối của một công ty hợp danh im lặng (silent partnership) của Đức về cổ tức mà nó nhận được từ các công ty Đức cho một công ty mẹ tại Vương quốc Anh. Bối cảnh mà vấn đề phát sinh là liệu công ty Vương quốc Anh có được quyền khấu trừ thuế cơ sở (underlying tax) theo Điều 18(1) của hiệp định và những gì hiện nay là TIOPA 2010, mục 57 liên quan đến thuế cơ sở hay không. Điều này sẽ đúng theo hiệp định nếu công ty Vương quốc Anh nhận cổ tức kiểm soát trực tiếp hoặc gián tiếp ít nhất 25% quyền biểu quyết của công ty Đức. Tòa án Phúc thẩm xác định rằng định nghĩa rộng về cổ tức này chỉ áp dụng cho phạm vi của</w:t>
      </w:r>
    </w:p>
    <w:p>
      <w:pPr>
        <w:spacing w:after="80"/>
      </w:pPr>
      <w:r>
        <w:rPr>
          <w:b w:val="0"/>
          <w:i w:val="0"/>
        </w:rPr>
        <w:t xml:space="preserve">49. Hiệp định Thuế Barbados - Vương quốc Anh (2012), Điều 10(2)(b); Hiệp định Thuế Liechtenstein - Vương quốc Anh (2012), Điều 10(2)(b). 50. ICTA 1988, mục 209. 51. Xem §10.04. 52. Xem Chương 15, §§15.01ff. Xem Công văn số 03-04-05/40978 ngày 15 tháng 8 năm 2014 của Bộ Tài chính Nga về việc giảm vốn cổ phần của một công ty cư trú tại Vương quốc Anh. Bộ cho rằng vì Vương quốc Anh không coi các khoản thanh toán khi giảm vốn cổ phần là cổ tức, nên Điều 10 của Hiệp định không áp dụng. 53. </w:t>
      </w:r>
      <w:r>
        <w:rPr>
          <w:b w:val="0"/>
          <w:i/>
        </w:rPr>
        <w:t>Memec plc v Inland Revenue Commissioners</w:t>
      </w:r>
      <w:r>
        <w:rPr>
          <w:b w:val="0"/>
          <w:i w:val="0"/>
        </w:rPr>
        <w:t xml:space="preserve"> [1998] BTC 251; [1998] STC 754, CA.</w:t>
      </w:r>
    </w:p>
    <w:p>
      <w:pPr>
        <w:spacing w:after="80"/>
      </w:pPr>
      <w:r>
        <w:rPr>
          <w:b w:val="0"/>
          <w:i w:val="0"/>
        </w:rPr>
        <w:t>310</w:t>
      </w:r>
    </w:p>
    <w:p>
      <w:pPr>
        <w:spacing w:after="80"/>
      </w:pPr>
      <w:r>
        <w:rPr>
          <w:b w:val="0"/>
          <w:i w:val="0"/>
        </w:rPr>
        <w:t>quyền áp đặt thuế khấu trừ đối với khoản phân phối đó và để đảm bảo rằng chúng không nằm trong các điều khoản liên quan đến lợi nhuận kinh doanh hoặc lãi suất. Cổ tức không được định nghĩa trong Điều 18 quy định về khấu trừ thuế của Vương quốc Anh đối với thuế Đức đã nộp, và trong bối cảnh này, tòa án áp dụng ý nghĩa thông thường của cổ tức, cụ thể là việc thanh toán một phần lợi nhuận cho một kỳ liên quan đến một cổ phần của công ty. Đây không phải là quan điểm của Robert Walker J tại Tòa án Cấp cao. Trong phán quyết bất đồng của mình tại Tòa án Phúc thẩm, Ngài Christopher Staughton đồng ý rằng định nghĩa về cổ tức trong Điều 6 nên được áp dụng xuyên suốt hiệp định, viện dẫn cụ thể một quyết định của tòa án thuế cao nhất của Đức.</w:t>
      </w:r>
    </w:p>
    <w:p>
      <w:pPr>
        <w:spacing w:after="80"/>
      </w:pPr>
      <w:r>
        <w:rPr>
          <w:b w:val="0"/>
          <w:i w:val="0"/>
        </w:rPr>
        <w:t xml:space="preserve">Cần phải xem xét cẩn thận các quyền pháp lý liên quan trong từng trường hợp. </w:t>
      </w:r>
      <w:r>
        <w:rPr>
          <w:b w:val="0"/>
          <w:i/>
        </w:rPr>
        <w:t>Finanzgericht</w:t>
      </w:r>
      <w:r>
        <w:rPr>
          <w:b w:val="0"/>
          <w:i w:val="0"/>
        </w:rPr>
        <w:t>54 của Đức kết luận rằng các khoản phân phối được thực hiện theo 'Genussscheine' do một ngân hàng cư trú tại Đức phát hành và được một công ty cư trú tại Vương quốc Anh nắm giữ là lãi suất chứ không phải cổ tức trong cùng điều khoản của hiệp định đó. Định nghĩa chung về cổ tức trong Điều 6(4) của hiệp định bao gồm 'thu nhập từ… cổ phần hưởng lợi (jouissance shares) hoặc quyền hưởng lợi (jouissance rights) ('Genussscheinen und Genussrechten' trong phiên bản tiếng Đức của hiệp định)… hoặc các quyền khác, không phải là các khoản nợ phải trả, tham gia vào lợi nhuận, cũng như thu nhập từ các quyền của công ty khác được luật thuế của lãnh thổ mà công ty thực hiện phân phối là cư dân đồng hóa với thu nhập từ cổ phần'. Những người nắm giữ Genussschein, trong trường hợp này, được quyền nhận phân phối tích lũy trước khi lợi nhuận được phân phối cho các cổ đông dựa trên giá trị danh nghĩa của các quyền. Khoản này bị giảm nếu ngân hàng thua lỗ trong một năm cụ thể, với khoản thâm hụt được chuyển sang các năm tiếp theo. Các Genussscheine không có quyền biểu quyết, có thể hoàn trả theo mệnh giá khi đáo hạn và có thể chuyển đổi thành cổ phần trong ngân hàng. Tòa án nhận xét rằng ranh giới giữa lãi suất và cổ tức đặc biệt phụ thuộc vào sự phân biệt giữa cam kết mang tính doanh nhân và việc cung cấp vốn đơn thuần.55</w:t>
      </w:r>
    </w:p>
    <w:p>
      <w:pPr>
        <w:spacing w:after="80"/>
      </w:pPr>
      <w:r>
        <w:rPr>
          <w:b/>
          <w:i w:val="0"/>
        </w:rPr>
        <w:t>[D]Cổ tức được kết nối hiệu quả với một Cơ sở thường trú</w:t>
      </w:r>
    </w:p>
    <w:p>
      <w:pPr>
        <w:spacing w:after="80"/>
      </w:pPr>
      <w:r>
        <w:rPr>
          <w:b w:val="0"/>
          <w:i w:val="0"/>
        </w:rPr>
        <w:t>Hầu hết các hiệp định theo mô hình OECD đều vô hiệu hóa các quy tắc hạn chế quyền đánh thuế của quốc gia nguồn khi chủ sở hữu hưởng lợi của cổ tức có một cơ sở thường trú mà việc nắm giữ cổ phần, liên quan đến việc cổ tức được trả, được kết nối hiệu quả với cơ sở đó. Cách diễn đạt phổ biến của nguyên tắc này được tìm thấy trong Hiệp định Vương quốc Anh - Ba Lan:</w:t>
      </w:r>
    </w:p>
    <w:p>
      <w:pPr>
        <w:spacing w:after="80"/>
      </w:pPr>
      <w:r>
        <w:rPr>
          <w:b w:val="0"/>
          <w:i w:val="0"/>
        </w:rPr>
        <w:t>10(4) Các quy định tại khoản (1) và (2) của Điều này sẽ không áp dụng nếu chủ sở hữu hưởng lợi của cổ tức, là cư dân của một Quốc gia Ký kết, tiến hành kinh doanh tại Quốc gia Ký kết kia mà công ty trả cổ tức là cư dân, thông qua một cơ sở thường trú đặt tại đó, và việc nắm giữ liên quan đến việc cổ tức được trả được kết nối hiệu quả với cơ sở thường trú đó. Trong trường hợp như vậy, các quy định tại Điều 7 của Công ước này sẽ được áp dụng.</w:t>
      </w:r>
    </w:p>
    <w:p>
      <w:pPr>
        <w:spacing w:after="80"/>
      </w:pPr>
      <w:r>
        <w:rPr>
          <w:b w:val="0"/>
          <w:i w:val="0"/>
        </w:rPr>
        <w:t xml:space="preserve">54. Vụ án 2K7273/00, </w:t>
      </w:r>
      <w:r>
        <w:rPr>
          <w:b w:val="0"/>
          <w:i/>
        </w:rPr>
        <w:t>Finanzgericht Köln</w:t>
      </w:r>
      <w:r>
        <w:rPr>
          <w:b w:val="0"/>
          <w:i w:val="0"/>
        </w:rPr>
        <w:t xml:space="preserve"> (Tòa án Thuế, Cologne), ngày 11 tháng 12 năm 2003 (Nền tảng Nghiên cứu Thuế IBFD). 55. Xem thêm </w:t>
      </w:r>
      <w:r>
        <w:rPr>
          <w:b w:val="0"/>
          <w:i/>
        </w:rPr>
        <w:t>Cộng hòa Áo v Cộng hòa Liên bang Đức</w:t>
      </w:r>
      <w:r>
        <w:rPr>
          <w:b w:val="0"/>
          <w:i w:val="0"/>
        </w:rPr>
        <w:t xml:space="preserve"> (Vụ án C-648/15) ECLI:EU:C:2017:664, về ý nghĩa của </w:t>
      </w:r>
      <w:r>
        <w:rPr>
          <w:b w:val="0"/>
          <w:i/>
        </w:rPr>
        <w:t>Genussschein</w:t>
      </w:r>
      <w:r>
        <w:rPr>
          <w:b w:val="0"/>
          <w:i w:val="0"/>
        </w:rPr>
        <w:t>.</w:t>
      </w:r>
    </w:p>
    <w:p>
      <w:pPr>
        <w:spacing w:after="80"/>
      </w:pPr>
      <w:r>
        <w:rPr>
          <w:b w:val="0"/>
          <w:i w:val="0"/>
        </w:rPr>
        <w:t>311</w:t>
      </w:r>
    </w:p>
    <w:p>
      <w:pPr>
        <w:spacing w:after="80"/>
      </w:pPr>
      <w:r>
        <w:rPr>
          <w:b w:val="0"/>
          <w:i w:val="0"/>
        </w:rPr>
        <w:t>Trong trường hợp như vậy, các quy tắc về lợi nhuận kinh doanh sẽ được áp dụng. Theo luật trong nước, một công ty không cư trú sẽ phải chịu thuế theo CTA 2009, ss 5 và 19 do hoạt động thương mại được thực hiện tại Vương quốc Anh thông qua một cơ sở thường trú (permanent establishment). Trong hầu hết các trường hợp, điều này sẽ giới hạn ở những người kinh doanh cổ phiếu (share dealers). CTA 2009, s. 130 loại trừ việc xử lý như cổ tức (distribution) trong tay của một người kinh doanh cổ phiếu và yêu cầu các khoản tiền đó phải được tính vào lợi nhuận của người kinh doanh, vốn được đánh thuế như lợi nhuận thương mại.56 Cách xử lý này do đó được các hiệp định cho phép theo Điều 10(4). Sự cho phép tương tự cũng được tìm thấy khi cổ tức có mối liên hệ thực sự (effectively connected) với một cơ sở cố định (fixed base) mà qua đó các dịch vụ cá nhân độc lập được cung cấp theo Điều 14. Yếu tố sau này có mặt trong một số hiệp định57 nhưng lại vắng mặt ở những hiệp định khác.58</w:t>
      </w:r>
    </w:p>
    <w:p>
      <w:pPr>
        <w:spacing w:after="80"/>
      </w:pPr>
      <w:r>
        <w:rPr>
          <w:b w:val="0"/>
          <w:i w:val="0"/>
        </w:rPr>
        <w:t>Theo quan điểm của cơ quan thuế (Revenue), một khoản cổ tức sẽ được coi là 'có mối liên hệ thực sự' với một cơ sở thường trú nếu, ví dụ, một chi nhánh của công ty nước ngoài mua cổ phiếu trong một công ty tại Vương quốc Anh bằng nguồn vốn thặng dư của chi nhánh đó. Nếu chi nhánh chỉ đơn thuần đầu tư số tiền do trụ sở chính cung cấp, thì bất kỳ khoản cổ tức nào cũng sẽ không được coi là 'có mối liên hệ thực sự' với cơ sở thường trú.59 Từ 'thực sự' (effectively) hàm ý một mức độ liên hệ mạnh mẽ hoặc thực chất, thể hiện qua việc xem xét đầy đủ các tài sản được triển khai tại cơ sở thường trú và các chức năng được thực hiện tại đó.60 Do đó, thực tế hơn, quy tắc này có khả năng chỉ áp dụng cho những người kinh doanh giao dịch thông qua một chi nhánh được thiết lập đúng cách tại Vương quốc Anh, mà đối với họ các khoản cổ tức được đánh thuế như thu nhập thương mại.61</w:t>
      </w:r>
    </w:p>
    <w:p>
      <w:pPr>
        <w:spacing w:after="80"/>
      </w:pPr>
      <w:r>
        <w:rPr>
          <w:b/>
          <w:i w:val="0"/>
        </w:rPr>
        <w:t>[E] Cơ sở thường trú tại các quốc gia thứ ba</w:t>
      </w:r>
    </w:p>
    <w:p>
      <w:pPr>
        <w:spacing w:after="80"/>
      </w:pPr>
      <w:r>
        <w:rPr>
          <w:b w:val="0"/>
          <w:i w:val="0"/>
        </w:rPr>
        <w:t>Các hiệp định theo mô hình của OECD quy định việc xử lý như cơ sở thường trú khi thu nhập đầu tư được quy cho một cơ sở thường trú tại quốc gia nguồn. Các hiệp định gần đây đã tìm cách hạn chế khả năng được hưởng ưu đãi trong trường hợp thu nhập đầu tư được quy cho một cơ sở thường trú tại một quốc gia thứ ba.62</w:t>
      </w:r>
    </w:p>
    <w:p>
      <w:pPr>
        <w:spacing w:after="80"/>
      </w:pPr>
      <w:r>
        <w:rPr>
          <w:b w:val="0"/>
          <w:i w:val="0"/>
        </w:rPr>
        <w:t>Do đó, theo Điều 3 của Nghị định thư ngày 30 tháng 3 năm 2010 bổ sung cho Hiệp định Anh-Đức (2010), khi cổ tức, tiền lãi hoặc tiền bản quyền của một doanh nghiệp Đức có nguồn gốc từ Vương quốc Anh được quy cho một cơ sở thường trú tại một quốc gia thứ ba, thì ưu đãi theo hiệp định sẽ bị từ chối. Một ngoại lệ được đưa ra khi tổng số thuế thực tế đã nộp đối với thu nhập đó tại Đức và tại quốc gia thứ ba ít nhất là 60% số thuế lẽ ra phải nộp tại Đức. Khi ngoại lệ này được áp dụng, cổ tức, tiền lãi hoặc</w:t>
      </w:r>
    </w:p>
    <w:p>
      <w:pPr>
        <w:spacing w:after="80"/>
      </w:pPr>
      <w:r>
        <w:rPr>
          <w:b w:val="0"/>
          <w:i w:val="0"/>
        </w:rPr>
        <w:t xml:space="preserve">56. Đối với các cá nhân không phải là công ty, xem ITTOIA 2005, s. 366(1).57. Xem, ví dụ, Công ước giữa Chính phủ Vương quốc Liên hiệp Anh và Bắc Ireland và Chính phủ Cộng hòa Phần Lan về việc Tránh đánh thuế hai lần và Ngăn ngừa trốn thuế liên quan đến Thuế đối với Thu nhập và Vốn, Công ước ngày 17 tháng 7 năm 1969 (SI 1970/153), Điều 11(3).58. Xem, ví dụ, Công ước giữa Chính phủ Vương quốc Liên hiệp Anh và Bắc Ireland và Chính phủ Vương quốc Maroc về việc Tránh đánh thuế hai lần và Ngăn ngừa trốn thuế liên quan đến Thuế đối với Thu nhập và Lợi nhuận vốn, Công ước ngày 8 tháng 9 năm 1981 (SI 1991/2881), Điều 10(3).59. HMRC, Sổ tay Thuế hai lần (Double Taxation Manual), DT214.60. Xem </w:t>
      </w:r>
      <w:r>
        <w:rPr>
          <w:b w:val="0"/>
          <w:i/>
        </w:rPr>
        <w:t xml:space="preserve"> Smallwood v Reneue and Customs Commissioners [2008] UKSPC</w:t>
      </w:r>
      <w:r>
        <w:rPr>
          <w:b w:val="0"/>
          <w:i w:val="0"/>
        </w:rPr>
        <w:t xml:space="preserve"> SPC669;</w:t>
      </w:r>
      <w:r>
        <w:rPr>
          <w:b w:val="0"/>
          <w:i/>
        </w:rPr>
        <w:t xml:space="preserve"> [2008] STC (SCD)629;</w:t>
      </w:r>
      <w:r>
        <w:rPr>
          <w:b w:val="0"/>
          <w:i w:val="0"/>
        </w:rPr>
        <w:t xml:space="preserve"> (2008) Sp C 669 và Chương 6, §6.05 (về POEM).61. Xem ITTOIA 2005, s. 366(1) đối với thuế thu nhập và CTA 2009, s. 130.62. OECD Model (2017) Điều 29(8). Xem Chương 18, §18.06 (Các quy định ảnh hưởng đến quy tắc phân chia), Các trường hợp tam giác: Cơ sở thường trú nằm tại các quốc gia thứ ba.</w:t>
      </w:r>
    </w:p>
    <w:p>
      <w:pPr>
        <w:spacing w:after="80"/>
      </w:pPr>
      <w:r>
        <w:rPr>
          <w:b w:val="0"/>
          <w:i w:val="0"/>
        </w:rPr>
        <w:t>312</w:t>
      </w:r>
    </w:p>
    <w:p>
      <w:pPr>
        <w:spacing w:after="80"/>
      </w:pPr>
      <w:r>
        <w:rPr>
          <w:b w:val="0"/>
          <w:i w:val="0"/>
        </w:rPr>
        <w:t>tiền bản quyền phải chịu thuế tại Vương quốc Anh với mức tối đa là 15%. Những quy tắc này nhắm đến các trường hợp mà thu nhập có thể được miễn thuế tại quốc gia cư trú do có ưu đãi miễn thuế đối với lợi nhuận chi nhánh nước ngoài kết hợp với việc quy cho một cơ sở thường trú tại quốc gia thứ ba nơi lợi nhuận được đánh thuế ở mức tương đối thấp.</w:t>
      </w:r>
    </w:p>
    <w:p>
      <w:pPr>
        <w:spacing w:after="80"/>
      </w:pPr>
      <w:r>
        <w:rPr>
          <w:b w:val="0"/>
          <w:i w:val="0"/>
        </w:rPr>
        <w:t>Cách xử lý này không áp dụng theo Hiệp định Anh-Đức đối với thu nhập liên quan đến việc tiến hành một cách chủ động hoạt động thương mại hoặc kinh doanh do cơ sở thường trú tại quốc gia thứ ba thực hiện (ngoại trừ hoạt động tạo lập, quản lý hoặc chỉ đơn thuần nắm giữ các khoản đầu tư cho tài khoản của chính mình, trừ khi những hoạt động này là hoạt động ngân hàng hoặc chứng khoán do một ngân hàng hoặc đại lý chứng khoán đã đăng ký thực hiện).</w:t>
      </w:r>
    </w:p>
    <w:p>
      <w:pPr>
        <w:spacing w:after="80"/>
      </w:pPr>
      <w:r>
        <w:rPr>
          <w:b/>
          <w:i w:val="0"/>
        </w:rPr>
        <w:t>[F] Cổ tức nước ngoài và Thuế ở cấp độ công ty</w:t>
      </w:r>
    </w:p>
    <w:p>
      <w:pPr>
        <w:spacing w:after="80"/>
      </w:pPr>
      <w:r>
        <w:rPr>
          <w:b w:val="0"/>
          <w:i w:val="0"/>
        </w:rPr>
        <w:t>Cách thức đánh thuế cổ tức thường được giới hạn thêm bằng việc hạn chế quyền đánh thuế của quốc gia ký kết không phải là nơi công ty trả cổ tức cư trú. Hiệp định Anh-Macedonia áp dụng Điều 10(5) của OECD Model về mặt này (như được trình bày dưới đây):</w:t>
      </w:r>
    </w:p>
    <w:p>
      <w:pPr>
        <w:spacing w:after="80"/>
      </w:pPr>
      <w:r>
        <w:rPr>
          <w:b w:val="0"/>
          <w:i w:val="0"/>
        </w:rPr>
        <w:t>10(6) Khi một công ty cư trú tại một Quốc gia ký kết thu được lợi nhuận hoặc thu nhập từ Quốc gia ký kết kia, thì Quốc gia kia không được áp đặt bất kỳ loại thuế nào đối với cổ tức do công ty đó trả, trừ trường hợp cổ tức đó được trả cho một đối tượng cư trú của Quốc gia kia hoặc trừ trường hợp phần vốn góp mà cổ tức được trả dựa trên có mối liên hệ thực sự với một cơ sở thường trú nằm tại Quốc gia kia; cũng không được đánh thuế đối với lợi nhuận chưa chia của công ty bằng một loại thuế đánh vào lợi nhuận chưa chia, ngay cả khi cổ tức được trả hoặc lợi nhuận chưa chia đó bao gồm toàn bộ hoặc một phần lợi nhuận hoặc thu nhập phát sinh tại Quốc gia kia.</w:t>
      </w:r>
    </w:p>
    <w:p>
      <w:pPr>
        <w:spacing w:after="80"/>
      </w:pPr>
      <w:r>
        <w:rPr>
          <w:b w:val="0"/>
          <w:i w:val="0"/>
        </w:rPr>
        <w:t>Hai nguyên tắc được phản ánh trong các quy định này. Thứ nhất, quốc gia ký kết mà công ty trả cổ tức không cư trú ('quốc gia nguồn') không được áp đặt bất kỳ loại thuế nào đối với cổ tức. Điều này đúng ngay cả khi lợi nhuận mà từ đó cổ tức được trả có nguồn gốc từ quốc gia nguồn. Lệnh cấm này được diễn đạt một cách rộng rãi. Quốc gia nguồn chỉ có thể đánh thuế cổ tức nếu chúng được trả cho một đối tượng cư trú của quốc gia nguồn hoặc được trả dựa trên phần vốn góp có mối liên hệ thực sự với một cơ sở thường trú tại quốc gia nguồn. Do đó, trên thực tế, quốc gia nguồn vẫn có quyền đánh thuế đối với các đối tượng cư trú và các cơ sở thường trú của mình trong lãnh thổ của mình.</w:t>
      </w:r>
    </w:p>
    <w:p>
      <w:pPr>
        <w:spacing w:after="80"/>
      </w:pPr>
      <w:r>
        <w:rPr>
          <w:b w:val="0"/>
          <w:i w:val="0"/>
        </w:rPr>
        <w:t>Thứ hai, quốc gia nguồn không được áp đặt thuế đối với lợi nhuận chưa chia của một đối tượng cư trú của quốc gia kia. Điều này đúng ngay cả khi nguồn gốc của những lợi nhuận đó hoàn toàn hoặc một phần nằm trong quốc gia nguồn. Lợi nhuận chưa chia theo nghĩa này đề cập đến lợi nhuận chưa được phân phối cho các cổ đông, chứ không phải những khoản chưa được chuyển giao trong nội bộ một công ty từ một cơ sở thường trú sang trụ sở chính. Vương quốc Anh không áp đặt thuế đối với lợi nhuận chưa chia, nhưng một số đối tác hiệp định của nước này thì có. Do đó, thẩm quyền áp đặt thuế đối với lợi nhuận chi nhánh được tìm thấy trong một số hiệp định.63</w:t>
      </w:r>
    </w:p>
    <w:p>
      <w:pPr>
        <w:spacing w:after="80"/>
      </w:pPr>
      <w:r>
        <w:rPr>
          <w:b w:val="0"/>
          <w:i w:val="0"/>
        </w:rPr>
        <w:t>63. Ví dụ, Hiệp định Thuế Hoa Kỳ-Anh (2001), Điều 10(7); Hiệp định Thuế Canada-Anh (1978), Điều 22(3) và (4). Xem Chương 16, §16.05.</w:t>
      </w:r>
    </w:p>
    <w:p>
      <w:pPr>
        <w:spacing w:after="80"/>
      </w:pPr>
      <w:r>
        <w:rPr>
          <w:b w:val="0"/>
          <w:i w:val="0"/>
        </w:rPr>
        <w:t>313</w:t>
      </w:r>
    </w:p>
    <w:p>
      <w:pPr>
        <w:spacing w:after="80"/>
      </w:pPr>
      <w:r>
        <w:rPr>
          <w:b/>
          <w:i w:val="0"/>
        </w:rPr>
        <w:t>[G]Giới hạn về quyền lợi</w:t>
      </w:r>
    </w:p>
    <w:p>
      <w:pPr>
        <w:spacing w:after="80"/>
      </w:pPr>
      <w:r>
        <w:rPr>
          <w:b w:val="0"/>
          <w:i w:val="0"/>
        </w:rPr>
        <w:t>Nhiều cơ chế khác nhau được tìm thấy trong các điều khoản về cổ tức nhằm hạn chế việc áp dụng các quyền lợi theo hiệp định liên quan đến cổ tức. Những cơ chế này, bao gồm ý nghĩa của 'quyền sở hữu thực sự' (beneficial ownership), được xem xét trong Chương 17.</w:t>
      </w:r>
    </w:p>
    <w:p>
      <w:pPr>
        <w:spacing w:after="80"/>
      </w:pPr>
      <w:r>
        <w:rPr>
          <w:b/>
          <w:i w:val="0"/>
        </w:rPr>
        <w:t>§10.04 LÃI SUẤT</w:t>
      </w:r>
    </w:p>
    <w:p>
      <w:pPr>
        <w:spacing w:after="80"/>
      </w:pPr>
      <w:r>
        <w:rPr>
          <w:b w:val="0"/>
          <w:i w:val="0"/>
        </w:rPr>
        <w:t xml:space="preserve">Theo luật trong nước, thuế thu nhập được khấu trừ theo thuế suất cơ bản (20% trong giai đoạn 2017-2018) tại nguồn đối với lãi suất hàng năm64 phát sinh tại Vương quốc Anh, </w:t>
      </w:r>
      <w:r>
        <w:rPr>
          <w:b w:val="0"/>
          <w:i/>
        </w:rPr>
        <w:t>inter alia</w:t>
      </w:r>
      <w:r>
        <w:rPr>
          <w:b w:val="0"/>
          <w:i w:val="0"/>
        </w:rPr>
        <w:t>, khi nó được trả bởi bất kỳ người nào cho một người khác có 'nơi cư trú thông thường nằm ngoài Vương quốc Anh'.65 Mối quan hệ giữa các quy tắc hiệp định và luật trong nước liên quan đến lãi suất, và đặc biệt là mối quan hệ của nó với các khoản phân phối, rất phức tạp và việc xử lý bất kỳ khoản thanh toán nào phụ thuộc vào sự tương tác của toàn bộ các điều khoản về lãi suất và cổ tức với luật trong nước. Các phát triển trong hiệp định, ở một mức độ nào đó, đã đi theo những phát triển trong luật trong nước.</w:t>
      </w:r>
    </w:p>
    <w:p>
      <w:pPr>
        <w:spacing w:after="80"/>
      </w:pPr>
      <w:r>
        <w:rPr>
          <w:b w:val="0"/>
          <w:i w:val="0"/>
        </w:rPr>
        <w:t>Lập trường đàm phán của Vương quốc Anh về lãi suất là tìm cách loại bỏ hoàn toàn quyền đánh thuế của quốc gia nguồn. Khi đạt được điều này, các hiệp định sử dụng ngôn ngữ xuất hiện trong Hiệp định Vương quốc Anh - Tiệp Khắc như sau:</w:t>
      </w:r>
    </w:p>
    <w:p>
      <w:pPr>
        <w:spacing w:after="80"/>
      </w:pPr>
      <w:r>
        <w:rPr>
          <w:b w:val="0"/>
          <w:i w:val="0"/>
        </w:rPr>
        <w:t>11(1) Lãi suất phát sinh tại một Quốc gia Ký kết được hưởng và sở hữu thực sự bởi một cư dân của Quốc gia Ký kết kia sẽ chỉ bị đánh thuế tại Quốc gia kia.</w:t>
      </w:r>
    </w:p>
    <w:p>
      <w:pPr>
        <w:spacing w:after="80"/>
      </w:pPr>
      <w:r>
        <w:rPr>
          <w:b w:val="0"/>
          <w:i w:val="0"/>
        </w:rPr>
        <w:t>Kết quả là, khoảng một phần tư các hiệp định của Vương quốc Anh quy định rằng lãi suất phát sinh tại một quốc gia ký kết chỉ có thể bị đánh thuế tại quốc gia cư trú của một chủ sở hữu thực sự là cư dân của quốc gia kia. Thực tiễn hiệp định của Vương quốc Anh trong khía cạnh này khác với Mẫu OECD. Một ví dụ gần với Mẫu OECD được tìm thấy trong Hiệp định Vương quốc Anh - Bồ Đào Nha:</w:t>
      </w:r>
    </w:p>
    <w:p>
      <w:pPr>
        <w:spacing w:after="80"/>
      </w:pPr>
      <w:r>
        <w:rPr>
          <w:b w:val="0"/>
          <w:i w:val="0"/>
        </w:rPr>
        <w:t>11(1) Lãi suất phát sinh tại một Quốc gia Ký kết và được trả cho một cư dân của Quốc gia Ký kết kia có thể bị đánh thuế tại Quốc gia kia.</w:t>
      </w:r>
    </w:p>
    <w:p>
      <w:pPr>
        <w:spacing w:after="80"/>
      </w:pPr>
      <w:r>
        <w:rPr>
          <w:b w:val="0"/>
          <w:i w:val="0"/>
        </w:rPr>
        <w:t>11(2) Tuy nhiên, lãi suất đó có thể bị đánh thuế tại Quốc gia Ký kết nơi nó phát sinh, và theo luật của Quốc gia đó; nhưng khi cư dân của Quốc gia Ký kết kia phải chịu thuế tại đó đối với khoản lãi suất đó, thì thuế được đánh tại Quốc gia được đề cập đầu tiên sẽ không vượt quá 10% số tiền lãi suất.</w:t>
      </w:r>
    </w:p>
    <w:p>
      <w:pPr>
        <w:spacing w:after="80"/>
      </w:pPr>
      <w:r>
        <w:rPr>
          <w:b w:val="0"/>
          <w:i w:val="0"/>
        </w:rPr>
        <w:t>Mô hình cơ bản này được tìm thấy trong phần lớn các hiệp định của Vương quốc Anh. Thuế suất tại quốc gia nguồn trong một nhóm lớn hơn các hiệp định bị giới hạn, trong phạm vi nó thấp hơn thuế suất thuế hiện hành của Vương quốc Anh được khấu trừ đối với lãi suất tại nguồn là 20%, dao động từ 5 đến 15%. Các hiệp định còn lại quy định thuế suất cao hơn, nhưng do luật trong nước, những giới hạn này không có tác động thực tế nào đối với thuế suất được khấu trừ tại Vương quốc Anh. Do kết quả của việc</w:t>
      </w:r>
    </w:p>
    <w:p>
      <w:pPr>
        <w:spacing w:after="80"/>
      </w:pPr>
      <w:r>
        <w:rPr>
          <w:b w:val="0"/>
          <w:i w:val="0"/>
        </w:rPr>
        <w:t xml:space="preserve">64. Xem </w:t>
      </w:r>
      <w:r>
        <w:rPr>
          <w:b w:val="0"/>
          <w:i/>
        </w:rPr>
        <w:t>Revenue and Customs v Joint Administrators of Lehman Brothers International (Europe)</w:t>
      </w:r>
      <w:r>
        <w:rPr>
          <w:b w:val="0"/>
          <w:i w:val="0"/>
        </w:rPr>
        <w:t xml:space="preserve"> [2019] UKSC 12, [2019] 1 WLR 2173, [2019] STC 661, [2019] BTC 9, để có một cuộc xem xét kỹ lưỡng về lịch sử và ý nghĩa của 'lãi suất hàng năm'. 65. ITA 2007, s. 874(1) và (2).</w:t>
      </w:r>
    </w:p>
    <w:p>
      <w:pPr>
        <w:spacing w:after="80"/>
      </w:pPr>
      <w:r>
        <w:rPr>
          <w:b w:val="0"/>
          <w:i w:val="0"/>
        </w:rPr>
        <w:t>314</w:t>
      </w:r>
    </w:p>
    <w:p>
      <w:pPr>
        <w:spacing w:after="80"/>
      </w:pPr>
      <w:r>
        <w:rPr>
          <w:b w:val="0"/>
          <w:i w:val="0"/>
        </w:rPr>
        <w:t>giảm thuế Vương quốc Anh đối với các khoản thanh toán lãi suất, các hiệp định chứa một số quy tắc chi tiết giới hạn tính khả dụng của các quyền lợi theo hiệp định.</w:t>
      </w:r>
    </w:p>
    <w:p>
      <w:pPr>
        <w:spacing w:after="80"/>
      </w:pPr>
      <w:r>
        <w:rPr>
          <w:b w:val="0"/>
          <w:i w:val="0"/>
        </w:rPr>
        <w:t>Trong nhiều trường hợp khi các hiệp định cho phép quốc gia nguồn đánh thuế, việc miễn thuế có thể được cấp trong các hoàn cảnh đặc biệt. Các chủ nợ hoặc con nợ chính phủ có thể được hưởng cách xử lý như vậy, như trường hợp trong Hiệp định Vương quốc Anh - Philippines:</w:t>
      </w:r>
    </w:p>
    <w:p>
      <w:pPr>
        <w:spacing w:after="80"/>
      </w:pPr>
      <w:r>
        <w:rPr>
          <w:b w:val="0"/>
          <w:i w:val="0"/>
        </w:rPr>
        <w:t>10(4) Bất chấp các quy định tại khoản (2) và (3) của Điều này, lãi suất phát sinh tại một Quốc gia Ký kết sẽ được miễn thuế tại Quốc gia đó nếu nó được hưởng và sở hữu thực sự bởi:</w:t>
      </w:r>
    </w:p>
    <w:p>
      <w:pPr>
        <w:spacing w:after="80"/>
      </w:pPr>
      <w:r>
        <w:rPr>
          <w:b w:val="0"/>
          <w:i w:val="0"/>
        </w:rPr>
        <w:t>(a) Chính phủ của Quốc gia ký kết kia, một đơn vị chính trị hoặc chính quyền địa phương</w:t>
      </w:r>
    </w:p>
    <w:p>
      <w:pPr>
        <w:spacing w:after="80"/>
      </w:pPr>
      <w:r>
        <w:rPr>
          <w:b w:val="0"/>
          <w:i w:val="0"/>
        </w:rPr>
        <w:t>của quốc gia đó hoặc một cơ quan trực thuộc của quốc gia kia; hoặc (b) một cư dân của Quốc gia ký kết kia liên quan đến một khoản vay được thực hiện, bảo lãnh</w:t>
      </w:r>
    </w:p>
    <w:p>
      <w:pPr>
        <w:spacing w:after="80"/>
      </w:pPr>
      <w:r>
        <w:rPr>
          <w:b w:val="0"/>
          <w:i w:val="0"/>
        </w:rPr>
        <w:t>hoặc bảo hiểm bởi cơ quan trực thuộc đó của quốc gia kia như được quy định và thỏa thuận trong các thư trao đổi giữa các cơ quan có thẩm quyền của các Quốc gia ký kết.</w:t>
      </w:r>
    </w:p>
    <w:p>
      <w:pPr>
        <w:spacing w:after="80"/>
      </w:pPr>
      <w:r>
        <w:rPr>
          <w:b w:val="0"/>
          <w:i w:val="0"/>
        </w:rPr>
        <w:t>Thuật ngữ 'cơ quan trực thuộc' (instrumentality) được sử dụng trong khoản này có nghĩa là bất kỳ cơ quan hoặc thực thể nào được tạo ra hoặc tổ chức bởi một trong hai Chính phủ ký kết nhằm thực hiện các chức năng của chính phủ.</w:t>
      </w:r>
    </w:p>
    <w:p>
      <w:pPr>
        <w:spacing w:after="80"/>
      </w:pPr>
      <w:r>
        <w:rPr>
          <w:b w:val="0"/>
          <w:i w:val="0"/>
        </w:rPr>
        <w:t>Các chương trình tài trợ xuất khẩu cũng có thể được hưởng lợi theo cách tương tự như được minh họa bởi Hiệp định UK-Lesotho:</w:t>
      </w:r>
    </w:p>
    <w:p>
      <w:pPr>
        <w:spacing w:after="80"/>
      </w:pPr>
      <w:r>
        <w:rPr>
          <w:b w:val="0"/>
          <w:i w:val="0"/>
        </w:rPr>
        <w:t>11(11) Bất chấp các quy định tại Điều 7 của Công ước này và khoản (2) của Điều này, tiền lãi phát sinh tại Lesotho được trả cho một cư dân của Vương quốc Anh sẽ được miễn thuế tại Lesotho nếu nó được trả liên quan đến một khoản vay được thực hiện, bảo lãnh hoặc bảo hiểm, hoặc bất kỳ khoản nợ hoặc tín dụng nào khác được bảo lãnh hoặc bảo hiểm bởi Cục Bảo lãnh Tín dụng Xuất khẩu Vương quốc Anh.</w:t>
      </w:r>
    </w:p>
    <w:p>
      <w:pPr>
        <w:spacing w:after="80"/>
      </w:pPr>
      <w:r>
        <w:rPr>
          <w:b w:val="0"/>
          <w:i w:val="0"/>
        </w:rPr>
        <w:t>Các tổ chức tài chính đôi khi cũng có thể nhận được sự đối xử đặc biệt như trong Hiệp định UK-India:</w:t>
      </w:r>
    </w:p>
    <w:p>
      <w:pPr>
        <w:spacing w:after="80"/>
      </w:pPr>
      <w:r>
        <w:rPr>
          <w:b w:val="0"/>
          <w:i w:val="0"/>
        </w:rPr>
        <w:t>12(3) Bất chấp các quy định tại khoản (2) của Điều này:</w:t>
      </w:r>
    </w:p>
    <w:p>
      <w:pPr>
        <w:spacing w:after="80"/>
      </w:pPr>
      <w:r>
        <w:rPr>
          <w:b w:val="0"/>
          <w:i w:val="0"/>
        </w:rPr>
        <w:t>(a) khi tiền lãi được trả cho một ngân hàng đang thực hiện hoạt động kinh doanh ngân hàng chính đáng</w:t>
      </w:r>
    </w:p>
    <w:p>
      <w:pPr>
        <w:spacing w:after="80"/>
      </w:pPr>
      <w:r>
        <w:rPr>
          <w:b w:val="0"/>
          <w:i w:val="0"/>
        </w:rPr>
        <w:t>mà là cư dân của Quốc gia ký kết kia và là chủ sở hữu hưởng lợi của tiền lãi, thì thuế đánh tại Quốc gia ký kết nơi tiền lãi phát sinh sẽ không vượt quá 10% tổng số tiền lãi; (b) khi tiền lãi được trả cho… Ngân hàng Dự trữ Ấn Độ, thì nó sẽ không</w:t>
      </w:r>
    </w:p>
    <w:p>
      <w:pPr>
        <w:spacing w:after="80"/>
      </w:pPr>
      <w:r>
        <w:rPr>
          <w:b w:val="0"/>
          <w:i w:val="0"/>
        </w:rPr>
        <w:t>phải chịu thuế bởi Quốc gia nơi nó phát sinh.</w:t>
      </w:r>
    </w:p>
    <w:p>
      <w:pPr>
        <w:spacing w:after="80"/>
      </w:pPr>
      <w:r>
        <w:rPr>
          <w:b w:val="0"/>
          <w:i w:val="0"/>
        </w:rPr>
        <w:t>Thuật ngữ 'cơ quan trực thuộc' (instrumentality) được sử dụng trong khoản này có nghĩa là bất kỳ cơ quan hoặc thực thể nào được tạo ra hoặc tổ chức bởi một trong hai Chính phủ ký kết nhằm thực hiện các chức năng của chính phủ.</w:t>
      </w:r>
    </w:p>
    <w:p>
      <w:pPr>
        <w:spacing w:after="80"/>
      </w:pPr>
      <w:r>
        <w:rPr>
          <w:b w:val="0"/>
          <w:i w:val="0"/>
        </w:rPr>
        <w:t>315</w:t>
      </w:r>
    </w:p>
    <w:p>
      <w:pPr>
        <w:spacing w:after="80"/>
      </w:pPr>
      <w:r>
        <w:rPr>
          <w:b/>
          <w:i w:val="0"/>
        </w:rPr>
        <w:t>[A]Ý nghĩa của Tiền lãi</w:t>
      </w:r>
    </w:p>
    <w:p>
      <w:pPr>
        <w:spacing w:after="80"/>
      </w:pPr>
      <w:r>
        <w:rPr>
          <w:b w:val="0"/>
          <w:i w:val="0"/>
        </w:rPr>
        <w:t>Tiền lãi được coi là 'khoản thanh toán theo thời gian cho việc sử dụng tiền'.66 Vì mục đích thuế trong nước, một số khoản thanh toán tiền lãi nhất định, đặc biệt là những khoản trong CTA 2010, s.1000, được coi là các khoản phân phối. Điều này bao gồm tiền lãi đại diện cho mức lợi nhuận thương mại hợp lý vượt trội cho việc sử dụng vốn gốc của khoản vay đối với một công ty.67 Cũng bao gồm bất kỳ tiền lãi nào trên nợ doanh nghiệp hoặc 'chứng khoán', đó là:</w:t>
      </w:r>
    </w:p>
    <w:p>
      <w:pPr>
        <w:spacing w:after="80"/>
      </w:pPr>
      <w:r>
        <w:rPr>
          <w:b w:val="0"/>
          <w:i w:val="0"/>
        </w:rPr>
        <w:t>– chứng khoán được phát hành không hoàn toàn vì sự xem xét mới; – chứng khoán có thể chuyển đổi trực tiếp hoặc gián tiếp thành cổ phần trong công ty hoặc</w:t>
      </w:r>
    </w:p>
    <w:p>
      <w:pPr>
        <w:spacing w:after="80"/>
      </w:pPr>
      <w:r>
        <w:rPr>
          <w:b w:val="0"/>
          <w:i w:val="0"/>
        </w:rPr>
        <w:t>chứng khoán và mang bất kỳ quyền nào để nhận cổ phần hoặc chứng khoán của công ty, không phải (trong cả hai trường hợp) là chứng khoán được niêm yết trên sở giao dịch chứng khoán được công nhận cũng như không được phát hành theo các điều khoản có thể so sánh một cách hợp lý với các điều khoản phát hành chứng khoán được niêm yết như vậy;– chứng khoán mà theo đó khoản thù lao cho việc sử dụng vốn phụ thuộc ở bất kỳ</w:t>
      </w:r>
    </w:p>
    <w:p>
      <w:pPr>
        <w:spacing w:after="80"/>
      </w:pPr>
      <w:r>
        <w:rPr>
          <w:b w:val="0"/>
          <w:i w:val="0"/>
        </w:rPr>
        <w:t>mức độ nào vào kết quả kinh doanh của công ty hoặc bất kỳ phần nào của nó;– chứng khoán có liên quan đến cổ phần trong công ty. Vì mục đích này,</w:t>
      </w:r>
    </w:p>
    <w:p>
      <w:pPr>
        <w:spacing w:after="80"/>
      </w:pPr>
      <w:r>
        <w:rPr>
          <w:b w:val="0"/>
          <w:i w:val="0"/>
        </w:rPr>
        <w:t>chứng khoán được coi là có liên quan nếu, do tính chất của các quyền gắn với chứng khoán hoặc cổ phần và đặc biệt là do bất kỳ điều khoản hoặc điều kiện nào gắn với quyền chuyển nhượng cổ phần hoặc chứng khoán, một người có, hoặc định đoạt hoặc mua lại bất kỳ chứng khoán nào cũng cần thiết hoặc có lợi khi có, hoặc định đoạt hoặc mua lại, một tỷ lệ nắm giữ cổ phần tương ứng; và– một số chứng khoán chuyển đổi nhất định, chứng khoán mang quyền đối với cổ phần hoặc vốn chủ sở hữu</w:t>
      </w:r>
    </w:p>
    <w:p>
      <w:pPr>
        <w:spacing w:after="80"/>
      </w:pPr>
      <w:r>
        <w:rPr>
          <w:b w:val="0"/>
          <w:i w:val="0"/>
        </w:rPr>
        <w:t>các giấy tờ do công ty phát hành và được nắm giữ bởi một công ty có liên kết với tổ chức phát hành hoặc là công ty được cấp vốn.68</w:t>
      </w:r>
    </w:p>
    <w:p>
      <w:pPr>
        <w:spacing w:after="80"/>
      </w:pPr>
      <w:r>
        <w:rPr>
          <w:b w:val="0"/>
          <w:i w:val="0"/>
        </w:rPr>
        <w:t>Giấy tờ vốn chủ sở hữu (equity notes) nói chung là chứng khoán nợ không có ngày đáo hạn hoặc có kỳ hạn vượt quá năm mươi năm.69 Lãi suất đối với giấy tờ vốn chủ sở hữu có thể được coi là một khoản phân phối nếu chúng được nắm giữ bởi một công ty có liên kết hoặc là một ‘công ty được cấp vốn’.70 Các công ty được coi là có liên kết nếu chúng nằm trong một nhóm 75%.71 Một công ty được cấp vốn là công ty mà có các thỏa thuận liên quan đến việc công ty được đưa vào nguồn vốn trực tiếp hoặc gián tiếp bởi công ty phát hành hoặc một công ty có liên kết với công ty phát hành.72</w:t>
      </w:r>
    </w:p>
    <w:p>
      <w:pPr>
        <w:spacing w:after="80"/>
      </w:pPr>
      <w:r>
        <w:rPr>
          <w:b w:val="0"/>
          <w:i w:val="0"/>
        </w:rPr>
        <w:t>Sau FA 2004, Vương quốc Anh không còn có cơ chế để tái phân loại các khoản thanh toán lãi thành các khoản phân phối trong các trường hợp vốn mỏng (thin capitalisation).73 Vốn mỏng hiện nay được giải quyết thông qua các quy tắc định giá chuyển nhượng trong TIOPA 2010, Phần 4.74 Trong phạm vi điều này</w:t>
      </w:r>
    </w:p>
    <w:p>
      <w:pPr>
        <w:spacing w:after="80"/>
      </w:pPr>
      <w:r>
        <w:rPr>
          <w:b w:val="0"/>
          <w:i w:val="0"/>
        </w:rPr>
        <w:t>66.</w:t>
      </w:r>
      <w:r>
        <w:rPr>
          <w:b w:val="0"/>
          <w:i/>
        </w:rPr>
        <w:t>Bennett v Ogston</w:t>
      </w:r>
      <w:r>
        <w:rPr>
          <w:b w:val="0"/>
          <w:i w:val="0"/>
        </w:rPr>
        <w:t xml:space="preserve"> (1930) 15 TC 374, theo Rowlatt J, tr. 379. Các đặc điểm của lãi suất được tòa án xem xét trong một số phán quyết được xem xét lại trong </w:t>
      </w:r>
      <w:r>
        <w:rPr>
          <w:b w:val="0"/>
          <w:i/>
        </w:rPr>
        <w:t>Pike v Revenue and Customs Commissioners</w:t>
      </w:r>
      <w:r>
        <w:rPr>
          <w:b w:val="0"/>
          <w:i w:val="0"/>
        </w:rPr>
        <w:t xml:space="preserve"> [2013] STC 2042, [2013] BTC 1,881 [2013] UKUT 0225 (TCC).67. CTA 2010, s. 1000(1)E(b).68. CTA 2010, s. 1015.69. CTA 2010, s. 1016.70. CTA 2010, s. 1015(6).71. CTA 2010, s. 1017(4).72. CTA 2010, s. 1017(3). Xem thêm ‘lãi suất được ngụy trang’ trong FA 2013, Sch. 12.73. FA 2004, s. 34(1)(a) và s. 326, và Sch. 42, Phần 2(2).74. Chủ yếu là s. 153.</w:t>
      </w:r>
    </w:p>
    <w:p>
      <w:pPr>
        <w:spacing w:after="80"/>
      </w:pPr>
      <w:r>
        <w:rPr>
          <w:b w:val="0"/>
          <w:i w:val="0"/>
        </w:rPr>
        <w:t>316</w:t>
      </w:r>
    </w:p>
    <w:p>
      <w:pPr>
        <w:spacing w:after="80"/>
      </w:pPr>
      <w:r>
        <w:rPr>
          <w:b w:val="0"/>
          <w:i w:val="0"/>
        </w:rPr>
        <w:t>có liên quan đến các vấn đề của Điều 11, nó được xem xét thêm liên quan đến các mối quan hệ đặc biệt dưới đây.</w:t>
      </w:r>
    </w:p>
    <w:p>
      <w:pPr>
        <w:spacing w:after="80"/>
      </w:pPr>
      <w:r>
        <w:rPr>
          <w:b w:val="0"/>
          <w:i w:val="0"/>
        </w:rPr>
        <w:t xml:space="preserve">Ở Ireland, việc áp dụng thuế thu nhập doanh nghiệp theo Đạo luật Thuế Thu nhập Doanh nghiệp năm 1976 đã dẫn đến các quy tắc tương tự, theo đó một số khoản thanh toán lãi suất nhất định được coi là các khoản phân phối. Trong </w:t>
      </w:r>
      <w:r>
        <w:rPr>
          <w:b w:val="0"/>
          <w:i/>
        </w:rPr>
        <w:t>Murphy v Asahi Synthetic Fibres (Ireland) Limited</w:t>
      </w:r>
      <w:r>
        <w:rPr>
          <w:b w:val="0"/>
          <w:i w:val="0"/>
        </w:rPr>
        <w:t>,75 Tòa án Tối cao đã phán quyết rằng các khoản thanh toán này là lãi suất thuộc Điều 12 chứ không phải là cổ tức thuộc Điều 11 của Hiệp định Ireland-Nhật Bản (1974) mặc dù chúng được coi là các khoản phân phối theo luật trong nước.</w:t>
      </w:r>
    </w:p>
    <w:p>
      <w:pPr>
        <w:spacing w:after="80"/>
      </w:pPr>
      <w:r>
        <w:rPr>
          <w:b w:val="0"/>
          <w:i w:val="0"/>
        </w:rPr>
        <w:t xml:space="preserve">Khi một khoản tiền không phải là lãi suất vì mục đích hiệp định, thì các lợi ích hiệp định của điều khoản lãi suất liên quan sẽ không được áp dụng. Trong </w:t>
      </w:r>
      <w:r>
        <w:rPr>
          <w:b w:val="0"/>
          <w:i/>
        </w:rPr>
        <w:t>Bricom Holdings Limited v IRC,</w:t>
      </w:r>
      <w:r>
        <w:rPr>
          <w:b w:val="0"/>
          <w:i w:val="0"/>
        </w:rPr>
        <w:t>76 Tòa án đã kết luận rằng lợi nhuận của một công ty Hà Lan bao gồm các khoản thanh toán lãi suất không phải là lãi suất vì mục đích của Điều 11 của Hiệp định Anh-Hà Lan trong bối cảnh bị đánh thuế theo các quy tắc công ty nước ngoài bị kiểm soát (CFC). Điều 11 của hiệp định đó quy định rằng ‘lãi suất phát sinh ở một trong các quốc gia mà được một cư dân của quốc gia kia nhận được và sở hữu một cách hưởng lợi sẽ chỉ bị đánh thuế ở quốc gia kia’. Một công ty con Hà Lan của một công ty mẹ ở Vương quốc Anh không có nguồn thu nhập nào khác đã cho công ty mẹ vay vốn của mình. Không có tranh cãi rằng công ty Hà Lan là một CFC, và cơ quan thuế chấp nhận rằng hiệu lực của hiệp định là miễn lãi suất khỏi cả thuế thu nhập doanh nghiệp của Vương quốc Anh và việc đánh thuế lãi suất bằng cách khấu trừ tại nguồn đối với công ty cư trú tại Hà Lan đã nhận được khoản đó. Tuy nhiên, lãi suất không được miễn thuế Vương quốc Anh theo quy tắc đánh thuế CFC. Khi xác định lợi nhuận chịu thuế cho mục đích CFC, ICTA 1988, s. 746(6)(a), đề cập đến một khoản tiền thuần túy mang tính danh nghĩa bằng với lợi nhuận chịu thuế, chứ không phải bản thân lợi nhuận hoặc bất kỳ thành phần nào của lợi nhuận thực tế của CFC.</w:t>
      </w:r>
    </w:p>
    <w:p>
      <w:pPr>
        <w:spacing w:after="80"/>
      </w:pPr>
      <w:r>
        <w:rPr>
          <w:b w:val="0"/>
          <w:i w:val="0"/>
        </w:rPr>
        <w:t>Ý nghĩa hiện tại của lãi suất theo Điều 11(3) của Mẫu OECD được quy định trong Điều 10(5) của Hiệp định Philippines-Anh như sau:</w:t>
      </w:r>
    </w:p>
    <w:p>
      <w:pPr>
        <w:spacing w:after="80"/>
      </w:pPr>
      <w:r>
        <w:rPr>
          <w:b w:val="0"/>
          <w:i w:val="0"/>
        </w:rPr>
        <w:t>Thuật ngữ ‘lãi suất’ được sử dụng trong Điều này có nghĩa là thu nhập từ chứng khoán Chính phủ, trái phiếu hoặc giấy nợ, bao gồm cả phí bảo hiểm và giải thưởng gắn với các chứng khoán đó, bất kể có được bảo đảm bằng thế chấp hay không và bất kể có mang quyền tham gia vào lợi nhuận hay không, và các khoản nợ phải đòi thuộc mọi loại cũng như tất cả các khoản thu nhập khác được luật thuế của Quốc gia nơi phát sinh thu nhập đồng hóa với thu nhập từ tiền cho vay. Các khoản phí phạt do thanh toán chậm sẽ không được coi là lãi suất vì mục đích của Điều này.</w:t>
      </w:r>
    </w:p>
    <w:p>
      <w:pPr>
        <w:spacing w:after="80"/>
      </w:pPr>
      <w:r>
        <w:rPr>
          <w:b w:val="0"/>
          <w:i w:val="0"/>
        </w:rPr>
        <w:t>Nó khác biệt rõ rệt so với định nghĩa được tìm thấy trong Dự thảo Công ước năm 1963 như được quy định trong Điều 11(2) của Hiệp định Áo-Anh, được đọc như sau:</w:t>
      </w:r>
    </w:p>
    <w:p>
      <w:pPr>
        <w:spacing w:after="80"/>
      </w:pPr>
      <w:r>
        <w:rPr>
          <w:b w:val="0"/>
          <w:i w:val="0"/>
        </w:rPr>
        <w:t>Thuật ngữ ‘lãi suất’ được sử dụng trong Điều này có nghĩa là thu nhập từ chứng khoán Chính phủ, trái phiếu hoặc giấy nợ, bất kể có được bảo đảm bằng thế chấp hay không và bất kể có mang quyền tham gia vào lợi nhuận hay không, và các khoản nợ phải đòi thuộc mọi loại cũng như tất cả các khoản thu nhập khác được luật thuế của Quốc gia nơi phát sinh thu nhập đồng hóa với thu nhập từ tiền cho vay.</w:t>
      </w:r>
    </w:p>
    <w:p>
      <w:pPr>
        <w:spacing w:after="80"/>
      </w:pPr>
      <w:r>
        <w:rPr>
          <w:b w:val="0"/>
          <w:i w:val="0"/>
        </w:rPr>
        <w:t>75.</w:t>
      </w:r>
      <w:r>
        <w:rPr>
          <w:b w:val="0"/>
          <w:i/>
        </w:rPr>
        <w:t>Murphy (Thanh tra Thuế) v Asahi Synthetic Fibres (Ireland) Limited</w:t>
      </w:r>
      <w:r>
        <w:rPr>
          <w:b w:val="0"/>
          <w:i w:val="0"/>
        </w:rPr>
        <w:t xml:space="preserve"> (Tòa án Tối cao Ireland) 1986 IR 777, [1986] ITR III 246.76.</w:t>
      </w:r>
      <w:r>
        <w:rPr>
          <w:b w:val="0"/>
          <w:i/>
        </w:rPr>
        <w:t>Bricom Holdings Limited v Inland Revenue Commissioners</w:t>
      </w:r>
      <w:r>
        <w:rPr>
          <w:b w:val="0"/>
          <w:i w:val="0"/>
        </w:rPr>
        <w:t xml:space="preserve"> [1997] BTC 471; [1997] STC 1179, CA.</w:t>
      </w:r>
    </w:p>
    <w:p>
      <w:pPr>
        <w:spacing w:after="80"/>
      </w:pPr>
      <w:r>
        <w:rPr>
          <w:b w:val="0"/>
          <w:i w:val="0"/>
        </w:rPr>
        <w:t>317</w:t>
      </w:r>
    </w:p>
    <w:p>
      <w:pPr>
        <w:spacing w:after="80"/>
      </w:pPr>
      <w:r>
        <w:rPr>
          <w:b w:val="0"/>
          <w:i w:val="0"/>
        </w:rPr>
        <w:t>Có nhiều dạng điều khoản khác nhau trong các hiệp định thuế của Vương quốc Anh (UK). Cụm từ 'bao gồm cả phí bảo hiểm và giải thưởng gắn với các chứng khoán, trái phiếu hoặc giấy nợ đó' thường bị lược bỏ khỏi các hiệp định của UK. Một số hiệp định (ví dụ: Hiệp định UK-Iceland, Điều 11(2)) định nghĩa tiền lãi hoàn toàn dựa trên luật nội địa của quốc gia ký kết liên quan. Định nghĩa về cổ tức trong hiệp định, trong nhiều trường hợp, sẽ quyết định liệu và ở mức độ nào việc xử lý tiền lãi như một khoản phân phối theo CTA 2010, mục 1000, được áp dụng.77 Khi không được áp dụng, tiền lãi sẽ được xử lý như tiền lãi cho mục đích hiệp định. Những hiệp định định nghĩa cổ tức dựa trên luật thuế nội địa về các khoản phân phối nói chung sẽ cho phép mục 1000 hoạt động không bị cản trở. Các hiệp định có định nghĩa độc lập thường sẽ thu hẹp phạm vi áp dụng của các quy tắc này. Các hiệp định theo ngôn ngữ của Mẫu OECD không thiết lập thứ bậc phân loại các khoản thanh toán giữa cổ tức và tiền lãi. UK duy trì một quan sát đối với Bình luận của OECD về cả ý nghĩa của tiền lãi và cổ tức dưới góc độ xử lý một số khoản thanh toán tiền lãi như các khoản phân phối theo CTA 2010, mục 1000.78 Do đó, việc chèn thêm ngôn ngữ vào các hiệp định của UK với nội dung rằng tiền lãi không bao gồm bất kỳ khoản mục nào được xử lý như cổ tức theo điều khoản cổ tức đã trở nên phổ biến.79 Hiệu lực của ngôn ngữ như vậy rõ ràng là ưu tiên định nghĩa cổ tức, mà khi Mẫu OECD được sử dụng, sẽ giữ nguyên đặc điểm luật nội địa của khoản thanh toán tại quốc gia nguồn.</w:t>
      </w:r>
    </w:p>
    <w:p>
      <w:pPr>
        <w:spacing w:after="80"/>
      </w:pPr>
      <w:r>
        <w:rPr>
          <w:b w:val="0"/>
          <w:i w:val="0"/>
        </w:rPr>
        <w:t>Một nhóm nhỏ các hiệp định quy định cách xử lý cụ thể. Cơ quan Thuế chấp nhận rằng các hiệp định với Fiji và Sudan cho phép tiền lãi vượt mức được xác định đặc điểm như một khoản phân phối, nhưng ngăn công ty trả tiền bị từ chối khấu trừ cho các khoản phân phối đó (xem Hiệp định Sudan-UK, Điều 11(7), như một ví dụ).</w:t>
      </w:r>
    </w:p>
    <w:p>
      <w:pPr>
        <w:spacing w:after="80"/>
      </w:pPr>
      <w:r>
        <w:rPr>
          <w:b w:val="0"/>
          <w:i w:val="0"/>
        </w:rPr>
        <w:t>Một ví dụ về việc xác định đặc điểm của một khoản thanh toán là cổ tức hay tiền lãi bị bỏ qua được tìm thấy trong Hiệp định UK-Đức (2010). Cả cổ tức và tiền lãi đều có thể bị đánh thuế tại quốc gia nguồn nếu chúng phát sinh từ các quyền hoặc khiếu nại nợ mang quyền tham gia vào lợi nhuận, bao gồm thu nhập phát sinh bởi một đối tác thầm lặng (</w:t>
      </w:r>
      <w:r>
        <w:rPr>
          <w:b w:val="0"/>
          <w:i/>
        </w:rPr>
        <w:t>stiller Gesellschafter</w:t>
      </w:r>
      <w:r>
        <w:rPr>
          <w:b w:val="0"/>
          <w:i w:val="0"/>
        </w:rPr>
        <w:t>) từ việc tham gia với tư cách đó, hoặc từ một khoản vay với lãi suất liên kết với lợi nhuận của người đi vay (</w:t>
      </w:r>
      <w:r>
        <w:rPr>
          <w:b w:val="0"/>
          <w:i/>
        </w:rPr>
        <w:t>partiarisches Darlehen</w:t>
      </w:r>
      <w:r>
        <w:rPr>
          <w:b w:val="0"/>
          <w:i w:val="0"/>
        </w:rPr>
        <w:t>) hoặc từ trái phiếu chia sẻ lợi nhuận (</w:t>
      </w:r>
      <w:r>
        <w:rPr>
          <w:b w:val="0"/>
          <w:i/>
        </w:rPr>
        <w:t>Gewinnobligationen</w:t>
      </w:r>
      <w:r>
        <w:rPr>
          <w:b w:val="0"/>
          <w:i w:val="0"/>
        </w:rPr>
        <w:t>) theo nghĩa của luật thuế Đức nếu chúng được khấu trừ trong việc xác định lợi nhuận của người mắc nợ đối với thu nhập đó.80</w:t>
      </w:r>
    </w:p>
    <w:p>
      <w:pPr>
        <w:spacing w:after="80"/>
      </w:pPr>
      <w:r>
        <w:rPr>
          <w:b w:val="0"/>
          <w:i w:val="0"/>
        </w:rPr>
        <w:t xml:space="preserve">Khó khăn trong phân loại có thể được minh họa bằng </w:t>
      </w:r>
      <w:r>
        <w:rPr>
          <w:b w:val="0"/>
          <w:i/>
        </w:rPr>
        <w:t>Genusscheine</w:t>
      </w:r>
      <w:r>
        <w:rPr>
          <w:b w:val="0"/>
          <w:i w:val="0"/>
        </w:rPr>
        <w:t xml:space="preserve">. Đây là những công cụ có thể được phát hành bởi các công ty được thành lập theo luật công ty của một số quốc gia theo hệ thống luật dân sự, bao gồm cả Áo và Đức, mà không được biết đến ở các quốc gia theo hệ thống luật chung. Khó khăn trong phân loại nảy sinh vì các điều khoản theo đó công cụ có thể được phát hành có thể có đặc điểm nợ hoặc vốn chủ sở hữu, hoặc kết hợp cả hai. Các khoản thanh toán theo </w:t>
      </w:r>
      <w:r>
        <w:rPr>
          <w:b w:val="0"/>
          <w:i/>
        </w:rPr>
        <w:t>Genusscheine</w:t>
      </w:r>
      <w:r>
        <w:rPr>
          <w:b w:val="0"/>
          <w:i w:val="0"/>
        </w:rPr>
        <w:t xml:space="preserve"> do một ngân hàng Đức phát hành và được một ngân hàng Áo nắm giữ đã được Tòa án Công lý Liên minh Châu Âu (CJEU) phán quyết không phải là tiền lãi vì các công cụ mang quyền tham gia vào lợi nhuận</w:t>
      </w:r>
    </w:p>
    <w:p>
      <w:pPr>
        <w:spacing w:after="80"/>
      </w:pPr>
      <w:r>
        <w:rPr>
          <w:b w:val="0"/>
          <w:i w:val="0"/>
        </w:rPr>
        <w:t>77. Tiền lãi được xác định lại đặc điểm như một khoản phân phối theo luật nội địa không thuộc diện khấu trừ thuế tại nguồn. Cách giải thích này đối với ITA 2007, mục 874 được xác nhận trong HMRC Brief 100/09, ngày 12 tháng 1 năm 2010.78. Bình luận của OECD về Điều 10, đoạn 68, và Điều 11, đoạn 37.79. Xem, ví dụ, Hiệp định Thuế Trung Quốc-UK (2011), Điều 11(3).80. Nghị định thư ngày 30 tháng 3 năm 2010 (SI 2010/2975), Điều 2.</w:t>
      </w:r>
    </w:p>
    <w:p>
      <w:pPr>
        <w:spacing w:after="80"/>
      </w:pPr>
      <w:r>
        <w:rPr>
          <w:b w:val="0"/>
          <w:i w:val="0"/>
        </w:rPr>
        <w:t>318</w:t>
      </w:r>
    </w:p>
    <w:p>
      <w:pPr>
        <w:spacing w:after="80"/>
      </w:pPr>
      <w:r>
        <w:rPr>
          <w:b w:val="0"/>
          <w:i w:val="0"/>
        </w:rPr>
        <w:t xml:space="preserve">theo Điều 11(2) của hiệp định thuế hai lần Áo-Đức trong </w:t>
      </w:r>
      <w:r>
        <w:rPr>
          <w:b w:val="0"/>
          <w:i/>
        </w:rPr>
        <w:t>Áo v Đức.</w:t>
      </w:r>
      <w:r>
        <w:rPr>
          <w:b w:val="0"/>
          <w:i w:val="0"/>
        </w:rPr>
        <w:t xml:space="preserve">81 Các </w:t>
      </w:r>
      <w:r>
        <w:rPr>
          <w:b w:val="0"/>
          <w:i/>
        </w:rPr>
        <w:t>Genusscheine</w:t>
      </w:r>
      <w:r>
        <w:rPr>
          <w:b w:val="0"/>
          <w:i w:val="0"/>
        </w:rPr>
        <w:t xml:space="preserve"> bao gồm các điều khoản chỉ ra cả đặc điểm nợ và vốn chủ sở hữu. Tòa án nhận xét rằng công cụ này có thể được coi là một loại nợ đặc biệt nhưng kết luận rằng cụm từ 'khiếu nại nợ có tham gia vào lợi nhuận' đề cập đến các sản phẩm tài chính mà thù lao của chúng thay đổi, ít nhất một phần, theo lợi nhuận hàng năm của người mắc nợ.</w:t>
      </w:r>
    </w:p>
    <w:p>
      <w:pPr>
        <w:spacing w:after="80"/>
      </w:pPr>
      <w:r>
        <w:rPr>
          <w:b/>
          <w:i w:val="0"/>
        </w:rPr>
        <w:t>[B]Nguồn của Tiền lãi</w:t>
      </w:r>
    </w:p>
    <w:p>
      <w:pPr>
        <w:spacing w:after="80"/>
      </w:pPr>
      <w:r>
        <w:rPr>
          <w:b w:val="0"/>
          <w:i w:val="0"/>
        </w:rPr>
        <w:t xml:space="preserve">Nếu nguồn tiền lãi nằm ngoài UK, thì người trả tiền không có nghĩa vụ khấu trừ thuế thu nhập đối với các khoản thanh toán cho người không cư trú.82 Quan điểm hiện tại của Cơ quan Thuế về vị trí nguồn tiền lãi dựa trên </w:t>
      </w:r>
      <w:r>
        <w:rPr>
          <w:b w:val="0"/>
          <w:i/>
        </w:rPr>
        <w:t>Westminster Bank Executor and Trust Company (Channel Islands) Limited v National Bank of Greece S.A.</w:t>
      </w:r>
      <w:r>
        <w:rPr>
          <w:b w:val="0"/>
          <w:i w:val="0"/>
        </w:rPr>
        <w:t>83 Trong trường hợp đó, nghĩa vụ được đề cập, một khoản thanh toán bảo lãnh, được thực hiện bởi một công ty nước ngoài không có địa điểm kinh doanh tại UK. Người mắc nợ chính cũng là một công ty nước ngoài và nghĩa vụ được bảo đảm bằng đất đai và nguồn thu công cộng bên ngoài UK. Ngoài ra, tiền để người mắc nợ chính thanh toán sẽ được cung cấp từ một khoản chuyển tiền từ ngoài UK. Kết quả là, thực tiễn của Cơ quan Thuế là coi nơi cư trú của người mắc nợ chỉ là một yếu tố. Các yếu tố mà cơ quan này coi là quan trọng bao gồm:</w:t>
      </w:r>
    </w:p>
    <w:p>
      <w:pPr>
        <w:spacing w:after="80"/>
      </w:pPr>
      <w:r>
        <w:rPr>
          <w:b w:val="0"/>
          <w:i w:val="0"/>
        </w:rPr>
        <w:t>– nơi cư trú của người mắc nợ (là nơi khoản nợ sẽ được thực thi);– nguồn từ đó tiền lãi được trả;– nơi tiền lãi được trả; và– bản chất và vị trí của tài sản bảo đảm cho khoản nợ.84</w:t>
      </w:r>
    </w:p>
    <w:p>
      <w:pPr>
        <w:spacing w:after="80"/>
      </w:pPr>
      <w:r>
        <w:rPr>
          <w:b w:val="0"/>
          <w:i w:val="0"/>
        </w:rPr>
        <w:t xml:space="preserve">Nếu tất cả các yếu tố kết nối đều ở một quốc gia, thì nguồn ở quốc gia đó. Các câu hỏi khó hơn nảy sinh khi các yếu tố kết nối ở nhiều hơn một quốc gia. Trong </w:t>
      </w:r>
      <w:r>
        <w:rPr>
          <w:b w:val="0"/>
          <w:i/>
        </w:rPr>
        <w:t>Kwok Chi Leung Karl v Commissioner of Estate Duty</w:t>
      </w:r>
      <w:r>
        <w:rPr>
          <w:b w:val="0"/>
          <w:i w:val="0"/>
        </w:rPr>
        <w:t>,85 Hội đồng Cơ mật phán quyết rằng khi một người mắc nợ có hai nơi cư trú nơi một khoản nợ có thể được thực thi, vị trí của khoản nợ cho mục đích thuế di sản Hồng Kông được xác định dựa trên nơi cư trú nơi nghĩa vụ chính được tuyên bố thực hiện. Đó là nơi chủ nợ sẽ yêu cầu tiền của mình trước tiên theo hợp đồng tạo ra khoản nợ.</w:t>
      </w:r>
    </w:p>
    <w:p>
      <w:pPr>
        <w:spacing w:after="80"/>
      </w:pPr>
      <w:r>
        <w:rPr>
          <w:b w:val="0"/>
          <w:i w:val="0"/>
        </w:rPr>
        <w:t>Nơi tiền lãi phát sinh không chỉ đơn thuần là vị trí của khoản nợ. Sau gần nửa thế kỷ không chắc chắn về cách các nguyên tắc này được áp dụng, vấn đề đã đến trước các tòa án</w:t>
      </w:r>
    </w:p>
    <w:p>
      <w:pPr>
        <w:spacing w:after="80"/>
      </w:pPr>
      <w:r>
        <w:rPr>
          <w:b w:val="0"/>
          <w:i w:val="0"/>
        </w:rPr>
        <w:t xml:space="preserve">81. </w:t>
      </w:r>
      <w:r>
        <w:rPr>
          <w:b w:val="0"/>
          <w:i/>
        </w:rPr>
        <w:t>Republic of Austria v Federal Republic of Germany</w:t>
      </w:r>
      <w:r>
        <w:rPr>
          <w:b w:val="0"/>
          <w:i w:val="0"/>
        </w:rPr>
        <w:t xml:space="preserve"> (Vụ án C-648/15) ECLI:EU:C:2017:664. Xem thêm Vụ án 2K7273/00, </w:t>
      </w:r>
      <w:r>
        <w:rPr>
          <w:b w:val="0"/>
          <w:i/>
        </w:rPr>
        <w:t>Finanzgericht Köln</w:t>
      </w:r>
      <w:r>
        <w:rPr>
          <w:b w:val="0"/>
          <w:i w:val="0"/>
        </w:rPr>
        <w:t xml:space="preserve"> (Tòa án Thuế, Cologne), ngày 11 tháng 12 năm 2003, được thảo luận tại §10.03 ở trên.82. ITA 2007, mục 884 và ITTOIA 2005, mục 830(2)(e).83. </w:t>
      </w:r>
      <w:r>
        <w:rPr>
          <w:b w:val="0"/>
          <w:i/>
        </w:rPr>
        <w:t>Westminster Bank Executor and Trust Company (Channel Islands) Limited v National Bank of Greece S.A</w:t>
      </w:r>
      <w:r>
        <w:rPr>
          <w:b w:val="0"/>
          <w:i w:val="0"/>
        </w:rPr>
        <w:t xml:space="preserve"> [1970] 1 QB 251.84. HMRC, Tax Bulletin (tháng 11 năm 1993), tr. 100; HMRC, Savings and Investments Manual, SAIM9090.85. </w:t>
      </w:r>
      <w:r>
        <w:rPr>
          <w:b w:val="0"/>
          <w:i/>
        </w:rPr>
        <w:t>Kwok Chi Leung Karl (Executor of Lamson Kwok) v Commissioner of Estate Duty</w:t>
      </w:r>
      <w:r>
        <w:rPr>
          <w:b w:val="0"/>
          <w:i w:val="0"/>
        </w:rPr>
        <w:t xml:space="preserve"> [1988] BTC 8073; [1988] STC 728.</w:t>
      </w:r>
    </w:p>
    <w:p>
      <w:pPr>
        <w:spacing w:after="80"/>
      </w:pPr>
      <w:r>
        <w:rPr>
          <w:b w:val="0"/>
          <w:i w:val="0"/>
        </w:rPr>
        <w:t>319</w:t>
      </w:r>
    </w:p>
    <w:p>
      <w:pPr>
        <w:spacing w:after="80"/>
      </w:pPr>
      <w:r>
        <w:rPr>
          <w:b w:val="0"/>
          <w:i w:val="0"/>
        </w:rPr>
        <w:t xml:space="preserve">trong hai vụ án.86 Trong </w:t>
      </w:r>
      <w:r>
        <w:rPr>
          <w:b w:val="0"/>
          <w:i/>
        </w:rPr>
        <w:t>Ardmore Construction Ltd v Revenue &amp; Customs Commrs</w:t>
      </w:r>
      <w:r>
        <w:rPr>
          <w:b w:val="0"/>
          <w:i w:val="0"/>
        </w:rPr>
        <w:t>, Tòa án Sơ thẩm (First-tier Tribunal) bác bỏ lập luận rằng nguồn tiền lãi nằm ở nơi tín dụng được cung cấp. Tòa án kết luận rằng một bài kiểm tra đa yếu tố được áp dụng và rằng nhiều yếu tố cần được xem xét và cân nhắc, bao gồm nơi cư trú của người mắc nợ, nơi thực thi khoản nợ đối với người mắc nợ, nơi cư trú của bất kỳ người bảo lãnh nào, vị trí của bất kỳ tài sản bảo đảm nào, vị trí của khoản nợ, luật thích hợp của hợp đồng và nơi thanh toán tiền lãi. Tại Tòa phúc thẩm,87 công ty chấp nhận rằng một bài kiểm tra đa yếu tố được áp dụng, nhưng tranh cãi về trọng số cần dành cho các yếu tố cụ thể.</w:t>
      </w:r>
    </w:p>
    <w:p>
      <w:pPr>
        <w:spacing w:after="80"/>
      </w:pPr>
      <w:r>
        <w:rPr>
          <w:b w:val="0"/>
          <w:i w:val="0"/>
        </w:rPr>
        <w:t xml:space="preserve">Trọng số gắn với các yếu tố này cũng đã được Thẩm phán Hellier phân tích chi tiết trong </w:t>
      </w:r>
      <w:r>
        <w:rPr>
          <w:b w:val="0"/>
          <w:i/>
        </w:rPr>
        <w:t>Perrin v Revenue &amp; Customs</w:t>
      </w:r>
      <w:r>
        <w:rPr>
          <w:b w:val="0"/>
          <w:i w:val="0"/>
        </w:rPr>
        <w:t>:88</w:t>
      </w:r>
    </w:p>
    <w:p>
      <w:pPr>
        <w:spacing w:after="80"/>
      </w:pPr>
      <w:r>
        <w:rPr>
          <w:b w:val="0"/>
          <w:i w:val="0"/>
        </w:rPr>
        <w:t>(1) Vị trí của khoản nợ không mang tính quyết định. (2) Nơi cư trú của bên cho vay hoặc nơi xuất tiền cho vay không</w:t>
      </w:r>
    </w:p>
    <w:p>
      <w:pPr>
        <w:spacing w:after="80"/>
      </w:pPr>
      <w:r>
        <w:rPr>
          <w:b w:val="0"/>
          <w:i w:val="0"/>
        </w:rPr>
        <w:t>liên quan. (3) Luật điều chỉnh nghĩa vụ có thể được cho rất ít, nếu có, trọng số. (4) Nơi cư trú của con nợ là quan trọng. Đây là một cân nhắc trung tâm trong</w:t>
      </w:r>
    </w:p>
    <w:p>
      <w:pPr>
        <w:spacing w:after="80"/>
      </w:pPr>
      <w:r>
        <w:rPr>
          <w:b w:val="0"/>
          <w:i w:val="0"/>
        </w:rPr>
        <w:t>việc xác định nơi tọa lạc (situs). Khi con nợ là một công ty, địa điểm của một chi nhánh có thể liên quan: điều đó cho thấy tầm quan trọng của nguồn vốn dùng để thanh toán. (5) Nơi có thẩm quyền tài phán của tòa án đối với bất kỳ khiếu nại nào được đưa ra theo thỏa thuận</w:t>
      </w:r>
    </w:p>
    <w:p>
      <w:pPr>
        <w:spacing w:after="80"/>
      </w:pPr>
      <w:r>
        <w:rPr>
          <w:b w:val="0"/>
          <w:i w:val="0"/>
        </w:rPr>
        <w:t>cho vay là có liên quan nhưng có thể bị giảm bớt nếu nơi thực thi đáng kể lại ở nơi khác. (6) Vị trí của bất kỳ tài sản bảo đảm nào là có liên quan vì nó phản ánh nơi thực thi</w:t>
      </w:r>
    </w:p>
    <w:p>
      <w:pPr>
        <w:spacing w:after="80"/>
      </w:pPr>
      <w:r>
        <w:rPr>
          <w:b w:val="0"/>
          <w:i w:val="0"/>
        </w:rPr>
        <w:t>cuối cùng các quyền của chủ nợ. (7) Nơi thanh toán thực tế hoặc được quy định là có liên quan, nhưng ít trọng số. (8) Nơi thực thi được dự liệu là có liên quan. (9) Nguồn được dự liệu hoặc nguồn gốc thực chất (nguồn gần và nguồn kinh tế)</w:t>
      </w:r>
    </w:p>
    <w:p>
      <w:pPr>
        <w:spacing w:after="80"/>
      </w:pPr>
      <w:r>
        <w:rPr>
          <w:b w:val="0"/>
          <w:i w:val="0"/>
        </w:rPr>
        <w:t>của các khoản tiền để thanh toán các nghĩa vụ là có liên quan và có ý nghĩa lớn hơn so với nơi mà việc thanh toán được thực hiện.</w:t>
      </w:r>
    </w:p>
    <w:p>
      <w:pPr>
        <w:spacing w:after="80"/>
      </w:pPr>
      <w:r>
        <w:rPr>
          <w:b w:val="0"/>
          <w:i w:val="0"/>
        </w:rPr>
        <w:t xml:space="preserve">Cả hai vụ án đều liên quan đến những thỏa thuận dàn dựng nơi nguồn gốc của tiền lãi là vấn đề tranh chấp. Trong </w:t>
      </w:r>
      <w:r>
        <w:rPr>
          <w:b w:val="0"/>
          <w:i/>
        </w:rPr>
        <w:t>Ardmore</w:t>
      </w:r>
      <w:r>
        <w:rPr>
          <w:b w:val="0"/>
          <w:i w:val="0"/>
        </w:rPr>
        <w:t>, các khoản cho vay không có bảo đảm được thực hiện theo các điều khoản thương mại cho các mục đích kinh doanh chung bởi hai quỹ tín thác Gibraltar cho một công ty cư trú tại Anh chuyên hành nghề thầu xây dựng tổng hợp và kỹ sư xây dựng dân dụng hoàn toàn tại Anh. Các thỏa thuận cho vay được lập tại Gibraltar, chịu sự điều chỉnh của luật Gibraltar và các bên đã đệ trình lên thẩm quyền tài phán của tòa án Gibraltar. Các khoản thanh toán cho bên cho vay được thực hiện tại Gibraltar vào tài khoản ngân hàng của Bên cho vay tại Gibraltar. Các quỹ tín thác được thành lập bởi hai anh em sở hữu công ty Anh. Mỗi quỹ tín thác sở hữu một công ty British Virgin</w:t>
      </w:r>
    </w:p>
    <w:p>
      <w:pPr>
        <w:spacing w:after="80"/>
      </w:pPr>
      <w:r>
        <w:rPr>
          <w:b w:val="0"/>
          <w:i w:val="0"/>
        </w:rPr>
        <w:t>86.</w:t>
      </w:r>
      <w:r>
        <w:rPr>
          <w:b w:val="0"/>
          <w:i/>
        </w:rPr>
        <w:t>Perrin v Revenue &amp; Customs</w:t>
      </w:r>
      <w:r>
        <w:rPr>
          <w:b w:val="0"/>
          <w:i w:val="0"/>
        </w:rPr>
        <w:t xml:space="preserve"> [2014] TC 03363 [2014] UKFTT 223 (TC), [2014] SFTD 9193; </w:t>
      </w:r>
      <w:r>
        <w:rPr>
          <w:b w:val="0"/>
          <w:i/>
        </w:rPr>
        <w:t>Ardmore Construction Ltd v Revenue &amp; Customs</w:t>
      </w:r>
      <w:r>
        <w:rPr>
          <w:b w:val="0"/>
          <w:i w:val="0"/>
        </w:rPr>
        <w:t xml:space="preserve"> [2014] TC 03580 [2014] UKFTT 453 (TC); [2014] SFTD 1077. 87.</w:t>
      </w:r>
      <w:r>
        <w:rPr>
          <w:b w:val="0"/>
          <w:i/>
        </w:rPr>
        <w:t>Ardmore Construction Ltd v Revenue and Customs</w:t>
      </w:r>
      <w:r>
        <w:rPr>
          <w:b w:val="0"/>
          <w:i w:val="0"/>
        </w:rPr>
        <w:t xml:space="preserve"> [2018] EWCA Civ 1438, [2018] STC 1487, [2018] WLR(D) 385, [2018] BTC 27. 88. Tại đoạn [68].</w:t>
      </w:r>
    </w:p>
    <w:p>
      <w:pPr>
        <w:spacing w:after="80"/>
      </w:pPr>
      <w:r>
        <w:rPr>
          <w:b w:val="0"/>
          <w:i w:val="0"/>
        </w:rPr>
        <w:t>320</w:t>
      </w:r>
    </w:p>
    <w:p>
      <w:pPr>
        <w:spacing w:after="80"/>
      </w:pPr>
      <w:r>
        <w:rPr>
          <w:b w:val="0"/>
          <w:i w:val="0"/>
        </w:rPr>
        <w:t>Islands. Công ty Anh đã đăng ký mua một cổ phần có thể hoàn trả trong mỗi công ty BVI, các công ty này đã dùng số tiền thu được từ việc đăng ký mua cổ phần để cho các quỹ tín thác Gibraltar vay, rồi các quỹ tín thác này lại cho công ty Anh vay. Vấn đề đặt ra là liệu tiền lãi phát sinh từ khoản cho vay từ các quỹ tín thác Gibraltar cho Ardmore có nên được coi là 'phát sinh tại Anh' theo mục đích của ITA 2007, s. 874 hay không.</w:t>
      </w:r>
    </w:p>
    <w:p>
      <w:pPr>
        <w:spacing w:after="80"/>
      </w:pPr>
      <w:r>
        <w:rPr>
          <w:b w:val="0"/>
          <w:i w:val="0"/>
        </w:rPr>
        <w:t xml:space="preserve">Trong </w:t>
      </w:r>
      <w:r>
        <w:rPr>
          <w:b w:val="0"/>
          <w:i/>
        </w:rPr>
        <w:t>Perrin</w:t>
      </w:r>
      <w:r>
        <w:rPr>
          <w:b w:val="0"/>
          <w:i w:val="0"/>
        </w:rPr>
        <w:t xml:space="preserve">, các khoản cho vay được thực hiện bởi một Chương trình Phúc lợi Hưu trí do Người sử dụng lao động tài trợ (Employer Funded Retirement Benefit Scheme - EFRBS) tại Đảo Man cho người nộp thuế cư trú tại Anh từ tài khoản ngân hàng của chương trình tại Đảo Man đến tài khoản ngân hàng của người nộp thuế, cũng tại Đảo Man. Phần lớn số tiền cho vay sau đó được cho công ty Anh của người nộp thuế vay (công ty đã cung cấp nguồn tài trợ cho EFRBS). Số dư còn lại được đầu tư vào cổ phiếu và chứng khoán và khoảng £81,000 được giữ lại trong tài khoản ngân hàng tại Đảo Man của người nộp thuế. Tiền lãi trên các khoản cho vay từ EFRBS được thực hiện từ tài khoản ngân hàng tại Đảo Man của người nộp thuế đến một tài khoản ngân hàng tại Đảo Man của EFRBS. Luật điều chỉnh thỏa thuận và nơi thanh toán được thực hiện mang rất ít trọng số. Mặc dù thẩm quyền tài phán nơi có thể có được phán quyết chống lại con nợ là Đảo Man, nhưng nó có thể và rất có thể sẽ được thực thi tại Anh, nơi con nợ cư trú và nơi các nghĩa vụ thanh toán của anh ta được dự liệu sẽ được thực thi hoặc sẽ phát sinh đáng kể, đều ở Anh. Hội đồng xét xử trong </w:t>
      </w:r>
      <w:r>
        <w:rPr>
          <w:b w:val="0"/>
          <w:i/>
        </w:rPr>
        <w:t>Perrin</w:t>
      </w:r>
      <w:r>
        <w:rPr>
          <w:b w:val="0"/>
          <w:i w:val="0"/>
        </w:rPr>
        <w:t xml:space="preserve"> đã dựa vào một quyết định chưa được công bố của các Ủy viên Đặc biệt, được HMRC viện dẫn, mà hội đồng xét xử trong </w:t>
      </w:r>
      <w:r>
        <w:rPr>
          <w:b w:val="0"/>
          <w:i/>
        </w:rPr>
        <w:t>Ardmore</w:t>
      </w:r>
      <w:r>
        <w:rPr>
          <w:b w:val="0"/>
          <w:i w:val="0"/>
        </w:rPr>
        <w:t xml:space="preserve"> kết luận là không phù hợp,89 và ở mức độ đó là đáng ngờ. Trọng số chính xác dành cho các yếu tố khác nhau vẫn còn phải được quyết định theo từng vụ việc cụ thể.</w:t>
      </w:r>
    </w:p>
    <w:p>
      <w:pPr>
        <w:spacing w:after="80"/>
      </w:pPr>
      <w:r>
        <w:rPr>
          <w:b w:val="0"/>
          <w:i w:val="0"/>
        </w:rPr>
        <w:t xml:space="preserve">Các kháng cáo từ cả hai vụ án đã được Tòa án Cấp trên (Upper Tribunal) xét xử cùng nhau.90 Tòa án Cấp trên đã phán quyết rằng một bài kiểm tra đa yếu tố được áp dụng và rằng không có một tập hợp các yếu tố liên quan thuận tiện nào có thể được đúc kết.91 Tòa án Phúc thẩm trong </w:t>
      </w:r>
      <w:r>
        <w:rPr>
          <w:b w:val="0"/>
          <w:i/>
        </w:rPr>
        <w:t>Ardmore</w:t>
      </w:r>
      <w:r>
        <w:rPr>
          <w:b w:val="0"/>
          <w:i w:val="0"/>
        </w:rPr>
        <w:t xml:space="preserve"> đã giữ nguyên các quyết định của tòa cấp dưới và kết luận rằng cách tiếp cận đúng đắn là một cách tiếp cận thực tiễn, 'cực kỳ nhạy cảm với tình tiết thực tế', theo đó tất cả các tình tiết phải được xem xét, cả riêng lẻ lẫn tích lũy.92</w:t>
      </w:r>
    </w:p>
    <w:p>
      <w:pPr>
        <w:spacing w:after="80"/>
      </w:pPr>
      <w:r>
        <w:rPr>
          <w:b w:val="0"/>
          <w:i w:val="0"/>
        </w:rPr>
        <w:t>Các yếu tố thực chất thay vì lý thuyết, chẳng hạn như mối liên hệ nhân quả và luật điều chỉnh, nên được áp dụng.93</w:t>
      </w:r>
    </w:p>
    <w:p>
      <w:pPr>
        <w:spacing w:after="80"/>
      </w:pPr>
      <w:r>
        <w:rPr>
          <w:b w:val="0"/>
          <w:i w:val="0"/>
        </w:rPr>
        <w:t>Tiền lãi phải 'phát sinh tại một quốc gia ký kết' để nằm trong phạm vi của điều khoản về tiền lãi. Nguồn gốc của tiền lãi cho các mục đích hiệp ước thường được xác định bởi điều 11(5) của OECD Model. Phiên bản hiện hành được tìm thấy trong Hiệp ước Anh-Ba Lan:</w:t>
      </w:r>
    </w:p>
    <w:p>
      <w:pPr>
        <w:spacing w:after="80"/>
      </w:pPr>
      <w:r>
        <w:rPr>
          <w:b w:val="0"/>
          <w:i w:val="0"/>
        </w:rPr>
        <w:t>11(6) Tiền lãi được coi là phát sinh tại một Quốc gia Ký kết khi bên trả là đối tượng cư trú của Quốc gia đó. Tuy nhiên, khi người trả tiền lãi, dù là đối tượng cư trú của một Quốc gia Ký kết hay không, có tại một Quốc gia Ký kết một cơ sở thường trú mà khoản nợ phát sinh tiền lãi được trả có liên quan đến cơ sở đó, và tiền lãi đó do cơ sở thường trú đó gánh chịu, thì tiền lãi đó được coi là phát sinh tại Quốc gia nơi cơ sở thường trú tọa lạc.</w:t>
      </w:r>
    </w:p>
    <w:p>
      <w:pPr>
        <w:spacing w:after="80"/>
      </w:pPr>
      <w:r>
        <w:rPr>
          <w:b w:val="0"/>
          <w:i w:val="0"/>
        </w:rPr>
        <w:t>89. Tại đoạn 22.90.</w:t>
      </w:r>
      <w:r>
        <w:rPr>
          <w:b w:val="0"/>
          <w:i/>
        </w:rPr>
        <w:t>Ardmore Construction Ltd v HMRC</w:t>
      </w:r>
      <w:r>
        <w:rPr>
          <w:b w:val="0"/>
          <w:i w:val="0"/>
        </w:rPr>
        <w:t xml:space="preserve"> [2015] UKUT 0633 (TCC), [2015] BTC 536, [2016] STC 1044, 18 ITL Rep 291.91. Tại đoạn 42.92.</w:t>
      </w:r>
      <w:r>
        <w:rPr>
          <w:b w:val="0"/>
          <w:i/>
        </w:rPr>
        <w:t>ArdmoreConstructionLtdvRevenueandCustoms</w:t>
      </w:r>
      <w:r>
        <w:rPr>
          <w:b w:val="0"/>
          <w:i w:val="0"/>
        </w:rPr>
        <w:t>[2018]EWCACiv1438,[2018]STC1487,[2018] BTC 27, tại đoạn 39.93.</w:t>
      </w:r>
      <w:r>
        <w:rPr>
          <w:b w:val="0"/>
          <w:i/>
        </w:rPr>
        <w:t>ArdmoreConstructionLtdvRevenueandCustoms</w:t>
      </w:r>
      <w:r>
        <w:rPr>
          <w:b w:val="0"/>
          <w:i w:val="0"/>
        </w:rPr>
        <w:t>[2018]EWCACiv1438,[2018]STC1487,[2018] BTC 27, tại đoạn 43.</w:t>
      </w:r>
    </w:p>
    <w:p>
      <w:pPr>
        <w:spacing w:after="80"/>
      </w:pPr>
      <w:r>
        <w:rPr>
          <w:b w:val="0"/>
          <w:i w:val="0"/>
        </w:rPr>
        <w:t>321</w:t>
      </w:r>
    </w:p>
    <w:p>
      <w:pPr>
        <w:spacing w:after="80"/>
      </w:pPr>
      <w:r>
        <w:rPr>
          <w:b w:val="0"/>
          <w:i w:val="0"/>
        </w:rPr>
        <w:t>Lãi được coi là phát sinh tại một quốc gia ký kết. Các hiệp định được xây dựng theo các phiên bản trước năm 1995 của OECD Model quy định rõ ràng khi người trả là cư dân của quốc gia đó, hoặc chính quốc gia đó, hoặc một đơn vị hành chính chính trị, một chính quyền địa phương, hoặc cư dân của quốc gia đó. Điều này cũng áp dụng khi chính quốc gia đó, một đơn vị hành chính chính trị hoặc chính quyền địa phương, là người trả.94 Một quy tắc đặc biệt được quy định trong trường hợp cơ sở thường trú. Khi người trả lãi có một cơ sở thường trú tại một quốc gia ký kết mà khoản nợ phát sinh lãi được trả có liên quan đến cơ sở thường trú đó, và lãi được cơ sở thường trú gánh chịu, thì lãi được coi là phát sinh tại quốc gia nơi cơ sở thường trú tọa lạc. Các hiệp định áp dụng định nghĩa nguồn theo phong cách OECD có phạm vi rộng hơn so với trường hợp theo luật nội địa của Vương quốc Anh. Tuy nhiên, quy định này không có trong một số hiệp định, chẳng hạn như Hiệp định Oman-UK.95 Trong những trường hợp như vậy, quốc gia nơi lãi phát sinh là vấn đề giải thích.</w:t>
      </w:r>
    </w:p>
    <w:p>
      <w:pPr>
        <w:spacing w:after="80"/>
      </w:pPr>
      <w:r>
        <w:rPr>
          <w:b/>
          <w:i w:val="0"/>
        </w:rPr>
        <w:t>[C]Mối quan hệ đặc biệt</w:t>
      </w:r>
    </w:p>
    <w:p>
      <w:pPr>
        <w:spacing w:after="80"/>
      </w:pPr>
      <w:r>
        <w:rPr>
          <w:b w:val="0"/>
          <w:i w:val="0"/>
        </w:rPr>
        <w:t>Khi có mối quan hệ đặc biệt giữa người trả và chủ sở hữu hưởng lợi của lãi, hoặc mối quan hệ đặc biệt giữa cả hai bên với một người khác, các lợi ích theo hiệp định có thể bị giới hạn. Nói một cách rộng nhất, các quy tắc như vậy nhằm mục đích chỉ mở rộng việc giảm hoặc loại bỏ thuế của quốc gia nguồn đối với khoản lãi ở mức độ giao dịch độc lập (arm's-length). Cách thức đo lường khoản tiền đủ điều kiện hưởng lợi ích theo hiệp định khác nhau giữa các hiệp định, nhưng cơ chế được quy định, ví dụ, tại Điều 11(4) của Hiệp định Tiệp Khắc-UK được áp dụng một cách nhất quán:</w:t>
      </w:r>
    </w:p>
    <w:p>
      <w:pPr>
        <w:spacing w:after="80"/>
      </w:pPr>
      <w:r>
        <w:rPr>
          <w:b w:val="0"/>
          <w:i w:val="0"/>
        </w:rPr>
        <w:t>Khi, do mối quan hệ đặc biệt giữa người trả và người nhận lãi hoặc giữa cả hai bên với một người khác, số tiền lãi được trả vượt quá … số tiền lẽ ra đã được trả nếu không có mối quan hệ như vậy, thì các quy định của Điều này chỉ áp dụng cho số tiền được đề cập sau cùng. Trong trường hợp đó, phần vượt quá của các khoản thanh toán vẫn phải chịu thuế theo luật của mỗi Quốc gia ký kết, có xét đến các quy định khác của công ước này.</w:t>
      </w:r>
    </w:p>
    <w:p>
      <w:pPr>
        <w:spacing w:after="80"/>
      </w:pPr>
      <w:r>
        <w:rPr>
          <w:b w:val="0"/>
          <w:i w:val="0"/>
        </w:rPr>
        <w:t>94. Xem, ví dụ, Công ước giữa Chính phủ Vương quốc Liên hiệp Anh và Bắc Ireland và Chính phủ Cộng hòa Ghana về Tránh đánh thuế hai lần và Ngăn ngừa trốn thuế liên quan đến Thuế đối với Thu nhập và Lợi nhuận vốn, Công ước ngày 20 tháng 1 năm 1993 (SI 1993/1800), Điều 11(5), và Công ước giữa Chính phủ Vương quốc Liên hiệp Anh và Bắc Ireland và Chính phủ Quốc gia Độc lập Papua New Guinea về Tránh đánh thuế hai lần và Ngăn ngừa trốn thuế liên quan đến Thuế đối với Thu nhập, Công ước ngày 17 tháng 9 năm 1991 (SI 1991/2882), Điều 12(7).95. Xem Điều 11; xem thêm Công ước giữa Vương quốc Liên hiệp Anh và Bắc Ireland và Cộng hòa Hungary về Tránh đánh thuế hai lần và Ngăn ngừa trốn thuế liên quan đến Thuế đối với Thu nhập và Lợi nhuận vốn, Công ước ngày 7 tháng 9 năm 2011 (SI 2011/2726), Điều 11, và Công ước giữa Chính phủ Vương quốc Liên hiệp Anh và Bắc Ireland và Chính phủ Liên bang Nga về Tránh đánh thuế hai lần và Ngăn ngừa trốn thuế liên quan đến Thuế đối với Thu nhập và Lợi nhuận vốn, Công ước ngày 15 tháng 2 năm 1994 (SI 1994/3213), Điều 11.</w:t>
      </w:r>
    </w:p>
    <w:p>
      <w:pPr>
        <w:spacing w:after="80"/>
      </w:pPr>
      <w:r>
        <w:rPr>
          <w:b w:val="0"/>
          <w:i w:val="0"/>
        </w:rPr>
        <w:t>322</w:t>
      </w:r>
    </w:p>
    <w:p>
      <w:pPr>
        <w:spacing w:after="80"/>
      </w:pPr>
      <w:r>
        <w:rPr>
          <w:b w:val="0"/>
          <w:i w:val="0"/>
        </w:rPr>
        <w:t xml:space="preserve">Ba điều kiện tích lũy cần được thỏa mãn đã được Tòa án Hành chính Tối cao Cộng hòa Séc xác định trong </w:t>
      </w:r>
      <w:r>
        <w:rPr>
          <w:b w:val="0"/>
          <w:i/>
        </w:rPr>
        <w:t>BritishAmericanTobacco(CzechRepublic), sro v Appeal Financial Directorate</w:t>
      </w:r>
      <w:r>
        <w:rPr>
          <w:b w:val="0"/>
          <w:i w:val="0"/>
        </w:rPr>
        <w:t>:</w:t>
      </w:r>
    </w:p>
    <w:p>
      <w:pPr>
        <w:spacing w:after="80"/>
      </w:pPr>
      <w:r>
        <w:rPr>
          <w:b w:val="0"/>
          <w:i w:val="0"/>
        </w:rPr>
        <w:t>– mối quan hệ đặc biệt giữa người trả và chủ sở hữu hưởng lợi của</w:t>
      </w:r>
    </w:p>
    <w:p>
      <w:pPr>
        <w:spacing w:after="80"/>
      </w:pPr>
      <w:r>
        <w:rPr>
          <w:b w:val="0"/>
          <w:i w:val="0"/>
        </w:rPr>
        <w:t>lãi, hoặc cách khác là mối quan hệ đặc biệt mà người trả và chủ sở hữu hưởng lợi và một người khác có;– lãi vượt quá số tiền mà người trả lẽ ra đã đồng ý với</w:t>
      </w:r>
    </w:p>
    <w:p>
      <w:pPr>
        <w:spacing w:after="80"/>
      </w:pPr>
      <w:r>
        <w:rPr>
          <w:b w:val="0"/>
          <w:i w:val="0"/>
        </w:rPr>
        <w:t>chủ sở hữu hưởng lợi nếu không có điều kiện thứ nhất; và– mối liên hệ nhân quả giữa hai điều kiện đầu tiên.96</w:t>
      </w:r>
    </w:p>
    <w:p>
      <w:pPr>
        <w:spacing w:after="80"/>
      </w:pPr>
      <w:r>
        <w:rPr>
          <w:b w:val="0"/>
          <w:i w:val="0"/>
        </w:rPr>
        <w:t>Nếu lãi được trả vượt quá mức 'giao dịch độc lập', quốc gia nguồn phải áp dụng bất kỳ việc giảm hoặc loại bỏ thuế nào được quy định trong điều khoản về lãi chỉ đối với mức giao dịch độc lập. Phần vượt quá phải được xử lý theo luật nội địa của các quốc gia ký kết, có xét đến các quy định khác của hiệp định. Do đó, về nguyên tắc, quốc gia nguồn có thể áp dụng các mức thuế nội địa được khấu trừ tại nguồn và quốc gia cư trú của chủ sở hữu hưởng lợi phải giảm trừ cho khoản thuế đó được áp đặt theo mức nội địa, tùy thuộc vào hoạt động của các phần khác của hiệp định như Điều 24 (Không phân biệt đối xử) và Điều 25 (Thủ tục Thỏa thuận Song phương).</w:t>
      </w:r>
    </w:p>
    <w:p>
      <w:pPr>
        <w:spacing w:after="80"/>
      </w:pPr>
      <w:r>
        <w:rPr>
          <w:b/>
          <w:i/>
        </w:rPr>
        <w:t>[1] Ý nghĩa của Mối quan hệ đặc biệt</w:t>
      </w:r>
    </w:p>
    <w:p>
      <w:pPr>
        <w:spacing w:after="80"/>
      </w:pPr>
      <w:r>
        <w:rPr>
          <w:b w:val="0"/>
          <w:i w:val="0"/>
        </w:rPr>
        <w:t xml:space="preserve">Mối quan hệ đặc biệt không được định nghĩa trong hiệp định hoặc luật nội địa. Trong </w:t>
      </w:r>
      <w:r>
        <w:rPr>
          <w:b w:val="0"/>
          <w:i/>
        </w:rPr>
        <w:t>BritishAmericanTobacco</w:t>
      </w:r>
      <w:r>
        <w:rPr>
          <w:b w:val="0"/>
          <w:i w:val="0"/>
        </w:rPr>
        <w:t xml:space="preserve">, Tòa án Hành chính Tối cao Séc đã phán quyết rằng nó có ý nghĩa rộng và mặc dù không giống hệt với khái niệm 'người có liên quan' trong luật nội địa, nhưng khác nhau về cách giải thích phương pháp luận chứ không phải về nội dung.97 HMRC cũng có quan điểm rất rộng về cách diễn đạt này. </w:t>
      </w:r>
      <w:r>
        <w:rPr>
          <w:b w:val="0"/>
          <w:i/>
        </w:rPr>
        <w:t>DoubleTaxationReliefManual</w:t>
      </w:r>
      <w:r>
        <w:rPr>
          <w:b w:val="0"/>
          <w:i w:val="0"/>
        </w:rPr>
        <w:t xml:space="preserve"> nêu rằng cụm từ 'mối quan hệ đặc biệt' bao hàm một loạt các mối quan hệ rộng hơn những mối quan hệ được xác định bởi pháp luật về 'người có liên kết' trong luật nội địa Vương quốc Anh. Nó nói rằng mối quan hệ đặc biệt không chỉ tồn tại khi các bên có liên kết (công ty mẹ và công ty con hoặc các công ty dưới sự kiểm soát chung) mà còn khi có bất kỳ cộng đồng lợi ích nào khác biệt với mối quan hệ pháp lý làm phát sinh khoản thanh toán.98 Bình luận của OECD về Điều 11 đề cập đến các trường hợp kiểm soát, cũng như các mối quan hệ huyết thống hoặc hôn nhân và bất kỳ 'cộng đồng lợi ích nào khác'.99</w:t>
      </w:r>
    </w:p>
    <w:p>
      <w:pPr>
        <w:spacing w:after="80"/>
      </w:pPr>
      <w:r>
        <w:rPr>
          <w:b/>
          <w:i/>
        </w:rPr>
        <w:t>[2] Tác động của Mối quan hệ đặc biệt</w:t>
      </w:r>
    </w:p>
    <w:p>
      <w:pPr>
        <w:spacing w:after="80"/>
      </w:pPr>
      <w:r>
        <w:rPr>
          <w:b w:val="0"/>
          <w:i w:val="0"/>
        </w:rPr>
        <w:t>Các điều khoản về mối quan hệ đặc biệt đặt ra giới hạn định lượng đối với việc áp dụng các lợi ích của điều khoản lãi suất. Ngôn ngữ được sử dụng để mô tả cách giới hạn này được</w:t>
      </w:r>
    </w:p>
    <w:p>
      <w:pPr>
        <w:spacing w:after="80"/>
      </w:pPr>
      <w:r>
        <w:rPr>
          <w:b w:val="0"/>
          <w:i w:val="0"/>
        </w:rPr>
        <w:t>96.</w:t>
      </w:r>
      <w:r>
        <w:rPr>
          <w:b w:val="0"/>
          <w:i/>
        </w:rPr>
        <w:t>British American Tobacco (Czech Republic), sro v Appeal Financial Directorate</w:t>
      </w:r>
      <w:r>
        <w:rPr>
          <w:b w:val="0"/>
          <w:i w:val="0"/>
        </w:rPr>
        <w:t xml:space="preserve"> 2 Afs 40/2018 –58, 22 ITLR297, tại đoạn 33.97.Tại đoạn 35.98.HMRC, Double Taxation Manual, DT1917.99.Tại các đoạn 32-34.</w:t>
      </w:r>
    </w:p>
    <w:p>
      <w:pPr>
        <w:spacing w:after="80"/>
      </w:pPr>
      <w:r>
        <w:rPr>
          <w:b w:val="0"/>
          <w:i w:val="0"/>
        </w:rPr>
        <w:t>323</w:t>
      </w:r>
    </w:p>
    <w:p>
      <w:pPr>
        <w:spacing w:after="80"/>
      </w:pPr>
      <w:r>
        <w:rPr>
          <w:b w:val="0"/>
          <w:i w:val="0"/>
        </w:rPr>
        <w:t>đo lường rất đa dạng và thực tiễn hiệp ước hiện hành của Vương quốc Anh không phản ánh Mô hình OECD. Một số hiệp ước ban đầu có phản ánh cách tiếp cận của Mô hình OECD, vốn chỉ áp dụng quy tắc này cho mức lãi suất và các thuộc tính khác của khoản nợ, nhưng không áp dụng cho số tiền nợ. Điều 11(7) của Hiệp ước Sudan-Vương quốc Anh là một ví dụ:</w:t>
      </w:r>
    </w:p>
    <w:p>
      <w:pPr>
        <w:spacing w:after="80"/>
      </w:pPr>
      <w:r>
        <w:rPr>
          <w:b w:val="0"/>
          <w:i w:val="0"/>
        </w:rPr>
        <w:t>7(4) Khi, do mối quan hệ đặc biệt giữa bên trả và bên nhận hoặc giữa cả hai bên với một người nào đó khác, số tiền lãi được trả,</w:t>
      </w:r>
      <w:r>
        <w:rPr>
          <w:b w:val="0"/>
          <w:i/>
        </w:rPr>
        <w:t>xét theo khoản nợ mà số lãi đó được trả</w:t>
      </w:r>
      <w:r>
        <w:rPr>
          <w:b w:val="0"/>
          <w:i w:val="0"/>
        </w:rPr>
        <w:t>, vượt quá số tiền mà bên trả và bên nhận lẽ ra đã đồng ý nếu không có mối quan hệ đó, thì các quy định của điều này chỉ áp dụng cho số tiền được đề cập sau cùng.</w:t>
      </w:r>
    </w:p>
    <w:p>
      <w:pPr>
        <w:spacing w:after="80"/>
      </w:pPr>
      <w:r>
        <w:rPr>
          <w:b w:val="0"/>
          <w:i w:val="0"/>
        </w:rPr>
        <w:t>Những quy định như vậy đòi hỏi phải xem xét khoản nợ thực tế hoặc yêu cầu về nợ thực tế nhưng không xem xét các yếu tố ngoài phạm vi đó. Do đó, đơn vị tiền tệ và thời hạn của khoản vay cũng như sự tồn tại của bảo đảm có thể là những yếu tố liên quan nhưng không bao gồm, ví dụ, việc liệu khoản đó có nên được coi là vốn chủ sở hữu hay không.</w:t>
      </w:r>
      <w:r>
        <w:rPr>
          <w:b w:val="0"/>
          <w:i/>
        </w:rPr>
        <w:t>Finance(No.2)Act</w:t>
      </w:r>
      <w:r>
        <w:rPr>
          <w:b w:val="0"/>
          <w:i w:val="0"/>
        </w:rPr>
        <w:t>1992, s.42, đã chèn nội dung mà nay là TIOPA2010, s.131 nhằm ghi đè các hiệp ước trước đó có từ ngữ tương tự như trong điều 7(4) của Hiệp ước Vương quốc Anh-Israel. Hiệu lực của điều này là yêu cầu tất cả các hiệp ước cho phép hưởng lợi ích từ việc giảm hoặc miễn thuế Vương quốc Anh đối với lãi suất khi có điều khoản về mối quan hệ đặc biệt phải cho phép mối quan hệ đặc biệt cho phép điều chỉnh đối với cả mức lãi suất và số tiền nợ. Điều này thậm chí còn áp dụng đối với những hiệp ước mà bản thân chúng không cho phép điều chỉnh liên quan đến mức nợ. Việc sửa đổi vào thời điểm đó được cho là đã được đưa ra do kết quả của một quyết định chưa được công bố của Special Commissioner chống lại Inland Revenue về điểm này. (Các quyết định của Special Commissioners không được công bố cho đến năm 1995.) Trong những trường hợp này, quy định về mối quan hệ đặc biệt phải được giải thích là yêu cầu phải xem xét tất cả các yếu tố, bao gồm cụ thể là liệu trong trường hợp không có mối quan hệ đặc biệt:</w:t>
      </w:r>
    </w:p>
    <w:p>
      <w:pPr>
        <w:spacing w:after="80"/>
      </w:pPr>
      <w:r>
        <w:rPr>
          <w:b w:val="0"/>
          <w:i w:val="0"/>
        </w:rPr>
        <w:t>– khoản vay liệu có được thực hiện hay không;– số tiền của khoản vay sẽ là bao nhiêu; và– mức lãi suất và các điều khoản khác mà lẽ ra đã được đồng ý.100</w:t>
      </w:r>
    </w:p>
    <w:p>
      <w:pPr>
        <w:spacing w:after="80"/>
      </w:pPr>
      <w:r>
        <w:rPr>
          <w:b w:val="0"/>
          <w:i w:val="0"/>
        </w:rPr>
        <w:t>Người nộp thuế được yêu cầu chứng minh hoặc là không có mối quan hệ đặc biệt hoặc là số tiền lãi chính là số tiền lẽ ra đã được trả nếu không có mối quan hệ đặc biệt.101 Một nhượng bộ được đưa ra khi giải thích mối quan hệ đặc biệt: thực tế rằng bên cho vay không hoạt động trong lĩnh vực cho vay nói chung có thể được bỏ qua.102</w:t>
      </w:r>
    </w:p>
    <w:p>
      <w:pPr>
        <w:spacing w:after="80"/>
      </w:pPr>
      <w:r>
        <w:rPr>
          <w:b w:val="0"/>
          <w:i w:val="0"/>
        </w:rPr>
        <w:t>Do đó, về nguyên tắc, việc so sánh với các ngân hàng hoặc các tổ chức cho vay tiền khác có thể đóng vai trò là chỉ số hợp lệ cho số tiền lẽ ra được trả nếu không có mối quan hệ đặc biệt, ngay cả khi chỉ có các ngân hàng mới thực hiện một khoản vay theo các điều khoản đã đưa ra.</w:t>
      </w:r>
    </w:p>
    <w:p>
      <w:pPr>
        <w:spacing w:after="80"/>
      </w:pPr>
      <w:r>
        <w:rPr>
          <w:b w:val="0"/>
          <w:i w:val="0"/>
        </w:rPr>
        <w:t>Các hiệp ước sau này cho phép xem xét cả mức lãi suất và số tiền nợ mà nó liên quan. Điều 11(7) của Hiệp ước Latvia-Vương quốc Anh minh họa một cách diễn đạt thay thế xuất hiện trong hầu hết các hiệp ước của Vương quốc Anh:</w:t>
      </w:r>
    </w:p>
    <w:p>
      <w:pPr>
        <w:spacing w:after="80"/>
      </w:pPr>
      <w:r>
        <w:rPr>
          <w:b w:val="0"/>
          <w:i w:val="0"/>
        </w:rPr>
        <w:t>100.TIOPA2010,s.131.Xem thêm IRInt.179:Intra-groupinterestandsimilarsumstreatedasdistributions [HMRC, Tax Bulletin 35, tháng 6 năm 1998].101.CTA 2010, s. 131(6).102.CTA 2010, s. 131(5).</w:t>
      </w:r>
    </w:p>
    <w:p>
      <w:pPr>
        <w:spacing w:after="80"/>
      </w:pPr>
      <w:r>
        <w:rPr>
          <w:b w:val="0"/>
          <w:i w:val="0"/>
        </w:rPr>
        <w:t>324</w:t>
      </w:r>
    </w:p>
    <w:p>
      <w:pPr>
        <w:spacing w:after="80"/>
      </w:pPr>
      <w:r>
        <w:rPr>
          <w:b w:val="0"/>
          <w:i w:val="0"/>
        </w:rPr>
        <w:t>11(7) Khi do mối quan hệ đặc biệt giữa bên trả và chủ sở hữu hưởng lợi hoặc giữa cả hai bên với một người nào đó khác, số tiền lãi được trả vượt quá,</w:t>
      </w:r>
      <w:r>
        <w:rPr>
          <w:b w:val="0"/>
          <w:i/>
        </w:rPr>
        <w:t>vì bất kỳ lý do gì</w:t>
      </w:r>
      <w:r>
        <w:rPr>
          <w:b w:val="0"/>
          <w:i w:val="0"/>
        </w:rPr>
        <w:t>, số tiền mà bên trả và chủ sở hữu hưởng lợi lẽ ra đã đồng ý nếu không có mối quan hệ đó, thì các quy định của Điều này chỉ áp dụng cho số tiền lãi được đề cập sau cùng.</w:t>
      </w:r>
    </w:p>
    <w:p>
      <w:pPr>
        <w:spacing w:after="80"/>
      </w:pPr>
      <w:r>
        <w:rPr>
          <w:b w:val="0"/>
          <w:i w:val="0"/>
        </w:rPr>
        <w:t>Ngôn ngữ rộng hơn này đòi hỏi phải xem xét tất cả các lý do liên quan đến việc số tiền lãi được trả vượt quá số tiền lẽ ra đã được trả nếu không có mối quan hệ đặc biệt.</w:t>
      </w:r>
    </w:p>
    <w:p>
      <w:pPr>
        <w:spacing w:after="80"/>
      </w:pPr>
      <w:r>
        <w:rPr>
          <w:b/>
          <w:i w:val="0"/>
        </w:rPr>
        <w:t>[D]Điều chỉnh giá chuyển nhượng</w:t>
      </w:r>
    </w:p>
    <w:p>
      <w:pPr>
        <w:spacing w:after="80"/>
      </w:pPr>
      <w:r>
        <w:rPr>
          <w:b w:val="0"/>
          <w:i w:val="0"/>
        </w:rPr>
        <w:t>Khi lãi suất được trả vượt quá mức độ dài tay (arm's-length) và một điều chỉnh được thực hiện đối với lợi nhuận của bên trả theo pháp luật về giá chuyển nhượng, thì khi có yêu cầu, phần lãi suất vượt quá không được coi là phải khấu trừ thuế thu nhập tại nguồn theo ITA2007, Phần 15.103 Trong phạm vi mà một bên đi vay tại Vương quốc Anh bị từ chối khấu trừ đối với lãi suất được trả theo cách này, thì không cần khấu trừ thuế và phần lãi suất vượt quá mà bên nhận được sẽ không bị đánh thuế trong tay hầu hết các bên nhận không cư trú. Trong những trường hợp như vậy, phần vượt quá không bị đánh thuế tại Vương quốc Anh và các quy định về mối quan hệ đặc biệt của hiệp ước áp dụng sẽ không được áp dụng liên quan đến hệ thống thuế của Vương quốc Anh.</w:t>
      </w:r>
    </w:p>
    <w:p>
      <w:pPr>
        <w:spacing w:after="80"/>
      </w:pPr>
      <w:r>
        <w:rPr>
          <w:b/>
          <w:i w:val="0"/>
        </w:rPr>
        <w:t>[E]Lãi suất được quy cho một cơ sở thường trú</w:t>
      </w:r>
    </w:p>
    <w:p>
      <w:pPr>
        <w:spacing w:after="80"/>
      </w:pPr>
      <w:r>
        <w:rPr>
          <w:b w:val="0"/>
          <w:i w:val="0"/>
        </w:rPr>
        <w:t>Việc giảm hoặc loại bỏ thuế tại quốc gia nguồn không áp dụng khi người không cư trú có một cơ sở thường trú hoặc cơ sở cố định tại quốc gia nguồn và khoản nợ mà lãi suất được trả cho khoản đó có mối liên hệ thực tế với cơ sở thường trú đó. Hiệp định giữa Vương quốc Anh và Bờ Biển Ngà là một ví dụ khá điển hình:</w:t>
      </w:r>
    </w:p>
    <w:p>
      <w:pPr>
        <w:spacing w:after="80"/>
      </w:pPr>
      <w:r>
        <w:rPr>
          <w:b w:val="0"/>
          <w:i w:val="0"/>
        </w:rPr>
        <w:t>11(5) Các quy định tại khoản (1) và (2) của Điều này sẽ không áp dụng nếu chủ sở hữu hưởng lợi của lãi suất, là cư dân của một Quốc gia ký kết, tiến hành hoạt động kinh doanh tại Quốc gia ký kết kia nơi lãi suất phát sinh, thông qua một cơ sở thường trú đặt tại đó, hoặc thực hiện tại Quốc gia kia các dịch vụ cá nhân độc lập từ một cơ sở cố định đặt tại đó, và khoản nợ mà lãi suất được trả cho khoản đó có mối liên hệ thực tế với cơ sở thường trú hoặc cơ sở cố định đó. Trong trường hợp như vậy, các quy định tại Điều 7 hoặc Điều 15, tùy từng trường hợp, sẽ được áp dụng.</w:t>
      </w:r>
    </w:p>
    <w:p>
      <w:pPr>
        <w:spacing w:after="80"/>
      </w:pPr>
      <w:r>
        <w:rPr>
          <w:b w:val="0"/>
          <w:i w:val="0"/>
        </w:rPr>
        <w:t>Các quy định của hiệp định về vấn đề này tương tự như các quy định liên quan đến cổ tức có mối liên hệ thực tế với một cơ sở thường trú. Trong những trường hợp này, hoặc điều khoản về lợi nhuận kinh doanh (Điều 7) hoặc, trong các trường hợp thích hợp, điều khoản về dịch vụ cá nhân độc lập (Điều 14) sẽ được áp dụng. Quy tắc này cần khớp nối gọn gàng với hai ngoại lệ trong luật nội địa về nghĩa vụ khấu trừ thuế đối với các khoản thanh toán lãi suất cho người không cư trú. Thứ nhất, lãi suất trả cho chi nhánh tại Vương quốc Anh của một ngân hàng nước ngoài được miễn khỏi các quy tắc khấu trừ tại nguồn, khi ngân hàng nhận lãi suất đó thuộc diện chịu</w:t>
      </w:r>
    </w:p>
    <w:p>
      <w:pPr>
        <w:spacing w:after="80"/>
      </w:pPr>
      <w:r>
        <w:rPr>
          <w:b w:val="0"/>
          <w:i w:val="0"/>
        </w:rPr>
        <w:t>103. TIOPA 2010, s. 187.</w:t>
      </w:r>
    </w:p>
    <w:p>
      <w:pPr>
        <w:spacing w:after="80"/>
      </w:pPr>
      <w:r>
        <w:rPr>
          <w:b w:val="0"/>
          <w:i w:val="0"/>
        </w:rPr>
        <w:t>325</w:t>
      </w:r>
    </w:p>
    <w:p>
      <w:pPr>
        <w:spacing w:after="80"/>
      </w:pPr>
      <w:r>
        <w:rPr>
          <w:b w:val="0"/>
          <w:i w:val="0"/>
        </w:rPr>
        <w:t xml:space="preserve">thuế doanh nghiệp đối với khoản lãi suất đó.104 Trong các vụ án đặc biệt được xét chung là </w:t>
      </w:r>
      <w:r>
        <w:rPr>
          <w:b w:val="0"/>
          <w:i/>
        </w:rPr>
        <w:t>IRC v Commerzbank AG</w:t>
      </w:r>
      <w:r>
        <w:rPr>
          <w:b w:val="0"/>
          <w:i w:val="0"/>
        </w:rPr>
        <w:t xml:space="preserve"> và </w:t>
      </w:r>
      <w:r>
        <w:rPr>
          <w:b w:val="0"/>
          <w:i/>
        </w:rPr>
        <w:t>IRC v Banco do Brazil SA</w:t>
      </w:r>
      <w:r>
        <w:rPr>
          <w:b w:val="0"/>
          <w:i w:val="0"/>
        </w:rPr>
        <w:t>,105 người ta đã tận dụng cách diễn đạt bất thường trong Hiệp định Hoa Kỳ năm 1945 để tìm cách miễn thuế đối với lãi suất mà người đi vay Hoa Kỳ trả cho các chi nhánh tại Vương quốc Anh của một ngân hàng Đức và một ngân hàng Brazil. Trong trường hợp đó, chính chi nhánh là bên đã tìm kiếm và giành được quyền miễn thuế. Hiệu lực của các điều khoản đó tại Vương quốc Anh là cho phép các khoản thanh toán lãi suất được thực hiện ở dạng gộp (gross) khi ngân hàng cho vay có một cơ sở thường trú tại Vương quốc Anh nhưng không thuộc diện chịu thuế doanh nghiệp đối với khoản lãi suất đó.</w:t>
      </w:r>
    </w:p>
    <w:p>
      <w:pPr>
        <w:spacing w:after="80"/>
      </w:pPr>
      <w:r>
        <w:rPr>
          <w:b w:val="0"/>
          <w:i w:val="0"/>
        </w:rPr>
        <w:t xml:space="preserve">Lãi suất từ việc hoàn trả thuế thu nhập Ấn Độ nộp thừa bởi một công ty Vương quốc Anh liên quan đến hoạt động kinh doanh của công ty này được thực hiện thông qua cơ sở thường trú của mình đã được Tòa án Cấp cao Uttarakhand xác định là thuộc về cơ sở thường trú đó theo Điều 12(6) của hiệp định đánh thuế hai lần giữa Ấn Độ và Vương quốc Anh trong vụ </w:t>
      </w:r>
      <w:r>
        <w:rPr>
          <w:b w:val="0"/>
          <w:i/>
        </w:rPr>
        <w:t>BJ Services Company Ltd v ACIT</w:t>
      </w:r>
      <w:r>
        <w:rPr>
          <w:b w:val="0"/>
          <w:i w:val="0"/>
        </w:rPr>
        <w:t>.106 Tòa án lập luận rằng vì thuế được nộp liên quan đến hoạt động kinh doanh được thực hiện thông qua cơ sở thường trú, nên lãi suất được tạo ra tại đó như thu nhập kinh doanh.</w:t>
      </w:r>
    </w:p>
    <w:p>
      <w:pPr>
        <w:spacing w:after="80"/>
      </w:pPr>
      <w:r>
        <w:rPr>
          <w:b w:val="0"/>
          <w:i w:val="0"/>
        </w:rPr>
        <w:t>Quan điểm của HMRC về các trường hợp mà lãi suất được quy cho một cơ sở thường trú được minh họa bằng ví dụ sau:</w:t>
      </w:r>
    </w:p>
    <w:p>
      <w:pPr>
        <w:spacing w:after="80"/>
      </w:pPr>
      <w:r>
        <w:rPr>
          <w:b w:val="0"/>
          <w:i w:val="0"/>
        </w:rPr>
        <w:t>Hoạt động của cơ sở thường trú tại Vương quốc Anh của một nhà sản xuất trò chơi máy tính nước ngoài đã thành công về mặt thương mại và đã tạo ra các khoản tiền thặng dư từ hoạt động kinh doanh. Người quản lý tại Vương quốc Anh đầu tư số tiền thặng dư vào các chứng khoán tại Vương quốc Anh. Hiệp định đánh thuế hai lần hiện hành cho phép Vương quốc Anh xử lý khoản lãi suất như lợi nhuận kinh doanh của cơ sở thường trú khi lãi suất có mối liên hệ thực tế với cơ sở thường trú đó. Lợi nhuận chịu thuế nên bao gồm nguồn lãi suất đó.107</w:t>
      </w:r>
    </w:p>
    <w:p>
      <w:pPr>
        <w:spacing w:after="80"/>
      </w:pPr>
      <w:r>
        <w:rPr>
          <w:b w:val="0"/>
          <w:i w:val="0"/>
        </w:rPr>
        <w:t>Thứ hai, việc quy lãi suất cho một cơ sở thường trú tại Vương quốc Anh của một công ty không cư trú cũng có thể cho phép một bên trả tiền là doanh nghiệp thực hiện các khoản thanh toán ở dạng gộp cho cơ sở thường trú tại Vương quốc Anh đó. Một công ty không cần phải khấu trừ thuế tại nguồn nếu, vào thời điểm thanh toán, công ty tin một cách hợp lý rằng khoản thanh toán đó sẽ là một khoản thanh toán được miễn trừ.108 Điều này sẽ đúng trong trường hợp người được hưởng lợi từ thu nhập là một công ty không cư trú đang tiến hành hoạt động kinh doanh thông qua một cơ sở thường trú tại Vương quốc Anh và khoản thanh toán đó phải được đưa vào hạch toán khi tính lợi nhuận chịu thuế của công ty không cư trú.109</w:t>
      </w:r>
    </w:p>
    <w:p>
      <w:pPr>
        <w:spacing w:after="80"/>
      </w:pPr>
      <w:r>
        <w:rPr>
          <w:b/>
          <w:i w:val="0"/>
        </w:rPr>
        <w:t>[F]Cơ sở thường trú tại các quốc gia thứ ba</w:t>
      </w:r>
    </w:p>
    <w:p>
      <w:pPr>
        <w:spacing w:after="80"/>
      </w:pPr>
      <w:r>
        <w:rPr>
          <w:b w:val="0"/>
          <w:i w:val="0"/>
        </w:rPr>
        <w:t>Các hiệp định theo mô hình của OECD quy định cách xử lý cơ sở thường trú khi thu nhập đầu tư được quy cho một cơ sở thường trú tại quốc gia nguồn. Các hiệp định gần đây đã tìm cách hạn chế khả năng được hưởng ưu đãi trong các trường hợp thu nhập đầu tư được quy cho một cơ sở thường trú tại một quốc gia thứ ba.110</w:t>
      </w:r>
    </w:p>
    <w:p>
      <w:pPr>
        <w:spacing w:after="80"/>
      </w:pPr>
      <w:r>
        <w:rPr>
          <w:b w:val="0"/>
          <w:i w:val="0"/>
        </w:rPr>
        <w:t xml:space="preserve">104. ITA 2007, s. 879(1)(a). 105. </w:t>
      </w:r>
      <w:r>
        <w:rPr>
          <w:b w:val="0"/>
          <w:i/>
        </w:rPr>
        <w:t>IRC v Commerzbank AG</w:t>
      </w:r>
      <w:r>
        <w:rPr>
          <w:b w:val="0"/>
          <w:i w:val="0"/>
        </w:rPr>
        <w:t xml:space="preserve"> và </w:t>
      </w:r>
      <w:r>
        <w:rPr>
          <w:b w:val="0"/>
          <w:i/>
        </w:rPr>
        <w:t>IRC v Banco do Brazil SA</w:t>
      </w:r>
      <w:r>
        <w:rPr>
          <w:b w:val="0"/>
          <w:i w:val="0"/>
        </w:rPr>
        <w:t xml:space="preserve"> [1990] BTC 172; [1990] STC 285. 106. </w:t>
      </w:r>
      <w:r>
        <w:rPr>
          <w:b w:val="0"/>
          <w:i/>
        </w:rPr>
        <w:t>BJ Services Co Ltd v ACIT</w:t>
      </w:r>
      <w:r>
        <w:rPr>
          <w:b w:val="0"/>
          <w:i w:val="0"/>
        </w:rPr>
        <w:t xml:space="preserve"> (ITA No. 4 of 2010). 107. HMRC, International Manual, INTM267110. 108. ITA 2007, s. 930. 109. ITA 2007, s. 934. Xem thêm HMRC, Tax Bulletin (No. 54, August 2001), p. 867. 110. Xem §10.03.</w:t>
      </w:r>
    </w:p>
    <w:p>
      <w:pPr>
        <w:spacing w:after="80"/>
      </w:pPr>
      <w:r>
        <w:rPr>
          <w:b w:val="0"/>
          <w:i w:val="0"/>
        </w:rPr>
        <w:t>326</w:t>
      </w:r>
    </w:p>
    <w:p>
      <w:pPr>
        <w:spacing w:after="80"/>
      </w:pPr>
      <w:r>
        <w:rPr>
          <w:b w:val="0"/>
          <w:i w:val="0"/>
        </w:rPr>
        <w:t>Khi lãi suất của một doanh nghiệp Đức có nguồn gốc từ Vương quốc Anh được quy cho một cơ sở thường trú tại một quốc gia thứ ba, ưu đãi theo hiệp định sẽ bị từ chối trừ khi tổng số thuế thực tế đã nộp đối với thu nhập đó tại Đức và tại quốc gia thứ ba ít nhất là 60% số thuế lẽ ra phải nộp tại Đức. Khi ngoại lệ này được áp dụng, lãi suất phải chịu thuế tại Vương quốc Anh với mức tối đa là 15%. Thu nhập liên quan đến việc tiến hành một cách tích cực hoạt động kinh doanh hoặc thương mại được thực hiện bởi cơ sở thường trú tại quốc gia thứ ba (ngoài hoạt động tạo lập, quản lý hoặc đơn thuần nắm giữ các khoản đầu tư cho tài khoản của chính mình, trừ khi các hoạt động này là hoạt động ngân hàng hoặc chứng khoán được thực hiện bởi một ngân hàng hoặc đại lý chứng khoán đã đăng ký) sẽ đủ điều kiện được xử lý như lãi suất.111 Các quy định tương tự cũng có trong Điều VII của Nghị định thư ngày 26 tháng 9 năm 2008 bổ sung cho Hiệp định giữa Vương quốc Anh và Hà Lan. Trong trường hợp đó, tất cả các ưu đãi theo hiệp định đều bị loại trừ.112</w:t>
      </w:r>
    </w:p>
    <w:p>
      <w:pPr>
        <w:spacing w:after="80"/>
      </w:pPr>
      <w:r>
        <w:rPr>
          <w:b/>
          <w:i w:val="0"/>
        </w:rPr>
        <w:t>[G]Giới hạn về lợi ích</w:t>
      </w:r>
    </w:p>
    <w:p>
      <w:pPr>
        <w:spacing w:after="80"/>
      </w:pPr>
      <w:r>
        <w:rPr>
          <w:b w:val="0"/>
          <w:i w:val="0"/>
        </w:rPr>
        <w:t>Nhiều cơ chế khác nhau được tìm thấy trong các bài viết về lợi tức nhằm hạn chế việc áp dụng các lợi ích hiệp ước liên quan đến lợi tức. Những điều này, bao gồm ý nghĩa của 'quyền sở hữu thực sự' (beneficial ownership), được xem xét trong Chương 16.</w:t>
      </w:r>
    </w:p>
    <w:p>
      <w:pPr>
        <w:spacing w:after="80"/>
      </w:pPr>
      <w:r>
        <w:rPr>
          <w:b/>
          <w:i w:val="0"/>
        </w:rPr>
        <w:t>§10.05 TIỀN BẢN QUYỀN</w:t>
      </w:r>
    </w:p>
    <w:p>
      <w:pPr>
        <w:spacing w:after="80"/>
      </w:pPr>
      <w:r>
        <w:rPr>
          <w:b w:val="0"/>
          <w:i w:val="0"/>
        </w:rPr>
        <w:t>Phạm vi tiềm năng áp dụng các quy định về tiền bản quyền đối với hệ thống thuế của Vương quốc Anh là rộng. Thuật ngữ trong nước và thuật ngữ hiệp ước không nhất quán cũng không đồng nhất về phạm vi. Mặc dù là một dự án của chương trình viết lại luật thuế, luật hiện hành được soạn thảo một cách vụng về và không hoàn toàn nhất quán. Theo luật trong nước, trong trường hợp các công ty thuộc diện chịu thuế thu nhập doanh nghiệp, một bộ quy tắc phần lớn khép kín được tìm thấy trong CTA 2009, Phần 8, liên quan đến 'tài sản vô hình'. Việc xử lý thuế thu nhập hiện được chia giữa ITTOIA 2005</w:t>
      </w:r>
      <w:r>
        <w:rPr>
          <w:b w:val="0"/>
          <w:i/>
        </w:rPr>
        <w:t>113</w:t>
      </w:r>
      <w:r>
        <w:rPr>
          <w:b w:val="0"/>
          <w:i w:val="0"/>
        </w:rPr>
        <w:t xml:space="preserve"> vì nó liên quan đến các khoản thu từ 'sở hữu trí tuệ', phim và bản ghi âm cũng như một số quyền viễn thông nhất định, một mặt, và ITA 2007,</w:t>
      </w:r>
      <w:r>
        <w:rPr>
          <w:b w:val="0"/>
          <w:i/>
        </w:rPr>
        <w:t>114</w:t>
      </w:r>
      <w:r>
        <w:rPr>
          <w:b w:val="0"/>
          <w:i w:val="0"/>
        </w:rPr>
        <w:t xml:space="preserve"> xử lý việc khấu trừ thuế tại nguồn đối với 'các khoản thanh toán hàng năm', 'tiền bản quyền bằng sáng chế' và 'các khoản thanh toán khác liên quan đến sở hữu trí tuệ', mặt khác. Một số hiệp ước nhất định có thể mở rộng việc áp dụng các quy định về tiền bản quyền đối với động sản hữu hình.</w:t>
      </w:r>
    </w:p>
    <w:p>
      <w:pPr>
        <w:spacing w:after="80"/>
      </w:pPr>
      <w:r>
        <w:rPr>
          <w:b w:val="0"/>
          <w:i w:val="0"/>
        </w:rPr>
        <w:t>Thuế thu nhập được đánh trên tiền bản quyền và thu nhập khác từ sở hữu trí tuệ.</w:t>
      </w:r>
      <w:r>
        <w:rPr>
          <w:b w:val="0"/>
          <w:i/>
        </w:rPr>
        <w:t>115</w:t>
      </w:r>
    </w:p>
    <w:p>
      <w:pPr>
        <w:spacing w:after="80"/>
      </w:pPr>
      <w:r>
        <w:rPr>
          <w:b w:val="0"/>
          <w:i w:val="0"/>
        </w:rPr>
        <w:t>Vì mục đích này, 'sở hữu trí tuệ' có nghĩa là bất kỳ:</w:t>
      </w:r>
    </w:p>
    <w:p>
      <w:pPr>
        <w:spacing w:after="80"/>
      </w:pPr>
      <w:r>
        <w:rPr>
          <w:b w:val="0"/>
          <w:i w:val="0"/>
        </w:rPr>
        <w:t>(a) bằng sáng chế, nhãn hiệu, kiểu dáng đã đăng ký, bản quyền, quyền kiểu dáng, quyền của người biểu diễn</w:t>
      </w:r>
    </w:p>
    <w:p>
      <w:pPr>
        <w:spacing w:after="80"/>
      </w:pPr>
      <w:r>
        <w:rPr>
          <w:b w:val="0"/>
          <w:i w:val="0"/>
        </w:rPr>
        <w:t>hoặc quyền của nhà tạo giống thực vật; (b) các quyền theo luật của bất kỳ phần nào của Vương quốc Anh tương tự như các quyền trong</w:t>
      </w:r>
    </w:p>
    <w:p>
      <w:pPr>
        <w:spacing w:after="80"/>
      </w:pPr>
      <w:r>
        <w:rPr>
          <w:b w:val="0"/>
          <w:i w:val="0"/>
        </w:rPr>
        <w:t>đoạn (a);</w:t>
      </w:r>
    </w:p>
    <w:p>
      <w:pPr>
        <w:spacing w:after="80"/>
      </w:pPr>
      <w:r>
        <w:rPr>
          <w:b w:val="0"/>
          <w:i w:val="0"/>
        </w:rPr>
        <w:t>111. Nghị định thư ngày 30 tháng 3 năm 2010 (SI 2010/2975) của Hiệp ước Thuế Vương quốc Anh - Đức (2010), điều 3. 112. Xem thêm, Chương 18, §18.06 Các trường hợp tam giác: cơ sở thường trú tại các quốc gia thứ ba. 113. Phần 5, Chương 2, 3 và 4. 114. Phần 15, Chương 6 và 7. 115. ITTOIA 2005, s. 579(1).</w:t>
      </w:r>
    </w:p>
    <w:p>
      <w:pPr>
        <w:spacing w:after="80"/>
      </w:pPr>
      <w:r>
        <w:rPr>
          <w:b w:val="0"/>
          <w:i w:val="0"/>
        </w:rPr>
        <w:t>327</w:t>
      </w:r>
    </w:p>
    <w:p>
      <w:pPr>
        <w:spacing w:after="80"/>
      </w:pPr>
      <w:r>
        <w:rPr>
          <w:b w:val="0"/>
          <w:i w:val="0"/>
        </w:rPr>
        <w:t>(c) các quyền theo luật của bất kỳ lãnh thổ nào ngoài Vương quốc Anh tương ứng hoặc</w:t>
      </w:r>
    </w:p>
    <w:p>
      <w:pPr>
        <w:spacing w:after="80"/>
      </w:pPr>
      <w:r>
        <w:rPr>
          <w:b w:val="0"/>
          <w:i w:val="0"/>
        </w:rPr>
        <w:t>tương tự như các quyền trong đoạn (a); và (d) ý tưởng, thông tin hoặc kỹ thuật không được bảo hộ bởi quyền trong đoạn (a),</w:t>
      </w:r>
    </w:p>
    <w:p>
      <w:pPr>
        <w:spacing w:after="80"/>
      </w:pPr>
      <w:r>
        <w:rPr>
          <w:b w:val="0"/>
          <w:i w:val="0"/>
        </w:rPr>
        <w:t>(b) hoặc (c).</w:t>
      </w:r>
      <w:r>
        <w:rPr>
          <w:b w:val="0"/>
          <w:i/>
        </w:rPr>
        <w:t>116</w:t>
      </w:r>
    </w:p>
    <w:p>
      <w:pPr>
        <w:spacing w:after="80"/>
      </w:pPr>
      <w:r>
        <w:rPr>
          <w:b w:val="0"/>
          <w:i w:val="0"/>
        </w:rPr>
        <w:t>Thuế thu nhập cũng được đánh trên lợi nhuận phát sinh khi một người nhận được khoản đối giá:</w:t>
      </w:r>
    </w:p>
    <w:p>
      <w:pPr>
        <w:spacing w:after="80"/>
      </w:pPr>
      <w:r>
        <w:rPr>
          <w:b w:val="0"/>
          <w:i w:val="0"/>
        </w:rPr>
        <w:t>(1) cho việc chuyển nhượng bí quyết kỹ thuật; hoặc (2) cho việc trao tặng, hoặc thực hiện toàn bộ hoặc một phần, một cam kết được đưa ra trong</w:t>
      </w:r>
    </w:p>
    <w:p>
      <w:pPr>
        <w:spacing w:after="80"/>
      </w:pPr>
      <w:r>
        <w:rPr>
          <w:b w:val="0"/>
          <w:i w:val="0"/>
        </w:rPr>
        <w:t>kết nối với việc chuyển nhượng bí quyết (know-how), và hạn chế hoặc được thiết kế để hạn chế hoạt động của bất kỳ người nào dưới bất kỳ hình thức nào.117 Vì mục đích này, 'bí quyết' (know-how) có nghĩa là bất kỳ thông tin hoặc kỹ thuật công nghiệp nào có khả năng hỗ trợ cho:–sản xuất hoặc chế biến hàng hóa hoặc vật liệu;–khai thác một nguồn khoáng sản (bao gồm tìm kiếm, phát hiện hoặc thử nghiệm mỏ khoáng sản hoặc tiếp cận chúng); hoặc–thực hiện bất kỳ hoạt động nông nghiệp, lâm nghiệp hoặc đánh bắt cá nào.118</w:t>
      </w:r>
    </w:p>
    <w:p>
      <w:pPr>
        <w:spacing w:after="80"/>
      </w:pPr>
      <w:r>
        <w:rPr>
          <w:b w:val="0"/>
          <w:i w:val="0"/>
        </w:rPr>
        <w:t>Một điều bất thường là thuế thu nhập được đánh trên lợi nhuận từ việc bán toàn bộ hoặc một phần bất kỳ quyền bằng sáng chế nào được cấp theo luật của Vương quốc Anh, và người bán không phải là cư dân Vương quốc Anh và không phải chịu thuế thu nhập doanh nghiệp đối với số tiền thu được từ việc bán.119 Vì mục đích này, 'quyền bằng sáng chế' có nghĩa là quyền thực hiện hoặc cho phép thực hiện bất kỳ điều gì mà nếu không có quyền đó sẽ là hành vi xâm phạm bằng sáng chế.120 Thu nhập từ hoạt động kinh doanh liên quan đến việc khai thác phim hoặc bản ghi âm mà các hoạt động được thực hiện không cấu thành hoạt động thương mại cũng được đánh thuế thu nhập.121 Cuối cùng, điều tương tự cũng đúng đối với thu nhập phát sinh từ quyền viễn thông có liên quan không được sử dụng hoặc nắm giữ cho mục đích thương mại, nghề nghiệp hoặc công việc.122 'Quyền viễn thông có liên quan' có nghĩa là:</w:t>
      </w:r>
    </w:p>
    <w:p>
      <w:pPr>
        <w:spacing w:after="80"/>
      </w:pPr>
      <w:r>
        <w:rPr>
          <w:b w:val="0"/>
          <w:i w:val="0"/>
        </w:rPr>
        <w:t xml:space="preserve">–giấy phép được cấp theo mục 8 của </w:t>
      </w:r>
      <w:r>
        <w:rPr>
          <w:b w:val="0"/>
          <w:i/>
        </w:rPr>
        <w:t xml:space="preserve"> Đạo luật Điện báo Không dây </w:t>
      </w:r>
      <w:r>
        <w:rPr>
          <w:b w:val="0"/>
          <w:i w:val="0"/>
        </w:rPr>
        <w:t xml:space="preserve"> 2006 phù hợp</w:t>
      </w:r>
    </w:p>
    <w:p>
      <w:pPr>
        <w:spacing w:after="80"/>
      </w:pPr>
      <w:r>
        <w:rPr>
          <w:b w:val="0"/>
          <w:i w:val="0"/>
        </w:rPr>
        <w:t>với các quy định được ban hành theo mục 14 của đạo luật đó (đấu thầu giấy phép);–quyền không thể hủy ngang để sử dụng hệ thống cáp viễn thông; và–quyền phát sinh (trực tiếp hoặc gián tiếp) từ giấy phép hoặc quyền không thể hủy ngang</w:t>
      </w:r>
    </w:p>
    <w:p>
      <w:pPr>
        <w:spacing w:after="80"/>
      </w:pPr>
      <w:r>
        <w:rPr>
          <w:b w:val="0"/>
          <w:i w:val="0"/>
        </w:rPr>
        <w:t>đó.123</w:t>
      </w:r>
    </w:p>
    <w:p>
      <w:pPr>
        <w:spacing w:after="80"/>
      </w:pPr>
      <w:r>
        <w:rPr>
          <w:b w:val="0"/>
          <w:i w:val="0"/>
        </w:rPr>
        <w:t>Một giới hạn lãnh thổ chung được áp đặt trong trường hợp không phải cư dân Vương quốc Anh bởi ITTOIA 2005, mục 577. Thu nhập phát sinh cho người không phải cư dân Vương quốc Anh phải chịu thuế theo</w:t>
      </w:r>
    </w:p>
    <w:p>
      <w:pPr>
        <w:spacing w:after="80"/>
      </w:pPr>
      <w:r>
        <w:rPr>
          <w:b w:val="0"/>
          <w:i w:val="0"/>
        </w:rPr>
        <w:t>116. ITTOIA 2005, mục 579(2).117. ITTOIA 2005, mục 583(1).118. ITTOIA 2005, mục 583(4).119. ITTOIA 2005, mục 587.120. ITTOIA 2005 mục 587(4).121. ITTOIA 2005, mục 609(1).122. ITTOIA 2005, mục 614(1).123. ITTOIA 2005, các mục 146 và 614(1).</w:t>
      </w:r>
    </w:p>
    <w:p>
      <w:pPr>
        <w:spacing w:after="80"/>
      </w:pPr>
      <w:r>
        <w:rPr>
          <w:b w:val="0"/>
          <w:i w:val="0"/>
        </w:rPr>
        <w:t>328</w:t>
      </w:r>
    </w:p>
    <w:p>
      <w:pPr>
        <w:spacing w:after="80"/>
      </w:pPr>
      <w:r>
        <w:rPr>
          <w:b w:val="0"/>
          <w:i w:val="0"/>
        </w:rPr>
        <w:t>Phần 5 chỉ khi thu nhập đó đến từ một nguồn ở Vương quốc Anh.124 Thu nhập không có nguồn gốc được coi là đến từ một nguồn ở Vương quốc Anh nếu nó có mối liên hệ tương đương với Vương quốc Anh.125</w:t>
      </w:r>
    </w:p>
    <w:p>
      <w:pPr>
        <w:spacing w:after="80"/>
      </w:pPr>
      <w:r>
        <w:rPr>
          <w:b w:val="0"/>
          <w:i w:val="0"/>
        </w:rPr>
        <w:t>Mục này phải tuân theo bất kỳ quy định rõ ràng hoặc ngầm hiểu nào trái ngược trong Phần 5 (hoặc ở nơi khác trong các Đạo luật Thuế Thu nhập).126</w:t>
      </w:r>
    </w:p>
    <w:p>
      <w:pPr>
        <w:spacing w:after="80"/>
      </w:pPr>
      <w:r>
        <w:rPr>
          <w:b w:val="0"/>
          <w:i w:val="0"/>
        </w:rPr>
        <w:t>Không phải tất cả các khoản thanh toán được mô tả trong ITTOIA đều phải khấu trừ thuế tại nguồn. Việc khấu trừ thuế tại nguồn được yêu cầu đối với 'các khoản thanh toán hàng năm đủ điều kiện', và tiền bản quyền hoặc các khoản tiền khác được trả liên quan đến việc sử dụng bằng sáng chế127 và nếu đó là khoản thanh toán bất kỳ tiền bản quyền nào, hoặc các khoản tiền phải trả định kỳ, liên quan đến 'tài sản trí tuệ'.128</w:t>
      </w:r>
    </w:p>
    <w:p>
      <w:pPr>
        <w:spacing w:after="80"/>
      </w:pPr>
      <w:r>
        <w:rPr>
          <w:b w:val="0"/>
          <w:i w:val="0"/>
        </w:rPr>
        <w:t>Một khoản thanh toán có thể là 'khoản thanh toán hàng năm đủ điều kiện' trong bối cảnh này nếu người nhận phải chịu thuế thu nhập với tư cách tiền bản quyền, v.v., từ tài sản trí tuệ129 hoặc liên quan đến quyền viễn thông.130 Ý nghĩa của 'tài sản trí tuệ' về cơ bản tương đồng với định nghĩa 'tiền bản quyền' trong điều 12(2) của OECD Model và do đó bao gồm tiền bản quyền, hoặc khoản thanh toán dưới bất kỳ hình thức nào khác, cho việc sử dụng, hoặc quyền sử dụng, bản quyền tác phẩm văn học, nghệ thuật hoặc khoa học (không bao gồm bản quyền đối với phim điện ảnh hoặc bản ghi video, hoặc nhạc nền của phim điện ảnh hoặc bản ghi video, trừ khi nó được khai thác riêng); bất kỳ bằng sáng chế, nhãn hiệu, kiểu dáng, mô hình, kế hoạch, hoặc công thức hoặc quy trình bí mật nào; bất kỳ thông tin nào liên quan đến kinh nghiệm công nghiệp, thương mại hoặc khoa học; hoặc quyền cho mượn công cộng đối với một cuốn sách.131 Việc loại trừ tiền bản quyền phim và video và việc bao gồm quyền cho mượn công cộng phân biệt chế độ trong nước với phạm vi của định nghĩa hiệp ước.</w:t>
      </w:r>
    </w:p>
    <w:p>
      <w:pPr>
        <w:spacing w:after="80"/>
      </w:pPr>
      <w:r>
        <w:rPr>
          <w:b w:val="0"/>
          <w:i w:val="0"/>
        </w:rPr>
        <w:t>Để được khấu trừ thuế tại nguồn, 'các khoản thanh toán hàng năm đủ điều kiện', và tiền bản quyền hoặc các khoản tiền khác được trả liên quan đến việc sử dụng bằng sáng chế phải phát sinh ở Vương quốc Anh.132 Cơ sở tài phán để khấu trừ liên quan đến các khoản thanh toán bản quyền và các 'quyền sở hữu trí tuệ có liên quan' khác thì mơ hồ hơn. Không giống như các loại khác nơi nơi cư trú của người nhận không liên quan, bản quyền và các quyền tương tự chỉ thu hút khấu trừ tại nguồn đối với các khoản thanh toán nếu nơi cư trú thông thường của chủ sở hữu quyền ở ngoài Vương quốc Anh.133 Không có khấu trừ tại nguồn nếu khoản thanh toán được thực hiện liên quan đến các bản sao tác phẩm, hoặc bài viết, đã được xuất khẩu từ Vương quốc Anh để phân phối bên ngoài Vương quốc Anh.134 Các khoản thanh toán liên quan đến bản quyền và các quyền tương tự cũng thu hút khấu trừ thuế nếu được thực hiện thông qua các đại lý cư trú tại Vương quốc Anh trong một số trường hợp nhất định.135</w:t>
      </w:r>
    </w:p>
    <w:p>
      <w:pPr>
        <w:spacing w:after="80"/>
      </w:pPr>
      <w:r>
        <w:rPr>
          <w:b w:val="0"/>
          <w:i w:val="0"/>
        </w:rPr>
        <w:t>Thẩm quyền đánh thuế cuối cùng được giới hạn trong một số trường hợp bởi ITA 2007, Phần 14, Chương 1, bằng cách giới hạn người không phải cư dân Vương quốc Anh chỉ phải chịu thuế khấu trừ tại nguồn đối với thu nhập bị bỏ qua,136 bao gồm các khoản thanh toán hàng năm từ tài sản trí tuệ theo ITTOIA</w:t>
      </w:r>
    </w:p>
    <w:p>
      <w:pPr>
        <w:spacing w:after="80"/>
      </w:pPr>
      <w:r>
        <w:rPr>
          <w:b w:val="0"/>
          <w:i w:val="0"/>
        </w:rPr>
        <w:t>124. ITTOIA 2005, mục 577(2).125. ITTOIA 2005, mục 577(3).126. ITTOIA 2005, mục 577(4).127. ITA 2007, mục 898(1).128. ITA 2007, mục 906.129. ITTOIA 2005, mục 579.130. ITTOIA 2005, Phần 5, Chương 4, và ITA 2007, mục 899(3) và (4).131. ITA 2007, các mục 906 và 907.132. ITA 2007, mục 899(2).133. ITA 2007, mục 906(2).134. ITA 2007, mục 906(4).135. ITA 2007, mục 908.136. ITA 2007, các mục 811 và 815.</w:t>
      </w:r>
    </w:p>
    <w:p>
      <w:pPr>
        <w:spacing w:after="80"/>
      </w:pPr>
      <w:r>
        <w:rPr>
          <w:b w:val="0"/>
          <w:i w:val="0"/>
        </w:rPr>
        <w:t>329</w:t>
      </w:r>
    </w:p>
    <w:p>
      <w:pPr>
        <w:spacing w:after="80"/>
      </w:pPr>
      <w:r>
        <w:rPr>
          <w:b w:val="0"/>
          <w:i w:val="0"/>
        </w:rPr>
        <w:t>2005, s.579, và các quyền viễn thông theo Phần 5, Chương 4 của đạo luật đó.137</w:t>
      </w:r>
    </w:p>
    <w:p>
      <w:pPr>
        <w:spacing w:after="80"/>
      </w:pPr>
      <w:r>
        <w:rPr>
          <w:b w:val="0"/>
          <w:i w:val="0"/>
        </w:rPr>
        <w:t>Khi thuế được khấu trừ thì áp dụng theo thuế suất cơ bản.138</w:t>
      </w:r>
    </w:p>
    <w:p>
      <w:pPr>
        <w:spacing w:after="80"/>
      </w:pPr>
      <w:r>
        <w:rPr>
          <w:b w:val="0"/>
          <w:i w:val="0"/>
        </w:rPr>
        <w:t>Từ ngày 6 tháng 4 năm 2019, các công ty không cư trú, ngoại trừ những công ty cư trú tại một ‘vùng lãnh thổ có hiệp định đầy đủ’, có thể phải chịu thuế thu nhập đối với một số ‘khoản tiền có nguồn gốc từ Vương quốc Anh’ nhận được liên quan đến tài sản vô hình.139 Một vùng lãnh thổ có hiệp định đầy đủ là vùng có hiệp định đánh thuế hai lần đầy đủ với Vương quốc Anh, trong đó có điều khoản về không phân biệt đối xử.140</w:t>
      </w:r>
    </w:p>
    <w:p>
      <w:pPr>
        <w:spacing w:after="80"/>
      </w:pPr>
      <w:r>
        <w:rPr>
          <w:b w:val="0"/>
          <w:i w:val="0"/>
        </w:rPr>
        <w:t>Tài sản vô hình được định nghĩa rộng rãi, bao gồm ‘tài sản vô hình’ nghĩa là bất kỳ tài sản nào ngoại trừ tài sản hữu hình, quyền lợi đối với đất đai, tài sản tài chính và cổ phần hoặc các quyền tương tự.141 Một khoản tiền được coi là có nguồn gốc từ Vương quốc Anh nếu đó là một khoản tiền, dù mang tính chất doanh thu hay vốn, liên quan đến việc hưởng thụ hoặc thực hiện các quyền tài sản vô hình (hoặc bất kỳ quyền nào bắt nguồn trực tiếp hay gián tiếp từ những quyền đó) mà tạo điều kiện, hỗ trợ hoặc thúc đẩy doanh số bán hàng tại Vương quốc Anh (trực tiếp hoặc gián tiếp).142 Người nhận không cư trú phải chịu thuế, nhưng khoản thuế đó có thể được thu hồi từ những người khác trong cùng tập đoàn nếu bất kỳ khoản nợ nào vẫn chưa được thanh toán sau sáu tháng.143</w:t>
      </w:r>
    </w:p>
    <w:p>
      <w:pPr>
        <w:spacing w:after="80"/>
      </w:pPr>
      <w:r>
        <w:rPr>
          <w:b w:val="0"/>
          <w:i w:val="0"/>
        </w:rPr>
        <w:t>Cách tiếp cận của Vương quốc Anh khi đàm phán các điều khoản về tiền bản quyền trong các hiệp định cũng tương tự như cách tiếp cận đối với tiền lãi. Ví dụ, việc loại bỏ hoàn toàn thuế khấu trừ thường được theo đuổi, như OECD Model (Mẫu OECD) ủng hộ. Khi đạt được điều này, các hiệp định sử dụng ngôn ngữ xuất hiện trong Hiệp định Vương quốc Anh - Thụy Điển như sau:</w:t>
      </w:r>
    </w:p>
    <w:p>
      <w:pPr>
        <w:spacing w:after="80"/>
      </w:pPr>
      <w:r>
        <w:rPr>
          <w:b w:val="0"/>
          <w:i w:val="0"/>
        </w:rPr>
        <w:t>12(1) Tiền bản quyền phát sinh và thuộc quyền sở hữu hưởng lợi của một cư dân của một Quốc gia ký kết sẽ chỉ bị đánh thuế tại Quốc gia đó.</w:t>
      </w:r>
    </w:p>
    <w:p>
      <w:pPr>
        <w:spacing w:after="80"/>
      </w:pPr>
      <w:r>
        <w:rPr>
          <w:b w:val="0"/>
          <w:i w:val="0"/>
        </w:rPr>
        <w:t>Trong những trường hợp như vậy, nguồn gốc của tiền bản quyền không quan trọng. Tiền bản quyền thường chỉ bị đánh thuế tại quốc gia cư trú của chủ sở hữu hưởng lợi trong khoảng một phần ba số hiệp định của Vương quốc Anh. UN Model Treaty (Hiệp định Mẫu của Liên Hợp Quốc) ủng hộ việc áp dụng thuế suất dương tại các quốc gia nguồn, và phần lớn các hiệp định có điều khoản về tiền bản quyền (một nhóm hiệp định còn lớn hơn nữa), bao gồm một số hiệp định với các quốc gia thành viên OECD, cho phép đánh thuế tại quốc gia nguồn, tuy với thuế suất từ 5% đến 20% và do đó thường thấp hơn thuế suất cơ bản của Vương quốc Anh. Hiệp định Vương quốc Anh - Tây Ban Nha là đại diện tiêu biểu cho nhóm sau này:</w:t>
      </w:r>
    </w:p>
    <w:p>
      <w:pPr>
        <w:spacing w:after="80"/>
      </w:pPr>
      <w:r>
        <w:rPr>
          <w:b w:val="0"/>
          <w:i w:val="0"/>
        </w:rPr>
        <w:t>12(1) Tiền bản quyền phát sinh tại một Quốc gia ký kết mà thuộc quyền sở hữu hưởng lợi của một cư dân của Quốc gia ký kết kia có thể bị đánh thuế tại Quốc gia kia. 12(2) Tuy nhiên, những tiền bản quyền đó cũng có thể bị đánh thuế tại Quốc gia ký kết nơi chúng phát sinh và theo luật của Quốc gia đó, nhưng thuế được đánh sẽ không vượt quá 10% tổng số tiền bản quyền.</w:t>
      </w:r>
    </w:p>
    <w:p>
      <w:pPr>
        <w:spacing w:after="80"/>
      </w:pPr>
      <w:r>
        <w:rPr>
          <w:b w:val="0"/>
          <w:i w:val="0"/>
        </w:rPr>
        <w:t>Ngôn ngữ trong khía cạnh này tương tự như ngôn ngữ trong các điều khoản về tiền lãi. Một số vấn đề phát sinh liên quan đến tiền lãi cũng áp dụng cho tiền bản quyền, nhưng có những khác biệt quan trọng.</w:t>
      </w:r>
    </w:p>
    <w:p>
      <w:pPr>
        <w:spacing w:after="80"/>
      </w:pPr>
      <w:r>
        <w:rPr>
          <w:b w:val="0"/>
          <w:i w:val="0"/>
        </w:rPr>
        <w:t>137. ITA 2007, s. 826. 138. ITA 2007, s. 901(3), đối với các khoản thanh toán hàng năm, s. 903(5) đối với quyền sáng chế, và s. 906(5) đối với quyền tác giả và các quyền tương tự. 139. ITTOIA Phần 5, Chương 2A – Đánh thuế đối với các khoản thu ngoài khơi liên quan đến tài sản vô hình. 140. ITTIOA, s. 608E. 141. ITTIOA, s. 608H. 142. ITTOIA, s. 608F. 143. ITTOIA, s. 608O-608R.</w:t>
      </w:r>
    </w:p>
    <w:p>
      <w:pPr>
        <w:spacing w:after="80"/>
      </w:pPr>
      <w:r>
        <w:rPr>
          <w:b w:val="0"/>
          <w:i w:val="0"/>
        </w:rPr>
        <w:t>330</w:t>
      </w:r>
    </w:p>
    <w:p>
      <w:pPr>
        <w:spacing w:after="80"/>
      </w:pPr>
      <w:r>
        <w:rPr>
          <w:b/>
          <w:i w:val="0"/>
        </w:rPr>
        <w:t>[A]Phạm vi của Điều khoản về Tiền bản quyền</w:t>
      </w:r>
    </w:p>
    <w:p>
      <w:pPr>
        <w:spacing w:after="80"/>
      </w:pPr>
      <w:r>
        <w:rPr>
          <w:b w:val="0"/>
          <w:i w:val="0"/>
        </w:rPr>
        <w:t>Định nghĩa về tiền bản quyền như trong OECD Model hiện hành xuất hiện trong Hiệp định Vương quốc Anh - Moldova và có nội dung như sau:144</w:t>
      </w:r>
    </w:p>
    <w:p>
      <w:pPr>
        <w:spacing w:after="80"/>
      </w:pPr>
      <w:r>
        <w:rPr>
          <w:b w:val="0"/>
          <w:i w:val="0"/>
        </w:rPr>
        <w:t>12(3) Thuật ngữ ‘tiền bản quyền’ được sử dụng trong điều này có nghĩa là các khoản thanh toán dưới bất kỳ hình thức nào nhận được như một khoản đền bù cho việc sử dụng, hoặc quyền sử dụng, bất kỳ quyền tác giả của tác phẩm văn học, nghệ thuật hoặc khoa học (bao gồm phim điện ảnh, và phim hoặc băng cho phát thanh hoặc truyền hình), bất kỳ bằng sáng chế, nhãn hiệu, kiểu dáng hoặc mẫu, kế hoạch, công thức hoặc quy trình bí mật, hoặc quyền hoặc tài sản tương tự khác, hoặc cho thông tin (bí quyết kỹ thuật) liên quan đến kinh nghiệm công nghiệp, thương mại hoặc khoa học.</w:t>
      </w:r>
    </w:p>
    <w:p>
      <w:pPr>
        <w:spacing w:after="80"/>
      </w:pPr>
      <w:r>
        <w:rPr>
          <w:b w:val="0"/>
          <w:i w:val="0"/>
        </w:rPr>
        <w:t>Nói một cách tổng quát, những hiệp định như vậy giới hạn điều khoản về tiền bản quyền trong các khoản thanh toán liên quan đến sở hữu trí tuệ. Trước năm 1992, cách diễn đạt của OECD Model bao gồm các khoản thanh toán liên quan đến những khoản ‘dưới bất kỳ hình thức nào nhận được như một khoản đền bù cho việc sử dụng, hoặc quyền sử dụng thiết bị công nghiệp, thương mại hoặc khoa học’.145 Điều 12(3) của Hiệp định Chile - Vương quốc Anh bao gồm ‘tài sản vô hình khác’, một sự khác biệt đáng chú ý so với OECD Model. Cơ quan Thuế Nội địa Chile đã tuyên bố rằng khoản thanh toán do một công ty cư trú tại Chile thực hiện cho một công ty cư trú tại Vương quốc Anh với một tỷ lệ phần trăm sản lượng của nhà máy lọc dầu của công ty Chile là tiền bản quyền thuộc quy định này.146</w:t>
      </w:r>
    </w:p>
    <w:p>
      <w:pPr>
        <w:spacing w:after="80"/>
      </w:pPr>
      <w:r>
        <w:rPr>
          <w:b w:val="0"/>
          <w:i w:val="0"/>
        </w:rPr>
        <w:t>Các hiệp định hiện đại không đề cập đến tiền bản quyền khai thác khoáng sản, vốn thuộc phạm vi điều 6 (thu nhập từ bất động sản). Một số hiệp định ban đầu, chẳng hạn như Hiệp định Antigua - Vương quốc Anh, vốn không có điều khoản liên quan đến bất động sản, lại đặc biệt loại trừ tiền bản quyền hoặc các khoản tiền được trả liên quan đến hoạt động của một mỏ hoặc mỏ đá hoặc việc khai thác tài nguyên thiên nhiên khác.147 Bất chấp sự thay đổi trong OECD Model, một số hiệp định đặc biệt là với các quốc gia đang phát triển vẫn tiếp tục bao gồm các khoản thanh toán cho việc sử dụng hoặc quyền sử dụng bất kỳ thiết bị công nghiệp, thương mại hoặc khoa học nào.148</w:t>
      </w:r>
    </w:p>
    <w:p>
      <w:pPr>
        <w:spacing w:after="80"/>
      </w:pPr>
      <w:r>
        <w:rPr>
          <w:b w:val="0"/>
          <w:i w:val="0"/>
        </w:rPr>
        <w:t>Trong trường hợp đang bàn, vấn đề phân loại chính là giữa việc xử lý như tiền lãi theo Điều 11 hay cổ tức theo Điều 10; các vấn đề phân loại tiền bản quyền chủ yếu là liệu các khoản thanh toán liên quan đến sở hữu trí tuệ có thuộc các quy định về tiền bản quyền tại Điều 12 hay các quy định về lợi nhuận kinh doanh tại Điều 7 (và có thể cả dịch vụ cá nhân độc lập tại Điều 14) hay không. Trong các hiệp định có quy định riêng về dịch vụ tư vấn, có thể phát sinh thêm các vấn đề ranh giới. Khác với cổ tức</w:t>
      </w:r>
    </w:p>
    <w:p>
      <w:pPr>
        <w:spacing w:after="80"/>
      </w:pPr>
      <w:r>
        <w:rPr>
          <w:b w:val="0"/>
          <w:i w:val="0"/>
        </w:rPr>
        <w:t>144. Cụm từ trong ngoặc '(know how)' không có trong OECD Model nhưng xuất hiện thường xuyên trong các hiệp định của Vương quốc Anh. 145. Xem, ví dụ, Canada-UK Tax Treaty (1978), Điều 12(4). 146. Chilean Internal Revenue Service, Ruling 2876, ngày 22 tháng 11 năm 2019. 147. Arrangement between His Majesty's Government and the Government of the Presidency of Antigua for the Avoidance of Double Taxation and the Prevention of Fiscal Evasion with Respect to Taxes on Income Arrangement ngày 19 tháng 12 năm 1947 (SR&amp;O 1947/2865), Điều 7(2). 148. Xem, ví dụ, Convention between the Government of the United Kingdom of Great Britain and Northern Ireland and the Government of the Republic of Latvia for the Avoidance of Double Taxation and the Prevention of Fiscal Evasion with Respect to Taxes on Income and on Capital Gains Convention ngày 8 tháng 5 năm 1996 (SI 1996/3167), Điều 12(3), và Convention between the Government of the United Kingdom of Great Britain and Northern Ireland and the Government of the Republic of Moldova for the Avoidance of Double Taxation and the Prevention of Fiscal Evasion with Respect to Taxes on Income and on Capital Convention ngày 9 tháng 7 năm 2008 (SI 2008/1795), Điều 12(3).</w:t>
      </w:r>
    </w:p>
    <w:p>
      <w:pPr>
        <w:spacing w:after="80"/>
      </w:pPr>
      <w:r>
        <w:rPr>
          <w:b w:val="0"/>
          <w:i w:val="0"/>
        </w:rPr>
        <w:t>331</w:t>
      </w:r>
    </w:p>
    <w:p>
      <w:pPr>
        <w:spacing w:after="80"/>
      </w:pPr>
      <w:r>
        <w:rPr>
          <w:b w:val="0"/>
          <w:i w:val="0"/>
        </w:rPr>
        <w:t>các điều khoản về tiền lãi, định nghĩa về tiền bản quyền này không dựa trên cách phân loại ở quốc gia nguồn, nên về nguyên tắc, hai quốc gia ký kết có thể đưa ra những cách phân loại xung đột nhau.</w:t>
      </w:r>
    </w:p>
    <w:p>
      <w:pPr>
        <w:spacing w:after="80"/>
      </w:pPr>
      <w:r>
        <w:rPr>
          <w:b w:val="0"/>
          <w:i w:val="0"/>
        </w:rPr>
        <w:t xml:space="preserve">Trong </w:t>
      </w:r>
      <w:r>
        <w:rPr>
          <w:b w:val="0"/>
          <w:i/>
        </w:rPr>
        <w:t>PT Cyberindo Aditama v Direktur Jenderal Pajak,</w:t>
      </w:r>
      <w:r>
        <w:rPr>
          <w:b w:val="0"/>
          <w:i w:val="0"/>
        </w:rPr>
        <w:t>149 Tòa án Thuế Indonesia đã phán quyết rằng phí thuê băng thông mà một công ty cư trú tại Indonesia trả cho một công ty cư trú tại Vương quốc Anh không phải là tiền bản quyền theo Điều 12(3)(b) của Indonesia-UK Tax Treaty (1993). Công ty Indonesia là một nhà cung cấp dịch vụ internet. Công ty này thuê băng thông do Intelsat, một nhà khai thác vệ tinh của Vương quốc Anh, cung cấp. Tòa án Thuế đã bác bỏ lập luận của cơ quan thuế rằng khoản thanh toán đó là 'để có quyền sử dụng thiết bị khoa học' và là lợi nhuận kinh doanh theo Điều 7, chỉ bị đánh thuế nếu Intelsat có cơ sở thường trú tại Indonesia, mà Intelsat thì không có. Cơ sở cho phán quyết này là công ty Indonesia thuê băng thông, và chỉ có quyền kiểm soát đối với băng thông được thuê theo hợp đồng chứ không phải toàn bộ băng thông do vệ tinh tạo ra.</w:t>
      </w:r>
    </w:p>
    <w:p>
      <w:pPr>
        <w:spacing w:after="80"/>
      </w:pPr>
      <w:r>
        <w:rPr>
          <w:b w:val="0"/>
          <w:i w:val="0"/>
        </w:rPr>
        <w:t>Các câu hỏi tương tự cũng phát sinh theo luật trong nước. Thu nhập nhận được từ sở hữu trí tuệ phải được xử lý như thu nhập từ hoạt động kinh doanh, ưu tiên hơn thu nhập phi kinh doanh chịu thuế theo ITTOIA 2005, Phần 5.150</w:t>
      </w:r>
    </w:p>
    <w:p>
      <w:pPr>
        <w:spacing w:after="80"/>
      </w:pPr>
      <w:r>
        <w:rPr>
          <w:b w:val="0"/>
          <w:i w:val="0"/>
        </w:rPr>
        <w:t>Ví dụ, tiền bản quyền bản quyền tác giả trả cho một tác giả của tác phẩm văn học, kịch, âm nhạc hoặc nghệ thuật được tạo ra trong quá trình hành nghề thông thường của người đó thuộc lợi nhuận kinh doanh chứ không thuộc ITTOIA 2005, s.579(2)(a). Do đó, các khoản thanh toán cho một tác giả không cư trú không phải chịu khấu trừ thuế thu nhập tại nguồn.151</w:t>
      </w:r>
    </w:p>
    <w:p>
      <w:pPr>
        <w:spacing w:after="80"/>
      </w:pPr>
      <w:r>
        <w:rPr>
          <w:b w:val="0"/>
          <w:i w:val="0"/>
        </w:rPr>
        <w:t>Điều tương tự cũng đúng đối với các khoản thanh toán cho các dịch vụ khác làm phát sinh quyền sở hữu trí tuệ như bản quyền tác giả. Những dịch vụ này bao gồm công việc của kiến trúc sư trong việc tạo ra các bản vẽ hoặc ý kiến chuyên môn. Việc đề cập rộng đến 'lợi nhuận của một doanh nghiệp' trong Điều 7 có thể có nghĩa là các khoản thanh toán thuộc Điều 7, ngay cả khi không có hoạt động kinh doanh nào vì mục đích thuế trong nước của Vương quốc Anh.</w:t>
      </w:r>
    </w:p>
    <w:p>
      <w:pPr>
        <w:spacing w:after="80"/>
      </w:pPr>
      <w:r>
        <w:rPr>
          <w:b w:val="0"/>
          <w:i w:val="0"/>
        </w:rPr>
        <w:t>Know-how được công nhận trong luật trong nước là 'bất kỳ ý tưởng, thông tin hoặc kỹ thuật nào nói chung không được bảo hộ bởi quyền sở hữu trí tuệ theo luật định'.152 Định nghĩa này còn được nêu rõ là có nghĩa:</w:t>
      </w:r>
    </w:p>
    <w:p>
      <w:pPr>
        <w:spacing w:after="80"/>
      </w:pPr>
      <w:r>
        <w:rPr>
          <w:b w:val="0"/>
          <w:i w:val="0"/>
        </w:rPr>
        <w:t>Bất kỳ thông tin hoặc kỹ thuật công nghiệp nào có khả năng hỗ trợ trong việc –</w:t>
      </w:r>
    </w:p>
    <w:p>
      <w:pPr>
        <w:spacing w:after="80"/>
      </w:pPr>
      <w:r>
        <w:rPr>
          <w:b w:val="0"/>
          <w:i w:val="0"/>
        </w:rPr>
        <w:t>(a) sản xuất hoặc chế biến hàng hóa hoặc vật liệu, (b) khai thác một nguồn khoáng sản (bao gồm tìm kiếm, phát hiện hoặc</w:t>
      </w:r>
    </w:p>
    <w:p>
      <w:pPr>
        <w:spacing w:after="80"/>
      </w:pPr>
      <w:r>
        <w:rPr>
          <w:b w:val="0"/>
          <w:i w:val="0"/>
        </w:rPr>
        <w:t>thử nghiệm các mỏ khoáng sản hoặc tiếp cận chúng), hoặc (c) thực hiện bất kỳ hoạt động nông nghiệp, lâm nghiệp hoặc đánh cá nào.153</w:t>
      </w:r>
    </w:p>
    <w:p>
      <w:pPr>
        <w:spacing w:after="80"/>
      </w:pPr>
      <w:r>
        <w:rPr>
          <w:b w:val="0"/>
          <w:i w:val="0"/>
        </w:rPr>
        <w:t>Bình luận của OECD nhận xét rằng đó là thông tin chưa được tiết lộ dựa trên kinh nghiệm trong quá khứ. Chính việc nó đại diện cho kinh nghiệm trong quá khứ là điều phân biệt know-how với việc cung cấp dịch vụ nhằm tạo ra thông tin mới.154</w:t>
      </w:r>
    </w:p>
    <w:p>
      <w:pPr>
        <w:spacing w:after="80"/>
      </w:pPr>
      <w:r>
        <w:rPr>
          <w:b w:val="0"/>
          <w:i w:val="0"/>
        </w:rPr>
        <w:t xml:space="preserve">149. </w:t>
      </w:r>
      <w:r>
        <w:rPr>
          <w:b w:val="0"/>
          <w:i/>
        </w:rPr>
        <w:t>PT Cyberindo Aditama v Direktur Jenderal Pajak</w:t>
      </w:r>
      <w:r>
        <w:rPr>
          <w:b w:val="0"/>
          <w:i w:val="0"/>
        </w:rPr>
        <w:t xml:space="preserve"> (Case PUT-27005/PP/M.X/13/2010) Tòa án Thuế Indonesia, ngày 8 tháng 11 năm 2011 (IBFD Tax Research Database). 150. ITTOIA 2005, s. 575(1). 151. Xem </w:t>
      </w:r>
      <w:r>
        <w:rPr>
          <w:b w:val="0"/>
          <w:i/>
        </w:rPr>
        <w:t>Carson v Cheyney's Executor</w:t>
      </w:r>
      <w:r>
        <w:rPr>
          <w:b w:val="0"/>
          <w:i w:val="0"/>
        </w:rPr>
        <w:t xml:space="preserve"> 38 TC 240; </w:t>
      </w:r>
      <w:r>
        <w:rPr>
          <w:b w:val="0"/>
          <w:i/>
        </w:rPr>
        <w:t>Hume v Asquith</w:t>
      </w:r>
      <w:r>
        <w:rPr>
          <w:b w:val="0"/>
          <w:i w:val="0"/>
        </w:rPr>
        <w:t xml:space="preserve"> 45 TC 251. 152. ITTOIA 2005, s. 579(2)(d). 153. ITTOIA 2005, s. 583(4). 154. Commentary to OECD Model, Điều 12, đoạn 7.</w:t>
      </w:r>
    </w:p>
    <w:p>
      <w:pPr>
        <w:spacing w:after="80"/>
      </w:pPr>
      <w:r>
        <w:rPr>
          <w:b w:val="0"/>
          <w:i w:val="0"/>
        </w:rPr>
        <w:t>332</w:t>
      </w:r>
    </w:p>
    <w:p>
      <w:pPr>
        <w:spacing w:after="80"/>
      </w:pPr>
      <w:r>
        <w:rPr>
          <w:b w:val="0"/>
          <w:i w:val="0"/>
        </w:rPr>
        <w:t>Phần mềm mua thường bao gồm một giấy phép cho phép người mua sử dụng phần mềm và cho phép sao chép có giới hạn liên quan đến việc sử dụng đó. Các quyền của nhà cung cấp bao gồm bản quyền tác giả nhưng HMRC thường chấp nhận rằng khoản thanh toán cho phần mềm là một giấy phép bản quyền tác giả. Chỉ khi quyền có được là quyền sao chép phần mềm để khai thác nó thì khoản thanh toán mới có thể thực chất là liên quan đến bản quyền tác giả.155</w:t>
      </w:r>
    </w:p>
    <w:p>
      <w:pPr>
        <w:spacing w:after="80"/>
      </w:pPr>
      <w:r>
        <w:rPr>
          <w:b w:val="0"/>
          <w:i w:val="0"/>
        </w:rPr>
        <w:t>Điều này nên đúng bất kể phương tiện phân phối nào, để phần mềm tải xuống được đối xử giống như phần mềm cung cấp trên phương tiện vật lý hữu hình. Việc phân chia các khoản thanh toán giữa những khoản thực chất là cho bản quyền hoặc các quyền sở hữu trí tuệ khác và những khoản mà bản quyền (hoặc quyền khác) chỉ là một cơ chế để bảo vệ quyền của chủ sở hữu nằm ở trung tâm của việc phân tích một loạt các giao dịch thương mại điện tử như xem cơ sở dữ liệu hoặc sử dụng phần mềm trực tuyến.156</w:t>
      </w:r>
    </w:p>
    <w:p>
      <w:pPr>
        <w:spacing w:after="80"/>
      </w:pPr>
      <w:r>
        <w:rPr>
          <w:b w:val="0"/>
          <w:i w:val="0"/>
        </w:rPr>
        <w:t xml:space="preserve">Trong </w:t>
      </w:r>
      <w:r>
        <w:rPr>
          <w:b w:val="0"/>
          <w:i/>
        </w:rPr>
        <w:t>Infrasoft Limited v ADIT</w:t>
      </w:r>
      <w:r>
        <w:rPr>
          <w:b w:val="0"/>
          <w:i w:val="0"/>
        </w:rPr>
        <w:t xml:space="preserve">,157 Tòa án Kháng nghị Thuế Thu nhập Ấn Độ đã kết luận trên cơ sở này rằng các khoản thanh toán cho việc cung cấp phần mềm tùy chỉnh không phải là tiền bản quyền. Ở đó, một công ty cư trú tại Vương quốc Anh có cơ sở thường trú tại Ấn Độ tham gia vào việc tiếp thị và phát triển phần mềm. Phần mềm cho khách hàng Ấn Độ của công ty được nhập khẩu và tùy chỉnh cho khách hàng Ấn Độ theo các giấy phép hạn chế quyền sao chép, bán, sử dụng, v.v. của khách hàng đối với phần mềm. ITAT đã phán quyết rằng các khoản thanh toán mang tính chất thu nhập kinh doanh chứ không phải tiền bản quyền theo Điều 13 của Hiệp định Thuế Ấn Độ - Vương quốc Anh (1993) vì khách hàng Ấn Độ không nhận được bất kỳ quyền nào đối với sở hữu trí tuệ chứa trong phần mềm. Thanh toán cho việc sử dụng dịch vụ mạng thoại ảo trong </w:t>
      </w:r>
      <w:r>
        <w:rPr>
          <w:b w:val="0"/>
          <w:i/>
        </w:rPr>
        <w:t>Interroute Communications Ltd v DDIT</w:t>
      </w:r>
      <w:r>
        <w:rPr>
          <w:b w:val="0"/>
          <w:i w:val="0"/>
        </w:rPr>
        <w:t>158 không phải là tiền bản quyền theo Điều 13(3)(a) của hiệp định thuế hai lần Ấn Độ - Vương quốc Anh vì nó không phải cho bất kỳ công trình khoa học nào cũng như bất kỳ bằng sáng chế, nhãn hiệu, kiểu dáng, kế hoạch hoặc công thức hay quy trình bí mật nào.</w:t>
      </w:r>
    </w:p>
    <w:p>
      <w:pPr>
        <w:spacing w:after="80"/>
      </w:pPr>
      <w:r>
        <w:rPr>
          <w:b w:val="0"/>
          <w:i w:val="0"/>
        </w:rPr>
        <w:t xml:space="preserve">Tòa án Cấp cao Ấn Độ tại Delhi đã xem xét liệu khoản thanh toán phí quảng bá cuộc đua của công ty cư trú tại Ấn Độ cho một công ty cư trú tại Vương quốc Anh có phải là tiền bản quyền như được định nghĩa trong Điều 13 trong </w:t>
      </w:r>
      <w:r>
        <w:rPr>
          <w:b w:val="0"/>
          <w:i/>
        </w:rPr>
        <w:t>Formula One World Championship Ltd v Commissioner of Income Tax, International Taxation</w:t>
      </w:r>
      <w:r>
        <w:rPr>
          <w:b w:val="0"/>
          <w:i w:val="0"/>
        </w:rPr>
        <w:t xml:space="preserve"> hay không.159 Tòa án đã phán quyết rằng các khoản thanh toán là để cấp đặc quyền tổ chức, đăng cai và quảng bá sự kiện tại đường đua của nhà quảng bá chứ không phải tiền bản quyền theo Điều 13(3)(a) của cùng hiệp định đó. Các nhãn hiệu được cấp phép cùng với Hợp đồng Quảng bá Cuộc đua chỉ là phụ trợ cho mục đích chính của thỏa thuận.</w:t>
      </w:r>
    </w:p>
    <w:p>
      <w:pPr>
        <w:spacing w:after="80"/>
      </w:pPr>
      <w:r>
        <w:rPr>
          <w:b w:val="0"/>
          <w:i w:val="0"/>
        </w:rPr>
        <w:t xml:space="preserve">Việc phân loại các khoản thanh toán theo Điều 12 của Hiệp định Ấn Độ - Ireland cũng gây tranh cãi tương tự ở Ấn Độ. Ví dụ, Cơ quan Phán quyết Trước của Ấn Độ cho rằng nội dung khóa học trực tuyến được cung cấp dưới dạng phần mềm là một 'tác phẩm văn học' theo Điều 12(3)(a).160 Trong </w:t>
      </w:r>
      <w:r>
        <w:rPr>
          <w:b w:val="0"/>
          <w:i/>
        </w:rPr>
        <w:t>Google India Private Limited v ADIT</w:t>
      </w:r>
      <w:r>
        <w:rPr>
          <w:b w:val="0"/>
          <w:i w:val="0"/>
        </w:rPr>
        <w:t>,161</w:t>
      </w:r>
    </w:p>
    <w:p>
      <w:pPr>
        <w:spacing w:after="80"/>
      </w:pPr>
      <w:r>
        <w:rPr>
          <w:b w:val="0"/>
          <w:i w:val="0"/>
        </w:rPr>
        <w:t>155. Xem HMRC, International Manual, INTM342630.156. Xem Bình luận về OECD Model, Điều 12 khoản 14-17.157.</w:t>
      </w:r>
      <w:r>
        <w:rPr>
          <w:b w:val="0"/>
          <w:i/>
        </w:rPr>
        <w:t>Infrasoft Limited v ADIT</w:t>
      </w:r>
      <w:r>
        <w:rPr>
          <w:b w:val="0"/>
          <w:i w:val="0"/>
        </w:rPr>
        <w:t xml:space="preserve"> (2009) 28 SOT 179 (ITAT-Delhi).158.</w:t>
      </w:r>
      <w:r>
        <w:rPr>
          <w:b w:val="0"/>
          <w:i/>
        </w:rPr>
        <w:t>Interroute Communications Ltd v DDIT</w:t>
      </w:r>
      <w:r>
        <w:rPr>
          <w:b w:val="0"/>
          <w:i w:val="0"/>
        </w:rPr>
        <w:t xml:space="preserve"> (ITA. No. 2284/Mum/2014). Xem Chương 9, §9.14 để biết các tình tiết của vụ án.159.</w:t>
      </w:r>
      <w:r>
        <w:rPr>
          <w:b w:val="0"/>
          <w:i/>
        </w:rPr>
        <w:t>Formula One World Championship Ltd v Commissioner of Income Tax, International Taxation Delhi</w:t>
      </w:r>
      <w:r>
        <w:rPr>
          <w:b w:val="0"/>
          <w:i w:val="0"/>
        </w:rPr>
        <w:t xml:space="preserve"> [2017] 291 CTR 24 (Delhi). Đối với các tình tiết của vụ án, xem Chương 7, §7.02. Câu hỏi liệu công ty Vương quốc Anh có cơ sở thường trú hay không cũng đã được kháng cáo lên Tòa án Tối cao và được thảo luận tại khoản đó.160.</w:t>
      </w:r>
      <w:r>
        <w:rPr>
          <w:b w:val="0"/>
          <w:i/>
        </w:rPr>
        <w:t>SkillSoft Ireland Ltd</w:t>
      </w:r>
      <w:r>
        <w:rPr>
          <w:b w:val="0"/>
          <w:i w:val="0"/>
        </w:rPr>
        <w:t>, 20 tháng 7 năm 2015 (AAR 985 của 2010).</w:t>
      </w:r>
    </w:p>
    <w:p>
      <w:pPr>
        <w:spacing w:after="80"/>
      </w:pPr>
      <w:r>
        <w:rPr>
          <w:b w:val="0"/>
          <w:i w:val="0"/>
        </w:rPr>
        <w:t>333</w:t>
      </w:r>
    </w:p>
    <w:p>
      <w:pPr>
        <w:spacing w:after="80"/>
      </w:pPr>
      <w:r>
        <w:rPr>
          <w:b w:val="0"/>
          <w:i w:val="0"/>
        </w:rPr>
        <w:t>Tòa án Kháng nghị Thuế Thu nhập Ấn Độ đã phán quyết rằng các khoản thanh toán của Google India cho Google Ireland Limited theo một thỏa thuận phân phối độc quyền và sau đó theo một thỏa thuận đại lý bán lại không độc quyền cấu thành tiền bản quyền theo Điều 12(3)(a). Google India được cấp quyền tiếp thị và phân phối cho Chương trình Google AdWords cho các nhà quảng cáo ở Ấn Độ, và đối tượng nộp thuế được trả thù lao trên cơ sở giá thành cộng thêm cho hoạt động phân phối. Theo một thỏa thuận dịch vụ riêng, Google India cung cấp các dịch vụ hỗ trợ công nghệ thông tin và dịch vụ hỗ trợ khách hàng cho Google Ireland liên quan đến Chương trình AdWords. Tòa án đã giải thích hai thỏa thuận cùng nhau và kết luận rằng các khoản thanh toán cho Google Ireland không chỉ đơn thuần là để mua không gian Adwords nhằm bán lại cho các nhà quảng cáo Ấn Độ. Khi thực hiện các chức năng phân phối. Tòa án xác định rằng các quyền bao gồm sở hữu trí tuệ như bằng sáng chế và nhãn hiệu, thông tin mật, công nghệ phần mềm và tài liệu thuộc sở hữu của Google Ireland đã được cấp phép cho Google India để công ty này thực hiện các nghĩa vụ của mình theo các thỏa thuận phân phối và bán lại. Tuy nhiên, Tòa án Tối cao Ấn Độ đã phán quyết dứt khoát, trong một kháng cáo hợp nhất liên quan đến nhiều bên kháng cáo và hiệp định, rằng các khoản thanh toán cho việc sử dụng phần mềm theo các thỏa thuận phân phối và thỏa thuận cấp phép cho người dùng cuối không tạo ra bất kỳ lợi ích hay quyền nào đối với bản quyền, điều mà sẽ tương đương với việc sử dụng hoặc quyền sử dụng bất kỳ bản quyền nào, dẫn đến kết quả là các khoản thanh toán theo các thỏa thuận đó không làm phát sinh tiền bản quyền theo Điều 12(3)(a) của hiệp định Ấn Độ - Ireland hoặc Điều 13(3) của các hiệp định Ấn Độ - Vương quốc Anh.162</w:t>
      </w:r>
    </w:p>
    <w:p>
      <w:pPr>
        <w:spacing w:after="80"/>
      </w:pPr>
      <w:r>
        <w:rPr>
          <w:b/>
          <w:i w:val="0"/>
        </w:rPr>
        <w:t>[B]Nguồn gốc của tiền bản quyền</w:t>
      </w:r>
    </w:p>
    <w:p>
      <w:pPr>
        <w:spacing w:after="80"/>
      </w:pPr>
      <w:r>
        <w:rPr>
          <w:b w:val="0"/>
          <w:i w:val="0"/>
        </w:rPr>
        <w:t xml:space="preserve">Thật kỳ lạ, OECD Model không chứa các quy tắc xác định nguồn gốc của tiền bản quyền. HMRC </w:t>
      </w:r>
      <w:r>
        <w:rPr>
          <w:b w:val="0"/>
          <w:i/>
        </w:rPr>
        <w:t>International Tax Handbook</w:t>
      </w:r>
      <w:r>
        <w:rPr>
          <w:b w:val="0"/>
          <w:i w:val="0"/>
        </w:rPr>
        <w:t xml:space="preserve"> ghi chú một cách khó hiểu (tại đoạn ITH559) rằng 'tuy nhiên, không có định nghĩa về nơi phát sinh tiền bản quyền, vì vậy luật trong nước của mỗi đối tác quyết định điều này'. Tuy nhiên, UN Model có chứa một điều khoản giải quyết vấn đề này và một số hiệp định của Vương quốc Anh, bao gồm cả hiệp định với Argentina, bao gồm một điều khoản như vậy, nội dung như sau:</w:t>
      </w:r>
    </w:p>
    <w:p>
      <w:pPr>
        <w:spacing w:after="80"/>
      </w:pPr>
      <w:r>
        <w:rPr>
          <w:b w:val="0"/>
          <w:i w:val="0"/>
        </w:rPr>
        <w:t>12(5) Tiền bản quyền được coi là phát sinh tại một Quốc gia Ký kết khi người trả là chính Quốc gia đó; một đơn vị chính trị, chính quyền địa phương hoặc một cư dân của Quốc gia đó. Tuy nhiên, khi người trả tiền bản quyền, dù là cư dân của một Quốc gia Ký kết hay không, có tại một Quốc gia Ký kết một cơ sở thường trú hoặc cơ sở cố định mà nghĩa vụ trả tiền bản quyền phát sinh liên quan đến cơ sở đó, và những khoản tiền bản quyền đó được cơ sở thường trú hoặc cơ sở cố định đó chịu, thì những khoản tiền bản quyền đó được coi là phát sinh tại Quốc gia nơi cơ sở thường trú hoặc cơ sở cố định đó tọa lạc.</w:t>
      </w:r>
    </w:p>
    <w:p>
      <w:pPr>
        <w:spacing w:after="80"/>
      </w:pPr>
      <w:r>
        <w:rPr>
          <w:b w:val="0"/>
          <w:i w:val="0"/>
        </w:rPr>
        <w:t>Cách tiếp cận này, trong bối cảnh giới hạn thẩm quyền đánh thuế, áp dụng một cách tương tự như cách mà OECD Model, Điều 11(5), đã áp dụng liên quan đến tiền lãi, cụ thể là vị trí của người trả tiền bản quyền. Luật trong nước của Vương quốc Anh, khi khẳng định thẩm quyền đánh thuế, thì không rõ ràng nhưng có lẽ áp dụng cách tiếp cận đa yếu tố. Nơi cư trú của người trả tiền nói chung chỉ là</w:t>
      </w:r>
    </w:p>
    <w:p>
      <w:pPr>
        <w:spacing w:after="80"/>
      </w:pPr>
      <w:r>
        <w:rPr>
          <w:b w:val="0"/>
          <w:i w:val="0"/>
        </w:rPr>
        <w:t>161.</w:t>
      </w:r>
      <w:r>
        <w:rPr>
          <w:b w:val="0"/>
          <w:i/>
        </w:rPr>
        <w:t>Google India Private Limited v ADIT</w:t>
      </w:r>
      <w:r>
        <w:rPr>
          <w:b w:val="0"/>
          <w:i w:val="0"/>
        </w:rPr>
        <w:t xml:space="preserve"> (ITA No. 1190/Bang/2014 và các vụ khác), 11 tháng 5 năm 2018.162.</w:t>
      </w:r>
      <w:r>
        <w:rPr>
          <w:b w:val="0"/>
          <w:i/>
        </w:rPr>
        <w:t>Engineering Analysis Centre of Excellence Private Limited and Others v CIT</w:t>
      </w:r>
      <w:r>
        <w:rPr>
          <w:b w:val="0"/>
          <w:i w:val="0"/>
        </w:rPr>
        <w:t>, Tòa án Tối cao Ấn Độ (Số vụ án 8733-8734/2018) ngày 2 tháng 3 năm 2021.</w:t>
      </w:r>
    </w:p>
    <w:p>
      <w:pPr>
        <w:spacing w:after="80"/>
      </w:pPr>
      <w:r>
        <w:rPr>
          <w:b w:val="0"/>
          <w:i w:val="0"/>
        </w:rPr>
        <w:t>334</w:t>
      </w:r>
    </w:p>
    <w:p>
      <w:pPr>
        <w:spacing w:after="80"/>
      </w:pPr>
      <w:r>
        <w:rPr>
          <w:b w:val="0"/>
          <w:i w:val="0"/>
        </w:rPr>
        <w:t>một yếu tố liên quan đến vị trí nguồn cho mục đích của ITTOIA 2005, Phần 5, và ITA 2007, Phần 15, các yếu tố khác là vị trí của quyền sở hữu trí tuệ cơ bản, nơi thanh toán sẽ được thực hiện và có thể là nơi hợp đồng được ký kết. Về mặt này, bản quyền nước ngoài gợi ý tiền bản quyền có nguồn gốc nước ngoài, trong khi bản quyền Vương quốc Anh hoặc quyền sở hữu trí tuệ khác gợi ý tiền bản quyền có nguồn gốc Vương quốc Anh. Hướng dẫn của HMRC không có tính hệ thống trong lĩnh vực này, phản ánh nhiều quy tắc khác nhau liên quan đến các loại tài sản khác nhau, nhưng nó chấp nhận rằng trừ khi bằng sáng chế là bằng sáng chế Vương quốc Anh, giấy phép không thể là 'cho người sử dụng bằng sáng chế'.163 Nó cũng có quan điểm rằng nếu bản quyền được khai thác ở Vương quốc Anh, khoản thanh toán tiền bản quyền liên quan sẽ được coi là có nguồn gốc Vương quốc Anh bất kể luật điều chỉnh hợp đồng.164 Đặc điểm trung tâm của quyền sở hữu trí tuệ là bảo vệ chống lại sự xâm phạm, bao gồm quyền của chủ sở hữu ngăn chặn người khác thực hiện các hoạt động nhất định mà không có sự cho phép của mình.165 Quyền này mang tính lãnh thổ dựa trên hệ thống pháp luật thiết lập quyền đó và kết quả là, ví dụ, một bằng sáng chế hoặc nhãn hiệu đã đăng ký tại Vương quốc Anh được đặt tại Vương quốc Anh. Mặc dù Bằng sáng chế Châu Âu trao cho mỗi quốc gia ký kết các quyền giống như bằng sáng chế quốc gia, sự xâm phạm được giải quyết theo luật quốc gia,166 do đó làm phát sinh nhiều quyền lãnh thổ. Trong trường hợp nhãn hiệu Cộng đồng, mối liên hệ lãnh thổ thường được tìm thấy nơi chủ sở hữu có nơi cư trú, trụ sở hoặc cơ sở của mình.167</w:t>
      </w:r>
    </w:p>
    <w:p>
      <w:pPr>
        <w:spacing w:after="80"/>
      </w:pPr>
      <w:r>
        <w:rPr>
          <w:b w:val="0"/>
          <w:i w:val="0"/>
        </w:rPr>
        <w:t>Cứu trợ nhượng bộ có thể có sẵn cho tín dụng thuế nước ngoài trong các trường hợp người trả là người nước ngoài, nhưng khoản thanh toán cho mục đích Vương quốc Anh được coi là có nguồn gốc Vương quốc Anh. Cứu trợ nhượng bộ như sau:</w:t>
      </w:r>
    </w:p>
    <w:p>
      <w:pPr>
        <w:spacing w:after="80"/>
      </w:pPr>
      <w:r>
        <w:rPr>
          <w:b/>
          <w:i w:val="0"/>
        </w:rPr>
        <w:t>ESCB8 Cứu trợ Thuế Hai lần: Thu nhập Bao gồm Tiền bản quyền và Các khoản Thanh toán 'Bí quyết'</w:t>
      </w:r>
    </w:p>
    <w:p>
      <w:pPr>
        <w:spacing w:after="80"/>
      </w:pPr>
      <w:r>
        <w:rPr>
          <w:b w:val="0"/>
          <w:i w:val="0"/>
        </w:rPr>
        <w:t>Các khoản thanh toán mà một người cư trú tại một quốc gia ở nước ngoài thực hiện cho một người đang hành nghề kinh doanh tại Vương quốc Anh như là khoản đối giá cho việc sử dụng, hoặc cho đặc quyền sử dụng, tại quốc gia ở nước ngoài đó bất kỳ bản quyền, bằng sáng chế, kiểu dáng, bí quyết quy trình hoặc công thức, nhãn hiệu thương mại hay tài sản tương tự khác, về mặt pháp lý có thể là những khoản thanh toán có nguồn gốc tại Vương quốc Anh, nhưng dù vậy vẫn được xử lý cho mục đích tín dụng thuế (dù theo các hiệp định tránh đánh thuế hai lần hay theo hình thức giảm trừ đơn phương) như là thu nhập phát sinh ngoài Vương quốc Anh, ngoại trừ trong phạm vi mà chúng đại diện cho khoản đối giá cho các dịch vụ (không phải chỉ là dịch vụ phụ trợ) được thực hiện tại quốc gia này bởi người nhận cho người trả.</w:t>
      </w:r>
    </w:p>
    <w:p>
      <w:pPr>
        <w:spacing w:after="80"/>
      </w:pPr>
      <w:r>
        <w:rPr>
          <w:b/>
          <w:i w:val="0"/>
        </w:rPr>
        <w:t>[C]Chuyển nhượng Sở hữu Trí tuệ</w:t>
      </w:r>
    </w:p>
    <w:p>
      <w:pPr>
        <w:spacing w:after="80"/>
      </w:pPr>
      <w:r>
        <w:rPr>
          <w:b w:val="0"/>
          <w:i w:val="0"/>
        </w:rPr>
        <w:t>Một số trường hợp chuyển nhượng sở hữu trí tuệ bị đánh thuế thu nhập thay vì thuế lợi tức vốn. Chẳng hạn, khi một người không cư trú bán toàn bộ hoặc một phần bất kỳ quyền bằng sáng chế nào của Vương quốc Anh,</w:t>
      </w:r>
    </w:p>
    <w:p>
      <w:pPr>
        <w:spacing w:after="80"/>
      </w:pPr>
      <w:r>
        <w:rPr>
          <w:b w:val="0"/>
          <w:i w:val="0"/>
        </w:rPr>
        <w:t xml:space="preserve">163.HMRC, Double Tax Relief Manual, DT1912.164.HMRC, International Manual, INTM342520.165.Cách tiếp cận này được phản ánh trong ITTOIA 2005, s.587(4) như sau: ‘Trong Chương này, “quyền bằng sáng chế” nghĩa là quyền được làm hoặc cho phép làm bất cứ điều gì mà, nếu không có quyền đó, sẽ là hành vi xâm phạm bằng sáng chế’.166.Xem </w:t>
      </w:r>
      <w:r>
        <w:rPr>
          <w:b w:val="0"/>
          <w:i/>
        </w:rPr>
        <w:t xml:space="preserve"> European Patent Convention</w:t>
      </w:r>
      <w:r>
        <w:rPr>
          <w:b w:val="0"/>
          <w:i w:val="0"/>
        </w:rPr>
        <w:t>, điều 64.167.Xem Council Regulation 40/94, điều 14 và 97.</w:t>
      </w:r>
    </w:p>
    <w:p>
      <w:pPr>
        <w:spacing w:after="80"/>
      </w:pPr>
      <w:r>
        <w:rPr>
          <w:b w:val="0"/>
          <w:i w:val="0"/>
        </w:rPr>
        <w:t>335</w:t>
      </w:r>
    </w:p>
    <w:p>
      <w:pPr>
        <w:spacing w:after="80"/>
      </w:pPr>
      <w:r>
        <w:rPr>
          <w:b w:val="0"/>
          <w:i w:val="0"/>
        </w:rPr>
        <w:t>thì lợi nhuận đó bị đánh thuế thu nhập.168Việc khấu trừ thuế theo thuế suất cơ bản tại nguồn được áp dụng cho khoản tiền đó.169Việc chuyển nhượng một bản quyền, một quyền đối với kiểu dáng, hoặc quyền cho vay công cộng liên quan đến một cuốn sách để đổi lấy các khoản thanh toán định kỳ bởi một người có nơi cư trú thông thường ngoài Vương quốc Anh làm phát sinh nghĩa vụ khấu trừ thuế tại nguồn.170</w:t>
      </w:r>
    </w:p>
    <w:p>
      <w:pPr>
        <w:spacing w:after="80"/>
      </w:pPr>
      <w:r>
        <w:rPr>
          <w:b w:val="0"/>
          <w:i w:val="0"/>
        </w:rPr>
        <w:t>Tương tự, lợi nhuận từ việc chuyển nhượng bí quyết kỹ thuật cũng bị đánh thuế thu nhập.171Điều này bao gồm khoản đối giá cho việc đưa ra hoặc thực hiện một cam kết được đưa ra liên quan đến việc chuyển nhượng bí quyết kỹ thuật, và hạn chế hoặc được thiết kế để hạn chế hoạt động của bất kỳ người nào theo bất kỳ cách nào.</w:t>
      </w:r>
    </w:p>
    <w:p>
      <w:pPr>
        <w:spacing w:after="80"/>
      </w:pPr>
      <w:r>
        <w:rPr>
          <w:b w:val="0"/>
          <w:i w:val="0"/>
        </w:rPr>
        <w:t>Thuật ngữ ‘tiền bản quyền’ (royalty) trong các hiệp định theo mẫu OECD đề cập đến các khoản thanh toán như là ‘khoản đối giá cho việc sử dụng hoặc quyền sử dụng’. Theo ngôn ngữ thông thường, thuật ngữ này không bao gồm việc thanh toán giá mua trong một giao dịch bán đứt. Khoản thanh toán kiểu này không thuộc phạm vi của quy định tiền bản quyền thông thường mà phải được xử lý theo điều 13 của OECD Model (lợi tức vốn). Điều 12(3)(b) của Hiệp định Hoa Kỳ - Vương quốc Anh bao gồm trong định nghĩa ‘tiền bản quyền’ các khoản lợi thu được từ việc chuyển nhượng các quyền sở hữu trí tuệ mà phụ thuộc vào năng suất, việc sử dụng, hoặc việc định đoạt chúng.</w:t>
      </w:r>
    </w:p>
    <w:p>
      <w:pPr>
        <w:spacing w:after="80"/>
      </w:pPr>
      <w:r>
        <w:rPr>
          <w:b/>
          <w:i w:val="0"/>
        </w:rPr>
        <w:t>[D]Tiền bản quyền được Kết nối Hiệu quả với một Cơ sở Thường trú</w:t>
      </w:r>
    </w:p>
    <w:p>
      <w:pPr>
        <w:spacing w:after="80"/>
      </w:pPr>
      <w:r>
        <w:rPr>
          <w:b w:val="0"/>
          <w:i w:val="0"/>
        </w:rPr>
        <w:t>Cũng như trường hợp cổ tức và lãi, tiền bản quyền được kết nối hiệu quả với một cơ sở thường trú có thể bị đánh thuế tại quốc gia của cơ sở thường trú đó theo các quy tắc về lợi nhuận kinh doanh (điều 12(3) của OECD Model). Quan điểm của HMRC172 là tiền bản quyền có thể được kết nối hiệu quả với một cơ sở thường trú nếu quyền sở hữu trí tuệ mà từ đó khoản tiền bản quyền phát sinh được mua bằng nguồn vốn của chi nhánh. HMRC cho rằng tiền bản quyền cũng có thể được kết nối hiệu quả nếu chi nhánh đóng vai trò tích cực trong việc tạo ra hoặc khai thác quyền đó, bất kể rằng quyền đó có thể không được coi là tài sản của chi nhánh.</w:t>
      </w:r>
    </w:p>
    <w:p>
      <w:pPr>
        <w:spacing w:after="80"/>
      </w:pPr>
      <w:r>
        <w:rPr>
          <w:b/>
          <w:i w:val="0"/>
        </w:rPr>
        <w:t>[E]Cơ sở Thường trú tại các Quốc gia Thứ ba</w:t>
      </w:r>
    </w:p>
    <w:p>
      <w:pPr>
        <w:spacing w:after="80"/>
      </w:pPr>
      <w:r>
        <w:rPr>
          <w:b w:val="0"/>
          <w:i w:val="0"/>
        </w:rPr>
        <w:t>Các hiệp định theo mẫu OECD quy định cách xử lý đối với cơ sở thường trú khi thu nhập đầu tư được quy cho một cơ sở thường trú tại quốc gia nguồn. Các hiệp định gần đây đã tìm cách hạn chế khả năng được hưởng ưu đãi trong trường hợp thu nhập đầu tư được quy cho một cơ sở thường trú tại một quốc gia thứ ba.173</w:t>
      </w:r>
    </w:p>
    <w:p>
      <w:pPr>
        <w:spacing w:after="80"/>
      </w:pPr>
      <w:r>
        <w:rPr>
          <w:b w:val="0"/>
          <w:i w:val="0"/>
        </w:rPr>
        <w:t>Do đó, tiền bản quyền của một doanh nghiệp Đức phát sinh từ Vương quốc Anh và được quy cho một cơ sở thường trú tại một quốc gia thứ ba sẽ bị từ chối ưu đãi hiệp định, trừ trường hợp tổng số thuế thực tế đã nộp đối với thu nhập đó tại Đức và tại quốc gia thứ ba ít nhất là 60% số thuế mà lẽ ra phải nộp tại Đức. Cách xử lý như tiền bản quyền có áp dụng cho tiền bản quyền liên quan đến tài sản vô hình</w:t>
      </w:r>
    </w:p>
    <w:p>
      <w:pPr>
        <w:spacing w:after="80"/>
      </w:pPr>
      <w:r>
        <w:rPr>
          <w:b w:val="0"/>
          <w:i w:val="0"/>
        </w:rPr>
        <w:t>168.ITTOIA 2005, s. 587(1) và (2)(b).169.ITA 2007, s. 910.170.ITA 2007, s. 906.171.ITTOIA 2005, s. 583(1).172.HMRC, International Manual, INTM153130.173.Xem §10.03.</w:t>
      </w:r>
    </w:p>
    <w:p>
      <w:pPr>
        <w:spacing w:after="80"/>
      </w:pPr>
      <w:r>
        <w:rPr>
          <w:b w:val="0"/>
          <w:i w:val="0"/>
        </w:rPr>
        <w:t>336</w:t>
      </w:r>
    </w:p>
    <w:p>
      <w:pPr>
        <w:spacing w:after="80"/>
      </w:pPr>
      <w:r>
        <w:rPr>
          <w:b w:val="0"/>
          <w:i w:val="0"/>
        </w:rPr>
        <w:t>được sản xuất hoặc phát triển bởi chính cơ sở thường trú đó; hoặc thu nhập khác liên quan đến việc tiến hành tích cực một ngành nghề kinh doanh do cơ sở thường trú tại quốc gia thứ ba thực hiện (không phải là hoạt động tạo lập, quản lý hoặc chỉ nắm giữ các khoản đầu tư cho tài khoản của chính mình).174Trường hợp các quy định tương tự trong điều VII của Nghị định thư ngày 26 tháng 9 năm 2008 bổ sung cho hiệp định Vương quốc Anh - Hà Lan được áp dụng, thì mọi ưu đãi hiệp định đều bị loại trừ.175</w:t>
      </w:r>
    </w:p>
    <w:p>
      <w:pPr>
        <w:spacing w:after="80"/>
      </w:pPr>
      <w:r>
        <w:rPr>
          <w:b/>
          <w:i w:val="0"/>
        </w:rPr>
        <w:t>[F]Mối quan hệ đặc biệt</w:t>
      </w:r>
    </w:p>
    <w:p>
      <w:pPr>
        <w:spacing w:after="80"/>
      </w:pPr>
      <w:r>
        <w:rPr>
          <w:b w:val="0"/>
          <w:i w:val="0"/>
        </w:rPr>
        <w:t>Các hiệp ước của Vương quốc Anh xử lý ảnh hưởng của các mối quan hệ đặc biệt đối với tiền bản quyền (OECD, điều 12) theo các điều khoản có phần tương tự như cách chúng xử lý lãi suất. Lợi ích hiệp ước có thể bị giới hạn ở mức mà bên trả và chủ sở hữu hưởng lợi sẽ đồng ý nếu không có mối quan hệ đặc biệt.176 Hiệp ước Namibia-Vương quốc Anh, điều 9(4), tuân theo sát điều 12(4) của Mô hình OECD, với cách diễn đạt như sau:</w:t>
      </w:r>
    </w:p>
    <w:p>
      <w:pPr>
        <w:spacing w:after="80"/>
      </w:pPr>
      <w:r>
        <w:rPr>
          <w:b w:val="0"/>
          <w:i w:val="0"/>
        </w:rPr>
        <w:t>Khi, do mối quan hệ đặc biệt giữa bên trả và bên nhận tiền bản quyền, số tiền bản quyền, xét theo việc sử dụng, quyền hoặc tài sản mà tiền bản quyền được trả cho, vượt quá số tiền mà bên trả và bên nhận sẽ đồng ý nếu không có mối quan hệ đó, các quy định của Điều này chỉ áp dụng cho số tiền được đề cập sau cùng. Trong trường hợp đó, phần vượt quá của các khoản thanh toán vẫn phải chịu thuế theo luật riêng của các Bên Ký kết, có xét đến các quy định khác của Công ước hiện hành.</w:t>
      </w:r>
    </w:p>
    <w:p>
      <w:pPr>
        <w:spacing w:after="80"/>
      </w:pPr>
      <w:r>
        <w:rPr>
          <w:b w:val="0"/>
          <w:i w:val="0"/>
        </w:rPr>
        <w:t>Tuy nhiên, đã có thời gian dài, chính sách đàm phán hiệp ước của Vương quốc Anh là lược bỏ khỏi điều khoản đó cụm từ 'xét theo việc sử dụng, quyền hoặc thông tin mà chúng được trả cho'. Trong hầu hết các trường hợp, những từ đó được thay thế bằng cụm từ 'vì bất kỳ lý do gì' như được tìm thấy trong Hiệp ước Malta-Vương quốc Anh, điều 12(6). Đôi khi không có cách diễn đạt thay thế nào được đưa vào, chẳng hạn như trong Hiệp ước Thụy Sĩ-Vương quốc Anh, điều 12(4). Trong cả hai trường hợp, HMRC đã tuyên bố rằng quan điểm của họ về ý định của điều khoản mối quan hệ đặc biệt là nó không chỉ nên áp dụng khi mức tiền bản quyền được trả là quá cao mà còn khi, nếu không có mối quan hệ đặc biệt, các thỏa thuận mà theo đó tiền bản quyền được trả sẽ không được ký kết chút nào. Do đó, TIOPA 2010, s.132 yêu cầu các quy định hiệp ước liên quan đến tiền bản quyền phải được giải thích theo cách tương tự như các quy tắc liên quan đến lãi suất trong s. 132. Khoản (2) quy định rằng khi một điều khoản tiền bản quyền đề cập đến quy tắc mối quan hệ đặc biệt, thì điều đó:</w:t>
      </w:r>
    </w:p>
    <w:p>
      <w:pPr>
        <w:spacing w:after="80"/>
      </w:pPr>
      <w:r>
        <w:rPr>
          <w:b w:val="0"/>
          <w:i w:val="0"/>
        </w:rPr>
        <w:t>[S]ẽ được hiểu là yêu cầu phải xem xét tất cả các yếu tố, bao gồm:</w:t>
      </w:r>
    </w:p>
    <w:p>
      <w:pPr>
        <w:spacing w:after="80"/>
      </w:pPr>
      <w:r>
        <w:rPr>
          <w:b w:val="0"/>
          <w:i w:val="0"/>
        </w:rPr>
        <w:t>(a) câu hỏi liệu thỏa thuận mà theo đó tiền bản quyền được trả có</w:t>
      </w:r>
    </w:p>
    <w:p>
      <w:pPr>
        <w:spacing w:after="80"/>
      </w:pPr>
      <w:r>
        <w:rPr>
          <w:b w:val="0"/>
          <w:i w:val="0"/>
        </w:rPr>
        <w:t>được ký kết chút nào nếu không có mối quan hệ đó hay không, (b) mức hoặc số tiền tiền bản quyền và các điều khoản khác mà</w:t>
      </w:r>
    </w:p>
    <w:p>
      <w:pPr>
        <w:spacing w:after="80"/>
      </w:pPr>
      <w:r>
        <w:rPr>
          <w:b w:val="0"/>
          <w:i w:val="0"/>
        </w:rPr>
        <w:t>sẽ được đồng ý nếu không có mối quan hệ đó.</w:t>
      </w:r>
    </w:p>
    <w:p>
      <w:pPr>
        <w:spacing w:after="80"/>
      </w:pPr>
      <w:r>
        <w:rPr>
          <w:b w:val="0"/>
          <w:i w:val="0"/>
        </w:rPr>
        <w:t>174. Nghị định thư ngày 30 tháng 3 năm 2010 (SI 2010/2975) của Hiệp ước Thuế Vương quốc Anh-Đức (2010), điều 3.175. Xem thêm Chương 18, §18.06 Các trường hợp tam giác: cơ sở thường trú tại các quốc gia thứ ba.176. Xem thêm §10.04 về ý nghĩa của mối quan hệ đặc biệt.</w:t>
      </w:r>
    </w:p>
    <w:p>
      <w:pPr>
        <w:spacing w:after="80"/>
      </w:pPr>
      <w:r>
        <w:rPr>
          <w:b w:val="0"/>
          <w:i w:val="0"/>
        </w:rPr>
        <w:t>337</w:t>
      </w:r>
    </w:p>
    <w:p>
      <w:pPr>
        <w:spacing w:after="80"/>
      </w:pPr>
      <w:r>
        <w:rPr>
          <w:b w:val="0"/>
          <w:i w:val="0"/>
        </w:rPr>
        <w:t>Do đó, s.132 thực chất ghi đè các hiệp ước như hiệp ước của Vương quốc Anh với Namibia bằng cách yêu cầu trong những trường hợp như vậy rằng 'việc sử dụng, quyền hoặc thông tin mà chúng được trả cho' có thể không được xem xét nếu các bên độc lập sẽ không ký kết thỏa thuận chút nào.</w:t>
      </w:r>
    </w:p>
    <w:p>
      <w:pPr>
        <w:spacing w:after="80"/>
      </w:pPr>
      <w:r>
        <w:rPr>
          <w:b/>
          <w:i w:val="0"/>
        </w:rPr>
        <w:t>[G]Chống tránh thuế: Mối quan hệ đặc biệt</w:t>
      </w:r>
    </w:p>
    <w:p>
      <w:pPr>
        <w:spacing w:after="80"/>
      </w:pPr>
      <w:r>
        <w:rPr>
          <w:b w:val="0"/>
          <w:i w:val="0"/>
        </w:rPr>
        <w:t>Liên quan đến các tiêu chí trên, việc ghi đè phần lớn giống như trong s.131, đối với lãi suất. Tuy nhiên, s. 132(4) đi xa hơn thế. Một quy tắc chống tránh thuế chi tiết cũng đã được gắn thêm dưới dạng giải thích về mối quan hệ đặc biệt. Nó áp dụng khi tài sản mà tiền bản quyền được trả cho, hoặc bất kỳ tài sản nào mà tài sản đó đại diện hoặc từ đó nó được bắt nguồn, trước đây đã thuộc quyền sở hữu hưởng lợi của:</w:t>
      </w:r>
    </w:p>
    <w:p>
      <w:pPr>
        <w:spacing w:after="80"/>
      </w:pPr>
      <w:r>
        <w:rPr>
          <w:b w:val="0"/>
          <w:i w:val="0"/>
        </w:rPr>
        <w:t>(a) người (PR) có trách nhiệm trả tiền bản quyền; (b) một người là, hoặc đã từng là, người liên kết của PR;</w:t>
      </w:r>
    </w:p>
    <w:p>
      <w:pPr>
        <w:spacing w:after="80"/>
      </w:pPr>
      <w:r>
        <w:rPr>
          <w:b w:val="0"/>
          <w:i w:val="0"/>
        </w:rPr>
        <w:t>(c) một người đã từng điều hành một doanh nghiệp mà, vào thời điểm</w:t>
      </w:r>
    </w:p>
    <w:p>
      <w:pPr>
        <w:spacing w:after="80"/>
      </w:pPr>
      <w:r>
        <w:rPr>
          <w:b w:val="0"/>
          <w:i w:val="0"/>
        </w:rPr>
        <w:t>trách nhiệm trả tiền bản quyền phát sinh, đang được điều hành toàn bộ hoặc một phần bởi PR, hoặc (d) một người là, hoặc đã từng là, người liên kết của một người thuộc</w:t>
      </w:r>
    </w:p>
    <w:p>
      <w:pPr>
        <w:spacing w:after="80"/>
      </w:pPr>
      <w:r>
        <w:rPr>
          <w:b w:val="0"/>
          <w:i w:val="0"/>
        </w:rPr>
        <w:t>Khi các tiêu chí này được đáp ứng, quy định về mối quan hệ đặc biệt phải được giải thích dựa trên các yếu tố sau:</w:t>
      </w:r>
    </w:p>
    <w:p>
      <w:pPr>
        <w:spacing w:after="80"/>
      </w:pPr>
      <w:r>
        <w:rPr>
          <w:b w:val="0"/>
          <w:i w:val="0"/>
        </w:rPr>
        <w:t>(a) số tiền đã được trả theo giao dịch, hoặc theo từng giao dịch</w:t>
      </w:r>
    </w:p>
    <w:p>
      <w:pPr>
        <w:spacing w:after="80"/>
      </w:pPr>
      <w:r>
        <w:rPr>
          <w:b w:val="0"/>
          <w:i w:val="0"/>
        </w:rPr>
        <w:t>trong chuỗi giao dịch, mà nhờ đó tài sản đã trở thành tài sản của chủ sở hữu hưởng lợi vào thời điểm đó; (b) số tiền lẽ ra đã được trả như vậy nếu không có mối</w:t>
      </w:r>
    </w:p>
    <w:p>
      <w:pPr>
        <w:spacing w:after="80"/>
      </w:pPr>
      <w:r>
        <w:rPr>
          <w:b w:val="0"/>
          <w:i w:val="0"/>
        </w:rPr>
        <w:t>quan hệ đặc biệt; và (c) câu hỏi liệu giao dịch hoặc chuỗi giao dịch đó có</w:t>
      </w:r>
    </w:p>
    <w:p>
      <w:pPr>
        <w:spacing w:after="80"/>
      </w:pPr>
      <w:r>
        <w:rPr>
          <w:b w:val="0"/>
          <w:i w:val="0"/>
        </w:rPr>
        <w:t>diễn ra hay không nếu không có mối quan hệ như vậy.178</w:t>
      </w:r>
    </w:p>
    <w:p>
      <w:pPr>
        <w:spacing w:after="80"/>
      </w:pPr>
      <w:r>
        <w:rPr>
          <w:b w:val="0"/>
          <w:i w:val="0"/>
        </w:rPr>
        <w:t>Vì các mục đích này, một người được coi là người liên kết của một người khác tại một thời điểm nhất định nếu:</w:t>
      </w:r>
    </w:p>
    <w:p>
      <w:pPr>
        <w:spacing w:after="80"/>
      </w:pPr>
      <w:r>
        <w:rPr>
          <w:b w:val="0"/>
          <w:i w:val="0"/>
        </w:rPr>
        <w:t>(a) người thứ nhất tham gia trực tiếp hoặc gián tiếp vào việc quản lý, kiểm soát</w:t>
      </w:r>
    </w:p>
    <w:p>
      <w:pPr>
        <w:spacing w:after="80"/>
      </w:pPr>
      <w:r>
        <w:rPr>
          <w:b w:val="0"/>
          <w:i w:val="0"/>
        </w:rPr>
        <w:t>hoặc vốn của người kia; hoặc (b) cùng một người hoặc cùng những người tham gia trực tiếp hoặc gián tiếp vào việc</w:t>
      </w:r>
    </w:p>
    <w:p>
      <w:pPr>
        <w:spacing w:after="80"/>
      </w:pPr>
      <w:r>
        <w:rPr>
          <w:b w:val="0"/>
          <w:i w:val="0"/>
        </w:rPr>
        <w:t>quản lý, kiểm soát hoặc vốn của người thứ nhất và người kia theo nghĩa của TIOPA 2010, Pt. 4.179</w:t>
      </w:r>
    </w:p>
    <w:p>
      <w:pPr>
        <w:spacing w:after="80"/>
      </w:pPr>
      <w:r>
        <w:rPr>
          <w:b w:val="0"/>
          <w:i w:val="0"/>
        </w:rPr>
        <w:t>Cần lưu ý rằng thuật ngữ 'mối quan hệ đặc biệt' vẫn chưa được định nghĩa. Người liên kết trong bối cảnh này chỉ có liên quan đến các quy định chống tránh thuế.</w:t>
      </w:r>
    </w:p>
    <w:p>
      <w:pPr>
        <w:spacing w:after="80"/>
      </w:pPr>
      <w:r>
        <w:rPr>
          <w:b w:val="0"/>
          <w:i w:val="0"/>
        </w:rPr>
        <w:t>177. TIOPA 2010, s. 132(4). 178. TIOPA 2010, s. 132(5). 179. TIOPA 2010, s. 132(7).</w:t>
      </w:r>
    </w:p>
    <w:p>
      <w:pPr>
        <w:spacing w:after="80"/>
      </w:pPr>
      <w:r>
        <w:rPr>
          <w:b w:val="0"/>
          <w:i w:val="0"/>
        </w:rPr>
        <w:t>338</w:t>
      </w:r>
    </w:p>
    <w:p>
      <w:pPr>
        <w:spacing w:after="80"/>
      </w:pPr>
      <w:r>
        <w:rPr>
          <w:b/>
          <w:i w:val="0"/>
        </w:rPr>
        <w:t>[H]Nghĩa vụ chứng minh</w:t>
      </w:r>
    </w:p>
    <w:p>
      <w:pPr>
        <w:spacing w:after="80"/>
      </w:pPr>
      <w:r>
        <w:rPr>
          <w:b w:val="0"/>
          <w:i w:val="0"/>
        </w:rPr>
        <w:t>Nghĩa vụ chứng minh được đặt hoàn toàn lên người nộp thuế. Quy định về mối quan hệ đặc biệt giờ đây phải được giải thích là yêu cầu người nộp thuế chứng minh:</w:t>
      </w:r>
    </w:p>
    <w:p>
      <w:pPr>
        <w:spacing w:after="80"/>
      </w:pPr>
      <w:r>
        <w:rPr>
          <w:b w:val="0"/>
          <w:i w:val="0"/>
        </w:rPr>
        <w:t>– sự không tồn tại của bất kỳ mối quan hệ đặc biệt nào; hoặc – mức hoặc số tiền tiền bản quyền lẽ ra phải trả nếu không có</w:t>
      </w:r>
    </w:p>
    <w:p>
      <w:pPr>
        <w:spacing w:after="80"/>
      </w:pPr>
      <w:r>
        <w:rPr>
          <w:b w:val="0"/>
          <w:i w:val="0"/>
        </w:rPr>
        <w:t>–the absence of any special relationship; or–the rate or amount of royalties that would have been payable in the absence of</w:t>
      </w:r>
    </w:p>
    <w:p>
      <w:pPr>
        <w:spacing w:after="80"/>
      </w:pPr>
      <w:r>
        <w:rPr>
          <w:b w:val="0"/>
          <w:i w:val="0"/>
        </w:rPr>
        <w:t>mối quan hệ đó, tùy từng trường hợp.180</w:t>
      </w:r>
    </w:p>
    <w:p>
      <w:pPr>
        <w:spacing w:after="80"/>
      </w:pPr>
      <w:r>
        <w:rPr>
          <w:b w:val="0"/>
          <w:i w:val="0"/>
        </w:rPr>
        <w:t>Hơn nữa, yêu cầu đối với người nộp thuế phải chứng minh không có bất kỳ mối quan hệ đặc biệt nào bao gồm yêu cầu:</w:t>
      </w:r>
    </w:p>
    <w:p>
      <w:pPr>
        <w:spacing w:after="80"/>
      </w:pPr>
      <w:r>
        <w:rPr>
          <w:b w:val="0"/>
          <w:i w:val="0"/>
        </w:rPr>
        <w:t>(1) chứng minh rằng không có bất kỳ người nào thuộc bất kỳ mô tả nào ở trên từng là</w:t>
      </w:r>
    </w:p>
    <w:p>
      <w:pPr>
        <w:spacing w:after="80"/>
      </w:pPr>
      <w:r>
        <w:rPr>
          <w:b w:val="0"/>
          <w:i w:val="0"/>
        </w:rPr>
        <w:t>chủ sở hữu hưởng lợi của tài sản mà tiền bản quyền được trả cho tài sản đó, hoặc của bất kỳ tài sản nào mà tài sản đó đại diện hoặc có nguồn gốc từ đó; hoặc (2) chứng minh:</w:t>
      </w:r>
    </w:p>
    <w:p>
      <w:pPr>
        <w:spacing w:after="80"/>
      </w:pPr>
      <w:r>
        <w:rPr>
          <w:b w:val="0"/>
          <w:i w:val="0"/>
        </w:rPr>
        <w:t>– rằng giao dịch hoặc chuỗi giao dịch được đề cập ở trên sẽ đã diễn ra trong trường hợp không có mối quan hệ đặc biệt; và – các khoản tiền lẽ ra đã được trả theo giao dịch, hoặc theo từng giao dịch trong chuỗi giao dịch, trong trường hợp không có mối quan hệ như vậy.181</w:t>
      </w:r>
    </w:p>
    <w:p>
      <w:pPr>
        <w:spacing w:after="80"/>
      </w:pPr>
      <w:r>
        <w:rPr>
          <w:b/>
          <w:i w:val="0"/>
        </w:rPr>
        <w:t>[I]Điều chỉnh giá chuyển nhượng</w:t>
      </w:r>
    </w:p>
    <w:p>
      <w:pPr>
        <w:spacing w:after="80"/>
      </w:pPr>
      <w:r>
        <w:rPr>
          <w:b w:val="0"/>
          <w:i w:val="0"/>
        </w:rPr>
        <w:t>Khi tiền bản quyền được trả vượt quá mức giá thị trường (arm's-length) và có điều chỉnh đối với lợi nhuận của bên trả tiền theo luật giá chuyển nhượng,182 thì không có yêu cầu tương đương với yêu cầu liên quan đến lãi suất vượt mức để cho phép khoản tiền bản quyền vượt mức không bị coi là phải khấu trừ thuế thu nhập tại nguồn theo ITA 2007, Phần 15. Trong phạm vi mà một bên vay tại Vương quốc Anh bị từ chối khấu trừ đối với tiền bản quyền được trả theo cách này, thì việc khấu trừ thuế là bắt buộc.183</w:t>
      </w:r>
    </w:p>
    <w:p>
      <w:pPr>
        <w:spacing w:after="80"/>
      </w:pPr>
      <w:r>
        <w:rPr>
          <w:b/>
          <w:i w:val="0"/>
        </w:rPr>
        <w:t>[J]Giới hạn về quyền lợi</w:t>
      </w:r>
    </w:p>
    <w:p>
      <w:pPr>
        <w:spacing w:after="80"/>
      </w:pPr>
      <w:r>
        <w:rPr>
          <w:b w:val="0"/>
          <w:i w:val="0"/>
        </w:rPr>
        <w:t>Nhiều cơ chế khác nhau được tìm thấy trong các điều khoản về tiền bản quyền nhằm hạn chế việc áp dụng các quyền lợi hiệp ước liên quan đến tiền bản quyền. Những cơ chế này, bao gồm ý nghĩa của 'quyền sở hữu hưởng lợi', được xem xét trong Chương 17.</w:t>
      </w:r>
    </w:p>
    <w:p>
      <w:pPr>
        <w:spacing w:after="80"/>
      </w:pPr>
      <w:r>
        <w:rPr>
          <w:b w:val="0"/>
          <w:i w:val="0"/>
        </w:rPr>
        <w:t>180. TIOPA 2010, s. 133(1). 181. TIOPA 2010, s. 133(3). 182. TIOPA 2010, Phần 4. 183. Tùy thuộc vào các quy định về tự khai thuế. Xem Chương 19, §§19.01ff.</w:t>
      </w:r>
    </w:p>
    <w:p>
      <w:pPr>
        <w:spacing w:after="80"/>
      </w:pPr>
      <w:r>
        <w:rPr>
          <w:b w:val="0"/>
          <w:i w:val="0"/>
        </w:rPr>
        <w:t>339</w:t>
      </w:r>
    </w:p>
    <w:p>
      <w:pPr>
        <w:spacing w:before="240" w:after="80"/>
      </w:pPr>
      <w:r>
        <w:rPr>
          <w:b/>
          <w:sz w:val="32"/>
        </w:rPr>
        <w:t>CHƯƠNG 11 Việc làm và Lương hưu</w:t>
      </w:r>
    </w:p>
    <w:p>
      <w:pPr>
        <w:spacing w:after="80"/>
      </w:pPr>
      <w:r>
        <w:rPr>
          <w:b/>
          <w:i w:val="0"/>
        </w:rPr>
        <w:t>§11.01 GIỚI THIỆU</w:t>
      </w:r>
    </w:p>
    <w:p>
      <w:pPr>
        <w:spacing w:after="80"/>
      </w:pPr>
      <w:r>
        <w:rPr>
          <w:b w:val="0"/>
          <w:i w:val="0"/>
        </w:rPr>
        <w:t>Thu nhập từ việc làm và việc xử lý lương hưu (bao gồm cả lương hưu không liên quan đến việc làm) có mối liên hệ chặt chẽ trong luật nội địa của Vương quốc Anh. Cả hai đều được đề cập một cách toàn diện trong ITEPA 2003, một sản phẩm của dự án viết lại luật thuế. Mỗi loại có cách xử lý riêng biệt và khác nhau trong các hiệp ước. Các hiệp ước cũng có thể quy định cách xử lý khác nhau cho các loại nhân viên khác nhau. Mỗi loại được thảo luận trong chương này, ngoại trừ nghệ sĩ và vận động viên thể thao làm việc theo hợp đồng, được đề cập trong Chương 9, §9.16.</w:t>
      </w:r>
    </w:p>
    <w:p>
      <w:pPr>
        <w:spacing w:after="80"/>
      </w:pPr>
      <w:r>
        <w:rPr>
          <w:b/>
          <w:i w:val="0"/>
        </w:rPr>
        <w:t>§11.02 THU NHẬP TỪ VIỆC LÀM</w:t>
      </w:r>
    </w:p>
    <w:p>
      <w:pPr>
        <w:spacing w:after="80"/>
      </w:pPr>
      <w:r>
        <w:rPr>
          <w:b w:val="0"/>
          <w:i w:val="0"/>
        </w:rPr>
        <w:t>Thu nhập từ việc làm theo truyền thống được gọi trong các hiệp ước là 'dịch vụ cá nhân phụ thuộc'. Từ năm 2000, điều này chỉ đơn giản được gọi là 'Thu nhập từ việc làm' trong OECD Model, để làm cho tiêu đề nhất quán hơn với loại hoạt động mà điều khoản liên quan, và các hiệp ước hiện đại của Vương quốc Anh tuân theo cách gọi này.</w:t>
      </w:r>
    </w:p>
    <w:p>
      <w:pPr>
        <w:spacing w:after="80"/>
      </w:pPr>
      <w:r>
        <w:rPr>
          <w:b w:val="0"/>
          <w:i w:val="0"/>
        </w:rPr>
        <w:t>Cách tiếp cận chung là cư dân thường chỉ phải chịu thuế đối với thu nhập từ việc làm tại quốc gia cư trú của họ, trừ khi công việc được thực hiện tại quốc gia ký kết kia. Quy tắc của OECD được phản ánh trong Điều 15(1) của hiệp định tránh đánh thuế hai lần giữa Hungary và Vương quốc Anh (1977) như sau:</w:t>
      </w:r>
    </w:p>
    <w:p>
      <w:pPr>
        <w:spacing w:after="80"/>
      </w:pPr>
      <w:r>
        <w:rPr>
          <w:b w:val="0"/>
          <w:i w:val="0"/>
        </w:rPr>
        <w:t>[Theo các quy định tại các Điều 16, 18, 19, 20 và 21,] tiền lương, tiền công và các khoản thù lao tương tự khác mà một cư dân của một Quốc gia ký kết nhận được liên quan đến việc làm chỉ phải chịu thuế tại Quốc gia đó, trừ khi công việc được thực hiện tại Quốc gia ký kết kia. Nếu công việc được thực hiện như vậy, khoản thù lao phát sinh từ đó có thể bị đánh thuế tại Quốc gia kia.</w:t>
      </w:r>
    </w:p>
    <w:p>
      <w:pPr>
        <w:spacing w:after="80"/>
      </w:pPr>
      <w:r>
        <w:rPr>
          <w:b w:val="0"/>
          <w:i w:val="0"/>
        </w:rPr>
        <w:t>Điều 15 đề cập đến 'tiền lương, tiền công và các khoản thù lao tương tự khác' liên quan đến việc làm. Ý nghĩa của những cách diễn đạt này và phạm vi của chúng trong mối quan hệ với luật trong nước có phần gây tranh cãi. Ý nghĩa thông thường của các từ 'tiền lương' và 'tiền công'</w:t>
      </w:r>
    </w:p>
    <w:p>
      <w:pPr>
        <w:spacing w:after="80"/>
      </w:pPr>
      <w:r>
        <w:rPr>
          <w:b w:val="0"/>
          <w:i w:val="0"/>
        </w:rPr>
        <w:t>341</w:t>
      </w:r>
    </w:p>
    <w:p>
      <w:pPr>
        <w:spacing w:after="80"/>
      </w:pPr>
      <w:r>
        <w:rPr>
          <w:b w:val="0"/>
          <w:i w:val="0"/>
        </w:rPr>
        <w:t>đề cập đến tiền. 'Các khoản thù lao tương tự khác' phải được giải thích</w:t>
      </w:r>
      <w:r>
        <w:rPr>
          <w:b w:val="0"/>
          <w:i/>
        </w:rPr>
        <w:t xml:space="preserve"> ejusdem generis</w:t>
      </w:r>
      <w:r>
        <w:rPr>
          <w:b w:val="0"/>
          <w:i w:val="0"/>
        </w:rPr>
        <w:t xml:space="preserve"> với tiền lương và tiền công, ngụ ý rằng nếu không phải là tiền thì cũng là giá trị tương đương tiền. Luật trong nước của Vương quốc Anh áp dụng cách phân loại tương tự đối với 'thu nhập' trong ITEPA 2003, s. 62(2).1</w:t>
      </w:r>
    </w:p>
    <w:p>
      <w:pPr>
        <w:spacing w:after="80"/>
      </w:pPr>
      <w:r>
        <w:rPr>
          <w:b w:val="0"/>
          <w:i w:val="0"/>
        </w:rPr>
        <w:t>ITEPA 2003 áp dụng một hệ thống phân loại phức tạp theo thứ bậc. Nhiều loại khoản mục khác nhau được tập hợp để chịu thuế thu nhập dưới cách diễn đạt 'thu nhập từ việc làm'.2 Nó bao gồm 'thu nhập' cũng như các khoản 'được coi là thu nhập' và các khoản 'được tính là thu nhập từ việc làm'.3 Hai loại thu nhập từ việc làm được coi là này có chung các thuộc tính: chúng không được xem là tiền công hay tiền lương, cũng không phải là thu nhập từ việc làm nếu không có các quy định coi như vậy. Việc luật trong nước chọn xử lý chúng theo cách này không tự động có nghĩa là cách phân loại tương tự cũng áp dụng cho mục đích hiệp định. Do đó, có một lập luận thuyết phục rằng Điều 15 chỉ đề cập đến thu nhập như được quy định trong ITEPA 2003, Phần 3, Chương 1, và rằng các khoản tiền khác phải chịu thuế theo ITEPA 2003 được giải quyết bởi các phần khác của hiệp định, đặc biệt là Điều 21 (Thu nhập khác). Năm 1997, Bình luận của OECD về Điều 15 đã được sửa đổi (bằng việc đưa vào đoạn 2.1) với nội dung rằng các quốc gia thành viên OECD 'thường hiểu' điều khoản này bao gồm 'các phúc lợi bằng hiện vật nhận được liên quan đến việc làm (ví dụ: quyền chọn cổ phiếu, việc sử dụng nhà ở hoặc ô tô, bảo hiểm sức khỏe hoặc nhân thọ và tư cách thành viên câu lạc bộ)'. Quan điểm này được HMRC tán thành, cơ quan này nói rằng cách diễn đạt 'tiền lương, tiền công và các khoản thù lao tương tự khác' nên được hiểu theo nghĩa rộng nhất và được coi là bao gồm mọi thu nhập từ việc làm, bao gồm các phúc lợi và lợi nhuận từ quyền chọn cổ phiếu phải chịu thuế theo ITEPA 2003, Phần 7, Chương 5.4</w:t>
      </w:r>
    </w:p>
    <w:p>
      <w:pPr>
        <w:spacing w:after="80"/>
      </w:pPr>
      <w:r>
        <w:rPr>
          <w:b w:val="0"/>
          <w:i w:val="0"/>
        </w:rPr>
        <w:t>Việc giải thích các quy định của hiệp định khi áp dụng vào luật trong nước đã được xem xét về mặt tư pháp trong hai vụ án liên quan đến các khoản thanh toán phát sinh khi chấm dứt việc làm.</w:t>
      </w:r>
      <w:r>
        <w:rPr>
          <w:b w:val="0"/>
          <w:i/>
        </w:rPr>
        <w:t xml:space="preserve"> Squirrell v HMRC</w:t>
      </w:r>
      <w:r>
        <w:rPr>
          <w:b w:val="0"/>
          <w:i w:val="0"/>
        </w:rPr>
        <w:t>5 liên quan đến một khoản thanh toán thay cho thông báo trước liên quan đến việc chấm dứt việc làm của một cá nhân.</w:t>
      </w:r>
      <w:r>
        <w:rPr>
          <w:b w:val="0"/>
          <w:i/>
        </w:rPr>
        <w:t xml:space="preserve"> Resolute Management Services Ltd; Bà Kathleen Ann Haderlein v Revenue &amp; Customs</w:t>
      </w:r>
      <w:r>
        <w:rPr>
          <w:b w:val="0"/>
          <w:i w:val="0"/>
        </w:rPr>
        <w:t>6 liên quan đến một khoản thanh toán</w:t>
      </w:r>
      <w:r>
        <w:rPr>
          <w:b w:val="0"/>
          <w:i/>
        </w:rPr>
        <w:t xml:space="preserve"> ex gratia</w:t>
      </w:r>
      <w:r>
        <w:rPr>
          <w:b w:val="0"/>
          <w:i w:val="0"/>
        </w:rPr>
        <w:t xml:space="preserve"> khi chấm dứt việc làm của một cá nhân. Trong</w:t>
      </w:r>
      <w:r>
        <w:rPr>
          <w:b w:val="0"/>
          <w:i/>
        </w:rPr>
        <w:t xml:space="preserve"> Squirrel</w:t>
      </w:r>
      <w:r>
        <w:rPr>
          <w:b w:val="0"/>
          <w:i w:val="0"/>
        </w:rPr>
        <w:t>, Ủy viên Đặc biệt Avery Jones nói:</w:t>
      </w:r>
    </w:p>
    <w:p>
      <w:pPr>
        <w:spacing w:after="80"/>
      </w:pPr>
      <w:r>
        <w:rPr>
          <w:b w:val="0"/>
          <w:i w:val="0"/>
        </w:rPr>
        <w:t>Vấn đề đầu tiên là liệu Điều 15 có áp dụng cho khoản thanh toán chấm dứt việc làm trên cơ sở rằng đó là 'tiền lương, tiền công và các khoản thù lao tương tự khác… liên quan đến việc làm' hay không. Đây là những thuật ngữ không được định nghĩa và do đó Điều 3(2) quy chiếu đến ý nghĩa của chúng theo luật thuế Vương quốc Anh (trừ khi ngữ cảnh yêu cầu khác). Mặc dù các từ chính xác tiền lương, tiền công và các khoản thù lao tương tự khác không được sử dụng trong luật thuế Vương quốc Anh, theo Từ điển Shorter Oxford English Dictionary, nghĩa của từ 'thuật ngữ' mở rộng đến 'bất kỳ từ hoặc nhóm từ nào diễn đạt một khái niệm hoặc ý niệm, hoặc biểu thị một đối tượng của tư duy; một cách diễn đạt (cho một điều gì đó)'. Thù lao liên quan đến việc làm tương ứng với thu nhập mà tại thời điểm đó</w:t>
      </w:r>
    </w:p>
    <w:p>
      <w:pPr>
        <w:spacing w:after="80"/>
      </w:pPr>
      <w:r>
        <w:rPr>
          <w:b w:val="0"/>
          <w:i w:val="0"/>
        </w:rPr>
        <w:t>1. Trong các Phần đó, 'thu nhập', liên quan đến việc làm, có nghĩa là: (a) bất kỳ tiền lương, tiền công hoặc phí nào, (b) bất kỳ khoản tiền thưởng hoặc lợi nhuận khác hoặc phúc lợi ngẫu nhiên thuộc bất kỳ loại nào mà người lao động có được nếu đó là tiền hoặc giá trị tương đương tiền, hoặc (c) bất kỳ điều gì khác cấu thành một khoản thù lao của việc làm.2. ITEPA 2003, s. 1(1)(a).3. ITEPA 2003, s. 7(1).4. HMRC, Double Taxation Relief Manual, DT1920.5.</w:t>
      </w:r>
      <w:r>
        <w:rPr>
          <w:b w:val="0"/>
          <w:i/>
        </w:rPr>
        <w:t>Squirrell v Revenue and Customs</w:t>
      </w:r>
      <w:r>
        <w:rPr>
          <w:b w:val="0"/>
          <w:i w:val="0"/>
        </w:rPr>
        <w:t xml:space="preserve"> [2005] UKSPC SPC 493, (2005) Sp C 493, [2005] STC (SCD) 717.6.</w:t>
      </w:r>
      <w:r>
        <w:rPr>
          <w:b w:val="0"/>
          <w:i/>
        </w:rPr>
        <w:t>ResoluteManagementServicesLtd;MrsKathleenAnnHaderleinvRevenue&amp;Customs</w:t>
      </w:r>
      <w:r>
        <w:rPr>
          <w:b w:val="0"/>
          <w:i w:val="0"/>
        </w:rPr>
        <w:t>[2008]UKSPC SPC 710, [2008] STC (SCD) 1202 (2008) Sp C 710.</w:t>
      </w:r>
    </w:p>
    <w:p>
      <w:pPr>
        <w:spacing w:after="80"/>
      </w:pPr>
      <w:r>
        <w:rPr>
          <w:b w:val="0"/>
          <w:i w:val="0"/>
        </w:rPr>
        <w:t>342</w:t>
      </w:r>
    </w:p>
    <w:p>
      <w:pPr>
        <w:spacing w:after="80"/>
      </w:pPr>
      <w:r>
        <w:rPr>
          <w:b w:val="0"/>
          <w:i w:val="0"/>
        </w:rPr>
        <w:t>đó phải chịu thuế theo Sch E. Khoản thanh toán chấm dứt việc làm, là một khoản thanh toán thay cho thông báo trước, tương đương với thù lao và phải chịu thuế theo Sch E theo cách tương tự như thù lao (mặc dù có miễn trừ cho £30,000), và do đó tôi cho rằng khoản thanh toán chấm dứt việc làm nằm trong Điều 15. Tôi không thể nghĩ ra bất kỳ lý do nào khiến ngữ cảnh có thể yêu cầu khác.7</w:t>
      </w:r>
    </w:p>
    <w:p>
      <w:pPr>
        <w:spacing w:after="80"/>
      </w:pPr>
      <w:r>
        <w:rPr>
          <w:b w:val="0"/>
          <w:i w:val="0"/>
        </w:rPr>
        <w:t>Cách tiếp cận rộng này sẽ gợi ý rằng ngôn ngữ của hiệp định chỉ đơn giản đề cập đến bất cứ điều gì được đưa vào diện chịu thuế theo ITEPA (trước đây là Schedule E). Cách tiếp cận đó đã bị Ủy viên Đặc biệt Gammie bác bỏ trong</w:t>
      </w:r>
      <w:r>
        <w:rPr>
          <w:b w:val="0"/>
          <w:i/>
        </w:rPr>
        <w:t xml:space="preserve"> Resolute Management Services Ltd</w:t>
      </w:r>
      <w:r>
        <w:rPr>
          <w:b w:val="0"/>
          <w:i w:val="0"/>
        </w:rPr>
        <w:t xml:space="preserve"> khi ông nói rằng:</w:t>
      </w:r>
    </w:p>
    <w:p>
      <w:pPr>
        <w:spacing w:after="80"/>
      </w:pPr>
      <w:r>
        <w:rPr>
          <w:b w:val="0"/>
          <w:i w:val="0"/>
        </w:rPr>
        <w:t>Tuy nhiên, không có gì trong ngữ cảnh của Đạo luật hoặc trong ngôn ngữ của Công ước chỉ ra rằng Điều 14 của Công ước nên được giải thích là bao trùm bất cứ điều gì thuộc diện chịu thuế theo Schedule E hoặc trong ITEPA. Do đó, tôi không nghĩ rằng khoản thanh toán vô cớ nên được coi là nằm trong khái niệm 'tiền lương, tiền công và các khoản thù lao tương tự khác' của Hiệp định chỉ vì nó tình cờ bị Vương quốc Anh đánh thuế như một khoản được tính là thu nhập từ việc làm.8</w:t>
      </w:r>
    </w:p>
    <w:p>
      <w:pPr>
        <w:spacing w:after="80"/>
      </w:pPr>
      <w:r>
        <w:rPr>
          <w:b w:val="0"/>
          <w:i w:val="0"/>
        </w:rPr>
        <w:t>Cả hai vụ án đều liên quan đến các khoản thanh toán chấm dứt việc làm được đưa vào diện chịu thuế bởi ITEPA 2003, s. 401. Trong</w:t>
      </w:r>
      <w:r>
        <w:rPr>
          <w:b w:val="0"/>
          <w:i/>
        </w:rPr>
        <w:t xml:space="preserve"> Squirrel</w:t>
      </w:r>
      <w:r>
        <w:rPr>
          <w:b w:val="0"/>
          <w:i w:val="0"/>
        </w:rPr>
        <w:t>, đây là điểm khởi đầu của phân tích, mặc dù bằng chứng cho thấy khoản thanh toán là thay cho thông báo trước (PILON) và những khoản thanh toán như vậy thường mang tính hợp đồng và được đánh thuế như thu nhập chung từ việc làm theo ITEPA 2003, s. 62. Trong</w:t>
      </w:r>
      <w:r>
        <w:rPr>
          <w:b w:val="0"/>
          <w:i/>
        </w:rPr>
        <w:t xml:space="preserve"> Resolute Management Services Ltd</w:t>
      </w:r>
      <w:r>
        <w:rPr>
          <w:b w:val="0"/>
          <w:i w:val="0"/>
        </w:rPr>
        <w:t>, Ủy viên Đặc biệt trước tiên kết luận rằng khoản thanh toán</w:t>
      </w:r>
      <w:r>
        <w:rPr>
          <w:b w:val="0"/>
          <w:i/>
        </w:rPr>
        <w:t xml:space="preserve"> ex gratia</w:t>
      </w:r>
      <w:r>
        <w:rPr>
          <w:b w:val="0"/>
          <w:i w:val="0"/>
        </w:rPr>
        <w:t xml:space="preserve"> không phải là thu nhập chung trong ITEPA 2003, s. 62. Theo quan điểm của ông, đó là một khoản thanh toán chấm dứt việc làm trong ITEPA 2003, s. 401. Ông nói rằng điều khoản đó:</w:t>
      </w:r>
    </w:p>
    <w:p>
      <w:pPr>
        <w:spacing w:after="80"/>
      </w:pPr>
      <w:r>
        <w:rPr>
          <w:b w:val="0"/>
          <w:i w:val="0"/>
        </w:rPr>
        <w:t>[I]được soạn thảo theo những thuật ngữ rộng nhất nhằm bắt mọi khoản thanh toán hoặc phúc lợi nhận được 'trực tiếp hoặc gián tiếp… do hậu quả của, hoặc liên quan đến' việc chấm dứt việc làm của bà Haderlein. Khoản thanh toán có thể là vô cớ và vì 'làm điều đúng đắn' nhưng điều đúng đắn là từ chức khỏi việc làm của bà. Do đó, tôi nghĩ rằng kết luận khả thi duy nhất là khoản thanh toán đó là do hậu quả của hoặc liên quan đến việc chấm dứt việc làm của bà Haderlein.9</w:t>
      </w:r>
    </w:p>
    <w:p>
      <w:pPr>
        <w:spacing w:after="80"/>
      </w:pPr>
      <w:r>
        <w:rPr>
          <w:b w:val="0"/>
          <w:i w:val="0"/>
        </w:rPr>
        <w:t>Ông tiếp tục:</w:t>
      </w:r>
    </w:p>
    <w:p>
      <w:pPr>
        <w:spacing w:after="80"/>
      </w:pPr>
      <w:r>
        <w:rPr>
          <w:b w:val="0"/>
          <w:i w:val="0"/>
        </w:rPr>
        <w:t>Tôi đồng ý rằng khoản thanh toán chấm dứt trong trường hợp đó, vì là một PILON (payment in lieu of notice – thanh toán thay cho thông báo trước) – tức là khoản thù lao mà cá nhân đó lẽ ra được nhận theo hợp đồng nếu người ta buộc phải làm việc hết thời gian thông báo – là tương đương với thù lao. Nói chặt chẽ thì việc một khoản thanh toán tương tự hoặc "tương đương" với thù lao là chưa đủ. Khoản thanh toán phải là thù lao tương tự như tiền lương và tiền công thì mới nằm trong phạm vi ngôn ngữ của Hiệp định. Một PILON có thể là thù lao (và nếu</w:t>
      </w:r>
    </w:p>
    <w:p>
      <w:pPr>
        <w:spacing w:after="80"/>
      </w:pPr>
      <w:r>
        <w:rPr>
          <w:b w:val="0"/>
          <w:i w:val="0"/>
        </w:rPr>
        <w:t xml:space="preserve">7. Tại đoạn 11. 8. Tại đoạn 39. Cách tiếp cận của Ủy viên đặc biệt Avery Jones trong </w:t>
      </w:r>
      <w:r>
        <w:rPr>
          <w:b w:val="0"/>
          <w:i/>
        </w:rPr>
        <w:t>Squirrell v R&amp;C Commrs</w:t>
      </w:r>
      <w:r>
        <w:rPr>
          <w:b w:val="0"/>
          <w:i w:val="0"/>
        </w:rPr>
        <w:t xml:space="preserve"> đã được Thẩm phán Brennan tán thành trong </w:t>
      </w:r>
      <w:r>
        <w:rPr>
          <w:b w:val="0"/>
          <w:i/>
        </w:rPr>
        <w:t>Fowler v HMRC</w:t>
      </w:r>
      <w:r>
        <w:rPr>
          <w:b w:val="0"/>
          <w:i w:val="0"/>
        </w:rPr>
        <w:t xml:space="preserve"> [2016] UKFTT 234 [2016] SFTD 535, 18 ITL Rep 644, [2016] TC 05009. 9. Tại đoạn 30.</w:t>
      </w:r>
    </w:p>
    <w:p>
      <w:pPr>
        <w:spacing w:after="80"/>
      </w:pPr>
      <w:r>
        <w:rPr>
          <w:b w:val="0"/>
          <w:i w:val="0"/>
        </w:rPr>
        <w:t>343</w:t>
      </w:r>
    </w:p>
    <w:p>
      <w:pPr>
        <w:spacing w:after="80"/>
      </w:pPr>
      <w:r>
        <w:rPr>
          <w:b w:val="0"/>
          <w:i w:val="0"/>
        </w:rPr>
        <w:t xml:space="preserve">thì rõ ràng là tương tự với tiền lương hoặc tiền công) nhưng điều đó dường như không đúng với khoản thanh toán </w:t>
      </w:r>
      <w:r>
        <w:rPr>
          <w:b w:val="0"/>
          <w:i/>
        </w:rPr>
        <w:t>ex gratia</w:t>
      </w:r>
      <w:r>
        <w:rPr>
          <w:b w:val="0"/>
          <w:i w:val="0"/>
        </w:rPr>
        <w:t xml:space="preserve"> mà tôi đang xem xét.10</w:t>
      </w:r>
    </w:p>
    <w:p>
      <w:pPr>
        <w:spacing w:after="80"/>
      </w:pPr>
      <w:r>
        <w:rPr>
          <w:b w:val="0"/>
          <w:i w:val="0"/>
        </w:rPr>
        <w:t xml:space="preserve">"Thù lao tương tự khác" – ông nói – "có khả năng mở rộng đến bất kỳ khoản thù lao nào mà một người nhận được liên quan đến các dịch vụ việc làm của họ, bất kể hình thức nào, bao gồm cả các khoản thanh toán chấm dứt như PILON. 'Thù lao' là một thuật ngữ rộng hơn tiền lương và có thể bao hàm bất cứ thứ gì mà một người nhận được để đổi lấy việc cung cấp dịch vụ của mình (xem </w:t>
      </w:r>
      <w:r>
        <w:rPr>
          <w:b w:val="0"/>
          <w:i/>
        </w:rPr>
        <w:t>R v Postmaster-General</w:t>
      </w:r>
      <w:r>
        <w:rPr>
          <w:b w:val="0"/>
          <w:i w:val="0"/>
        </w:rPr>
        <w:t xml:space="preserve"> (1976) 1 QBD 658 theo Blackburn J tại 663-664) nhưng thù lao vẫn bao hàm khái niệm về một thứ gì đó được trao như một </w:t>
      </w:r>
      <w:r>
        <w:rPr>
          <w:b w:val="0"/>
          <w:i/>
        </w:rPr>
        <w:t>quid pro quo</w:t>
      </w:r>
      <w:r>
        <w:rPr>
          <w:b w:val="0"/>
          <w:i w:val="0"/>
        </w:rPr>
        <w:t xml:space="preserve"> cho các dịch vụ đã được thực hiện".11 Khoản thanh toán </w:t>
      </w:r>
      <w:r>
        <w:rPr>
          <w:b w:val="0"/>
          <w:i/>
        </w:rPr>
        <w:t>ex gratia</w:t>
      </w:r>
      <w:r>
        <w:rPr>
          <w:b w:val="0"/>
          <w:i w:val="0"/>
        </w:rPr>
        <w:t xml:space="preserve"> là một món quà "vì đã làm điều đúng đắn" và không liên quan đến bất kỳ dịch vụ nào mà người lao động đã thực hiện hoặc có nghĩa vụ thực hiện và không nằm trong Điều 14.</w:t>
      </w:r>
    </w:p>
    <w:p>
      <w:pPr>
        <w:spacing w:after="80"/>
      </w:pPr>
      <w:r>
        <w:rPr>
          <w:b w:val="0"/>
          <w:i w:val="0"/>
        </w:rPr>
        <w:t xml:space="preserve">Mặt khác, Tòa án Liên bang Canada, Phân bộ Xét xử, đã đồng ý với Vương quyền trong </w:t>
      </w:r>
      <w:r>
        <w:rPr>
          <w:b w:val="0"/>
          <w:i/>
        </w:rPr>
        <w:t>Hale v Canada</w:t>
      </w:r>
      <w:r>
        <w:rPr>
          <w:b w:val="0"/>
          <w:i w:val="0"/>
        </w:rPr>
        <w:t>12 rằng các từ "tiền lương, tiền công và thù lao khác" trong Điều 15(1) của Hiệp định Thuế Thu nhập Canada-Vương quốc Anh (1978) "không thể tránh khỏi tương ứng với một khoản tiền nhận được để đổi lấy việc cung cấp dịch vụ"13 và không mở rộng đến một lợi ích phát sinh từ việc thực hiện quyền mua cổ phiếu.14 Kết luận như vậy không mâu thuẫn với việc giải thích hiệp định theo hướng rộng rãi và phóng khoáng.</w:t>
      </w:r>
    </w:p>
    <w:p>
      <w:pPr>
        <w:spacing w:after="80"/>
      </w:pPr>
      <w:r>
        <w:rPr>
          <w:b w:val="0"/>
          <w:i w:val="0"/>
        </w:rPr>
        <w:t>Câu hỏi này được đề cập riêng trong Hiệp định Vương quốc Anh-Úc liên quan đến "phúc lợi kèm theo".15 Quyền đánh thuế được phân bổ độc quyền cho quốc gia ký kết có quyền đánh thuế chính đối với lợi ích đó nếu giá trị của lợi ích được trả cho người lao động như thu nhập việc làm thông thường16 theo các quy định khác của hiệp định. Tuy nhiên, vì điều này có thể nằm dưới Điều 14 (Thu nhập từ việc làm) hoặc Điều 20 (Thu nhập khác), nên nó ít làm sáng tỏ câu hỏi. Vương quốc Anh đã đồng ý thông qua trao đổi công hàm hoặc nghị định thư trong nhiều điều khoản với ba đối tác hiệp định quan trọng (Úc, Nhật Bản và Hoa Kỳ) rằng lợi nhuận từ quyền chọn cổ phiếu được coi hoặc sẽ được coi là "thù lao tương tự khác" cho các mục đích này trong các hiệp định đó.17 Thỏa thuận như vậy không tồn tại đối với các hiệp định khác của Vương quốc Anh được ký kết trong cùng thời kỳ, chẳng hạn như với Botswana, Canada, Pháp, Đức, Jordan, Litva, Hà Lan và Nam Phi và sau đó đã biến mất khỏi thực tiễn hiệp định của Vương quốc Anh.</w:t>
      </w:r>
    </w:p>
    <w:p>
      <w:pPr>
        <w:spacing w:after="80"/>
      </w:pPr>
      <w:r>
        <w:rPr>
          <w:b w:val="0"/>
          <w:i w:val="0"/>
        </w:rPr>
        <w:t>Lập luận ủng hộ việc bao gồm cả tiền lương cũng như các khoản mục khác được coi hoặc tính là thu nhập việc làm trong phạm vi Điều 15 là nó mang lại sự nhất quán trong việc xử lý các hình thức thù lao khác nhau cho các nhiệm vụ việc làm. Lập luận ủng hộ việc xử lý các khoản mục không phải tiền lương và thù lao tương tự</w:t>
      </w:r>
    </w:p>
    <w:p>
      <w:pPr>
        <w:spacing w:after="80"/>
      </w:pPr>
      <w:r>
        <w:rPr>
          <w:b w:val="0"/>
          <w:i w:val="0"/>
        </w:rPr>
        <w:t>10. Tại đoạn 37. 11. Tại đoạn 38. Bồi thường cho việc vi phạm quyền việc làm theo luật định đã được coi là thu nhập trên cơ sở rằng khoản thanh toán có liên quan trực tiếp đến việc làm, trong trường hợp một người tiếp tục làm việc (</w:t>
      </w:r>
      <w:r>
        <w:rPr>
          <w:b w:val="0"/>
          <w:i/>
        </w:rPr>
        <w:t>Pettigrew v Revenue and Customs</w:t>
      </w:r>
      <w:r>
        <w:rPr>
          <w:b w:val="0"/>
          <w:i w:val="0"/>
        </w:rPr>
        <w:t xml:space="preserve"> [2018] UKFTT 0240 (TC), [2018] TC 06473). 12. </w:t>
      </w:r>
      <w:r>
        <w:rPr>
          <w:b w:val="0"/>
          <w:i/>
        </w:rPr>
        <w:t>Hale v Canada</w:t>
      </w:r>
      <w:r>
        <w:rPr>
          <w:b w:val="0"/>
          <w:i w:val="0"/>
        </w:rPr>
        <w:t xml:space="preserve"> [1990] 2 CTC 255 (FCTD). 13. Tại tr. 255. 14. Tại tr. 254. 15. Như được định nghĩa theo luật Úc; Hiệp định Thuế Úc-Vương quốc Anh (2003), Điều 15(2). 16. Hiệp định Thuế Úc-Vương quốc Anh (2003), Điều 15(1). 17. Trao đổi công hàm Vương quốc Anh-Úc ngày 21 tháng 8 năm 2003, đoạn 8; Vương quốc Anh-Nhật Bản, Nghị định thư 2 tháng 2 năm 2006, đoạn 4; trao đổi công hàm Vương quốc Anh-Hoa Kỳ ngày 24 tháng 7 năm 2001.</w:t>
      </w:r>
    </w:p>
    <w:p>
      <w:pPr>
        <w:spacing w:after="80"/>
      </w:pPr>
      <w:r>
        <w:rPr>
          <w:b w:val="0"/>
          <w:i w:val="0"/>
        </w:rPr>
        <w:t>344</w:t>
      </w:r>
    </w:p>
    <w:p>
      <w:pPr>
        <w:spacing w:after="80"/>
      </w:pPr>
      <w:r>
        <w:rPr>
          <w:b w:val="0"/>
          <w:i w:val="0"/>
        </w:rPr>
        <w:t>theo cách khác là trong khi thù lao bằng tiền mặt được xử lý tương đối đồng nhất trong các hệ thống thuế khác nhau, và do đó phù hợp hơn cho thẩm quyền đánh thuế đồng thời, thì việc xử lý các lợi ích hoặc khoản tiền khác được coi là thu nhập việc làm lại rất khác nhau và sự không khớp trong xử lý có thể xảy ra. Do đó, những khoản mục như vậy được xử lý tốt hơn theo các phần khác của hiệp định, đặc biệt là thu nhập khác, thường chỉ quy định việc đánh thuế một lần tại quốc gia cư trú.18</w:t>
      </w:r>
    </w:p>
    <w:p>
      <w:pPr>
        <w:spacing w:after="80"/>
      </w:pPr>
      <w:r>
        <w:rPr>
          <w:b w:val="0"/>
          <w:i w:val="0"/>
        </w:rPr>
        <w:t>Luật nội địa của Vương quốc Anh trong phạm vi đánh thuế "thu nhập chung" của cư dân đối với thu nhập việc làm trên toàn thế giới và của người không cư trú đối với thu nhập việc làm từ các nguồn tại Vương quốc Anh, về cơ bản nhất quán với quy tắc này. Một số quy tắc thẩm quyền cụ thể được tìm thấy trong các phần khác nhau của ITEPA. Do đó, việc đánh thuế thu nhập đối với thu nhập chung cho một năm tính thuế mà người lao động là cư dân Vương quốc Anh được quy định không có giới hạn địa lý trong Điều 15. Thu nhập chung cho một năm mà người lao động không cư trú tại Vương quốc Anh chỉ liên quan đến các nhiệm vụ được thực hiện tại Vương quốc Anh.19 Thu nhập chung bao gồm cả "thu nhập" và các khoản tiền được "coi" là thu nhập.20</w:t>
      </w:r>
    </w:p>
    <w:p>
      <w:pPr>
        <w:spacing w:after="80"/>
      </w:pPr>
      <w:r>
        <w:rPr>
          <w:b w:val="0"/>
          <w:i w:val="0"/>
        </w:rPr>
        <w:t>Việc đánh thuế thu nhập nội địa đối với thu nhập việc làm cũng bao gồm "thu nhập việc làm cụ thể" được "tính" là thu nhập việc làm.21 Điều này bao gồm các lợi ích từ các chương trình phúc lợi hưu trí do người sử dụng lao động tài trợ,22 các khoản thanh toán và lợi ích khi chấm dứt việc làm23 và thu nhập liên quan đến chứng khoán và quyền chọn chứng khoán.24</w:t>
      </w:r>
    </w:p>
    <w:p>
      <w:pPr>
        <w:spacing w:after="80"/>
      </w:pPr>
      <w:r>
        <w:rPr>
          <w:b w:val="0"/>
          <w:i w:val="0"/>
        </w:rPr>
        <w:t>Chế độ chứng khoán liên quan đến việc làm nói chung áp dụng các quy tắc thẩm quyền đối với thu nhập chung.25 Các giới hạn thẩm quyền đối với các chương trình phúc lợi hưu trí và các khoản thanh toán chấm dứt không tương ứng với thẩm quyền đánh thuế được phân bổ trong Điều 15.26</w:t>
      </w:r>
    </w:p>
    <w:p>
      <w:pPr>
        <w:spacing w:after="80"/>
      </w:pPr>
      <w:r>
        <w:rPr>
          <w:b w:val="0"/>
          <w:i w:val="0"/>
        </w:rPr>
        <w:t>Quy tắc hiệp định áp dụng chung cho việc làm nhưng phải tuân theo các phần khác của hiệp định cũng đề cập đến các khía cạnh chuyên biệt của thu nhập việc làm, cụ thể là Điều 16 (Thù lao giám đốc), Điều 18 (Lương hưu) và Điều 19 (Dịch vụ chính phủ). Trong một số trường hợp, nó cũng phải tuân theo các quy tắc đặc biệt dành cho sinh viên và giáo viên, chẳng hạn như Điều 20 và 21, tương ứng, ví dụ, trong hiệp định thuế hai lần Hungary-Vương quốc Anh. Nghệ sĩ và vận động viên làm công ăn lương thuộc phạm vi Điều 17 (Nghệ sĩ và vận động viên thể thao).</w:t>
      </w:r>
    </w:p>
    <w:p>
      <w:pPr>
        <w:spacing w:after="80"/>
      </w:pPr>
      <w:r>
        <w:rPr>
          <w:b w:val="0"/>
          <w:i w:val="0"/>
        </w:rPr>
        <w:t>18. Xem Chương 13, §§13.01ff. 19. ITEPA 2003, Điều 27. 20. Xem ITEPA 2003, Điều 7(3)(b). ITEPA 2003, Phần 3, quy định "thu nhập" là gì. Các khoản tiền được coi là thu nhập là những khoản thuộc các Chương 7-9 của Phần 2 (người lao động qua đại lý, người lao động theo các thỏa thuận do trung gian thực hiện, và người lao động cung cấp dịch vụ thông qua các công ty dịch vụ được quản lý), các Chương 2-11 của Phần 3 (bộ quy tắc phúc lợi), Chương 12 của Phần 3 (các khoản thanh toán được coi là thu nhập) và Điều 262 của Đạo luật Phụ cấp Vốn 2001 (CAA 2001) (các khoản phí cân đối được thực hiện bằng cách coi chúng là thu nhập). Xem ITEPA 2003, Điều 7(5). 21. ITEPA 2003, Điều 6(1). 22. ITEPA 2003, Phần 6, Chương 2. 23. ITEPA 2003, Phần 6, Chương 3. 24. ITEPA 2003, Phần 7. 25. ITEPA 2003, Phần 2, Chương 5B. 26. ITEPA 2003, các Điều 395B, 413 và 414.</w:t>
      </w:r>
    </w:p>
    <w:p>
      <w:pPr>
        <w:spacing w:after="80"/>
      </w:pPr>
      <w:r>
        <w:rPr>
          <w:b w:val="0"/>
          <w:i w:val="0"/>
        </w:rPr>
        <w:t>345</w:t>
      </w:r>
    </w:p>
    <w:p>
      <w:pPr>
        <w:spacing w:after="80"/>
      </w:pPr>
      <w:r>
        <w:rPr>
          <w:b/>
          <w:i w:val="0"/>
        </w:rPr>
        <w:t>§11.03 VIỆC LÀM</w:t>
      </w:r>
    </w:p>
    <w:p>
      <w:pPr>
        <w:spacing w:after="80"/>
      </w:pPr>
      <w:r>
        <w:rPr>
          <w:b w:val="0"/>
          <w:i w:val="0"/>
        </w:rPr>
        <w:t>Nguồn thu nhập trong điều khoản này là ‘việc làm’ (employment). Cụm từ này không được giải thích chi tiết trong các hiệp định và phải viện dẫn đến luật trong nước.27 Theo luật trong nước của Vương quốc Anh, khoản thu theo ITEPA 2003 áp dụng cho việc làm, bao gồm cụ thể:</w:t>
      </w:r>
    </w:p>
    <w:p>
      <w:pPr>
        <w:spacing w:after="80"/>
      </w:pPr>
      <w:r>
        <w:rPr>
          <w:b w:val="0"/>
          <w:i w:val="0"/>
        </w:rPr>
        <w:t>– bất kỳ việc làm nào theo hợp đồng dịch vụ;– bất kỳ việc làm nào theo hợp đồng học nghề; và– bất kỳ việc làm nào trong bộ máy phục vụ Hoàng gia.28</w:t>
      </w:r>
    </w:p>
    <w:p>
      <w:pPr>
        <w:spacing w:after="80"/>
      </w:pPr>
      <w:r>
        <w:rPr>
          <w:b w:val="0"/>
          <w:i w:val="0"/>
        </w:rPr>
        <w:t>Định nghĩa trong nước mang tính liệt kê này dựa trên luật chung liên quan đến việc làm. Khoản thu thuế thu nhập theo ITEPA 2003 cũng mở rộng đến bất kỳ ‘chức vụ’ (office) nào.29</w:t>
      </w:r>
    </w:p>
    <w:p>
      <w:pPr>
        <w:spacing w:after="80"/>
      </w:pPr>
      <w:r>
        <w:rPr>
          <w:b w:val="0"/>
          <w:i w:val="0"/>
        </w:rPr>
        <w:t>‘Chức vụ’ bao gồm ‘cụ thể là bất kỳ vị trí nào tồn tại độc lập với người nắm giữ nó và có thể được đảm nhiệm bởi những người kế tiếp nhau’.30 Hai khái niệm này không loại trừ lẫn nhau.31 Nhìn chung, sự phân biệt giữa hai khái niệm này không quan trọng trong hầu hết các trường hợp, nhưng không có ý kiến nào cho rằng người giữ chức vụ nhất thiết phải thuộc phạm vi quy định của Điều 15. Có một ngoại lệ liên quan đến giám đốc công ty, những người được xử lý theo Điều 16 của Mẫu OECD. Giám đốc công ty được coi là giữ chức vụ thay vì có quan hệ việc làm.32 Tương tự, việc làm trong bộ máy phục vụ Hoàng gia có thể đưa một cá nhân vào các quy định đặc biệt dành cho dịch vụ chính phủ33 hoặc các quan chức ngoại giao và lãnh sự.34</w:t>
      </w:r>
    </w:p>
    <w:p>
      <w:pPr>
        <w:spacing w:after="80"/>
      </w:pPr>
      <w:r>
        <w:rPr>
          <w:b/>
          <w:i w:val="0"/>
        </w:rPr>
        <w:t>§11.04 VIỆC LÀM SO VỚI TỰ LÀM CHỦ</w:t>
      </w:r>
    </w:p>
    <w:p>
      <w:pPr>
        <w:spacing w:after="80"/>
      </w:pPr>
      <w:r>
        <w:rPr>
          <w:b w:val="0"/>
          <w:i w:val="0"/>
        </w:rPr>
        <w:t>Sự phân biệt quan trọng nhất trong việc xác định áp dụng điều khoản này sẽ là giữa việc làm và tự làm chủ (self-employment). Các điều khoản về thu nhập từ việc làm khác về cấu trúc so với những điều khoản xử lý dịch vụ cá nhân độc lập ở chỗ chúng không đưa ra</w:t>
      </w:r>
    </w:p>
    <w:p>
      <w:pPr>
        <w:spacing w:after="80"/>
      </w:pPr>
      <w:r>
        <w:rPr>
          <w:b w:val="0"/>
          <w:i w:val="0"/>
        </w:rPr>
        <w:t>27.</w:t>
      </w:r>
      <w:r>
        <w:rPr>
          <w:b w:val="0"/>
          <w:i/>
        </w:rPr>
        <w:t>Fowler v Revenue and Customs</w:t>
      </w:r>
      <w:r>
        <w:rPr>
          <w:b w:val="0"/>
          <w:i w:val="0"/>
        </w:rPr>
        <w:t xml:space="preserve"> [2020] UKSC 22, [2020] 1 WLR 2227, [2020] STC 1476, [2020] BTC 15, tại đoạn 9. </w:t>
      </w:r>
      <w:r>
        <w:rPr>
          <w:b w:val="0"/>
          <w:i/>
        </w:rPr>
        <w:t>Fowler</w:t>
      </w:r>
      <w:r>
        <w:rPr>
          <w:b w:val="0"/>
          <w:i w:val="0"/>
        </w:rPr>
        <w:t xml:space="preserve"> [2016] UKFTT 234 [2016] SFTD 535, 18 ITL Rep 644, [2016] TC 05009 tại đoạn 107; [2017] UKUT 0219 (TCC), [2017] BTC 518, [2017] STC 1385 (UT) tại đoạn 43. </w:t>
      </w:r>
      <w:r>
        <w:rPr>
          <w:b w:val="0"/>
          <w:i/>
        </w:rPr>
        <w:t>Fowler</w:t>
      </w:r>
      <w:r>
        <w:rPr>
          <w:b w:val="0"/>
          <w:i w:val="0"/>
        </w:rPr>
        <w:t xml:space="preserve"> liên quan đến một thợ lặn được coi là hành nghề thương mại cho mục đích thuế thu nhập. Tòa án sơ thẩm (First-tier Tribunal), [2016] UKFTT 234 [2016] SFTD 535, 18 ITL Rep 644, [2016] TC 05009 và Tòa phúc thẩm (Court of Appeal) [2018] EWCA Civ 2544, 21 ITL Rep 388, [2018] STC 2401 kết luận rằng ông thuộc phạm vi lợi nhuận kinh doanh trong Điều 7 của hiệp định đánh thuế hai lần Nam Phi – Vương quốc Anh. Tòa án Tối cao quyết định, tại đoạn 34, rằng Điều 3(2) không nên được giải thích để đưa một thợ lặn như vậy vào phạm vi Điều 7 bởi vì, dựa trên Điều 2(1), hiệp định không liên quan đến cách thức đánh thuế các loại thuế thuộc phạm vi của Hiệp định. Các lập luận ngược lại được trình bày trong Schwarz, J.S. </w:t>
      </w:r>
      <w:r>
        <w:rPr>
          <w:b w:val="0"/>
          <w:i/>
        </w:rPr>
        <w:t>Article 3(2) of the OECD and UN Models: An International View</w:t>
      </w:r>
      <w:r>
        <w:rPr>
          <w:b w:val="0"/>
          <w:i w:val="0"/>
        </w:rPr>
        <w:t xml:space="preserve">, Bulletin for International Taxation, 75(1) 2021, IBFD (tác giả là luật sư đại diện cho ông Fowler). 28.ITEPA 2003, s. 4(1). 29.ITEPA 2003, s. 5(1). 30.ITEPA 2003, s. 5(3), phần lớn hệ thống hóa mô tả của Harman LJ trong </w:t>
      </w:r>
      <w:r>
        <w:rPr>
          <w:b w:val="0"/>
          <w:i/>
        </w:rPr>
        <w:t>Mitchell and Edon v Ross</w:t>
      </w:r>
      <w:r>
        <w:rPr>
          <w:b w:val="0"/>
          <w:i w:val="0"/>
        </w:rPr>
        <w:t xml:space="preserve"> (1961) 40 TC 11, HL, là ‘một vị trí hoặc chức vụ tồn tại không phụ thuộc vào danh tính của người nắm giữ nó theo thời gian’. 31.</w:t>
      </w:r>
      <w:r>
        <w:rPr>
          <w:b w:val="0"/>
          <w:i/>
        </w:rPr>
        <w:t>Macmillan v CIR</w:t>
      </w:r>
      <w:r>
        <w:rPr>
          <w:b w:val="0"/>
          <w:i w:val="0"/>
        </w:rPr>
        <w:t xml:space="preserve"> (1942) 24 TC 190. 32.</w:t>
      </w:r>
      <w:r>
        <w:rPr>
          <w:b w:val="0"/>
          <w:i/>
        </w:rPr>
        <w:t>Barry v Farrow</w:t>
      </w:r>
      <w:r>
        <w:rPr>
          <w:b w:val="0"/>
          <w:i w:val="0"/>
        </w:rPr>
        <w:t xml:space="preserve"> [1914] 1 KB 632. 33.Xem §11.14. 34.Xem §11.13.</w:t>
      </w:r>
    </w:p>
    <w:p>
      <w:pPr>
        <w:spacing w:after="80"/>
      </w:pPr>
      <w:r>
        <w:rPr>
          <w:b w:val="0"/>
          <w:i w:val="0"/>
        </w:rPr>
        <w:t>346</w:t>
      </w:r>
    </w:p>
    <w:p>
      <w:pPr>
        <w:spacing w:after="80"/>
      </w:pPr>
      <w:r>
        <w:rPr>
          <w:b w:val="0"/>
          <w:i w:val="0"/>
        </w:rPr>
        <w:t>hướng dẫn về những gì cấu thành việc làm cho mục đích so sánh giữa hai nguồn thu nhập.35 Ngoài những khó khăn có thể phát sinh khi phân biệt điều này theo luật trong nước, khả năng phân loại hoặc xử lý không nhất quán giữa Vương quốc Anh và quốc gia ký kết khác cũng có thể xảy ra. Ví dụ, không hiếm khi các chuyên gia như luật sư hoặc kế toán viên giữ một chức vụ trong quá trình hành nghề chuyên môn của họ. Ở Vương quốc Anh, thù lao giám đốc (directors’ fees), nói một cách chặt chẽ, phải chịu thuế theo ITEPA 2003. Khoản này thông thường sẽ được đánh thuế đối với từng thành viên hợp danh của một hãng, nhưng có thể được xử lý như tự làm chủ theo ITTOIA 2005, s. 16B và 16C, khi việc giữ chức giám đốc là một sự kiện bình thường của nghề nghiệp và hoạt động hành nghề cụ thể đó chỉ là một phần nhỏ trong lợi nhuận và thù lao được gộp lại để chia cho các thành viên hợp danh theo thỏa thuận.</w:t>
      </w:r>
    </w:p>
    <w:p>
      <w:pPr>
        <w:spacing w:after="80"/>
      </w:pPr>
      <w:r>
        <w:rPr>
          <w:b w:val="0"/>
          <w:i w:val="0"/>
        </w:rPr>
        <w:t>Tương tự, CTA 2009, s. 40A và 40B mở rộng cách xử lý tương tự cho các giám đốc được bổ nhiệm thay mặt cho một công ty khác. Điều này có thể áp dụng trong bối cảnh các tập đoàn đa quốc gia, ví dụ khi một công ty mẹ nước ngoài có quyền bổ nhiệm giám đốc vào hội đồng quản trị của một công ty Vương quốc Anh và giám đốc được đề cử phải chuyển giao mọi thù lao giám đốc hoặc thù lao khác nhận được liên quan đến chức vụ giám đốc cho công ty đã bổ nhiệm mình.</w:t>
      </w:r>
    </w:p>
    <w:p>
      <w:pPr>
        <w:spacing w:after="80"/>
      </w:pPr>
      <w:r>
        <w:rPr>
          <w:b w:val="0"/>
          <w:i w:val="0"/>
        </w:rPr>
        <w:t>Khi thù lao được chuyển giao như vậy, các khoản này phải được đưa vào lợi nhuận của công ty bổ nhiệm cho mục đích thuế thu nhập doanh nghiệp nếu công ty đồng ý chịu thuế theo cách đó. Nếu công ty không thuộc phạm vi chịu thuế thu nhập doanh nghiệp, thì công ty có thể đồng ý nhận trách nhiệm đối với thuế thu nhập được khấu trừ theo thuế suất cơ bản từ thù lao. Điều này chỉ áp dụng cho cách xử lý thuế ở Vương quốc Anh.</w:t>
      </w:r>
    </w:p>
    <w:p>
      <w:pPr>
        <w:spacing w:after="80"/>
      </w:pPr>
      <w:r>
        <w:rPr>
          <w:b w:val="0"/>
          <w:i w:val="0"/>
        </w:rPr>
        <w:t>Một số hiệp định kiểu thuộc địa cũ áp dụng một điều khoản duy nhất cho dịch vụ cá nhân, dù là phụ thuộc hay độc lập. Trong những trường hợp như vậy, sự phân biệt giữa chúng không liên quan cho mục đích hiệp định. Cách tiếp cận này được tiếp tục trong các hiệp định theo mẫu của UN Model. Một ví dụ về điều này được tìm thấy trong Điều 9(2) của Hiệp định Antigua – Vương quốc Anh như sau:</w:t>
      </w:r>
    </w:p>
    <w:p>
      <w:pPr>
        <w:spacing w:after="80"/>
      </w:pPr>
      <w:r>
        <w:rPr>
          <w:b w:val="0"/>
          <w:i w:val="0"/>
        </w:rPr>
        <w:t>Một cá nhân là cư dân của Antigua sẽ được miễn thuế Vương quốc Anh đối với lợi nhuận hoặc thù lao liên quan đến dịch vụ cá nhân (bao gồm cả dịch vụ chuyên môn) được thực hiện trong lãnh thổ Vương quốc Anh trong bất kỳ năm đánh giá nào nếu:</w:t>
      </w:r>
    </w:p>
    <w:p>
      <w:pPr>
        <w:spacing w:after="80"/>
      </w:pPr>
      <w:r>
        <w:rPr>
          <w:b w:val="0"/>
          <w:i w:val="0"/>
        </w:rPr>
        <w:t>(a) người đó hiện diện trong lãnh thổ Vương quốc Anh trong một khoảng thời gian hoặc các khoảng thời gian không vượt quá</w:t>
      </w:r>
    </w:p>
    <w:p>
      <w:pPr>
        <w:spacing w:after="80"/>
      </w:pPr>
      <w:r>
        <w:rPr>
          <w:b w:val="0"/>
          <w:i w:val="0"/>
        </w:rPr>
        <w:t>trong tổng số 183 ngày trong năm đó; và (b) các dịch vụ được thực hiện cho hoặc thay mặt cho một người cư trú tại Antigua; và</w:t>
      </w:r>
    </w:p>
    <w:p>
      <w:pPr>
        <w:spacing w:after="80"/>
      </w:pPr>
      <w:r>
        <w:rPr>
          <w:b w:val="0"/>
          <w:i w:val="0"/>
        </w:rPr>
        <w:t>(c) lợi nhuận hoặc thù lao phải chịu thuế Antigua.</w:t>
      </w:r>
    </w:p>
    <w:p>
      <w:pPr>
        <w:spacing w:after="80"/>
      </w:pPr>
      <w:r>
        <w:rPr>
          <w:b/>
          <w:i w:val="0"/>
        </w:rPr>
        <w:t>§11.05THU NHẬP TỪ VIỆC LÀM VÀ CÁC BÊN TRUNG GIAN</w:t>
      </w:r>
    </w:p>
    <w:p>
      <w:pPr>
        <w:spacing w:after="80"/>
      </w:pPr>
      <w:r>
        <w:rPr>
          <w:b w:val="0"/>
          <w:i w:val="0"/>
        </w:rPr>
        <w:t>Khả năng bị đối xử không khớp (mismatching treatment) tăng lên do sự gia tăng các quy định liên quan đến việc cung cấp người lao động qua các bên trung gian trong ITEPA 2003, Phần 2, khi áp dụng cho ‘người lao động qua đại lý’ (agency workers),36 ‘các thỏa thuận được thực hiện bởi các bên trung gian’37 và ‘các công ty</w:t>
      </w:r>
    </w:p>
    <w:p>
      <w:pPr>
        <w:spacing w:after="80"/>
      </w:pPr>
      <w:r>
        <w:rPr>
          <w:b w:val="0"/>
          <w:i w:val="0"/>
        </w:rPr>
        <w:t>35.Xem Chương 9, §9.13 về tự kinh doanh.36.ITEPA 2003, Phần 2, Chương 7.37.Cái gọi là các vụ án IR35; xem ITEPA 2003, Phần 2, Chương 8.</w:t>
      </w:r>
    </w:p>
    <w:p>
      <w:pPr>
        <w:spacing w:after="80"/>
      </w:pPr>
      <w:r>
        <w:rPr>
          <w:b w:val="0"/>
          <w:i w:val="0"/>
        </w:rPr>
        <w:t>347</w:t>
      </w:r>
    </w:p>
    <w:p>
      <w:pPr>
        <w:spacing w:after="80"/>
      </w:pPr>
      <w:r>
        <w:rPr>
          <w:b w:val="0"/>
          <w:i w:val="0"/>
        </w:rPr>
        <w:t>dịch vụ được quản lý’ (managed service companies).38 Ngôn ngữ hiệp ước liên quan đến thu nhập từ việc làm không đưa ra được hiểu biết nào về sự tương tác giữa các quy định này và các điều khoản của hiệp ước. Phiên bản 2010 của Bình luận OECD về Điều 15 lưu ý rằng trong một số trường hợp, có thể khó xác định liệu các dịch vụ được cung cấp tại một quốc gia bởi một cá nhân cư trú tại quốc gia khác, và được cung cấp cho một người cư trú của Quốc gia thứ nhất (hoặc người có cơ sở thường trú tại quốc gia đó), có cấu thành dịch vụ việc làm thuộc phạm vi áp dụng của Điều 15 hay không, hay là dịch vụ được cung cấp bởi một doanh nghiệp thuộc phạm vi áp dụng của Điều 7, hay nói chung hơn, liệu ngoại lệ trong Điều 15(2) có được áp dụng hay không. Bình luận lưu ý rằng điều này có thể phát sinh trong cả hoàn cảnh thương mại lẫn hoàn cảnh có động cơ về thuế.39 Khi chế độ người lao động qua đại lý được áp dụng, thù lao phải thu theo hoặc do hậu quả của các khoản thanh toán theo hợp đồng đại lý được đặc trưng lại thành thu nhập từ việc làm, bao gồm cả thù lao mà khách hàng trả hoặc cung cấp cho đại lý liên quan đến các dịch vụ.40 Có vẻ đáng ngờ rằng một khoản thanh toán được thực hiện cho một công ty liên quan đến một hợp đồng không phải là hợp đồng việc làm lại được coi là tiền lương cho một việc làm vì mục đích hiệp ước.</w:t>
      </w:r>
    </w:p>
    <w:p>
      <w:pPr>
        <w:spacing w:after="80"/>
      </w:pPr>
      <w:r>
        <w:rPr>
          <w:b w:val="0"/>
          <w:i w:val="0"/>
        </w:rPr>
        <w:t>Các vấn đề khó khăn hơn nữa phát sinh trong việc áp dụng các hiệp ước đối với cái gọi là các vụ án IR35, nơi các dịch vụ được cung cấp thông qua một bên trung gian.41 Hậu quả của việc một thỏa thuận thuộc phạm vi các quy định này là nếu người lao động (hoặc một người liên kết của người lao động) nhận trực tiếp hoặc gián tiếp từ bên trung gian một khoản thanh toán hoặc lợi ích khác không phải chịu thuế như thu nhập từ việc làm, hoặc có quyền được nhận bất kỳ khoản thanh toán hoặc lợi ích nào như vậy từ bên trung gian, thì bên trung gian được coi là đang thực hiện cho người lao động trong năm đó và người lao động được coi là đang nhận trong năm đó một khoản thanh toán phải chịu thuế thu nhập như thu nhập từ việc làm.42 Những khó khăn tương tự trong việc mô tả đặc điểm của các thỏa thuận cũng phát sinh trong bối cảnh này.</w:t>
      </w:r>
    </w:p>
    <w:p>
      <w:pPr>
        <w:spacing w:after="80"/>
      </w:pPr>
      <w:r>
        <w:rPr>
          <w:b w:val="0"/>
          <w:i w:val="0"/>
        </w:rPr>
        <w:t>Liên quan đến một cá nhân có dịch vụ được cung cấp bởi một Công ty Dịch vụ Được Quản lý (Managed Service Company - MSC)43 và người nhận (hoặc người liên kết của người đó nhận) một khoản thanh toán hoặc lợi ích mà có thể được coi một cách hợp lý là liên quan đến các dịch vụ nhưng không phải là thu nhập chung mà người lao động nhận trực tiếp từ MSC, thì cá nhân đó được coi là đang nhận một khoản thanh toán việc làm được coi như thật (deemed employment payment) từ MSC (ITEPA 2003, s. 61D). Không có yêu cầu phải mô tả đặc điểm của các thỏa thuận dịch vụ để đủ điều kiện là một MSC.</w:t>
      </w:r>
    </w:p>
    <w:p>
      <w:pPr>
        <w:spacing w:after="80"/>
      </w:pPr>
      <w:r>
        <w:rPr>
          <w:b/>
          <w:i w:val="0"/>
        </w:rPr>
        <w:t>§11.06ĐỊA ĐIỂM THỰC HIỆN</w:t>
      </w:r>
    </w:p>
    <w:p>
      <w:pPr>
        <w:spacing w:after="80"/>
      </w:pPr>
      <w:r>
        <w:rPr>
          <w:b w:val="0"/>
          <w:i w:val="0"/>
        </w:rPr>
        <w:t>Địa điểm mà một việc làm được ‘thực hiện’ (exercised) vì mục đích hiệp ước, và địa điểm mà ‘các nhiệm vụ được thực hiện’ (duties are performed) theo luật trong nước, có khả năng là gần như đồng nhất. ITEPA 2003 chỉ đưa ra hướng dẫn hạn chế. Điều 38 chỉ đơn giản liên kết các khoảng thời gian vắng mặt khỏi chức vụ hoặc việc làm với địa điểm thực hiện, trừ khi việc vắng mặt đó là liên quan đến các nhiệm vụ được thực hiện bên ngoài Vương quốc Anh. Tương tự, Điều 39 liên kết các nhiệm vụ được thực hiện tại Vương quốc Anh mà chỉ là phụ trợ cho việc thực hiện các nhiệm vụ khác bên ngoài Vương quốc Anh</w:t>
      </w:r>
    </w:p>
    <w:p>
      <w:pPr>
        <w:spacing w:after="80"/>
      </w:pPr>
      <w:r>
        <w:rPr>
          <w:b w:val="0"/>
          <w:i w:val="0"/>
        </w:rPr>
        <w:t>38.ITEPA 2003, Phần 2, Chương 9.39.Bình luận OECD về Điều 15, đoạn 8.1.40.ITEPA 2003, s. 44(2).41.ITEPA 2003, s. 50(1).42.ITEPA 2003, s. 50(1)(b).43.Trong ITEPA 2003, s. 61B.</w:t>
      </w:r>
    </w:p>
    <w:p>
      <w:pPr>
        <w:spacing w:after="80"/>
      </w:pPr>
      <w:r>
        <w:rPr>
          <w:b w:val="0"/>
          <w:i w:val="0"/>
        </w:rPr>
        <w:t>348</w:t>
      </w:r>
    </w:p>
    <w:p>
      <w:pPr>
        <w:spacing w:after="80"/>
      </w:pPr>
      <w:r>
        <w:rPr>
          <w:b w:val="0"/>
          <w:i w:val="0"/>
        </w:rPr>
        <w:t xml:space="preserve">với việc thực hiện ở nước ngoài. Điều này nêu rõ ràng rằng nó không ảnh hưởng đến bất kỳ câu hỏi nào về việc liệu bất kỳ nhiệm vụ nào được thực hiện ở đâu.44 Có vẻ như cả theo các hiệp ước lẫn luật trong nước, địa điểm thực hiện hoặc tiến hành việc làm là một câu hỏi về sự kiện. Ví dụ, trong </w:t>
      </w:r>
      <w:r>
        <w:rPr>
          <w:b w:val="0"/>
          <w:i/>
        </w:rPr>
        <w:t>Leonard v Blanchard</w:t>
      </w:r>
      <w:r>
        <w:rPr>
          <w:b w:val="0"/>
          <w:i w:val="0"/>
        </w:rPr>
        <w:t>,45 một người nộp thuế đã tìm cách phân bổ cho các khoản thù lao quy cho các nhiệm vụ được thực hiện bên ngoài Vương quốc Anh một phần của các khoản thù lao quy cho những ngày mà ông đã vắng mặt khỏi nhiệm vụ của mình. Tòa án Phúc thẩm (Court of Appeal) đã phán quyết rằng để chứng minh điều đó, người nộp thuế phải chứng minh rằng vào bất kỳ ngày nào mà ông vắng mặt khỏi việc làm, ông lẽ ra đã thực hiện các nhiệm vụ bên ngoài Vương quốc Anh. Nếu thực tế ông đã có mặt, thì bằng chứng về điều này lẽ ra phải được trình bày.</w:t>
      </w:r>
    </w:p>
    <w:p>
      <w:pPr>
        <w:spacing w:after="80"/>
      </w:pPr>
      <w:r>
        <w:rPr>
          <w:b/>
          <w:i w:val="0"/>
        </w:rPr>
        <w:t>§11.07THỜI ĐIỂM GHI NHẬN THU NHẬP VÀ THỰC HIỆN NHIỆM VỤ</w:t>
      </w:r>
    </w:p>
    <w:p>
      <w:pPr>
        <w:spacing w:after="80"/>
      </w:pPr>
      <w:r>
        <w:rPr>
          <w:b w:val="0"/>
          <w:i w:val="0"/>
        </w:rPr>
        <w:t xml:space="preserve">Thời điểm để xác định khi nào một người lao động là cư dân của một quốc gia ký kết là khi việc làm được thực hiện, tức là khi các nhiệm vụ được thực hiện. Thời điểm thanh toán không liên quan cho mục đích này. Trong </w:t>
      </w:r>
      <w:r>
        <w:rPr>
          <w:b w:val="0"/>
          <w:i/>
        </w:rPr>
        <w:t>Squirrell v HMRC</w:t>
      </w:r>
      <w:r>
        <w:rPr>
          <w:b w:val="0"/>
          <w:i w:val="0"/>
        </w:rPr>
        <w:t>,46 người nộp thuế là cư dân cho đến ngày 17 tháng 10 năm 2000 khi ông chuyển đến Hoa Kỳ. Ông đã làm việc cho một công ty Vương quốc Anh tại Vương quốc Anh cho đến ngày 31 tháng 3 năm 2000 và nhận một khoản thanh toán chấm dứt hợp đồng từ người sử dụng lao động vào ngày 1 tháng 4 năm 2000. Theo luật Hoa Kỳ, ông là cư dân tại Hoa Kỳ trong toàn bộ năm 2000. Vì không có bằng chứng nào để có thể áp dụng quy tắc phá vỡ thế cân bằng về cư trú (residence tiebreaker),47</w:t>
      </w:r>
    </w:p>
    <w:p>
      <w:pPr>
        <w:spacing w:after="80"/>
      </w:pPr>
      <w:r>
        <w:rPr>
          <w:b w:val="0"/>
          <w:i w:val="0"/>
        </w:rPr>
        <w:t>Ủy viên đặc biệt Avery Jones đã kiểm tra việc áp dụng điều 15 của Hiệp định Thuế US-UK (1975) theo cả hai giả định rằng người nộp thuế là cư dân Vương quốc Anh và Hoa Kỳ vì mục đích hiệp định. Giả định rằng người nộp thuế là cư dân Vương quốc Anh dựa trên việc thực hiện công việc làm. Nếu người nộp thuế là cư dân Vương quốc Anh vào thời điểm đó, họ sẽ chỉ bị đánh thuế ở Vương quốc Anh trừ khi nhiệm vụ được thực hiện ở Hoa Kỳ, mà điều đó không xảy ra. Ngược lại, nếu người nộp thuế là cư dân Hoa Kỳ, Vương quốc Anh vẫn sẽ có quyền đánh thuế vì nhiệm vụ được thực hiện ở đó cho một chủ lao động Vương quốc Anh. Thời điểm thanh toán là không liên quan.48 Điều này nhất quán với luật trong nước phân biệt năm "mà" thu nhập chung được kiếm và khi chúng được nhận.49</w:t>
      </w:r>
    </w:p>
    <w:p>
      <w:pPr>
        <w:spacing w:after="80"/>
      </w:pPr>
      <w:r>
        <w:rPr>
          <w:b/>
          <w:i w:val="0"/>
        </w:rPr>
        <w:t>§11.08 NHÂN VIÊN LƯU TRÚ NGẮN HẠN</w:t>
      </w:r>
    </w:p>
    <w:p>
      <w:pPr>
        <w:spacing w:after="80"/>
      </w:pPr>
      <w:r>
        <w:rPr>
          <w:b w:val="0"/>
          <w:i w:val="0"/>
        </w:rPr>
        <w:t>Nhân viên dành thời gian ngắn làm việc ngoài quốc gia cư trú của họ có thể được miễn thuế ở quốc gia nơi thực hiện nhiệm vụ. Kết quả là, nhân viên không cư trú ở Vương quốc Anh dành thời gian hạn chế ở Vương quốc Anh cho các chủ lao động nước ngoài có thể không phải chịu thuế Vương quốc Anh. Cách tiếp cận của OECD được phản ánh trong điều 15(2) của Hiệp định Latvia-UK như sau:</w:t>
      </w:r>
    </w:p>
    <w:p>
      <w:pPr>
        <w:spacing w:after="80"/>
      </w:pPr>
      <w:r>
        <w:rPr>
          <w:b w:val="0"/>
          <w:i w:val="0"/>
        </w:rPr>
        <w:t>44.ITEPA 2003, s. 39(3)(a).45.</w:t>
      </w:r>
      <w:r>
        <w:rPr>
          <w:b w:val="0"/>
          <w:i/>
        </w:rPr>
        <w:t>Leonard v Blanchard</w:t>
      </w:r>
      <w:r>
        <w:rPr>
          <w:b w:val="0"/>
          <w:i w:val="0"/>
        </w:rPr>
        <w:t xml:space="preserve"> [1993] BTC 138; [1993] STC 259.46.</w:t>
      </w:r>
      <w:r>
        <w:rPr>
          <w:b w:val="0"/>
          <w:i/>
        </w:rPr>
        <w:t>Squirrell v Revenue and Customs</w:t>
      </w:r>
      <w:r>
        <w:rPr>
          <w:b w:val="0"/>
          <w:i w:val="0"/>
        </w:rPr>
        <w:t xml:space="preserve"> [2005] UKSPC SPC493 [2005] Sp C 493; [2005] STC (SCD) 717.47.Xem Chương 6, §6.05.48.Tại các đoạn 12 và 13.49.ITEPA 2003, ss 16, 18, 19 và 29.</w:t>
      </w:r>
    </w:p>
    <w:p>
      <w:pPr>
        <w:spacing w:after="80"/>
      </w:pPr>
      <w:r>
        <w:rPr>
          <w:b w:val="0"/>
          <w:i w:val="0"/>
        </w:rPr>
        <w:t>349</w:t>
      </w:r>
    </w:p>
    <w:p>
      <w:pPr>
        <w:spacing w:after="80"/>
      </w:pPr>
      <w:r>
        <w:rPr>
          <w:b w:val="0"/>
          <w:i w:val="0"/>
        </w:rPr>
        <w:t>Bất chấp các quy định của đoạn (1) của Điều này, thù lao có được từ một cư dân của một Quốc gia Ký kết liên quan đến việc làm được thực hiện ở Quốc gia Ký kết kia sẽ chỉ bị đánh thuế ở Quốc gia được đề cập đầu tiên nếu:</w:t>
      </w:r>
    </w:p>
    <w:p>
      <w:pPr>
        <w:spacing w:after="80"/>
      </w:pPr>
      <w:r>
        <w:rPr>
          <w:b w:val="0"/>
          <w:i w:val="0"/>
        </w:rPr>
        <w:t>(a) người nhận có mặt ở Quốc gia kia trong một khoảng thời gian hoặc các khoảng thời gian không vượt quá</w:t>
      </w:r>
    </w:p>
    <w:p>
      <w:pPr>
        <w:spacing w:after="80"/>
      </w:pPr>
      <w:r>
        <w:rPr>
          <w:b w:val="0"/>
          <w:i w:val="0"/>
        </w:rPr>
        <w:t>tổng cộng 183 ngày trong bất kỳ khoảng thời gian mười hai tháng nào bắt đầu hoặc kết thúc trong năm tài chính liên quan; và (b) thù lao được trả bởi, hoặc thay mặt cho, một chủ lao động không phải là cư dân</w:t>
      </w:r>
    </w:p>
    <w:p>
      <w:pPr>
        <w:spacing w:after="80"/>
      </w:pPr>
      <w:r>
        <w:rPr>
          <w:b w:val="0"/>
          <w:i w:val="0"/>
        </w:rPr>
        <w:t>của Quốc gia kia; và (c) thù lao không được gánh chịu bởi một cơ sở thường trú hoặc một cơ sở cố định</w:t>
      </w:r>
    </w:p>
    <w:p>
      <w:pPr>
        <w:spacing w:after="80"/>
      </w:pPr>
      <w:r>
        <w:rPr>
          <w:b w:val="0"/>
          <w:i w:val="0"/>
        </w:rPr>
        <w:t>mà chủ lao động có ở Quốc gia kia.</w:t>
      </w:r>
    </w:p>
    <w:p>
      <w:pPr>
        <w:spacing w:after="80"/>
      </w:pPr>
      <w:r>
        <w:rPr>
          <w:b w:val="0"/>
          <w:i w:val="0"/>
        </w:rPr>
        <w:t xml:space="preserve">Các hiệp định trước đây áp dụng bài kiểm tra hiện diện 183 ngày liên quan đến bất kỳ năm thuế nào được đề cập thay vì khoảng thời gian 12 tháng luân chuyển, phù hợp với các Hiệp định Mẫu năm 1963 và 1977. Khi xác định liệu một nhân viên không cư trú có mặt ở Vương quốc Anh cho bài kiểm tra 183 ngày hay không, thực tiễn của Cơ quan Thuế là tính một phần ngày như một ngày trọn vẹn.50 Điều này phù hợp với Bình luận của OECD về điều 15, đoạn 5, trong đó nói rằng, 'Dù ngắn ngủi đến đâu, phần của một ngày vẫn được tính là một ngày hiện diện cho mục đích này'. Điều này khác với quan điểm án lệ trong nước liên quan đến việc xác định cư trú.51 Trong </w:t>
      </w:r>
      <w:r>
        <w:rPr>
          <w:b w:val="0"/>
          <w:i/>
        </w:rPr>
        <w:t>Hoye v Forsdyke</w:t>
      </w:r>
      <w:r>
        <w:rPr>
          <w:b w:val="0"/>
          <w:i w:val="0"/>
        </w:rPr>
        <w:t>,52 người ta đã phán quyết rằng một 'ngày đủ điều kiện' đề cập đến một ngày dương lịch kết thúc vào nửa đêm. Trong trường hợp đó, luật quy định rằng 'một người sẽ không được coi là vắng mặt ở Vương quốc Anh vào bất kỳ ngày nào, trừ khi người đó vắng mặt vào cuối ngày đó'. Người nộp thuế đã lập luận rằng vì ý nghĩa của 'ngày' là mơ hồ, một 'ngày làm việc bình thường' là cách giải thích hợp lý hơn so với một ngày dương lịch kết thúc vào nửa đêm. Do đó, xét theo các cách tiếp cận khác nhau trong việc đếm, sự hiện diện có nghĩa là một cá nhân có thể thoát khỏi việc trở thành cư dân trong một năm trong khi vượt quá 183 ngày hiện diện theo bài kiểm tra này. Bài kiểm tra yêu cầu bao gồm cả những ngày không làm việc, như cuối tuần và ngày lễ.53</w:t>
      </w:r>
    </w:p>
    <w:p>
      <w:pPr>
        <w:spacing w:after="80"/>
      </w:pPr>
      <w:r>
        <w:rPr>
          <w:b w:val="0"/>
          <w:i w:val="0"/>
        </w:rPr>
        <w:t>Thù lao theo các hiệp định như vậy phải được trả bởi hoặc thay mặt cho một chủ lao động không phải là cư dân của quốc gia nguồn. Trong những trường hợp như vậy, không cần thiết rằng chủ lao động và nhân viên phải là cư dân ở cùng một quốc gia. Cách tiếp cận của Cơ quan Thuế đối với việc áp dụng quy tắc này đã thay đổi vào năm 1995 liên quan đến một số nhân viên lưu trú ngắn hạn. Điều này theo sau những thay đổi đối với Bình luận của OECD về điều 15 vào năm 1992 để giải quyết các trường hợp lạm dụng liên quan đến 'việc cho thuê lao động quốc tế' thông qua việc sử dụng các trung gian không cư trú để đáp ứng ba yêu cầu.54 Điều này áp dụng khi một hợp đồng lao động chính thức vẫn còn với một chủ lao động nước ngoài, nhưng nhân viên làm việc trong hoạt động kinh doanh của một công ty Vương quốc Anh, công ty này hưởng lợi và chịu rủi ro từ công việc mà nhân viên thực hiện. Chủ lao động nước ngoài thường tính lại chi phí của nhân viên cho công ty Vương quốc Anh trong những trường hợp mà OECD đã gọi công ty Vương quốc Anh là 'chủ lao động kinh tế'.</w:t>
      </w:r>
    </w:p>
    <w:p>
      <w:pPr>
        <w:spacing w:after="80"/>
      </w:pPr>
      <w:r>
        <w:rPr>
          <w:b w:val="0"/>
          <w:i w:val="0"/>
        </w:rPr>
        <w:t>50.HMRC, Sổ tay Cứu trợ Thuế Hai lần, DT1921.51.ITA 2007, s. 831(1A).52.</w:t>
      </w:r>
      <w:r>
        <w:rPr>
          <w:b w:val="0"/>
          <w:i/>
        </w:rPr>
        <w:t>Hoye v Forsdyke</w:t>
      </w:r>
      <w:r>
        <w:rPr>
          <w:b w:val="0"/>
          <w:i w:val="0"/>
        </w:rPr>
        <w:t xml:space="preserve"> 55 TC 281; [1981] STC 711, Ch. D.53.Trong </w:t>
      </w:r>
      <w:r>
        <w:rPr>
          <w:b w:val="0"/>
          <w:i/>
        </w:rPr>
        <w:t>Kinsella v Revenue Commissioners</w:t>
      </w:r>
      <w:r>
        <w:rPr>
          <w:b w:val="0"/>
          <w:i w:val="0"/>
        </w:rPr>
        <w:t xml:space="preserve"> [2007] IEHC 250, các thuật ngữ 'ngày', 'ngày hiện diện' và 'hiện diện trong một ngày' được yêu cầu phải được hiểu theo nghĩa của chúng theo luật thuế trong nước của Ireland thông qua hoạt động của điều 3(2) của hiệp định thuế hai lần Ireland-Ý.54.Bình luận của OECD về điều 15, đoạn 8.</w:t>
      </w:r>
    </w:p>
    <w:p>
      <w:pPr>
        <w:spacing w:after="80"/>
      </w:pPr>
      <w:r>
        <w:rPr>
          <w:b w:val="0"/>
          <w:i w:val="0"/>
        </w:rPr>
        <w:t>350</w:t>
      </w:r>
    </w:p>
    <w:p>
      <w:pPr>
        <w:spacing w:after="80"/>
      </w:pPr>
      <w:r>
        <w:rPr>
          <w:b w:val="0"/>
          <w:i w:val="0"/>
        </w:rPr>
        <w:t>Bình luận của OECD tuyên bố rằng khi áp dụng miễn trừ, chủ lao động kinh tế, chứ không phải chủ lao động chính thức, mới nên được coi là chủ lao động. Cách tiếp cận này đã được áp dụng ở Vương quốc Anh đối với nhân viên bắt đầu làm việc sau ngày 1 tháng 7 năm 1995.55 Một khách doanh nhân dành ít hơn sáu mươi ngày ở Vương quốc Anh trong một năm thuế, khi khoảng thời gian đó không tạo thành một phần của sự hiện diện lâu dài hơn ở Vương quốc Anh, sẽ được HMRC coi là không đủ hòa nhập vào hoạt động kinh doanh của Vương quốc Anh để hoạt động kinh doanh đó được coi là chủ lao động của khách. Trong những trường hợp như vậy, khách được HMRC coi là đáp ứng các điều kiện để được miễn trừ theo hiệp định. Mặc dù một số người có thể thấy thực tiễn sáu mươi ngày là một nơi trú ẩn an toàn hữu ích trong một số trường hợp nhất định, nhưng không có cơ sở pháp lý, cũng như không có sự hỗ trợ trong Bình luận, để coi những khách đến Vương quốc Anh hơn sáu mươi ngày là đã hòa nhập vào một hoạt động kinh doanh địa phương. HMRC cũng sẽ tìm cách áp dụng cách tiếp cận 'chủ lao động kinh tế' trong những trường hợp mà họ coi là cấu thành hành vi trốn thuế.56</w:t>
      </w:r>
    </w:p>
    <w:p>
      <w:pPr>
        <w:spacing w:after="80"/>
      </w:pPr>
      <w:r>
        <w:rPr>
          <w:b w:val="0"/>
          <w:i w:val="0"/>
        </w:rPr>
        <w:t xml:space="preserve">Điều này, theo họ, có thể bao gồm các trường hợp mà chủ lao động nước ngoài có trụ sở tại một thiên đường thuế hoặc nhân viên được tuyển dụng trên danh nghĩa bởi một công ty tồn tại để cung cấp dịch vụ của mình cho người sử dụng dịch vụ ở Vương quốc Anh; điều này có thể gần với quan điểm của OECD hơn. HMRC sẽ không cho phép khấu trừ đối với thù lao được trả bởi một công ty Vương quốc Anh thay mặt cho một chủ lao động nước ngoài nếu công ty Vương quốc Anh chưa được hoàn trả khoản chi phí đó, trên cơ sở </w:t>
      </w:r>
      <w:r>
        <w:rPr>
          <w:b w:val="0"/>
          <w:i/>
        </w:rPr>
        <w:t>Robinson v Scott Bader &amp; Co. Ltd</w:t>
      </w:r>
      <w:r>
        <w:rPr>
          <w:b w:val="0"/>
          <w:i w:val="0"/>
        </w:rPr>
        <w:t>.57</w:t>
      </w:r>
    </w:p>
    <w:p>
      <w:pPr>
        <w:spacing w:after="80"/>
      </w:pPr>
      <w:r>
        <w:rPr>
          <w:b w:val="0"/>
          <w:i w:val="0"/>
        </w:rPr>
        <w:t>In</w:t>
      </w:r>
      <w:r>
        <w:rPr>
          <w:b w:val="0"/>
          <w:i/>
        </w:rPr>
        <w:t xml:space="preserve"> Kljun v Revenue &amp; Customs,</w:t>
      </w:r>
      <w:r>
        <w:rPr>
          <w:b w:val="0"/>
          <w:i w:val="0"/>
        </w:rPr>
        <w:t xml:space="preserve"> một thuyền viên cư trú tại Croatia được một công ty Cyprus thuê. Theo hợp đồng lao động, ông đồng ý tham gia, phục vụ hoặc chuyển sang bất kỳ tàu nào do họ vận hành và do người sử dụng lao động quản lý hoặc sở hữu. Ông làm việc trên các tàu trong khu vực của Vương quốc Anh ở Biển Bắc do một công ty cư trú tại Vương quốc Anh vận hành theo thỏa thuận cung cấp thuyền viên giữa người sử dụng lao động của ông và đơn vị vận hành tàu. Người ta chấp nhận rằng ông Kljun không ở Vương quốc Anh đủ 183 ngày theo yêu cầu. Điều 15(2)(b) của Hiệp định thuế Yugoslavia-Vương quốc Anh khác biệt rõ rệt so với Mẫu OECD khi yêu cầu đối với miễn trừ lưu trú ngắn hạn rằng:</w:t>
      </w:r>
    </w:p>
    <w:p>
      <w:pPr>
        <w:spacing w:after="80"/>
      </w:pPr>
      <w:r>
        <w:rPr>
          <w:b w:val="0"/>
          <w:i w:val="0"/>
        </w:rPr>
        <w:t>thù lao được trả bởi, hoặc thay mặt cho, một người mà các dịch vụ cá nhân phụ thuộc có liên quan được thực hiện cho người đó, hoặc vì lợi ích của người đó, và người này không phải là cư dân của Quốc gia kia.</w:t>
      </w:r>
    </w:p>
    <w:p>
      <w:pPr>
        <w:spacing w:after="80"/>
      </w:pPr>
      <w:r>
        <w:rPr>
          <w:b w:val="0"/>
          <w:i w:val="0"/>
        </w:rPr>
        <w:t>Tòa án sơ thẩm (First-tier Tribunal) kết luận rằng người nộp thuế không đủ điều kiện để được miễn trừ trên cơ sở rằng người mà các dịch vụ được thực hiện vì lợi ích của họ chính là đơn vị vận hành tàu. Kết luận như vậy dường như là tất yếu dựa trên ngôn từ của hiệp định. Các phân tích khác của Tòa án để đi đến kết luận đó là sai lầm. Cụm từ 'một người mà các dịch vụ cá nhân phụ thuộc có liên quan được thực hiện cho người đó, hoặc vì lợi ích của người đó' không đồng nghĩa với 'người sử dụng lao động' trong các hiệp định theo mô hình OECD. Tương tự, việc dựa vào Bình luận OECD về Điều 15 liên quan đến khái niệm 'người sử dụng lao động kinh tế' là không cần thiết và không phù hợp. Thực tế, nếu có gì thì sự khác biệt về ngôn từ lại làm suy yếu lập luận của OECD về người sử dụng lao động kinh tế. Tương tự,</w:t>
      </w:r>
    </w:p>
    <w:p>
      <w:pPr>
        <w:spacing w:after="80"/>
      </w:pPr>
      <w:r>
        <w:rPr>
          <w:b w:val="0"/>
          <w:i w:val="0"/>
        </w:rPr>
        <w:t>55. Inland Revenue,</w:t>
      </w:r>
      <w:r>
        <w:rPr>
          <w:b w:val="0"/>
          <w:i/>
        </w:rPr>
        <w:t xml:space="preserve"> Tax Bulletin</w:t>
      </w:r>
      <w:r>
        <w:rPr>
          <w:b w:val="0"/>
          <w:i w:val="0"/>
        </w:rPr>
        <w:t xml:space="preserve"> (tháng 6 năm 1995), tr. 220. 56. HMRC, Double Taxation Relief Manual, DT1922. 57.</w:t>
      </w:r>
      <w:r>
        <w:rPr>
          <w:b w:val="0"/>
          <w:i/>
        </w:rPr>
        <w:t>Robinson v Scott Bader &amp; Co. Ltd</w:t>
      </w:r>
      <w:r>
        <w:rPr>
          <w:b w:val="0"/>
          <w:i w:val="0"/>
        </w:rPr>
        <w:t xml:space="preserve"> (1984) 54 TC 757, [1981] STC 436. 58.</w:t>
      </w:r>
      <w:r>
        <w:rPr>
          <w:b w:val="0"/>
          <w:i/>
        </w:rPr>
        <w:t>Kljun v Revenue and Customs</w:t>
      </w:r>
      <w:r>
        <w:rPr>
          <w:b w:val="0"/>
          <w:i w:val="0"/>
        </w:rPr>
        <w:t xml:space="preserve"> [2011] TC 01226 [2011] UKFTT 371 (TC).</w:t>
      </w:r>
    </w:p>
    <w:p>
      <w:pPr>
        <w:spacing w:after="80"/>
      </w:pPr>
      <w:r>
        <w:rPr>
          <w:b w:val="0"/>
          <w:i w:val="0"/>
        </w:rPr>
        <w:t>351</w:t>
      </w:r>
    </w:p>
    <w:p>
      <w:pPr>
        <w:spacing w:after="80"/>
      </w:pPr>
      <w:r>
        <w:rPr>
          <w:b w:val="0"/>
          <w:i w:val="0"/>
        </w:rPr>
        <w:t>việc Tòa án xem xét liệu người nộp thuế có bị đánh thuế trên thu nhập đó tại quốc gia cư trú của mình hay không là không cần thiết và không phù hợp.59</w:t>
      </w:r>
    </w:p>
    <w:p>
      <w:pPr>
        <w:spacing w:after="80"/>
      </w:pPr>
      <w:r>
        <w:rPr>
          <w:b w:val="0"/>
          <w:i w:val="0"/>
        </w:rPr>
        <w:t>Yêu cầu thứ ba là thù lao không được gánh chịu bởi một cơ sở thường trú (permanent establishment) hoặc một cơ sở cố định (fixed base) mà người sử dụng lao động có tại quốc gia nguồn. HMRC chấp nhận rằng một cơ sở thường trú không thể được coi là 'gánh chịu thù lao' trừ khi khoản đó được tính vào lợi nhuận của nó mà không có tín dụng tương ứng, ví dụ, thông qua một khoản phí quản lý. Tuy nhiên, cơ quan này giả định rằng nếu không có bằng chứng ngược lại, chi phí thù lao của một nhân viên được biệt phái đến cơ sở thường trú là một khoản khấu trừ khi tính lợi nhuận của cơ sở thường trú. Điều này, theo cơ quan này, là cơ sở phân bổ chi phí thông thường theo các nguyên tắc thuế quốc tế. Do đó, cơ sở thường trú nên được coi là gánh chịu chi phí thù lao của cá nhân trừ khi có bằng chứng rằng trụ sở chính ở nước ngoài tiếp tục trả lương cho nhân viên và chi phí đó không được phân bổ cho cơ sở thường trú tại Vương quốc Anh vì mục đích thuế Vương quốc Anh.60 Đây không phải là vấn đề giả định mà là vấn đề phân tích theo các nguyên tắc phân bổ thông thường dưới Điều 7.61 Do đó, một nhân viên đóng góp vào hoạt động tạo lợi nhuận, nhờ đó thu nhập được phân bổ cho cơ sở thường trú, sẽ làm phát sinh một khoản khấu trừ đối với thù lao của nhân viên đó. Mặt khác, một nhân viên thực hiện các chức năng giám sát thay mặt cho trụ sở chính thì có thể không.</w:t>
      </w:r>
    </w:p>
    <w:p>
      <w:pPr>
        <w:spacing w:after="80"/>
      </w:pPr>
      <w:r>
        <w:rPr>
          <w:b/>
          <w:i w:val="0"/>
        </w:rPr>
        <w:t>§11.09 CHỨNG KHOÁN LIÊN QUAN ĐẾN VIỆC LÀM</w:t>
      </w:r>
    </w:p>
    <w:p>
      <w:pPr>
        <w:spacing w:after="80"/>
      </w:pPr>
      <w:r>
        <w:rPr>
          <w:b w:val="0"/>
          <w:i w:val="0"/>
        </w:rPr>
        <w:t>Việc xử lý chứng khoán liên quan đến việc làm minh họa những khó khăn nảy sinh khi xử lý thù lao phi tiền mặt trong bối cảnh quốc tế. Vương quốc Anh dường như là trường hợp ngoại lệ về mức độ bao quát của chế độ trong ITEPA 2003, Phần 7, và do đó, hầu như toàn bộ các cuộc tranh luận quốc tế trong lĩnh vực này chỉ diễn ra trong bối cảnh lợi nhuận từ quyền chọn cổ phiếu của nhân viên.62 Thẩm quyền đánh thuế của Vương quốc Anh đối với chứng khoán liên quan đến việc làm đã dần được mở rộng. Đánh thuế hai lần sẽ trở nên thường xuyên hơn kể từ ngày 6 tháng 4 năm 2015 do việc mở rộng đáng kể thẩm quyền đánh thuế bởi</w:t>
      </w:r>
      <w:r>
        <w:rPr>
          <w:b w:val="0"/>
          <w:i/>
        </w:rPr>
        <w:t xml:space="preserve"> Finance Act</w:t>
      </w:r>
      <w:r>
        <w:rPr>
          <w:b w:val="0"/>
          <w:i w:val="0"/>
        </w:rPr>
        <w:t xml:space="preserve"> 2015. Trước ngày 6 tháng 4 năm 2008, các cá nhân cư trú nhưng không thường trú tại Vương quốc Anh chỉ phải tuân theo các quy định của ITEPA 2003, Phần 7, Chương 3A–3D (chứng khoán có giá trị thị trường bị hạ thấp hoặc nâng cao một cách nhân tạo, và chứng khoán được mua với giá thấp hơn hoặc bán với giá cao hơn giá trị thị trường). Họ không phải tuân theo các quy định của Phần 7, Chương 2, 3, 4 hoặc 5 (chứng khoán bị hạn chế hoặc có thể chuyển đổi và các lợi ích sau khi mua từ chứng khoán).63 Tất cả các cá nhân cư trú tại Vương quốc Anh đều được đưa vào phạm vi của FA 2008, Phần 7, Chương 2-4 đối với chứng khoán liên quan đến việc làm được mua vào hoặc sau ngày 6 tháng 4 năm 2008 (ngoại trừ những chứng khoán được mua theo một quyền chọn chứng khoán được mua trước ngày 6 tháng 4 năm 2008).</w:t>
      </w:r>
    </w:p>
    <w:p>
      <w:pPr>
        <w:spacing w:after="80"/>
      </w:pPr>
      <w:r>
        <w:rPr>
          <w:b w:val="0"/>
          <w:i w:val="0"/>
        </w:rPr>
        <w:t>59. Xem Chương 6, §6.04. 60. HMRC, Double Taxation Relief Manual, DT1923. 61. Xem Netherlands Hoge Raad der Nederlanden (Tòa án Tối cao Hà Lan) (Vụ án 42.743) ngày 23 tháng 11 năm 2007, IBFD Tax Research Platform, về Hiệp định thuế thu nhập Hà Lan-Vương quốc Anh (1980), Điều 15(2)(c); Chương 9, §9.04-§9.12. 62. Xem 'OECD Committee on Fiscal Affairs: Cross-border income tax issues arising from employee stock-option plans', ngày 23 tháng 8 năm 2004. 63. ITEPA 2003, ss 421E(1) và (2) và 474.</w:t>
      </w:r>
    </w:p>
    <w:p>
      <w:pPr>
        <w:spacing w:after="80"/>
      </w:pPr>
      <w:r>
        <w:rPr>
          <w:b w:val="0"/>
          <w:i w:val="0"/>
        </w:rPr>
        <w:t>352</w:t>
      </w:r>
    </w:p>
    <w:p>
      <w:pPr>
        <w:spacing w:after="80"/>
      </w:pPr>
      <w:r>
        <w:rPr>
          <w:b w:val="0"/>
          <w:i w:val="0"/>
        </w:rPr>
        <w:t>Chế độ từ ngày 6 tháng 4 năm 2015 hiện được quy định tại ITEPA 2003, Phần 2, Chương 5B đưa vào diện chịu thuế thu nhập từ chứng khoán liên quan đến việc làm khi nhân viên thuộc diện chịu thuế thu nhập đối với thu nhập với tư cách là người không cư trú khi các nhiệm vụ được thực hiện tại Vương quốc Anh trong khoảng thời gian giữa việc mua chứng khoán và sự kiện chịu thuế. Các quy tắc này áp dụng bất kể chứng khoán hoặc quyền chọn được mua khi nào.</w:t>
      </w:r>
    </w:p>
    <w:p>
      <w:pPr>
        <w:spacing w:after="80"/>
      </w:pPr>
      <w:r>
        <w:rPr>
          <w:b w:val="0"/>
          <w:i w:val="0"/>
        </w:rPr>
        <w:t>HMRC hiểu cụm từ 'tiền lương, tiền công và thù lao tương tự khác' theo nghĩa rộng nhất và bao gồm, trong số những thứ khác, lợi nhuận từ quyền chọn cổ phiếu.64 Nói một cách khái quát, cách tiếp cận của HMRC đối với tác động của Điều 15 lên chứng khoán liên quan đến việc làm là:</w:t>
      </w:r>
    </w:p>
    <w:p>
      <w:pPr>
        <w:spacing w:after="80"/>
      </w:pPr>
      <w:r>
        <w:rPr>
          <w:b w:val="0"/>
          <w:i w:val="0"/>
        </w:rPr>
        <w:t>– Nếu Vương quốc Anh là quốc gia cư trú khi một sự kiện chịu thuế theo Phần 7 xảy ra,</w:t>
      </w:r>
    </w:p>
    <w:p>
      <w:pPr>
        <w:spacing w:after="80"/>
      </w:pPr>
      <w:r>
        <w:rPr>
          <w:b w:val="0"/>
          <w:i w:val="0"/>
        </w:rPr>
        <w:t>thì Vương quốc Anh có quyền đánh thuế toàn bộ, với điều kiện được khấu trừ thuế nước ngoài đã nộp trên cùng khoản thu nhập đó. – Nếu quốc gia ký kết kia không phải là quốc gia cư trú khi một sự kiện chịu thuế</w:t>
      </w:r>
    </w:p>
    <w:p>
      <w:pPr>
        <w:spacing w:after="80"/>
      </w:pPr>
      <w:r>
        <w:rPr>
          <w:b w:val="0"/>
          <w:i w:val="0"/>
        </w:rPr>
        <w:t>xảy ra, thì nhân viên sẽ có thể đưa ra yêu cầu rằng Vương quốc Anh giới hạn việc đánh thuế của mình ở mức thu nhập có được từ việc làm tại Vương quốc Anh, thông qua 'phân bổ theo thời gian'.65</w:t>
      </w:r>
    </w:p>
    <w:p>
      <w:pPr>
        <w:spacing w:after="80"/>
      </w:pPr>
      <w:r>
        <w:rPr>
          <w:b w:val="0"/>
          <w:i w:val="0"/>
        </w:rPr>
        <w:t>Thời gian cư trú trong khoảng thời gian từ khi nhận được đến khi xảy ra sự kiện chịu thuế (không phải sự kiện chịu thuế) quyết định quốc gia nào là quốc gia cư trú.66 Bình luận của OECD cho Điều 15 đã được sửa đổi vào năm 2005 cho phù hợp với Báo cáo năm 2004, theo đó lợi nhuận từ quyền chọn cổ phiếu được phân bổ trên cơ sở rằng quyền thực hiện quyền chọn được hưởng từ dịch vụ kể từ ngày cấp cho đến ngày quyền chọn được trao. Do đó, khoảng thời gian giữa ngày trao và ngày thực hiện không được tính vào. Luật pháp Vương quốc Anh hiện nay tuân theo điều này.67 Trong mọi trường hợp, cần phải điều tra thực tế.</w:t>
      </w:r>
    </w:p>
    <w:p>
      <w:pPr>
        <w:spacing w:after="80"/>
      </w:pPr>
      <w:r>
        <w:rPr>
          <w:b w:val="0"/>
          <w:i w:val="0"/>
        </w:rPr>
        <w:t xml:space="preserve">Trong </w:t>
      </w:r>
      <w:r>
        <w:rPr>
          <w:b w:val="0"/>
          <w:i/>
        </w:rPr>
        <w:t xml:space="preserve"> Hale v Canada </w:t>
      </w:r>
      <w:r>
        <w:rPr>
          <w:b w:val="0"/>
          <w:i w:val="0"/>
        </w:rPr>
        <w:t>,68 người nộp thuế đã từng cư trú tại Canada và được một công ty Canada thuê làm việc. Khi ở Canada, người sử dụng lao động của ông đã cấp quyền chọn cổ phiếu đối với cổ phần của người sử dụng lao động. Sau đó ông rời Canada và trở thành cư dân Vương quốc Anh. Các quyền chọn được thực hiện khi đang cư trú tại Vương quốc Anh. Tòa án Liên bang Canada, Phòng Xét xử, kết luận rằng lợi nhuận từ quyền chọn, tức là chênh lệch giữa giá thực hiện và giá trị thị trường của cổ phần tại thời điểm thực hiện, không phải là 'thù lao' theo Điều 15(1) của Hiệp định Thuế Thu nhập Canada-Vương quốc Anh (1978). Kết quả là, số tiền đó không đủ điều kiện để được bảo vệ khỏi thuế Canada theo điều khoản đó. Các quyền chọn được xác định là đã được cấp do hậu quả của việc làm của ông tại công ty Canada và phải chịu thuế tại Canada theo luật trong nước vì người nộp thuế không đưa ra bằng chứng để chứng minh phần nào của lợi nhuận được quy cho các nhiệm vụ bên ngoài Canada. Kết quả tương tự có thể đã xảy ra nếu tòa án cho rằng Điều 15(1) thực sự được áp dụng nhưng lợi ích phát sinh từ việc làm được thực hiện bởi một cư dân Canada tại Canada khi các quyền chọn được cấp và bằng chứng không hỗ trợ việc quy cho bất kỳ nhiệm vụ nào khác.</w:t>
      </w:r>
    </w:p>
    <w:p>
      <w:pPr>
        <w:spacing w:after="80"/>
      </w:pPr>
      <w:r>
        <w:rPr>
          <w:b w:val="0"/>
          <w:i w:val="0"/>
        </w:rPr>
        <w:t xml:space="preserve">64. Sổ tay Hướng dẫn Giảm trừ Thuế Hai lần, DT1920. Mặc dù luật pháp yêu cầu số tiền lợi nhuận phải chịu thuế theo ITEPA 2003, lợi nhuận đó không phải là 'thù lao'. Lợi ích của hợp đồng quyền chọn là một đặc quyền tại thời điểm cấp. Xem </w:t>
      </w:r>
      <w:r>
        <w:rPr>
          <w:b w:val="0"/>
          <w:i/>
        </w:rPr>
        <w:t xml:space="preserve"> Abbott v Philbin </w:t>
      </w:r>
      <w:r>
        <w:rPr>
          <w:b w:val="0"/>
          <w:i w:val="0"/>
        </w:rPr>
        <w:t xml:space="preserve"> (1960) 39 TC 82, HL.65. HMRC, Sổ tay Chứng khoán Liên quan đến Việc làm, ERSM 163110.66. Xem §11.07 và ITEPA 2003, s. 41F-41H.67. ITEPA 2003, s. 41H.68. </w:t>
      </w:r>
      <w:r>
        <w:rPr>
          <w:b w:val="0"/>
          <w:i/>
        </w:rPr>
        <w:t xml:space="preserve"> Hale v Canada </w:t>
      </w:r>
      <w:r>
        <w:rPr>
          <w:b w:val="0"/>
          <w:i w:val="0"/>
        </w:rPr>
        <w:t xml:space="preserve"> [1990] 2 CTC 255 (FCTD).</w:t>
      </w:r>
    </w:p>
    <w:p>
      <w:pPr>
        <w:spacing w:after="80"/>
      </w:pPr>
      <w:r>
        <w:rPr>
          <w:b w:val="0"/>
          <w:i w:val="0"/>
        </w:rPr>
        <w:t>353</w:t>
      </w:r>
    </w:p>
    <w:p>
      <w:pPr>
        <w:spacing w:after="80"/>
      </w:pPr>
      <w:r>
        <w:rPr>
          <w:b w:val="0"/>
          <w:i w:val="0"/>
        </w:rPr>
        <w:t>Hiệp định Vương quốc Anh-Hoa Kỳ năm 2001, được đàm phán trước khi công bố Báo cáo OECD, được kèm theo một cuộc trao đổi công hàm ngày 24 tháng 7 năm 2001, trong đó áp dụng cách giải thích yêu cầu 'bất kỳ lợi ích, thu nhập hoặc lợi nhuận nào mà người lao động được hưởng' theo các kế hoạch quyền chọn cổ phiếu phải được coi là 'thù lao tương tự khác' cho các mục đích của Điều 14. Hiệu quả của cách giải thích này thường sẽ dẫn đến việc đánh thuế hai lần. Cuộc trao đổi công hàm đồng ý về một cách tiếp cận để giảm bớt điều này trong một số trường hợp nhất định, khi một người lao động:</w:t>
      </w:r>
    </w:p>
    <w:p>
      <w:pPr>
        <w:spacing w:after="80"/>
      </w:pPr>
      <w:r>
        <w:rPr>
          <w:b w:val="0"/>
          <w:i w:val="0"/>
        </w:rPr>
        <w:t>– đã được cấp quyền chọn cổ phiếu trong quá trình làm việc tại một trong các</w:t>
      </w:r>
    </w:p>
    <w:p>
      <w:pPr>
        <w:spacing w:after="80"/>
      </w:pPr>
      <w:r>
        <w:rPr>
          <w:b w:val="0"/>
          <w:i w:val="0"/>
        </w:rPr>
        <w:t>quốc gia ký kết; – đã thực hiện công việc đó ở cả hai quốc gia trong khoảng thời gian giữa ngày cấp</w:t>
      </w:r>
    </w:p>
    <w:p>
      <w:pPr>
        <w:spacing w:after="80"/>
      </w:pPr>
      <w:r>
        <w:rPr>
          <w:b w:val="0"/>
          <w:i w:val="0"/>
        </w:rPr>
        <w:t>và ngày thực hiện quyền chọn; – vẫn đang trong công việc đó tại ngày thực hiện; và – theo luật trong nước của các quốc gia ký kết sẽ phải chịu thuế bởi cả hai</w:t>
      </w:r>
    </w:p>
    <w:p>
      <w:pPr>
        <w:spacing w:after="80"/>
      </w:pPr>
      <w:r>
        <w:rPr>
          <w:b w:val="0"/>
          <w:i w:val="0"/>
        </w:rPr>
        <w:t>quốc gia ký kết đối với lợi nhuận từ quyền chọn.</w:t>
      </w:r>
    </w:p>
    <w:p>
      <w:pPr>
        <w:spacing w:after="80"/>
      </w:pPr>
      <w:r>
        <w:rPr>
          <w:b w:val="0"/>
          <w:i w:val="0"/>
        </w:rPr>
        <w:t xml:space="preserve">Theo cuộc trao đổi công hàm, quốc gia ký kết mà người lao động không cư trú tại thời điểm thực hiện sẽ chỉ đánh thuế phần lợi nhuận từ quyền chọn liên quan đến khoảng thời gian hoặc các khoảng thời gian giữa ngày cấp và ngày thực hiện quyền chọn mà trong đó cá nhân đã thực hiện công việc tại quốc gia ký kết đó. Cách tiếp cận này phù hợp với chính sách trước đó của Cơ quan Thuế Vương quốc Anh được nêu trong </w:t>
      </w:r>
      <w:r>
        <w:rPr>
          <w:b w:val="0"/>
          <w:i/>
        </w:rPr>
        <w:t xml:space="preserve"> Sổ tay Hướng dẫn Giảm trừ Thuế Hai lần </w:t>
      </w:r>
      <w:r>
        <w:rPr>
          <w:b w:val="0"/>
          <w:i w:val="0"/>
        </w:rPr>
        <w:t>. Nhận thấy rằng cách tiếp cận này có thể sẽ gây ra những khó khăn, cuộc trao đổi công hàm nêu rõ:</w:t>
      </w:r>
    </w:p>
    <w:p>
      <w:pPr>
        <w:spacing w:after="80"/>
      </w:pPr>
      <w:r>
        <w:rPr>
          <w:b w:val="0"/>
          <w:i w:val="0"/>
        </w:rPr>
        <w:t>Với mục đích đảm bảo rằng không phát sinh việc đánh thuế hai lần không được giảm trừ, các cơ quan có thẩm quyền của các quốc gia ký kết sẽ giải quyết bằng thỏa thuận chung bất kỳ khó khăn hoặc nghi ngờ nào phát sinh liên quan đến việc giải thích hoặc áp dụng Điều 14 và Điều 24 (giảm trừ thuế hai lần) liên quan đến các kế hoạch quyền chọn cổ phiếu cho người lao động.</w:t>
      </w:r>
    </w:p>
    <w:p>
      <w:pPr>
        <w:spacing w:after="80"/>
      </w:pPr>
      <w:r>
        <w:rPr>
          <w:b w:val="0"/>
          <w:i w:val="0"/>
        </w:rPr>
        <w:t>Các hiệp định sau này giải quyết vấn đề này không nhất quán. Do đó, Hiệp định Thuế Thu nhập Vương quốc Anh-Úc (2003) áp dụng quan điểm của OECD,69 trong khi Nghị định thư Vương quốc Anh-Nhật Bản (2006) coi việc làm giữa ngày cấp và ngày thực hiện là việc làm có liên quan.70</w:t>
      </w:r>
    </w:p>
    <w:p>
      <w:pPr>
        <w:spacing w:after="80"/>
      </w:pPr>
      <w:r>
        <w:rPr>
          <w:b/>
          <w:i w:val="0"/>
        </w:rPr>
        <w:t>§11.10 THUYỀN VIÊN VÀ NHÂN VIÊN HÀNG KHÔNG</w:t>
      </w:r>
    </w:p>
    <w:p>
      <w:pPr>
        <w:spacing w:after="80"/>
      </w:pPr>
      <w:r>
        <w:rPr>
          <w:b w:val="0"/>
          <w:i w:val="0"/>
        </w:rPr>
        <w:t>Một ngoại lệ đối với quy tắc chung trong Điều 15 được đưa ra trong hầu hết các hiệp định đối với thuyền viên và nhân viên hàng không làm việc trên tàu biển hoặc máy bay hoạt động trong giao thông quốc tế. Không có mối liên hệ trực tiếp nào với quyền được khấu trừ chi phí của khoản thù lao đó, nhưng quy tắc này được thiết kế để phù hợp với cách xử lý lợi nhuận từ hoạt động vận tải biển và hàng không. Vì vậy, theo Mẫu OECD trước năm 2017, những người lao động này có thể phải chịu thuế tại quốc gia ký kết nơi doanh nghiệp có trụ sở quản lý hiệu quả. Một ví dụ về việc phân bổ quyền đánh thuế này được tìm thấy trong Điều 13(2) của Hiệp định Malaysia-Vương quốc Anh, được đọc như sau:</w:t>
      </w:r>
    </w:p>
    <w:p>
      <w:pPr>
        <w:spacing w:after="80"/>
      </w:pPr>
      <w:r>
        <w:rPr>
          <w:b w:val="0"/>
          <w:i w:val="0"/>
        </w:rPr>
        <w:t>69. Vương quốc Anh-Úc, trao đổi công hàm, ngày 21 tháng 8 năm 2003, đoạn 8(c)(i).70. Nghị định thư Vương quốc Anh-Nhật Bản, Điều 4(b).</w:t>
      </w:r>
    </w:p>
    <w:p>
      <w:pPr>
        <w:spacing w:after="80"/>
      </w:pPr>
      <w:r>
        <w:rPr>
          <w:b w:val="0"/>
          <w:i w:val="0"/>
        </w:rPr>
        <w:t>354</w:t>
      </w:r>
    </w:p>
    <w:p>
      <w:pPr>
        <w:spacing w:after="80"/>
      </w:pPr>
      <w:r>
        <w:rPr>
          <w:b w:val="0"/>
          <w:i w:val="0"/>
        </w:rPr>
        <w:t>Mặc dù có các quy định trước đó của Điều này, thù lao đối với công việc làm trên một con tàu hoặc máy bay trong giao thông quốc tế có thể bị đánh thuế tại Quốc gia Ký kết nơi đặt trụ sở quản lý hữu hiệu của doanh nghiệp.</w:t>
      </w:r>
    </w:p>
    <w:p>
      <w:pPr>
        <w:spacing w:after="80"/>
      </w:pPr>
      <w:r>
        <w:rPr>
          <w:b w:val="0"/>
          <w:i w:val="0"/>
        </w:rPr>
        <w:t>Do đó, phi hành đoàn hoặc thuyền viên cư trú tại một trong các quốc gia ký kết chỉ có thể bị đánh thuế tại quốc gia ký kết kia nếu doanh nghiệp vận tải có trụ sở quản lý hữu hiệu tại đó.71 Trong một số hiệp định, việc dẫn chiếu đến trụ sở quản lý hữu hiệu được thay bằng dẫn chiếu đến nơi cư trú của doanh nghiệp (Hiệp định Korea-UK, Điều 15(3)) hoặc đơn giản chỉ là dẫn chiếu đến 'một doanh nghiệp của một quốc gia ký kết' (Hiệp định Latvia-UK, Điều 15(3)). Các quy tắc này chỉ áp dụng cho phi hành đoàn và thuyền viên, chứ không áp dụng cho ví dụ như nhân viên mặt đất.72 Cách diễn đạt này cho phép quốc gia nơi đặt trụ sở quản lý hữu hiệu của người sử dụng lao động đánh thuế thu nhập của người lao động, nhưng có thể lập luận rằng nó không trao quyền đánh thuế độc quyền cho quốc gia đó.73 Các hiệp định sau này bảo lưu quyền đánh thuế đối với thù lao đó cho quốc gia cư trú của người lao động.74</w:t>
      </w:r>
    </w:p>
    <w:p>
      <w:pPr>
        <w:spacing w:after="80"/>
      </w:pPr>
      <w:r>
        <w:rPr>
          <w:b w:val="0"/>
          <w:i w:val="0"/>
        </w:rPr>
        <w:t>Vương quốc Anh mở rộng thẩm quyền đánh thuế đối với việc thực hiện nhiệm vụ của phi hành đoàn và thuyền viên trên máy bay hoặc trên tàu vượt xa nơi thực hiện thực tế. Theo luật nội địa của Vương quốc Anh, các nhiệm vụ được thực hiện trên máy bay hoặc tàu không đi đến một cảng ngoài Vương quốc Anh, hoặc trên tàu hoặc máy bay thực hiện chuyến đi bắt đầu và kết thúc tại Vương quốc Anh, hoặc trên một phần của bất kỳ chuyến đi nào bắt đầu hoặc kết thúc tại Vương quốc Anh, được coi là thực hiện tại Vương quốc Anh.75 Điều này có thể được giảm nhẹ bằng khoản khấu trừ trong ITEPA 2003, Phần 5, Chương 6, đối với các khoảng thời gian đủ điều kiện được thực hiện nhiệm vụ ở nước ngoài.</w:t>
      </w:r>
    </w:p>
    <w:p>
      <w:pPr>
        <w:spacing w:after="80"/>
      </w:pPr>
      <w:r>
        <w:rPr>
          <w:b/>
          <w:i w:val="0"/>
        </w:rPr>
        <w:t>§11.11 GIÁM ĐỐC CÔNG TY</w:t>
      </w:r>
    </w:p>
    <w:p>
      <w:pPr>
        <w:spacing w:after="80"/>
      </w:pPr>
      <w:r>
        <w:rPr>
          <w:b w:val="0"/>
          <w:i w:val="0"/>
        </w:rPr>
        <w:t>Thù lao giám đốc được dành sự đối xử đặc biệt. Cách tiếp cận trong OECD Model được phản ánh trong Điều 16 của Hiệp định Singapore-UK, như sau:</w:t>
      </w:r>
    </w:p>
    <w:p>
      <w:pPr>
        <w:spacing w:after="80"/>
      </w:pPr>
      <w:r>
        <w:rPr>
          <w:b w:val="0"/>
          <w:i w:val="0"/>
        </w:rPr>
        <w:t>Thù lao giám đốc và các khoản thanh toán tương tự khác mà một cư dân của một Quốc gia Ký kết nhận được với tư cách là thành viên hội đồng quản trị của một công ty cư trú tại Quốc gia Ký kết kia có thể bị đánh thuế tại Quốc gia kia.</w:t>
      </w:r>
    </w:p>
    <w:p>
      <w:pPr>
        <w:spacing w:after="80"/>
      </w:pPr>
      <w:r>
        <w:rPr>
          <w:b w:val="0"/>
          <w:i w:val="0"/>
        </w:rPr>
        <w:t>Do đó, về nguyên tắc, một quốc gia ký kết có thể đánh thuế thù lao giám đốc tại quốc gia cư trú của công ty mà giám đốc phục vụ trong hội đồng quản trị, ngay cả khi các nhiệm vụ không được</w:t>
      </w:r>
    </w:p>
    <w:p>
      <w:pPr>
        <w:spacing w:after="80"/>
      </w:pPr>
      <w:r>
        <w:rPr>
          <w:b w:val="0"/>
          <w:i w:val="0"/>
        </w:rPr>
        <w:t xml:space="preserve">71. Nơi đăng ký của tàu hoặc máy bay không mang tính quyết định. Xem lập luận trái ngược của HMRC trong </w:t>
      </w:r>
      <w:r>
        <w:rPr>
          <w:b w:val="0"/>
          <w:i/>
        </w:rPr>
        <w:t>Lockhart v Revenue and Customs</w:t>
      </w:r>
      <w:r>
        <w:rPr>
          <w:b w:val="0"/>
          <w:i w:val="0"/>
        </w:rPr>
        <w:t xml:space="preserve"> [2017] UKFTT 559, [2017] TC 06001 tại đoạn 49.72. Xem </w:t>
      </w:r>
      <w:r>
        <w:rPr>
          <w:b w:val="0"/>
          <w:i/>
        </w:rPr>
        <w:t>Vestre Landsret</w:t>
      </w:r>
      <w:r>
        <w:rPr>
          <w:b w:val="0"/>
          <w:i w:val="0"/>
        </w:rPr>
        <w:t xml:space="preserve"> của Đan Mạch (Tòa phúc thẩm cấp cao, Phân khu phía Tây) về Hiệp định Thuế Thu nhập UK-Denmark, Điều 15(3), Vụ án 2498/1992, </w:t>
      </w:r>
      <w:r>
        <w:rPr>
          <w:b w:val="0"/>
          <w:i/>
        </w:rPr>
        <w:t>Vestre Landsret Tydsskrift for Skatter og Afgifter</w:t>
      </w:r>
      <w:r>
        <w:rPr>
          <w:b w:val="0"/>
          <w:i w:val="0"/>
        </w:rPr>
        <w:t xml:space="preserve"> 1995 Số 577, tại 1202-1207 (Cơ sở dữ liệu nghiên cứu thuế IBFD).73. </w:t>
      </w:r>
      <w:r>
        <w:rPr>
          <w:b w:val="0"/>
          <w:i/>
        </w:rPr>
        <w:t>Fryett v Revenue and Customs</w:t>
      </w:r>
      <w:r>
        <w:rPr>
          <w:b w:val="0"/>
          <w:i w:val="0"/>
        </w:rPr>
        <w:t xml:space="preserve"> [2014] UKFTT 220, [2014] TC 03360, [2014] SFTD 979. Tại đó, Điều 14(3) của Hiệp định Thuế Hong Kong-UK không ngăn cản Vương quốc Anh đánh thuế thu nhập việc làm trên toàn thế giới của một phi công cư trú tại Vương quốc Anh làm việc cho một hãng hàng không có trụ sở tại Hong Kong. Xem quan điểm trái ngược, </w:t>
      </w:r>
      <w:r>
        <w:rPr>
          <w:b w:val="0"/>
          <w:i/>
        </w:rPr>
        <w:t>Bundesfinanzhof</w:t>
      </w:r>
      <w:r>
        <w:rPr>
          <w:b w:val="0"/>
          <w:i w:val="0"/>
        </w:rPr>
        <w:t xml:space="preserve"> (Tòa án Tài chính Liên bang Đức), IR 27/11, ngày 11 tháng 1 năm 2012, (), 15 ITLR 479 về Hiệp định Germany-Ireland (1962), Điều XXII(3).74. Xem ví dụ, Germany-UK (2010), Điều 14(3). Điều này được phản ánh trong OECD Model 2017.75. ITEPA 2003, mục 40(1) và (2). Có một ngoại lệ dành cho thuyền viên cư trú, thường trú nhưng không có hộ khẩu tại Vương quốc Anh, nhằm mục đích giới hạn thu nhập của họ từ việc làm ở nước ngoài theo mục 23 (mục 40(3)).</w:t>
      </w:r>
    </w:p>
    <w:p>
      <w:pPr>
        <w:spacing w:after="80"/>
      </w:pPr>
      <w:r>
        <w:rPr>
          <w:b w:val="0"/>
          <w:i w:val="0"/>
        </w:rPr>
        <w:t>355</w:t>
      </w:r>
    </w:p>
    <w:p>
      <w:pPr>
        <w:spacing w:after="80"/>
      </w:pPr>
      <w:r>
        <w:rPr>
          <w:b w:val="0"/>
          <w:i w:val="0"/>
        </w:rPr>
        <w:t>được thực hiện tại đó. Theo luật nội địa, giám đốc bị đánh thuế giống như nhân viên hoặc cán bộ khác; do đó, giám đốc không cư trú chỉ bị đánh thuế đối với các nhiệm vụ được thực hiện tại Vương quốc Anh. Khi điều này xảy ra, hiệp định sẽ cho phép đánh thuế, bất kể các nhiệm vụ đó được thực hiện trong các chuyến thăm ngắn đến Vương quốc Anh. Mặt khác, một giám đốc không cư trú tham dự cuộc họp hội đồng quản trị hoặc thực hiện một số nhiệm vụ giám đốc khác tại một quốc gia khác với nơi công ty cư trú thì không bị đánh thuế tại đó đối với thù lao giám đốc. Một số hiệp định đề cập đến các cán bộ doanh nghiệp khác phù hợp với cơ cấu quản lý theo luật doanh nghiệp của quốc gia ký kết kia (xem ví dụ, Hiệp định Mexico-UK, Điều 16. Nghị định thư ngày 26 tháng 9 năm 2008 của Hiệp định Netherlands-UK Điều VII làm rõ tình trạng của một '</w:t>
      </w:r>
      <w:r>
        <w:rPr>
          <w:b w:val="0"/>
          <w:i/>
        </w:rPr>
        <w:t>bestuurder</w:t>
      </w:r>
      <w:r>
        <w:rPr>
          <w:b w:val="0"/>
          <w:i w:val="0"/>
        </w:rPr>
        <w:t>' hoặc '</w:t>
      </w:r>
      <w:r>
        <w:rPr>
          <w:b w:val="0"/>
          <w:i/>
        </w:rPr>
        <w:t>commissaris</w:t>
      </w:r>
      <w:r>
        <w:rPr>
          <w:b w:val="0"/>
          <w:i w:val="0"/>
        </w:rPr>
        <w:t xml:space="preserve">' của một công ty Hà Lan). Điều 16 đề cập đến 'thù lao giám đốc và các khoản thanh toán tương tự', không giống như Điều 15, đề cập đến 'tiền lương, tiền công và thù lao tương tự khác' đối với việc làm. Mức độ có bất kỳ sự khác biệt nào giữa các cách diễn đạt này là không rõ ràng. Bình luận của OECD về Điều 16, đoạn 1.1 chỉ ra rằng thuật ngữ này thường được hiểu bao gồm các phúc lợi bằng hiện vật. Trong </w:t>
      </w:r>
      <w:r>
        <w:rPr>
          <w:b w:val="0"/>
          <w:i/>
        </w:rPr>
        <w:t>J F &amp; B Ltd v Belgische Staat,</w:t>
      </w:r>
      <w:r>
        <w:rPr>
          <w:b w:val="0"/>
          <w:i w:val="0"/>
        </w:rPr>
        <w:t>76 Tòa phúc thẩm Brussels của Bỉ đã phán quyết rằng vì thuật ngữ 'thù lao giám đốc' không được định nghĩa trong Điều 16 của Hiệp định Thuế Thu nhập Belgium-UK (1987), nên phải giải thích thuật ngữ này theo luật nội địa của Bỉ.77</w:t>
      </w:r>
    </w:p>
    <w:p>
      <w:pPr>
        <w:spacing w:after="80"/>
      </w:pPr>
      <w:r>
        <w:rPr>
          <w:b/>
          <w:i w:val="0"/>
        </w:rPr>
        <w:t>§11.12 GIỚI HỌC THUẬT</w:t>
      </w:r>
    </w:p>
    <w:p>
      <w:pPr>
        <w:spacing w:after="80"/>
      </w:pPr>
      <w:r>
        <w:rPr>
          <w:b w:val="0"/>
          <w:i w:val="0"/>
        </w:rPr>
        <w:t>Khoảng một nửa số hiệp định có các quy định cụ thể liên quan đến giáo sư và giáo viên thỉnh giảng, mặc dù không có ngôn ngữ mẫu nào trong cả mô hình OECD hoặc UN. Tuy nhiên, các hiệp định gần đây hơn có xu hướng bỏ qua điều này. Hiệp định UK-Australia (2003) và Hiệp định UK-Botswana (2005) không có điều khoản nào liên quan đến giới học thuật thỉnh giảng, trong khi các hiệp định UK-US (2001), UK-Georgia (2003) và UK-France (2008) có các quy định như vậy. Một dạng đơn giản được tìm thấy trong Hiệp định Antigua-UK, Điều 11, như sau:</w:t>
      </w:r>
    </w:p>
    <w:p>
      <w:pPr>
        <w:spacing w:after="80"/>
      </w:pPr>
      <w:r>
        <w:rPr>
          <w:b w:val="0"/>
          <w:i w:val="0"/>
        </w:rPr>
        <w:t>Thù lao mà một giáo sư hoặc giáo viên thường trú tại một trong các lãnh thổ nhận được, cho việc giảng dạy, trong một khoảng thời gian cư trú tạm thời không quá hai năm, tại một trường đại học, cao đẳng, trường học hoặc cơ sở giáo dục khác tại lãnh thổ kia, sẽ được miễn thuế tại lãnh thổ kia.</w:t>
      </w:r>
    </w:p>
    <w:p>
      <w:pPr>
        <w:spacing w:after="80"/>
      </w:pPr>
      <w:r>
        <w:rPr>
          <w:b w:val="0"/>
          <w:i w:val="0"/>
        </w:rPr>
        <w:t>Hàm ý trong cách diễn đạt này là giới học thuật thỉnh giảng vẫn thường trú trong suốt khoảng thời gian đó để được hưởng ưu đãi miễn thuế. Yêu cầu này không xuất hiện trong các cách diễn đạt sau này, chẳng hạn như trong Điều 20(1) của Hiệp định Belgium-UK, như sau:</w:t>
      </w:r>
    </w:p>
    <w:p>
      <w:pPr>
        <w:spacing w:after="80"/>
      </w:pPr>
      <w:r>
        <w:rPr>
          <w:b w:val="0"/>
          <w:i w:val="0"/>
        </w:rPr>
        <w:t>Một giáo sư hoặc giáo viên là hoặc trước đây từng là cư dân của một trong các lãnh thổ, và người nhận thù lao cho việc giảng dạy, trong một khoảng thời gian tạm thời</w:t>
      </w:r>
    </w:p>
    <w:p>
      <w:pPr>
        <w:spacing w:after="80"/>
      </w:pPr>
      <w:r>
        <w:rPr>
          <w:b w:val="0"/>
          <w:i w:val="0"/>
        </w:rPr>
        <w:t xml:space="preserve">76. </w:t>
      </w:r>
      <w:r>
        <w:rPr>
          <w:b w:val="0"/>
          <w:i/>
        </w:rPr>
        <w:t>J F &amp; B Ltd v Belgische Staat</w:t>
      </w:r>
      <w:r>
        <w:rPr>
          <w:b w:val="0"/>
          <w:i w:val="0"/>
        </w:rPr>
        <w:t xml:space="preserve"> (Vụ án R.2007/9474) Tòa phúc thẩm Brussels, ngày 20 tháng 12 năm 2007 (Cơ sở dữ liệu nghiên cứu thuế IBFD).77. Cơ quan thuế Ý đã ra phán quyết rằng cổ phiếu do một công ty cư trú tại Ý phát hành cho một giám đốc cư trú tại Vương quốc Anh thuộc phạm vi Điều 16 của Hiệp định Italy-UK (ngày 26 tháng 8 năm 2019, Phán quyết số 347/2019). Xem thêm §11.09.</w:t>
      </w:r>
    </w:p>
    <w:p>
      <w:pPr>
        <w:spacing w:after="80"/>
      </w:pPr>
      <w:r>
        <w:rPr>
          <w:b w:val="0"/>
          <w:i w:val="0"/>
        </w:rPr>
        <w:t>356</w:t>
      </w:r>
    </w:p>
    <w:p>
      <w:pPr>
        <w:spacing w:after="80"/>
      </w:pPr>
      <w:r>
        <w:rPr>
          <w:b w:val="0"/>
          <w:i w:val="0"/>
        </w:rPr>
        <w:t>cư trú không quá hai năm, tại một trường đại học, cao đẳng, trường học hoặc cơ sở giáo dục khác ở lãnh thổ kia, sẽ được miễn thuế ở lãnh thổ kia đối với khoản thù lao đó.</w:t>
      </w:r>
    </w:p>
    <w:p>
      <w:pPr>
        <w:spacing w:after="80"/>
      </w:pPr>
      <w:r>
        <w:rPr>
          <w:b w:val="0"/>
          <w:i w:val="0"/>
        </w:rPr>
        <w:t>Định dạng thứ hai dự tính rằng các học giả thỉnh giảng có thể trở thành không cư trú và thực sự không thường trú tại quốc gia gốc của họ trong thời gian thăm viếng. Điều này có thể mở ra triển vọng thu nhập miễn thuế cho những người liên quan. Tuy nhiên, trong một số trường hợp, việc miễn thuế chỉ áp dụng cho học giả phải chịu thuế tại lãnh thổ gốc đối với khoản thù lao đang xét.78 Việc miễn thuế thường được giới hạn ở thù lao từ việc giảng dạy. Trong một số trường hợp, việc miễn thuế cho phép thù lao liên quan đến nghiên cứu được miễn.79 Điều này thường phải tuân theo giới hạn tại Điều 20(2) rằng nghiên cứu phải được thực hiện vì lợi ích công cộng và không phải 'chủ yếu vì lợi ích của một số cá nhân tư nhân khác'.</w:t>
      </w:r>
    </w:p>
    <w:p>
      <w:pPr>
        <w:spacing w:after="80"/>
      </w:pPr>
      <w:r>
        <w:rPr>
          <w:b/>
          <w:i w:val="0"/>
        </w:rPr>
        <w:t>[A] Cơ sở giáo dục</w:t>
      </w:r>
    </w:p>
    <w:p>
      <w:pPr>
        <w:spacing w:after="80"/>
      </w:pPr>
      <w:r>
        <w:rPr>
          <w:b w:val="0"/>
          <w:i w:val="0"/>
        </w:rPr>
        <w:t xml:space="preserve">Việc giảng dạy phải diễn ra tại một trường đại học, cao đẳng, trường học hoặc viện giáo dục khác. Trong </w:t>
      </w:r>
      <w:r>
        <w:rPr>
          <w:b w:val="0"/>
          <w:i/>
        </w:rPr>
        <w:t>Barry v Hughes</w:t>
      </w:r>
      <w:r>
        <w:rPr>
          <w:b w:val="0"/>
          <w:i w:val="0"/>
        </w:rPr>
        <w:t xml:space="preserve">,80 người ta đã phán quyết liên quan đến luật trong nước rằng cụm từ 'cơ sở giáo dục khác' không được giải thích theo </w:t>
      </w:r>
      <w:r>
        <w:rPr>
          <w:b w:val="0"/>
          <w:i/>
        </w:rPr>
        <w:t>ejusdem generis</w:t>
      </w:r>
      <w:r>
        <w:rPr>
          <w:b w:val="0"/>
          <w:i w:val="0"/>
        </w:rPr>
        <w:t xml:space="preserve"> với 'trường đại học, cao đẳng [hoặc] trường học' vì có từ 'giáo dục'. Trong bối cảnh đó, giáo dục được coi là dành riêng cho việc rèn luyện trí óc, đối lập với việc đào tạo kỹ năng thủ công. Trong trường hợp đó, một đơn vị tại bệnh viện để đào tạo những người thiểu năng trí tuệ không được coi là một cơ sở giáo dục. Cách giải thích như vậy, nếu áp dụng trong bối cảnh hiệp định, có thể dẫn đến những kết quả hơi kỳ quặc khi một giáo viên thể dục thỉnh giảng tại một trường học có thể đủ điều kiện được miễn thuế, trong khi một giáo viên tiếng Anh tại một cơ sở chủ yếu đào tạo thủ công thì không.</w:t>
      </w:r>
    </w:p>
    <w:p>
      <w:pPr>
        <w:spacing w:after="80"/>
      </w:pPr>
      <w:r>
        <w:rPr>
          <w:b/>
          <w:i w:val="0"/>
        </w:rPr>
        <w:t>[B] Giới hạn hai năm</w:t>
      </w:r>
    </w:p>
    <w:p>
      <w:pPr>
        <w:spacing w:after="80"/>
      </w:pPr>
      <w:r>
        <w:rPr>
          <w:b w:val="0"/>
          <w:i w:val="0"/>
        </w:rPr>
        <w:t xml:space="preserve">Việc miễn thuế áp dụng trong mọi trường hợp cho các chuyến thăm không quá hai năm. Việc áp dụng quy tắc này đã dẫn đến tranh chấp trong hai trường hợp, cả hai đều theo hiệp định đánh thuế hai lần Hungary-Anh. Điều 21(1) của hiệp định đánh thuế hai lần Hungary-Anh (1977) giới hạn việc miễn thuế đối với thù lao cho việc giảng dạy hoặc nghiên cứu trong khoảng thời gian 'không quá hai năm kể từ ngày người đó lần đầu đến quốc gia đó vì mục đích đó'. Trong </w:t>
      </w:r>
      <w:r>
        <w:rPr>
          <w:b w:val="0"/>
          <w:i/>
        </w:rPr>
        <w:t>IRC v Vas</w:t>
      </w:r>
      <w:r>
        <w:rPr>
          <w:b w:val="0"/>
          <w:i w:val="0"/>
        </w:rPr>
        <w:t>,81 một cộng sự nghiên cứu người Hungary đã có ba chuyến thăm đến Anh. Chuyến đầu tiên vượt quá hai năm hai ngày. Ông</w:t>
      </w:r>
    </w:p>
    <w:p>
      <w:pPr>
        <w:spacing w:after="80"/>
      </w:pPr>
      <w:r>
        <w:rPr>
          <w:b w:val="0"/>
          <w:i w:val="0"/>
        </w:rPr>
        <w:t xml:space="preserve">78. Xem, ví dụ, Công ước giữa Chính phủ Vương quốc Liên hiệp Anh và Bắc Ireland và Chính phủ Fiji về Việc tránh đánh thuế hai lần và Ngăn chặn trốn thuế tài khóa đối với Thuế thu nhập, Công ước ngày 21 tháng 11 năm 1975 (SI 1976/1342), Điều 21. 79. Xem, ví dụ, Hiệp định giữa Chính phủ Vương quốc Liên hiệp Anh và Bắc Ireland và Chính phủ Georgia về Việc tránh đánh thuế hai lần và Ngăn chặn trốn thuế tài khóa đối với Thuế thu nhập và Thuế vốn, Hiệp định ngày 13 tháng 7 năm 2004 (SI 2004/3325), Điều 20(1). 80. </w:t>
      </w:r>
      <w:r>
        <w:rPr>
          <w:b w:val="0"/>
          <w:i/>
        </w:rPr>
        <w:t>Barry v Hughes</w:t>
      </w:r>
      <w:r>
        <w:rPr>
          <w:b w:val="0"/>
          <w:i w:val="0"/>
        </w:rPr>
        <w:t xml:space="preserve"> 48 TC 586; [1973] STC 103, Ch. D. 81. </w:t>
      </w:r>
      <w:r>
        <w:rPr>
          <w:b w:val="0"/>
          <w:i/>
        </w:rPr>
        <w:t>Inland Revenue Commissioners v Vas</w:t>
      </w:r>
      <w:r>
        <w:rPr>
          <w:b w:val="0"/>
          <w:i w:val="0"/>
        </w:rPr>
        <w:t xml:space="preserve"> [1990] BTC 52; [1990] STC 137, Ch. D.</w:t>
      </w:r>
    </w:p>
    <w:p>
      <w:pPr>
        <w:spacing w:after="80"/>
      </w:pPr>
      <w:r>
        <w:rPr>
          <w:b w:val="0"/>
          <w:i w:val="0"/>
        </w:rPr>
        <w:t>357</w:t>
      </w:r>
    </w:p>
    <w:p>
      <w:pPr>
        <w:spacing w:after="80"/>
      </w:pPr>
      <w:r>
        <w:rPr>
          <w:b w:val="0"/>
          <w:i w:val="0"/>
        </w:rPr>
        <w:t>chấp nhận rằng điều này không thuộc phạm vi miễn thuế, nhưng lập luận rằng hai chuyến thăm sau, mỗi chuyến kéo dài dưới hai năm, đủ điều kiện được miễn thuế. Tòa án kết luận rằng cụm từ 'kể từ ngày người đó lần đầu đến' được thiết kế để giới hạn việc miễn thuế trong khoảng thời gian hai năm sau chuyến thăm đầu tiên đến Anh vì một trong các mục đích được quy định trong hiệp định. Điều đó không có nghĩa là bất kỳ số lượng chuyến thăm nào giới hạn trong hai năm trong suốt cuộc đời làm việc của người nộp thuế sẽ được miễn thuế Anh, miễn là người đó trở lại cư trú nước ngoài trong một khoảng thời gian giữa mỗi chuyến.</w:t>
      </w:r>
    </w:p>
    <w:p>
      <w:pPr>
        <w:spacing w:after="80"/>
      </w:pPr>
      <w:r>
        <w:rPr>
          <w:b w:val="0"/>
          <w:i w:val="0"/>
        </w:rPr>
        <w:t xml:space="preserve">Trong </w:t>
      </w:r>
      <w:r>
        <w:rPr>
          <w:b w:val="0"/>
          <w:i/>
        </w:rPr>
        <w:t>Devai v IRC</w:t>
      </w:r>
      <w:r>
        <w:rPr>
          <w:b w:val="0"/>
          <w:i w:val="0"/>
        </w:rPr>
        <w:t>,82 một học giả người Hungary lập luận rằng ông đã thực hiện các chuyến thăm riêng biệt theo nghĩa của Điều 21(1) khi ông đến Anh để nhận một vị trí tại một trường đại học và rời đi trong một thời gian ngắn trước khi nhận một vị trí tại một trường đại học khác ở Anh. Ủy viên lưu ý rằng mục đích của chuyến thăm phải là giảng dạy (hoặc thực hiện nghiên cứu), nhưng điều này không được diễn đạt để gắn với một cơ sở cụ thể. Trong trường hợp đó, ông đã dành một khoảng thời gian ngắn ở Dublin giữa vị trí tại Edinburgh và vị trí thứ hai tại Belfast. Mặc dù ông vẫn là cư dân của Hungary vì mục đích thuế, người ta thấy rằng trong suốt thời gian đó 'nhà' của ông là ở Edinburgh, nơi ông và gia đình đã sống kể từ vị trí ban đầu. Ủy viên Đặc biệt cũng kết luận rằng, tương tự, một chuyến đi về nhà không làm gián đoạn tính liên tục của một chuyến thăm, miễn là nó tương đối ngắn, mang tính xã hội hoặc giải trí, và được thực hiện với ý định trở lại cư trú tại Anh.</w:t>
      </w:r>
    </w:p>
    <w:p>
      <w:pPr>
        <w:spacing w:after="80"/>
      </w:pPr>
      <w:r>
        <w:rPr>
          <w:b w:val="0"/>
          <w:i w:val="0"/>
        </w:rPr>
        <w:t xml:space="preserve">Trong </w:t>
      </w:r>
      <w:r>
        <w:rPr>
          <w:b w:val="0"/>
          <w:i/>
        </w:rPr>
        <w:t>Wyatt v Minister of National Revenue</w:t>
      </w:r>
      <w:r>
        <w:rPr>
          <w:b w:val="0"/>
          <w:i w:val="0"/>
        </w:rPr>
        <w:t>,83 một cư dân Anh chuyển đến Canada và được bổ nhiệm làm phó giáo sư trong một thời gian thử việc. Sau đó ông quyết định ở lại Canada và tiếp tục giảng dạy ở đó. Hội đồng Xét duyệt Thuế Canada quyết định rằng ông không đủ điều kiện được miễn thuế theo Điều 18 của Hiệp định Thuế Thu nhập Canada-Anh (1966) không phải vì ông ở lại Canada mà vì ông tiếp tục giảng dạy tại một trường đại học vượt quá thời hạn quy định trong hiệp định.</w:t>
      </w:r>
    </w:p>
    <w:p>
      <w:pPr>
        <w:spacing w:after="80"/>
      </w:pPr>
      <w:r>
        <w:rPr>
          <w:b w:val="0"/>
          <w:i w:val="0"/>
        </w:rPr>
        <w:t>Trong nhiều trường hợp, các giáo sư và giáo viên thỉnh giảng sẽ phải chịu thuế Anh theo ITEPA với tư cách là nhân viên. Có thể có những trường hợp phí cho các bài giảng hoặc dự án riêng lẻ không dựa trên cơ sở này. Khi hiệp định quy định cách xử lý cụ thể cho các học giả, cách xử lý cụ thể đó sẽ được áp dụng. Trong các trường hợp khác, các quy định về thu nhập từ việc làm theo Điều 15 của Mẫu OECD thông thường sẽ được áp dụng hoặc các điều khoản khác trong trường hợp thu nhập không từ việc làm.</w:t>
      </w:r>
    </w:p>
    <w:p>
      <w:pPr>
        <w:spacing w:after="80"/>
      </w:pPr>
      <w:r>
        <w:rPr>
          <w:b/>
          <w:i w:val="0"/>
        </w:rPr>
        <w:t>§11.13 NHÀ NGOẠI GIAO VÀ VIÊN CHỨC LÃNH SỰ</w:t>
      </w:r>
    </w:p>
    <w:p>
      <w:pPr>
        <w:spacing w:after="80"/>
      </w:pPr>
      <w:r>
        <w:rPr>
          <w:b w:val="0"/>
          <w:i w:val="0"/>
        </w:rPr>
        <w:t>Việc áp dụng học thuyết miễn trừ chủ quyền đối với việc thực hiện các chức năng chính phủ được mở rộng sang lĩnh vực thù lao trả cho các quan chức chính phủ. Các hiệp định giải quyết những vấn đề này thường phân biệt hai loại nhân viên chính phủ. Một mặt là các thành viên của phái đoàn ngoại giao và cơ quan lãnh sự đại diện cho các quốc gia và thực hiện các vai trò truyền thống trong quan hệ quốc tế và luật pháp, mặt khác là nhân viên nhà nước nói chung.</w:t>
      </w:r>
    </w:p>
    <w:p>
      <w:pPr>
        <w:spacing w:after="80"/>
      </w:pPr>
      <w:r>
        <w:rPr>
          <w:b w:val="0"/>
          <w:i w:val="0"/>
        </w:rPr>
        <w:t xml:space="preserve">82. </w:t>
      </w:r>
      <w:r>
        <w:rPr>
          <w:b w:val="0"/>
          <w:i/>
        </w:rPr>
        <w:t>Devai v Inland Revenue Commissioners</w:t>
      </w:r>
      <w:r>
        <w:rPr>
          <w:b w:val="0"/>
          <w:i w:val="0"/>
        </w:rPr>
        <w:t xml:space="preserve"> (1996) Sp C 105; [1997] STC SCD 31. 83. </w:t>
      </w:r>
      <w:r>
        <w:rPr>
          <w:b w:val="0"/>
          <w:i/>
        </w:rPr>
        <w:t>Wyatt v Minister of National Revenue</w:t>
      </w:r>
      <w:r>
        <w:rPr>
          <w:b w:val="0"/>
          <w:i w:val="0"/>
        </w:rPr>
        <w:t xml:space="preserve"> [1975] CTC 2055 (TRB).</w:t>
      </w:r>
    </w:p>
    <w:p>
      <w:pPr>
        <w:spacing w:after="80"/>
      </w:pPr>
      <w:r>
        <w:rPr>
          <w:b w:val="0"/>
          <w:i w:val="0"/>
        </w:rPr>
        <w:t>358</w:t>
      </w:r>
    </w:p>
    <w:p>
      <w:pPr>
        <w:spacing w:after="80"/>
      </w:pPr>
      <w:r>
        <w:rPr>
          <w:b/>
          <w:i w:val="0"/>
        </w:rPr>
        <w:t>[A]Nhà ngoại giao</w:t>
      </w:r>
    </w:p>
    <w:p>
      <w:pPr>
        <w:spacing w:after="80"/>
      </w:pPr>
      <w:r>
        <w:rPr>
          <w:b w:val="0"/>
          <w:i w:val="0"/>
        </w:rPr>
        <w:t>Việc đối xử với các nhà ngoại giao, xét trên khía cạnh các hiệp định thuế, thường được quy định trong Mẫu OECD (OECD Model), Điều 27. Một ví dụ về điều này có thể thấy ở Điều 28 của hiệp định thuế song phương Tây Ban Nha - Vương quốc Anh (1975), với nội dung như sau:</w:t>
      </w:r>
    </w:p>
    <w:p>
      <w:pPr>
        <w:spacing w:after="80"/>
      </w:pPr>
      <w:r>
        <w:rPr>
          <w:b w:val="0"/>
          <w:i w:val="0"/>
        </w:rPr>
        <w:t>Không có nội dung nào trong công ước này ảnh hưởng đến các đặc quyền về thuế của các viên chức ngoại giao hoặc lãnh sự theo các quy tắc chung của luật quốc tế hoặc theo các quy định của những thỏa thuận đặc biệt.</w:t>
      </w:r>
    </w:p>
    <w:p>
      <w:pPr>
        <w:spacing w:after="80"/>
      </w:pPr>
      <w:r>
        <w:rPr>
          <w:b w:val="0"/>
          <w:i w:val="0"/>
        </w:rPr>
        <w:t xml:space="preserve">Điều này thuộc các quy định đặc biệt của Chương VI trong Mẫu OECD, chứ không thuộc Chương III (đánh thuế thu nhập) hay Chương IV (đánh thuế vốn). Do đó, nó không điều chỉnh việc phân bổ thẩm quyền đánh thuế. Tác dụng của quy định trong hiệp định là bảo toàn vị thế của các nhà ngoại giao và viên chức lãnh sự theo luật quốc tế và tập quán quốc tế. Luật và tập quán liên quan đến các nhà ngoại giao được hệ thống hóa trong Công ước Vienna về Quan hệ Ngoại giao năm 1961. Tương tự, việc đánh thuế đối với các nhà ngoại giao trong luật nội địa không được xử lý trong pháp luật về thuế mà theo </w:t>
      </w:r>
      <w:r>
        <w:rPr>
          <w:b w:val="0"/>
          <w:i/>
        </w:rPr>
        <w:t>Diplomatic Privileges Act</w:t>
      </w:r>
      <w:r>
        <w:rPr>
          <w:b w:val="0"/>
          <w:i w:val="0"/>
        </w:rPr>
        <w:t xml:space="preserve"> năm 1964, đạo luật có hiệu lực trong luật nội địa Vương quốc Anh để thực thi Công ước Vienna. Các Cao ủy (High Commissioner) của các quốc gia thuộc Khối Thịnh vượng chung cũng thuộc phạm vi điều chỉnh của đạo luật này.</w:t>
      </w:r>
    </w:p>
    <w:p>
      <w:pPr>
        <w:spacing w:after="80"/>
      </w:pPr>
      <w:r>
        <w:rPr>
          <w:b w:val="0"/>
          <w:i w:val="0"/>
        </w:rPr>
        <w:t>Điều 34 của Công ước Vienna miễn cho một viên chức ngoại giao khỏi mọi khoản phí và thuế, dù là cá nhân hay thực tế, ở cấp quốc gia, vùng hay thành phố, với một số ngoại lệ cụ thể. "Viên chức ngoại giao" là người đứng đầu cơ quan đại diện hoặc một thành viên của bộ phận nhân viên ngoại giao thuộc cơ quan đại diện đó (Điều 1(e)). Các thành viên khác trong bộ phận nhân viên của cơ quan đại diện và người phục vụ riêng, nếu là công dân hoặc thường trú tại quốc gia tiếp nhận, chỉ được hưởng các đặc quyền và miễn trừ trong phạm vi mà quốc gia tiếp nhận chấp nhận. Tuy nhiên, quốc gia tiếp nhận phải thực thi thẩm quyền của mình đối với những người đó theo cách không gây cản trở quá mức đến việc thực hiện các chức năng của cơ quan đại diện.84</w:t>
      </w:r>
    </w:p>
    <w:p>
      <w:pPr>
        <w:spacing w:after="80"/>
      </w:pPr>
      <w:r>
        <w:rPr>
          <w:b w:val="0"/>
          <w:i w:val="0"/>
        </w:rPr>
        <w:t>Một viên chức ngoại giao là công dân hoặc thường trú tại quốc gia tiếp nhận chỉ được hưởng quyền miễn trừ xét xử và quyền bất khả xâm phạm đối với các hành vi chính thức được thực hiện trong khi thi hành chức trách của mình. Điều này không áp dụng trong trường hợp quốc gia tiếp nhận có thể trao thêm các đặc quyền và miễn trừ bổ sung.85 Điều 37(1) của Công ước Vienna mở rộng các đặc quyền này cho các thành viên trong gia đình của một viên chức ngoại giao thuộc hộ gia đình của người đó, nếu họ không phải là công dân của quốc gia tiếp nhận. Như vậy, các thành viên gia đình được hưởng các ưu đãi miễn thuế. Nhân viên phục vụ được xử lý như sau:</w:t>
      </w:r>
    </w:p>
    <w:p>
      <w:pPr>
        <w:spacing w:after="80"/>
      </w:pPr>
      <w:r>
        <w:rPr>
          <w:b w:val="0"/>
          <w:i w:val="0"/>
        </w:rPr>
        <w:t>Điều 37(3) Các thành viên trong bộ phận nhân viên phục vụ của cơ quan đại diện, nếu không phải là công dân hoặc thường trú tại quốc gia tiếp nhận, sẽ được hưởng quyền miễn trừ đối với các hành vi được thực hiện trong quá trình thi hành nhiệm vụ, được miễn các khoản phí và thuế đối với thù lao mà họ nhận được do việc làm của mình, và được hưởng ưu đãi quy định tại Điều 33.</w:t>
      </w:r>
    </w:p>
    <w:p>
      <w:pPr>
        <w:spacing w:after="80"/>
      </w:pPr>
      <w:r>
        <w:rPr>
          <w:b w:val="0"/>
          <w:i w:val="0"/>
        </w:rPr>
        <w:t xml:space="preserve">Ưu đãi miễn thuế này được áp dụng rất nghiêm ngặt. Trong vụ </w:t>
      </w:r>
      <w:r>
        <w:rPr>
          <w:b w:val="0"/>
          <w:i/>
        </w:rPr>
        <w:t>Jiminez v Inland Revenue Commissioners</w:t>
      </w:r>
      <w:r>
        <w:rPr>
          <w:b w:val="0"/>
          <w:i w:val="0"/>
        </w:rPr>
        <w:t>,86</w:t>
      </w:r>
    </w:p>
    <w:p>
      <w:pPr>
        <w:spacing w:after="80"/>
      </w:pPr>
      <w:r>
        <w:rPr>
          <w:b w:val="0"/>
          <w:i w:val="0"/>
        </w:rPr>
        <w:t>người nộp thuế, một công dân của Cộng hòa Philippines, được thuê làm đầu bếp bởi</w:t>
      </w:r>
    </w:p>
    <w:p>
      <w:pPr>
        <w:spacing w:after="80"/>
      </w:pPr>
      <w:r>
        <w:rPr>
          <w:b w:val="0"/>
          <w:i w:val="0"/>
        </w:rPr>
        <w:t>84.</w:t>
      </w:r>
      <w:r>
        <w:rPr>
          <w:b w:val="0"/>
          <w:i/>
        </w:rPr>
        <w:t>Vienna Convention on Diplomatic Relations</w:t>
      </w:r>
      <w:r>
        <w:rPr>
          <w:b w:val="0"/>
          <w:i w:val="0"/>
        </w:rPr>
        <w:t>, Điều 38(2).85.</w:t>
      </w:r>
      <w:r>
        <w:rPr>
          <w:b w:val="0"/>
          <w:i/>
        </w:rPr>
        <w:t>Vienna Convention on Diplomatic Relations</w:t>
      </w:r>
      <w:r>
        <w:rPr>
          <w:b w:val="0"/>
          <w:i w:val="0"/>
        </w:rPr>
        <w:t>, Điều 38(1).86.</w:t>
      </w:r>
      <w:r>
        <w:rPr>
          <w:b w:val="0"/>
          <w:i/>
        </w:rPr>
        <w:t>Jiminez v Inland Revenue Commissioners</w:t>
      </w:r>
      <w:r>
        <w:rPr>
          <w:b w:val="0"/>
          <w:i w:val="0"/>
        </w:rPr>
        <w:t xml:space="preserve"> [2004] UKSC SPC419 (2004) Sp C 419.</w:t>
      </w:r>
    </w:p>
    <w:p>
      <w:pPr>
        <w:spacing w:after="80"/>
      </w:pPr>
      <w:r>
        <w:rPr>
          <w:b w:val="0"/>
          <w:i w:val="0"/>
        </w:rPr>
        <w:t>359</w:t>
      </w:r>
    </w:p>
    <w:p>
      <w:pPr>
        <w:spacing w:after="80"/>
      </w:pPr>
      <w:r>
        <w:rPr>
          <w:b w:val="0"/>
          <w:i w:val="0"/>
        </w:rPr>
        <w:t>Cao ủy Namibia tại London. Ủy viên đặc biệt John Walters QC đã bác bỏ yêu cầu của bà về việc miễn thuế thu nhập Vương quốc Anh đối với thù lao nhận được do làm đầu bếp tại một cơ quan đại diện ngoại giao, với lý do bà không phải là thành viên của bộ phận nhân viên phục vụ. Hơn nữa, bà thường trú tại Vương quốc Anh theo Điều 37(3) của Công ước Vienna và vì lý do đó không đủ điều kiện được miễn thuế theo điều khoản này. Ngay cả khi bà không thường trú tại Vương quốc Anh, bà vẫn bị ngăn không được hưởng bất kỳ ưu đãi miễn thuế nào vì không có thông báo về việc bổ nhiệm của bà, như yêu cầu tại Điều 39(1).</w:t>
      </w:r>
    </w:p>
    <w:p>
      <w:pPr>
        <w:spacing w:after="80"/>
      </w:pPr>
      <w:r>
        <w:rPr>
          <w:b w:val="0"/>
          <w:i w:val="0"/>
        </w:rPr>
        <w:t>Các ngoại lệ đối với việc miễn thuế bao gồm:</w:t>
      </w:r>
    </w:p>
    <w:p>
      <w:pPr>
        <w:spacing w:after="80"/>
      </w:pPr>
      <w:r>
        <w:rPr>
          <w:b w:val="0"/>
          <w:i w:val="0"/>
        </w:rPr>
        <w:t>(a) Thuế gián thu thuộc loại thường được tính vào giá hàng hóa</w:t>
      </w:r>
    </w:p>
    <w:p>
      <w:pPr>
        <w:spacing w:after="80"/>
      </w:pPr>
      <w:r>
        <w:rPr>
          <w:b w:val="0"/>
          <w:i w:val="0"/>
        </w:rPr>
        <w:t>hoặc dịch vụ;(b) Các khoản phí và thuế đối với bất động sản tư nhân nằm trong lãnh thổ của</w:t>
      </w:r>
    </w:p>
    <w:p>
      <w:pPr>
        <w:spacing w:after="80"/>
      </w:pPr>
      <w:r>
        <w:rPr>
          <w:b w:val="0"/>
          <w:i w:val="0"/>
        </w:rPr>
        <w:t>nhận trợ cấp, trừ khi người đó giữ khoản đó thay mặt cho Quốc gia gửi phái đoàn vì mục đích của nhiệm vụ; (c) Thuế di sản, thừa kế hoặc thừa tự do Quốc gia tiếp nhận đánh, tùy thuộc</w:t>
      </w:r>
    </w:p>
    <w:p>
      <w:pPr>
        <w:spacing w:after="80"/>
      </w:pPr>
      <w:r>
        <w:rPr>
          <w:b w:val="0"/>
          <w:i w:val="0"/>
        </w:rPr>
        <w:t>vào [một số ngoại lệ nhất định]; (d) Các khoản phí và thuế đối với thu nhập tư nhân có nguồn gốc từ Quốc gia tiếp nhận và</w:t>
      </w:r>
    </w:p>
    <w:p>
      <w:pPr>
        <w:spacing w:after="80"/>
      </w:pPr>
      <w:r>
        <w:rPr>
          <w:b w:val="0"/>
          <w:i w:val="0"/>
        </w:rPr>
        <w:t>thuế vốn đối với các khoản đầu tư vào các cơ sở kinh doanh thương mại tại Quốc gia tiếp nhận; (e) Các khoản phí đánh cho các dịch vụ cụ thể đã được cung cấp;</w:t>
      </w:r>
    </w:p>
    <w:p>
      <w:pPr>
        <w:spacing w:after="80"/>
      </w:pPr>
      <w:r>
        <w:rPr>
          <w:b w:val="0"/>
          <w:i w:val="0"/>
        </w:rPr>
        <w:t>(f) Phí đăng ký, phí tòa án hoặc phí lưu trữ, các khoản nợ thế chấp và thuế trước bạ, liên quan</w:t>
      </w:r>
    </w:p>
    <w:p>
      <w:pPr>
        <w:spacing w:after="80"/>
      </w:pPr>
      <w:r>
        <w:rPr>
          <w:b w:val="0"/>
          <w:i w:val="0"/>
        </w:rPr>
        <w:t>đến bất động sản, tùy thuộc vào [một số ngoại lệ nhất định];87</w:t>
      </w:r>
    </w:p>
    <w:p>
      <w:pPr>
        <w:spacing w:after="80"/>
      </w:pPr>
      <w:r>
        <w:rPr>
          <w:b w:val="0"/>
          <w:i w:val="0"/>
        </w:rPr>
        <w:t>Trong phạm vi mà các nhà ngoại giao thuộc các trường hợp ngoại lệ, nghĩa vụ thuế của họ không được điều chỉnh bởi Công ước Vienna mà có thể nằm trong phạm vi của một hiệp định thuế theo cách thông thường.</w:t>
      </w:r>
    </w:p>
    <w:p>
      <w:pPr>
        <w:spacing w:after="80"/>
      </w:pPr>
      <w:r>
        <w:rPr>
          <w:b/>
          <w:i w:val="0"/>
        </w:rPr>
        <w:t>[B]Viên chức Lãnh sự</w:t>
      </w:r>
    </w:p>
    <w:p>
      <w:pPr>
        <w:spacing w:after="80"/>
      </w:pPr>
      <w:r>
        <w:rPr>
          <w:b w:val="0"/>
          <w:i w:val="0"/>
        </w:rPr>
        <w:t xml:space="preserve">Địa vị của các viên chức và nhân viên lãnh sự cũng tương tự theo </w:t>
      </w:r>
      <w:r>
        <w:rPr>
          <w:b w:val="0"/>
          <w:i/>
        </w:rPr>
        <w:t>Công ước Vienna về Quan hệ Lãnh sự</w:t>
      </w:r>
      <w:r>
        <w:rPr>
          <w:b w:val="0"/>
          <w:i w:val="0"/>
        </w:rPr>
        <w:t xml:space="preserve"> năm 1962 và được thực thi bởi </w:t>
      </w:r>
      <w:r>
        <w:rPr>
          <w:b w:val="0"/>
          <w:i/>
        </w:rPr>
        <w:t>Đạo luật Quan hệ Lãnh sự</w:t>
      </w:r>
      <w:r>
        <w:rPr>
          <w:b w:val="0"/>
          <w:i w:val="0"/>
        </w:rPr>
        <w:t xml:space="preserve"> năm 1968. Công ước quy định rằng:</w:t>
      </w:r>
    </w:p>
    <w:p>
      <w:pPr>
        <w:spacing w:after="80"/>
      </w:pPr>
      <w:r>
        <w:rPr>
          <w:b w:val="0"/>
          <w:i w:val="0"/>
        </w:rPr>
        <w:t>(1) Viên chức lãnh sự và nhân viên lãnh sự cùng các thành viên gia đình của họ</w:t>
      </w:r>
    </w:p>
    <w:p>
      <w:pPr>
        <w:spacing w:after="80"/>
      </w:pPr>
      <w:r>
        <w:rPr>
          <w:b w:val="0"/>
          <w:i w:val="0"/>
        </w:rPr>
        <w:t>thuộc hộ gia đình của họ sẽ được miễn mọi khoản phí và thuế, cá nhân hoặc thực tế, cấp quốc gia, cấp vùng hoặc cấp thành phố, ngoại trừ [các trường hợp loại trừ tương tự như áp dụng cho các nhà ngoại giao] … (2) Các thành viên của nhân viên phục vụ sẽ được miễn các khoản phí và thuế đối với tiền lương</w:t>
      </w:r>
    </w:p>
    <w:p>
      <w:pPr>
        <w:spacing w:after="80"/>
      </w:pPr>
      <w:r>
        <w:rPr>
          <w:b w:val="0"/>
          <w:i w:val="0"/>
        </w:rPr>
        <w:t>mà họ nhận được cho các dịch vụ của mình. (3) Các thành viên của cơ quan lãnh sự thuê người mà tiền công hoặc tiền lương của họ</w:t>
      </w:r>
    </w:p>
    <w:p>
      <w:pPr>
        <w:spacing w:after="80"/>
      </w:pPr>
      <w:r>
        <w:rPr>
          <w:b w:val="0"/>
          <w:i w:val="0"/>
        </w:rPr>
        <w:t>không được miễn thuế thu nhập tại Quốc gia tiếp nhận phải tuân thủ các nghĩa vụ mà luật pháp và quy định của Quốc gia đó áp đặt lên người sử dụng lao động liên quan đến việc thu thuế thu nhập.88</w:t>
      </w:r>
    </w:p>
    <w:p>
      <w:pPr>
        <w:spacing w:after="80"/>
      </w:pPr>
      <w:r>
        <w:rPr>
          <w:b w:val="0"/>
          <w:i w:val="0"/>
        </w:rPr>
        <w:t xml:space="preserve">87. </w:t>
      </w:r>
      <w:r>
        <w:rPr>
          <w:b w:val="0"/>
          <w:i/>
        </w:rPr>
        <w:t>Công ước Vienna về Quan hệ Ngoại giao</w:t>
      </w:r>
      <w:r>
        <w:rPr>
          <w:b w:val="0"/>
          <w:i w:val="0"/>
        </w:rPr>
        <w:t xml:space="preserve"> năm 1962, điều 34. 88. </w:t>
      </w:r>
      <w:r>
        <w:rPr>
          <w:b w:val="0"/>
          <w:i/>
        </w:rPr>
        <w:t>Công ước Vienna về Quan hệ Lãnh sự</w:t>
      </w:r>
      <w:r>
        <w:rPr>
          <w:b w:val="0"/>
          <w:i w:val="0"/>
        </w:rPr>
        <w:t xml:space="preserve"> năm 1962, điều 49.</w:t>
      </w:r>
    </w:p>
    <w:p>
      <w:pPr>
        <w:spacing w:after="80"/>
      </w:pPr>
      <w:r>
        <w:rPr>
          <w:b w:val="0"/>
          <w:i w:val="0"/>
        </w:rPr>
        <w:t>360</w:t>
      </w:r>
    </w:p>
    <w:p>
      <w:pPr>
        <w:spacing w:after="80"/>
      </w:pPr>
      <w:r>
        <w:rPr>
          <w:b w:val="0"/>
          <w:i w:val="0"/>
        </w:rPr>
        <w:t xml:space="preserve">Các yêu cầu pháp lý quốc tế này hiện được phản ánh trong luật trong nước tại ITEPA 2003, mục 300 đối với các lãnh sự, tại mục 302 đối với nhân viên lãnh sự, và tại ITTOIA 2005, mục 771 đối với thu nhập nước ngoài có liên quan của họ. Trong trường hợp nhân viên lãnh sự, việc miễn thuế đối với thu nhập từ việc làm sẽ chỉ được áp dụng nếu điều đó được đề cập trong một hiệp định song phương cung cấp việc miễn thuế theo cách song phương. Các đại lý chính thức cũng được miễn thuế thu nhập đối với thu nhập từ việc làm nếu liên quan đến thu nhập từ việc làm với tư cách là đại lý chính thức cho một quốc gia nước ngoài tại Vương quốc Anh nếu người lao động không phải là công dân Khối Thịnh vượng chung cũng không phải là công dân Ireland, và các chức năng của công việc không được thực hiện liên quan đến một ngành nghề, doanh nghiệp hoặc hoạt động kinh doanh khác được tiến hành vì lợi nhuận.89 ‘Đại lý chính thức’ không phải là lãnh sự mà được thuê vào đội ngũ của một cơ quan lãnh sự, hoặc một bộ phận hoặc cơ quan chính thức của một quốc gia nước ngoài.90 Trong </w:t>
      </w:r>
      <w:r>
        <w:rPr>
          <w:b w:val="0"/>
          <w:i/>
        </w:rPr>
        <w:t>Caglar &amp; Ors v Billingham (HMIT)</w:t>
      </w:r>
      <w:r>
        <w:rPr>
          <w:b w:val="0"/>
          <w:i w:val="0"/>
        </w:rPr>
        <w:t>,91 những người nộp thuế là ‘đại lý chính thức’ của Cộng hòa Bắc Síp Thổ Nhĩ Kỳ, quốc gia chưa được Chính phủ Bệ hạ công nhận là một quốc gia. Ủy viên Đặc biệt kết luận rằng việc miễn thuế thu nhập chỉ giới hạn cho các đại lý chính thức của các quốc gia nước ngoài được công nhận.</w:t>
      </w:r>
    </w:p>
    <w:p>
      <w:pPr>
        <w:spacing w:after="80"/>
      </w:pPr>
      <w:r>
        <w:rPr>
          <w:b/>
          <w:i w:val="0"/>
        </w:rPr>
        <w:t>§11.14 DỊCH VỤ CHÍNH PHỦ</w:t>
      </w:r>
    </w:p>
    <w:p>
      <w:pPr>
        <w:spacing w:after="80"/>
      </w:pPr>
      <w:r>
        <w:rPr>
          <w:b w:val="0"/>
          <w:i w:val="0"/>
        </w:rPr>
        <w:t>Phạm vi hoạt động xuyên biên giới của các chính phủ hiện đại vượt xa các vai trò ngoại giao truyền thống. Cách tiếp cận đương đại đối với việc xử lý thuế đối với các cá nhân tham gia vào các dịch vụ chính phủ khác được quy định tại Điều 19(1) của Hiệp định Thuế Thu nhập Na Uy - Vương quốc Anh (2000), với nội dung như sau:</w:t>
      </w:r>
    </w:p>
    <w:p>
      <w:pPr>
        <w:spacing w:after="80"/>
      </w:pPr>
      <w:r>
        <w:rPr>
          <w:b w:val="0"/>
          <w:i w:val="0"/>
        </w:rPr>
        <w:t>(a) Tiền lương, tiền công và các khoản thù lao tương tự khác, ngoài lương hưu, do</w:t>
      </w:r>
    </w:p>
    <w:p>
      <w:pPr>
        <w:spacing w:after="80"/>
      </w:pPr>
      <w:r>
        <w:rPr>
          <w:b w:val="0"/>
          <w:i w:val="0"/>
        </w:rPr>
        <w:t>một Quốc gia ký kết hoặc một đơn vị chính trị trực thuộc hoặc một chính quyền địa phương của quốc gia đó chi trả cho một cá nhân đối với các dịch vụ được thực hiện cho Quốc gia, đơn vị chính trị trực thuộc hoặc chính quyền địa phương đó sẽ chỉ bị đánh thuế tại Quốc gia đó. (b) Bất kể các quy định tại điểm (a) của khoản này, các</w:t>
      </w:r>
    </w:p>
    <w:p>
      <w:pPr>
        <w:spacing w:after="80"/>
      </w:pPr>
      <w:r>
        <w:rPr>
          <w:b w:val="0"/>
          <w:i w:val="0"/>
        </w:rPr>
        <w:t>khoản tiền lương, tiền công và thù lao tương tự khác đó sẽ chỉ bị đánh thuế tại Quốc gia ký kết kia nếu các dịch vụ được thực hiện tại Quốc gia đó và cá nhân đó là cư dân của Quốc gia đó, với điều kiện người này:</w:t>
      </w:r>
    </w:p>
    <w:p>
      <w:pPr>
        <w:spacing w:after="80"/>
      </w:pPr>
      <w:r>
        <w:rPr>
          <w:b w:val="0"/>
          <w:i w:val="0"/>
        </w:rPr>
        <w:t>(i) là công dân của Quốc gia đó; hoặc (ii) không trở thành cư dân của Quốc gia đó chỉ nhằm mục đích</w:t>
      </w:r>
    </w:p>
    <w:p>
      <w:pPr>
        <w:spacing w:after="80"/>
      </w:pPr>
      <w:r>
        <w:rPr>
          <w:b w:val="0"/>
          <w:i w:val="0"/>
        </w:rPr>
        <w:t>thực hiện các dịch vụ đó.</w:t>
      </w:r>
    </w:p>
    <w:p>
      <w:pPr>
        <w:spacing w:after="80"/>
      </w:pPr>
      <w:r>
        <w:rPr>
          <w:b w:val="0"/>
          <w:i w:val="0"/>
        </w:rPr>
        <w:t>Như vậy, trong hầu hết các trường hợp, quốc gia ký kết hoặc đơn vị chính trị trực thuộc của quốc gia đó - nơi thuê cá nhân - sẽ có quyền đánh thuế duy nhất. Thu nhập từ việc làm có thể bị đánh thuế tại quốc gia ký kết nơi công việc được thực hiện, nếu cá nhân đó vừa là cư dân vừa là công dân của quốc gia đó, hoặc là cư dân nhưng không trở thành cư dân chỉ nhằm mục đích thực hiện các dịch vụ đang xét. Do đó, nhân viên được tuyển dụng tại địa phương làm việc cho các chính phủ nước ngoài thường sẽ phải chịu thuế tại địa phương.</w:t>
      </w:r>
    </w:p>
    <w:p>
      <w:pPr>
        <w:spacing w:after="80"/>
      </w:pPr>
      <w:r>
        <w:rPr>
          <w:b w:val="0"/>
          <w:i w:val="0"/>
        </w:rPr>
        <w:t xml:space="preserve">89. ITEPA 2003, s. 301(1). 90. ITEPA 2003, s. 301(5). 91. </w:t>
      </w:r>
      <w:r>
        <w:rPr>
          <w:b w:val="0"/>
          <w:i/>
        </w:rPr>
        <w:t>Caglar &amp; Ors v Billingham (HMIT)</w:t>
      </w:r>
      <w:r>
        <w:rPr>
          <w:b w:val="0"/>
          <w:i w:val="0"/>
        </w:rPr>
        <w:t xml:space="preserve"> (1996) Sp C 70.</w:t>
      </w:r>
    </w:p>
    <w:p>
      <w:pPr>
        <w:spacing w:after="80"/>
      </w:pPr>
      <w:r>
        <w:rPr>
          <w:b w:val="0"/>
          <w:i w:val="0"/>
        </w:rPr>
        <w:t>361</w:t>
      </w:r>
    </w:p>
    <w:p>
      <w:pPr>
        <w:spacing w:after="80"/>
      </w:pPr>
      <w:r>
        <w:rPr>
          <w:b w:val="0"/>
          <w:i w:val="0"/>
        </w:rPr>
        <w:t xml:space="preserve">Việc đánh thuế độc quyền bởi quốc gia sử dụng lao động theo Điều 18(2) của hiệp định thuế hai lần Ireland - Vương quốc Anh92 đòi hỏi khoản thù lao được chi trả từ quỹ công đối với các dịch vụ được thực hiện cho Chính phủ hoặc một chính quyền địa phương trong việc thực hiện các chức năng mang tính chất chính phủ. Trong vụ </w:t>
      </w:r>
      <w:r>
        <w:rPr>
          <w:b w:val="0"/>
          <w:i/>
        </w:rPr>
        <w:t>Travers v O'Siochain (Inspector of Taxes)</w:t>
      </w:r>
      <w:r>
        <w:rPr>
          <w:b w:val="0"/>
          <w:i w:val="0"/>
        </w:rPr>
        <w:t>,93 một cư dân Ireland được một Health Board ở Bắc Ireland thuê làm y tá. Tòa án Cấp cao Ireland đã phán quyết rằng "các chức năng mang tính chất chính phủ" có nghĩa là "liên quan đến việc quản lý đất nước". Thẩm phán Carroll cho rằng điều này bao gồm các chức năng của công chức thông thường và của các nhà quản lý chính quyền địa phương, và thậm chí có thể mở rộng hơn nữa, nhưng sẽ không bao gồm tất cả những người được chi trả từ ngân sách công. Ông nói rằng một nha sĩ được thuê để nhổ răng không vì thế mà đang thực hiện "các chức năng mang tính chất chính phủ", và một y tá cung cấp dịch vụ chăm sóc y tế cũng vậy, mặc dù theo luật, Chính phủ được yêu cầu cung cấp hoặc đảm bảo một dịch vụ y tế tổng hợp.94</w:t>
      </w:r>
    </w:p>
    <w:p>
      <w:pPr>
        <w:spacing w:after="80"/>
      </w:pPr>
      <w:r>
        <w:rPr>
          <w:b w:val="0"/>
          <w:i w:val="0"/>
        </w:rPr>
        <w:t xml:space="preserve">Các quy định tương tự cũng được áp dụng trong hiệp định an sinh xã hội Vương quốc Anh - Nam Tư đối với một người được thuê "trong dịch vụ chính phủ".95 Trong bối cảnh này, "chính phủ" thường có nghĩa là cơ quan hành pháp: những người thực thi quyền hành pháp của Quốc vương - những người mà nhân danh họ các hoạt động của chính phủ được tiến hành; và những người đó là các bộ trưởng và công chức.96 Trong vụ </w:t>
      </w:r>
      <w:r>
        <w:rPr>
          <w:b w:val="0"/>
          <w:i/>
        </w:rPr>
        <w:t>Martin v Revenue and Customs</w:t>
      </w:r>
      <w:r>
        <w:rPr>
          <w:b w:val="0"/>
          <w:i w:val="0"/>
        </w:rPr>
        <w:t xml:space="preserve">,97 một sĩ quan cảnh sát được biệt phái đến Phái bộ Hỗ trợ Pháp quyền Tích hợp của Liên minh Châu Âu (EU) tại Kosovo (thuộc Nam Tư cũ) với tư cách là nhân viên do chính phủ Vương quốc Anh tài trợ thuộc Bộ Ngoại giao và Thịnh vượng chung (FCO). Lập luận cho rằng, mặc dù được mô tả là biệt phái, nhưng thỏa thuận này có hiệu lực như một quan hệ việc làm với Phái bộ EU chứ không phải FCO, đã bị bác bỏ. Trong vụ </w:t>
      </w:r>
      <w:r>
        <w:rPr>
          <w:b w:val="0"/>
          <w:i/>
        </w:rPr>
        <w:t>Edwards v Revenue and Customs</w:t>
      </w:r>
      <w:r>
        <w:rPr>
          <w:b w:val="0"/>
          <w:i w:val="0"/>
        </w:rPr>
        <w:t>,98 một sĩ quan cảnh sát thuộc West Mercia Police được biệt phái đến FCO để làm việc tại Kosovo. Mặc dù ông không được FCO thuê, nhưng ông đang phục vụ cho FCO. Cả hai sĩ quan cảnh sát do đó đều đang trong dịch vụ chính phủ.</w:t>
      </w:r>
    </w:p>
    <w:p>
      <w:pPr>
        <w:spacing w:after="80"/>
      </w:pPr>
      <w:r>
        <w:rPr>
          <w:b w:val="0"/>
          <w:i w:val="0"/>
        </w:rPr>
        <w:t>Vì vai trò của các chức năng nhà nước khác nhau giữa các quốc gia và đã thay đổi theo thời gian, nên việc làm liên quan đến các hoạt động thương mại do một chính phủ nước ngoài thực hiện sẽ bị đánh thuế theo các quy tắc thông thường. Điều này được minh họa bởi Điều 19(3) của Hiệp định Thuế Thu nhập Na Uy - Vương quốc Anh (2000), với nội dung như sau:</w:t>
      </w:r>
    </w:p>
    <w:p>
      <w:pPr>
        <w:spacing w:after="80"/>
      </w:pPr>
      <w:r>
        <w:rPr>
          <w:b w:val="0"/>
          <w:i w:val="0"/>
        </w:rPr>
        <w:t>Các quy định tại Điều 15, 16, 17 và 18 của Công ước này sẽ được áp dụng đối với tiền lương, tiền công và các khoản thù lao tương tự khác, và đối với lương hưu, liên quan đến các dịch vụ được thực hiện gắn với một hoạt động kinh doanh do một Quốc gia ký kết hoặc một đơn vị chính trị trực thuộc hoặc một chính quyền địa phương của quốc gia đó tiến hành.</w:t>
      </w:r>
    </w:p>
    <w:p>
      <w:pPr>
        <w:spacing w:after="80"/>
      </w:pPr>
      <w:r>
        <w:rPr>
          <w:b w:val="0"/>
          <w:i w:val="0"/>
        </w:rPr>
        <w:t xml:space="preserve">92. Công ước giữa Chính phủ Vương quốc Liên hiệp Anh và Bắc Ireland và Chính phủ Cộng hòa Ireland về Việc Tránh Đánh Thuế Hai lần và Ngăn ngừa Trốn thuế Liên quan đến Thuế đối với Thu nhập và Lợi nhuận Vốn ngày 2 tháng 6 năm 1976 (SI 1976/2151). 93. </w:t>
      </w:r>
      <w:r>
        <w:rPr>
          <w:b w:val="0"/>
          <w:i/>
        </w:rPr>
        <w:t>John Travers v Sean O'Siochain (Inspector of Taxes)</w:t>
      </w:r>
      <w:r>
        <w:rPr>
          <w:b w:val="0"/>
          <w:i w:val="0"/>
        </w:rPr>
        <w:t xml:space="preserve"> (1994) 5 ITR 54. 94. Tại tr. 59. 95. Công ước về An sinh Xã hội giữa Chính phủ Vương quốc Liên hiệp Anh và Bắc Ireland và Chính phủ Cộng hòa Nhân dân Liên bang Nam Tư (SI 1958/1263), Điều 6(2). 96. </w:t>
      </w:r>
      <w:r>
        <w:rPr>
          <w:b w:val="0"/>
          <w:i/>
        </w:rPr>
        <w:t>Edwards v Revenue and Customs</w:t>
      </w:r>
      <w:r>
        <w:rPr>
          <w:b w:val="0"/>
          <w:i w:val="0"/>
        </w:rPr>
        <w:t xml:space="preserve"> [2016] UKFTT 189, [2016] TC 04933 tại đoạn 26. 97. </w:t>
      </w:r>
      <w:r>
        <w:rPr>
          <w:b w:val="0"/>
          <w:i/>
        </w:rPr>
        <w:t>Martin v Revenue and Customs</w:t>
      </w:r>
      <w:r>
        <w:rPr>
          <w:b w:val="0"/>
          <w:i w:val="0"/>
        </w:rPr>
        <w:t xml:space="preserve"> [2015] UKFTT 533, [2015] TC 04687. 98. </w:t>
      </w:r>
      <w:r>
        <w:rPr>
          <w:b w:val="0"/>
          <w:i/>
        </w:rPr>
        <w:t>Edwards v Revenue and Customs</w:t>
      </w:r>
      <w:r>
        <w:rPr>
          <w:b w:val="0"/>
          <w:i w:val="0"/>
        </w:rPr>
        <w:t xml:space="preserve"> [2016] UKFTT 189, [2016] TC 04933.</w:t>
      </w:r>
    </w:p>
    <w:p>
      <w:pPr>
        <w:spacing w:after="80"/>
      </w:pPr>
      <w:r>
        <w:rPr>
          <w:b w:val="0"/>
          <w:i w:val="0"/>
        </w:rPr>
        <w:t>362</w:t>
      </w:r>
    </w:p>
    <w:p>
      <w:pPr>
        <w:spacing w:after="80"/>
      </w:pPr>
      <w:r>
        <w:rPr>
          <w:b w:val="0"/>
          <w:i w:val="0"/>
        </w:rPr>
        <w:t>Thu nhập chung từ việc làm cho Hoàng gia ở nước ngoài được cung cấp cho một người làm việc trong khu vực tư nhân sẽ hoặc không thuộc diện chịu thuế như thu nhập từ việc làm vì người lao động là người không cư trú, hoặc bị đánh thuế theo cơ sở chuyển tiền về nước vì người lao động không thường trú hoặc không có quốc tịch thường trú, và nó phải chịu thuế Vương quốc Anh theo ITEPA 2003, ss 26(1)(b) và 27(1)(b).</w:t>
      </w:r>
    </w:p>
    <w:p>
      <w:pPr>
        <w:spacing w:after="80"/>
      </w:pPr>
      <w:r>
        <w:rPr>
          <w:b w:val="0"/>
          <w:i w:val="0"/>
        </w:rPr>
        <w:t>Làm việc cho Crown (Nhà nước) là việc làm thuộc Crown mang tính chất công, với thu nhập được chi trả từ nguồn thu công của Vương quốc Anh hoặc Bắc Ireland.99 ‘Thu nhập chung từ việc làm cho Crown ở nước ngoài’ nghĩa là thu nhập chung từ công việc đó liên quan đến các nhiệm vụ được thực hiện bên ngoài Vương quốc Anh.100 Việc miễn thuế theo lệnh ban hành dưới ITEPA 2003, s.28(5)-(7) loại bỏ khỏi phạm vi thuế thu nhập Vương quốc Anh những nhân viên được tuyển dụng tại địa phương, lương thấp, làm việc ở nước ngoài cho Crown.101</w:t>
      </w:r>
    </w:p>
    <w:p>
      <w:pPr>
        <w:spacing w:after="80"/>
      </w:pPr>
      <w:r>
        <w:rPr>
          <w:b/>
          <w:i w:val="0"/>
        </w:rPr>
        <w:t>§11.15 LƯƠNG HƯU</w:t>
      </w:r>
    </w:p>
    <w:p>
      <w:pPr>
        <w:spacing w:after="80"/>
      </w:pPr>
      <w:r>
        <w:rPr>
          <w:b w:val="0"/>
          <w:i w:val="0"/>
        </w:rPr>
        <w:t>Việc tài trợ cho hưu trí là một vấn đề phức tạp trong bối cảnh quốc tế vì các quốc gia khác nhau có những cách tiếp cận hoàn toàn khác biệt. Cách xử lý của Vương quốc Anh đã được thống nhất bởi ITEPA 2003, Phần 9, quy định về việc đánh thuế thu nhập lương hưu, và FA 2004, Phần 4, quy định về cách xử lý thuế đối với các chương trình lương hưu và các thỏa thuận tương tự. Phần lớn các hiệp định và Mẫu OECD không đề cập một cách rõ ràng đến việc xử lý các khoản đóng góp vào chương trình lương hưu hay việc đánh thuế các chương trình đó, mặc dù những vấn đề này ngày càng được giải quyết trong các hiệp định hiện đại.102</w:t>
      </w:r>
    </w:p>
    <w:p>
      <w:pPr>
        <w:spacing w:after="80"/>
      </w:pPr>
      <w:r>
        <w:rPr>
          <w:b w:val="0"/>
          <w:i w:val="0"/>
        </w:rPr>
        <w:t>Lương hưu được đề cập trong Mẫu OECD bằng những thuật ngữ rất đơn giản. Điều này được phản ánh chỉ trong một vài hiệp định của Vương quốc Anh, một trong số đó là với Trung Quốc. Điều 19 viết:</w:t>
      </w:r>
    </w:p>
    <w:p>
      <w:pPr>
        <w:spacing w:after="80"/>
      </w:pPr>
      <w:r>
        <w:rPr>
          <w:b w:val="0"/>
          <w:i w:val="0"/>
        </w:rPr>
        <w:t>Theo các quy định tại khoản (2) của Điều 20 (Dịch vụ Chính phủ), lương hưu và các khoản thù lao tương tự khác được trả cho một cư dân của một Quốc gia Ký kết để xét đến việc làm trong quá khứ sẽ chỉ bị đánh thuế tại Quốc gia đó.</w:t>
      </w:r>
    </w:p>
    <w:p>
      <w:pPr>
        <w:spacing w:after="80"/>
      </w:pPr>
      <w:r>
        <w:rPr>
          <w:b w:val="0"/>
          <w:i w:val="0"/>
        </w:rPr>
        <w:t>Phạm vi của điều này cực kỳ hẹp theo nghĩa chỉ giới hạn ở ‘lương hưu’ liên quan đến việc làm trong quá khứ và không bao gồm niên kim hưu trí cho người tự làm chủ tồn tại dưới ICTA 1988, Phần XIV, Chương III, trước FA 2004. Do đó, một số hiệp định xử lý lương hưu và niên kim cùng nhau và đối xử với chúng tương tự nhau. Ví dụ, Điều 18 của Hiệp định Thuế Thu nhập Vương quốc Anh-Kazakhstan viết:</w:t>
      </w:r>
    </w:p>
    <w:p>
      <w:pPr>
        <w:spacing w:after="80"/>
      </w:pPr>
      <w:r>
        <w:rPr>
          <w:b w:val="0"/>
          <w:i w:val="0"/>
        </w:rPr>
        <w:t>18(1) Theo các quy định tại khoản (2) của Điều 19 của Công ước này, lương hưu và các khoản thù lao tương tự khác được trả để xét đến việc làm trong quá khứ cho một cư dân của một Quốc gia Ký kết và bất kỳ niên kim nào được trả cho cư dân đó sẽ chỉ bị đánh thuế tại Quốc gia đó.</w:t>
      </w:r>
    </w:p>
    <w:p>
      <w:pPr>
        <w:spacing w:after="80"/>
      </w:pPr>
      <w:r>
        <w:rPr>
          <w:b w:val="0"/>
          <w:i w:val="0"/>
        </w:rPr>
        <w:t>18(2) Thuật ngữ ‘niên kim’ nghĩa là một khoản tiền cố định phải trả cho một cá nhân định kỳ vào những thời điểm nhất định trong suốt cuộc đời người đó hoặc trong một khoảng thời gian xác định hoặc có thể xác định được</w:t>
      </w:r>
    </w:p>
    <w:p>
      <w:pPr>
        <w:spacing w:after="80"/>
      </w:pPr>
      <w:r>
        <w:rPr>
          <w:b w:val="0"/>
          <w:i w:val="0"/>
        </w:rPr>
        <w:t>99. ITEPA 2003, s. 28(2).100. ITEPA 2003, s. 28(2).101. Xem HMRC, Employment Income Manual, EIM40209.102. Xem, ví dụ, Hiệp định Thuế Mỹ-Vương quốc Anh (2001), điều 18; Hiệp định Thuế Nam Phi-Vương quốc Anh (2002), điều 17(3); Hiệp định Thuế Chile-Vương quốc Anh (2003), điều 17(3); Hiệp định Thuế Hà Lan-Vương quốc Anh (2008), điều 17.</w:t>
      </w:r>
    </w:p>
    <w:p>
      <w:pPr>
        <w:spacing w:after="80"/>
      </w:pPr>
      <w:r>
        <w:rPr>
          <w:b w:val="0"/>
          <w:i w:val="0"/>
        </w:rPr>
        <w:t>363</w:t>
      </w:r>
    </w:p>
    <w:p>
      <w:pPr>
        <w:spacing w:after="80"/>
      </w:pPr>
      <w:r>
        <w:rPr>
          <w:b w:val="0"/>
          <w:i w:val="0"/>
        </w:rPr>
        <w:t>theo một nghĩa vụ phải thực hiện các khoản thanh toán để đổi lấy sự đền bù đầy đủ và thỏa đáng bằng tiền hoặc giá trị tương đương tiền.</w:t>
      </w:r>
    </w:p>
    <w:p>
      <w:pPr>
        <w:spacing w:after="80"/>
      </w:pPr>
      <w:r>
        <w:rPr>
          <w:b w:val="0"/>
          <w:i w:val="0"/>
        </w:rPr>
        <w:t>Ngôn ngữ cơ bản của Mẫu OECD trao quyền đánh thuế độc quyền cho quốc gia cư trú của người nhận lương hưu. Do đó, Cơ quan Thuế Nội địa New Zealand sẽ không cấp tín dụng cho thuế Vương quốc Anh bị khấu trừ trên lương hưu trả cho một cư dân New Zealand. Việc giảm thuế phải được yêu cầu tại Vương quốc Anh.103 Có những hiệp định cho phép quốc gia nguồn đánh thuế. Mẫu UN bao gồm một điều 18A(2) tùy chọn cho phép đánh thuế tại quốc gia ký kết nếu khoản thanh toán được thực hiện bởi một cư dân của quốc gia kia hoặc một cơ sở thường trú đặt tại đó, mặc dù không có hiệp định nào của Vương quốc Anh áp dụng điều này. Hiệp định Thuế Thu nhập Vương quốc Anh-Nigeria, điều 18, nói chung cho phép quốc gia nguồn đánh thuế. Như một ngoại lệ, điều 18(1) của Hiệp định Thụy Điển-Vương quốc Anh (1983), mặc dù cho phép đánh thuế tại quốc gia nguồn, yêu cầu phải cho phép khấu trừ một phần năm số tiền. Mặt khác, điều 19 của Hiệp định Thuế Thu nhập Zambia-Vương quốc Anh (1972) chỉ cho phép đánh thuế tại quốc gia nguồn khi có miễn thuế tại quốc gia cư trú. Sự cho phép này áp dụng khi công việc mà lương hưu được trả liên quan đến được thực hiện tại quốc gia nguồn.</w:t>
      </w:r>
    </w:p>
    <w:p>
      <w:pPr>
        <w:spacing w:after="80"/>
      </w:pPr>
      <w:r>
        <w:rPr>
          <w:b w:val="0"/>
          <w:i w:val="0"/>
        </w:rPr>
        <w:t>Thẩm quyền hạn chế cho việc đánh thuế độc quyền tại quốc gia nguồn được tìm thấy trong Hiệp định Thuế Thu nhập Vương quốc Anh-Đức (2010). Điều 17(3) quy định rằng:</w:t>
      </w:r>
    </w:p>
    <w:p>
      <w:pPr>
        <w:spacing w:after="80"/>
      </w:pPr>
      <w:r>
        <w:rPr>
          <w:b w:val="0"/>
          <w:i w:val="0"/>
        </w:rPr>
        <w:t>Bất kể các quy định tại khoản 1, lương hưu, thù lao tương tự hoặc niên kim phát sinh tại một Quốc gia Ký kết mà quy cho toàn bộ hoặc một phần các khoản đóng góp mà, trong hơn 15 năm tại Quốc gia đó,</w:t>
      </w:r>
    </w:p>
    <w:p>
      <w:pPr>
        <w:spacing w:after="80"/>
      </w:pPr>
      <w:r>
        <w:rPr>
          <w:b w:val="0"/>
          <w:i w:val="0"/>
        </w:rPr>
        <w:t>(a) không tạo thành một phần thu nhập chịu thuế từ việc làm, hoặc (b) được khấu trừ thuế, hoặc</w:t>
      </w:r>
    </w:p>
    <w:p>
      <w:pPr>
        <w:spacing w:after="80"/>
      </w:pPr>
      <w:r>
        <w:rPr>
          <w:b w:val="0"/>
          <w:i w:val="0"/>
        </w:rPr>
        <w:t>(c) được giảm thuế theo một cách nào đó khác</w:t>
      </w:r>
    </w:p>
    <w:p>
      <w:pPr>
        <w:spacing w:after="80"/>
      </w:pPr>
      <w:r>
        <w:rPr>
          <w:b w:val="0"/>
          <w:i w:val="0"/>
        </w:rPr>
        <w:t>chỉ bị đánh thuế ở Quốc gia đó. Khoản này sẽ không áp dụng nếu Quốc gia đó không thực sự đánh thuế khoản lương hưu, thù lao tương tự khác hoặc niên kim, hoặc nếu khoản giảm thuế bị thu hồi vì bất kỳ lý do gì, hoặc nếu điều kiện 15 năm được thỏa mãn ở cả hai Quốc gia ký kết.</w:t>
      </w:r>
    </w:p>
    <w:p>
      <w:pPr>
        <w:spacing w:after="80"/>
      </w:pPr>
      <w:r>
        <w:rPr>
          <w:b w:val="0"/>
          <w:i w:val="0"/>
        </w:rPr>
        <w:t>Do đó, một số quyền đánh thuế được trao cho quốc gia nguồn khi quốc gia cư trú không đánh thuế hoặc giảm trừ các khoản đóng góp lương hưu trong một thời gian dài. Việc miễn thuế ở cả hai khu vực tài phán được quy định trong trường hợp lương hưu do thương tật quân sự, vốn được miễn thuế ở Vương quốc Anh.104 Cả Hiệp định Thuế Thu nhập Hà Lan-Vương quốc Anh (2008)105</w:t>
      </w:r>
    </w:p>
    <w:p>
      <w:pPr>
        <w:spacing w:after="80"/>
      </w:pPr>
      <w:r>
        <w:rPr>
          <w:b w:val="0"/>
          <w:i w:val="0"/>
        </w:rPr>
        <w:t>và Hiệp định Thuế Thu nhập Đức-Vương quốc Anh (2010) đều cho thấy xu hướng hướng tới các điều khoản hiệp định chi tiết và dài dòng. So sánh thì Hiệp định Thuế Thu nhập Pháp-Vương quốc Anh cùng thời (2008) lại áp dụng cách tiếp cận đơn giản của Mẫu OECD. Trong thực tiễn hiệp định hiện đại, một số hiệp định mà quốc gia cư trú không được đánh thuế lương hưu nước ngoài sẽ trao quyền đánh thuế không giới hạn cho quốc gia nơi phát sinh lương hưu và thù lao tương tự khác. Ví dụ bao gồm Hiệp định Thuế Thu nhập Hồng Kông-Vương quốc Anh (2010), điều 17, Hiệp định Thuế Thu nhập Liechtenstein-Vương quốc Anh (2012), điều 17 và Hiệp định Thuế Thu nhập Panama-Vương quốc Anh (2013), điều 17.</w:t>
      </w:r>
    </w:p>
    <w:p>
      <w:pPr>
        <w:spacing w:after="80"/>
      </w:pPr>
      <w:r>
        <w:rPr>
          <w:b w:val="0"/>
          <w:i w:val="0"/>
        </w:rPr>
        <w:t>103. New Zealand Inland Revenue QB 14/12, 25 tháng 6 năm 2014. 104. Nghị định thư ngày 26 tháng 9 năm 2008 bổ sung cho Hiệp định Thuế Hà Lan-Vương quốc Anh (2008). 105. Xem Chương 2, §2.08 về các biện pháp chuyển tiếp liên quan đến lương hưu trong hiệp định này.</w:t>
      </w:r>
    </w:p>
    <w:p>
      <w:pPr>
        <w:spacing w:after="80"/>
      </w:pPr>
      <w:r>
        <w:rPr>
          <w:b w:val="0"/>
          <w:i w:val="0"/>
        </w:rPr>
        <w:t>364</w:t>
      </w:r>
    </w:p>
    <w:p>
      <w:pPr>
        <w:spacing w:after="80"/>
      </w:pPr>
      <w:r>
        <w:rPr>
          <w:b w:val="0"/>
          <w:i w:val="0"/>
        </w:rPr>
        <w:t xml:space="preserve">Ngay cả khi quyền đánh thuế độc quyền được trao cho quốc gia cư trú của người nhận lương hưu, những giới hạn vẫn có thể được áp đặt lên quyền của quốc gia đó. Điều 17(1)(b) của Hiệp định Thuế Hoa Kỳ-Vương quốc Anh yêu cầu lương hưu thuộc quyền sở hữu hưởng lợi của một cư dân của một quốc gia phải được miễn thuế ở quốc gia đó nếu chủ sở hữu sẽ được miễn thuế với tư cách là cư dân của quốc gia kia và nếu lương hưu được trả từ một chương trình lương hưu được thành lập ở quốc gia kia. Trong </w:t>
      </w:r>
      <w:r>
        <w:rPr>
          <w:b w:val="0"/>
          <w:i/>
        </w:rPr>
        <w:t xml:space="preserve"> Macklin v HMRC</w:t>
      </w:r>
      <w:r>
        <w:rPr>
          <w:b w:val="0"/>
          <w:i w:val="0"/>
        </w:rPr>
        <w:t>,106 Tòa án Cấp cao (Upper Tribunal) đã xem xét quy định này liên quan đến khoản lương hưu do World Bank Staff Retirement Plan trả cho một cựu nhân viên, người khi nghỉ hưu đã trở về Vương quốc Anh và trở thành cư dân ở đó. Nếu ông nghỉ hưu và vẫn cư trú ở Hoa Kỳ, lương hưu của ông sẽ được miễn thuế thu nhập Hoa Kỳ trong phạm vi các khoản đóng góp của người sử dụng lao động và người lao động vào chương trình lương hưu. Thẩm phán Newey đã phán quyết rằng khoản lương hưu được miễn thuế ở mức tương tự tại Vương quốc Anh với lý do chương trình lương hưu của World Bank được thành lập ở Hoa Kỳ.</w:t>
      </w:r>
    </w:p>
    <w:p>
      <w:pPr>
        <w:spacing w:after="80"/>
      </w:pPr>
      <w:r>
        <w:rPr>
          <w:b w:val="0"/>
          <w:i w:val="0"/>
        </w:rPr>
        <w:t>TIOPA 2010, s. 130A nhằm ghi đè các hiệp định đánh thuế hai lần phân bổ quyền đánh thuế độc quyền đối với các khoản thanh toán lương hưu cho một quốc gia không phải Vương quốc Anh nếu lương hưu phát sinh ngoài Vương quốc Anh nhưng được trả cho một cư dân Vương quốc Anh. Khi quỹ lương hưu được chuyển ra khỏi một chương trình lương hưu sang một chương trình lương hưu khác, theo đó lương hưu hoặc thù lao tương tự khác được bảo vệ bởi hiệp định được trả, thì không có khoản giảm thuế theo hiệp định nào được áp dụng nếu việc chuyển nhượng liên quan, hoặc bất kỳ giao dịch nào tạo thành một phần của việc chuyển nhượng đó, là một phần của kế hoạch tránh thuế.</w:t>
      </w:r>
    </w:p>
    <w:p>
      <w:pPr>
        <w:spacing w:after="80"/>
      </w:pPr>
      <w:r>
        <w:rPr>
          <w:b/>
          <w:i w:val="0"/>
        </w:rPr>
        <w:t>[A] Các khoản thanh toán một lần</w:t>
      </w:r>
    </w:p>
    <w:p>
      <w:pPr>
        <w:spacing w:after="80"/>
      </w:pPr>
      <w:r>
        <w:rPr>
          <w:b w:val="0"/>
          <w:i w:val="0"/>
        </w:rPr>
        <w:t>Một số hiệp định thuế thu nhập, chẳng hạn như với Hoa Kỳ,107 Thụy Sĩ,108 và Armenia109</w:t>
      </w:r>
    </w:p>
    <w:p>
      <w:pPr>
        <w:spacing w:after="80"/>
      </w:pPr>
      <w:r>
        <w:rPr>
          <w:b w:val="0"/>
          <w:i w:val="0"/>
        </w:rPr>
        <w:t>trao quyền tài phán đánh thuế độc quyền đối với các khoản thanh toán một lần cho quốc gia nơi lương hưu được thành lập. Một khoản phân phối một lần từ một chương trình lương hưu của Hoa Kỳ cho một chương trình lương hưu của Vương quốc Anh được thực hiện đối với một cư dân của Vương quốc Anh, người trước đây đã làm việc ở Hoa Kỳ theo Hiệp định Thuế Thu nhập Hoa Kỳ-Vương quốc Anh (2001), đã được Cố vấn trưởng của Cơ quan Thuế Nội địa Hoa Kỳ coi là phải chịu thuế ở Hoa Kỳ với lý do chương trình lương hưu của Vương quốc Anh nhận khoản đó không phải là một 'chương trình hưu trí đủ điều kiện' theo Bộ luật Thuế Nội địa Hoa Kỳ. Điều 18(1) của Hiệp định đã không đưa ra sự giảm thuế nào khỏi yêu cầu này và việc phân phối là một sự chuyển nhượng có thể bị Hoa Kỳ đánh thuế theo điều 17(2).110</w:t>
      </w:r>
    </w:p>
    <w:p>
      <w:pPr>
        <w:spacing w:after="80"/>
      </w:pPr>
      <w:r>
        <w:rPr>
          <w:b w:val="0"/>
          <w:i w:val="0"/>
        </w:rPr>
        <w:t>Điều 17 của Hiệp định Thuế Thu nhập Canada-Vương quốc Anh (1978), đã được sửa đổi thường xuyên. Theo nghị định thư đầu tiên (1980), các khoản thanh toán một lần đã bị loại trừ rõ ràng khỏi</w:t>
      </w:r>
    </w:p>
    <w:p>
      <w:pPr>
        <w:spacing w:after="80"/>
      </w:pPr>
      <w:r>
        <w:rPr>
          <w:b w:val="0"/>
          <w:i w:val="0"/>
        </w:rPr>
        <w:t xml:space="preserve">106. </w:t>
      </w:r>
      <w:r>
        <w:rPr>
          <w:b w:val="0"/>
          <w:i/>
        </w:rPr>
        <w:t>Macklin v Revenue and Customs Commissioners</w:t>
      </w:r>
      <w:r>
        <w:rPr>
          <w:b w:val="0"/>
          <w:i w:val="0"/>
        </w:rPr>
        <w:t xml:space="preserve"> [2015] BTC 503, [2015] UKUT 39 (TCC), [2015] STC 1102. 107. Hiệp định Thuế Hoa Kỳ-Vương quốc Anh (2001), điều 17(2). 108. Công ước giữa Chính phủ Vương quốc Liên hiệp Anh và Bắc Ireland và Liên bang Thụy Sĩ về việc Tránh Đánh thuế Hai lần đối với Thuế Thu nhập, Công ước ngày 8 tháng 12 năm 1977 (SI 1978/1408), điều 18(2). 109. Công ước giữa Chính phủ Vương quốc Liên hiệp Anh và Bắc Ireland và Chính phủ Cộng hòa Armenia về việc Tránh Đánh thuế Hai lần và Ngăn ngừa Trốn thuế đối với Thuế Thu nhập và Thuế Vốn, Công ước ngày 13 tháng 7 năm 2011 (SI 2011/2722), điều 17(2). 110. Cơ quan Thuế Nội địa Hoa Kỳ, Ý kiến Cố vấn trưởng số 201231010, ngày 24 tháng 4 năm 2012.</w:t>
      </w:r>
    </w:p>
    <w:p>
      <w:pPr>
        <w:spacing w:after="80"/>
      </w:pPr>
      <w:r>
        <w:rPr>
          <w:b w:val="0"/>
          <w:i w:val="0"/>
        </w:rPr>
        <w:t>365</w:t>
      </w:r>
    </w:p>
    <w:p>
      <w:pPr>
        <w:spacing w:after="80"/>
      </w:pPr>
      <w:r>
        <w:rPr>
          <w:b w:val="0"/>
          <w:i w:val="0"/>
        </w:rPr>
        <w:t xml:space="preserve">định nghĩa về lương hưu. Như được sửa đổi bởi nghị định thư năm 1985, thuật ngữ 'lương hưu' bao gồm bất kỳ khoản thanh toán nào theo một kế hoạch hưu trí, lương hưu hoặc nghỉ hưu nhưng không đề cập đến các khoản thanh toán một lần. Hiệp định cũng có quy định riêng cho lương hưu công vụ. Trong </w:t>
      </w:r>
      <w:r>
        <w:rPr>
          <w:b w:val="0"/>
          <w:i/>
        </w:rPr>
        <w:t>Merritt v The Queen</w:t>
      </w:r>
      <w:r>
        <w:rPr>
          <w:b w:val="0"/>
          <w:i w:val="0"/>
        </w:rPr>
        <w:t>,111 một cư dân Canada đã nhận được lương hưu từ người sử dụng lao động trước đây của mình, Cơ quan Công vụ Vương quốc Anh. Cả các khoản thanh toán định kỳ và khoản thanh toán một lần đều được miễn thuế ở Vương quốc Anh. Thẩm phán Bowman, tại Tòa án Thuế Canada, đã bác bỏ lập luận rằng định nghĩa về lương hưu trong nghị định thư thứ hai không nhằm thay đổi định nghĩa trong nghị định thư thứ nhất, vốn sẽ loại trừ các khoản thanh toán một lần khỏi điều khoản này. Điều đó sẽ dẫn đến việc chỉ bị đánh thuế ở Vương quốc Anh. Ý nghĩa thông thường của nghị định thư thứ hai được cho là không loại trừ khoản thanh toán một lần.</w:t>
      </w:r>
    </w:p>
    <w:p>
      <w:pPr>
        <w:spacing w:after="80"/>
      </w:pPr>
      <w:r>
        <w:rPr>
          <w:b/>
          <w:i w:val="0"/>
        </w:rPr>
        <w:t>[B] Lương hưu An sinh Xã hội</w:t>
      </w:r>
    </w:p>
    <w:p>
      <w:pPr>
        <w:spacing w:after="80"/>
      </w:pPr>
      <w:r>
        <w:rPr>
          <w:b w:val="0"/>
          <w:i w:val="0"/>
        </w:rPr>
        <w:t xml:space="preserve">Lương hưu an sinh xã hội và lương hưu tuổi già không được coi là được trả để đền đáp cho công việc làm trong quá khứ và do đó không thuộc điều khoản lương hưu thông thường. HMRC coi các khoản lương hưu như vậy thuộc điều khoản thu nhập khác.112 Lương hưu an sinh xã hội được đề cập trong một vài hiệp định của Vương quốc Anh. Các hiệp định với Đan Mạch, Đức (2010), Phần Lan, Luxembourg, Na Uy và Thụy Điển và Hoa Kỳ cho phép đánh thuế ở quốc gia chi trả. Trong trường hợp Đức (1964), điều 9(2), quy định rằng thù lao, bao gồm lương hưu được trả cho các dịch vụ hoặc công việc hiện tại hoặc trong quá khứ từ quỹ công, được miễn thuế ở Vương quốc Anh trừ khi khoản thanh toán được thực hiện cho một công dân Vương quốc Anh không đồng thời là công dân Đức. Trong </w:t>
      </w:r>
      <w:r>
        <w:rPr>
          <w:b w:val="0"/>
          <w:i/>
        </w:rPr>
        <w:t xml:space="preserve"> Oppenheimer v Cattermole</w:t>
      </w:r>
      <w:r>
        <w:rPr>
          <w:b w:val="0"/>
          <w:i w:val="0"/>
        </w:rPr>
        <w:t xml:space="preserve">,113 một người tị nạn Do Thái gốc Đức đã chạy trốn đến Anh vào năm 1939 và trở thành công dân Anh vào năm 1948. Sau Thế chiến II, ông nhận được lương hưu được trả từ quỹ công của Đức liên quan đến công việc của ông ở Đức trước khi nhập cư. Người nộp thuế lập luận rằng ông là công dân Đức. Thượng viện (House of Lords) đã quyết định rằng việc đề cập đến quốc tịch phải được xác định bởi quốc gia mà quốc tịch đó được yêu cầu. Theo luật cơ bản của Cộng hòa Liên bang Đức được ban hành năm 1949, các cựu công dân Đức đã bị tước quốc tịch vì lý do chính trị, chủng tộc hoặc tôn giáo được quyền, mặc dù vẫn cư trú ở nước ngoài, được phục hồi quốc tịch khi có đơn yêu cầu. Người nộp thuế đã không thực hiện các bước thích hợp để khẳng định quyền của mình theo luật đó. Trong một vụ án liên quan được xét xử cùng lúc, </w:t>
      </w:r>
      <w:r>
        <w:rPr>
          <w:b w:val="0"/>
          <w:i/>
        </w:rPr>
        <w:t xml:space="preserve"> Nothman v Cooper</w:t>
      </w:r>
      <w:r>
        <w:rPr>
          <w:b w:val="0"/>
          <w:i w:val="0"/>
        </w:rPr>
        <w:t>, người nộp thuế cũng lập luận rằng các khoản thanh toán mang tính chất bồi thường vốn. Điều này đã bị bác bỏ. Niên kim và lương hưu phải trả cho các nạn nhân của cuộc đàn áp của Đức Quốc xã bởi Đức hoặc Áo hiện nay không phải chịu thuế thu nhập ở Vương quốc Anh.114 Các khoản thanh toán loại này chỉ bị đánh thuế ở quốc gia nguồn theo điều 17(4) của Hiệp định Thuế Thu nhập Vương quốc Anh-Đức (2010). Không có quy tắc tương đương trong Hiệp định Thuế Thu nhập Áo-Vương quốc Anh.</w:t>
      </w:r>
    </w:p>
    <w:p>
      <w:pPr>
        <w:spacing w:after="80"/>
      </w:pPr>
      <w:r>
        <w:rPr>
          <w:b w:val="0"/>
          <w:i w:val="0"/>
        </w:rPr>
        <w:t>111.</w:t>
      </w:r>
      <w:r>
        <w:rPr>
          <w:b w:val="0"/>
          <w:i/>
        </w:rPr>
        <w:t>Merritt v The Queen</w:t>
      </w:r>
      <w:r>
        <w:rPr>
          <w:b w:val="0"/>
          <w:i w:val="0"/>
        </w:rPr>
        <w:t xml:space="preserve"> 93 DTC 978 (TCC).112.HMRC, Sổ tay Hướng dẫn Giảm trừ Thuế Hai lần (Double Taxation Relief Manual), DT227. Nhưng xem Hiệp định Thuế Hà Lan-Anh (2008), điều 17(1) và (2), chỉ cho phép quốc gia cư trú đánh thuế các khoản lương hưu này, trừ một số trường hợp đã được giảm trừ thuế đối với các khoản đóng góp.113.</w:t>
      </w:r>
      <w:r>
        <w:rPr>
          <w:b w:val="0"/>
          <w:i/>
        </w:rPr>
        <w:t>Oppenheimer v Cattermole</w:t>
      </w:r>
      <w:r>
        <w:rPr>
          <w:b w:val="0"/>
          <w:i w:val="0"/>
        </w:rPr>
        <w:t xml:space="preserve"> (1975) 50 TC 159.114.ITEPA 2003, s. 642.</w:t>
      </w:r>
    </w:p>
    <w:p>
      <w:pPr>
        <w:spacing w:after="80"/>
      </w:pPr>
      <w:r>
        <w:rPr>
          <w:b w:val="0"/>
          <w:i w:val="0"/>
        </w:rPr>
        <w:t>366</w:t>
      </w:r>
    </w:p>
    <w:p>
      <w:pPr>
        <w:spacing w:after="80"/>
      </w:pPr>
      <w:r>
        <w:rPr>
          <w:b/>
          <w:i w:val="0"/>
        </w:rPr>
        <w:t>[C]Khoản Đền Bù cho Việc Làm Thuê Trong Quá Khứ</w:t>
      </w:r>
    </w:p>
    <w:p>
      <w:pPr>
        <w:spacing w:after="80"/>
      </w:pPr>
      <w:r>
        <w:rPr>
          <w:b w:val="0"/>
          <w:i w:val="0"/>
        </w:rPr>
        <w:t>Thông thường, để được miễn thuế ở quốc gia nguồn, các khoản lương hưu và thù lao tương tự phải được trả như khoản đền bù cho việc làm thuê trong quá khứ. "Việc làm thuê trong quá khứ" dường như ám chỉ việc làm thuê đã chấm dứt, và bất kỳ lý do chấm dứt nào cũng đủ.115Liên quan đến các thỏa thuận trả thù lao trì hoãn khác, ranh giới phân chia giữa các khoản thuộc điều khoản thu nhập từ việc làm116và điều khoản lương hưu là không rõ ràng nhưng lại quan trọng khi quyền đánh thuế độc quyền được giao cho quốc gia cư trú.Trong</w:t>
      </w:r>
      <w:r>
        <w:rPr>
          <w:b w:val="0"/>
          <w:i/>
        </w:rPr>
        <w:t>Merrins v The Queen</w:t>
      </w:r>
      <w:r>
        <w:rPr>
          <w:b w:val="0"/>
          <w:i w:val="0"/>
        </w:rPr>
        <w:t>117Tòa án Thuế Canada đã bác bỏ lập luận rằng các khoản thanh toán An sinh Người cao tuổi Canada là "lương hưu" thuộc điều XI của Hiệp định Canada-Ireland, vì người nộp thuế, một cư dân Ireland, đã làm việc ở Canada phần lớn cuộc đời. Điều kiện được hưởng theo chương trình luật định là vì người nộp thuế trên 65 tuổi và cư trú tại Canada ít nhất hai mươi năm sau khi đủ 18 tuổi và trước khi chuyển đến Ireland. Do đó, các khoản thanh toán này không phải là khoản đền bù cho các dịch vụ trong quá khứ.</w:t>
      </w:r>
    </w:p>
    <w:p>
      <w:pPr>
        <w:spacing w:after="80"/>
      </w:pPr>
      <w:r>
        <w:rPr>
          <w:b w:val="0"/>
          <w:i w:val="0"/>
        </w:rPr>
        <w:t>Cụm từ "việc làm thuê trong quá khứ" dường như không mở rộng đến hoạt động tự làm chủ trong quá khứ; do đó, các khoản thanh toán được thực hiện bởi một chương trình lương hưu đã đăng ký đối với các cá nhân tự làm chủ sẽ không thuộc điều khoản lương hưu, theo Mẫu OECD. Các khoản niên kim trả cho những cá nhân này theo FA 2004, s. 165(2)(a), có khả năng sẽ thuộc các quy định về niên kim. Việc rút thu nhập theo s. 165(2)(a) thì có thể không. Một số hiệp định không giới hạn quyền lợi hiệp định chỉ cho lương hưu liên quan đến việc làm thuê.118</w:t>
      </w:r>
    </w:p>
    <w:p>
      <w:pPr>
        <w:spacing w:after="80"/>
      </w:pPr>
      <w:r>
        <w:rPr>
          <w:b w:val="0"/>
          <w:i w:val="0"/>
        </w:rPr>
        <w:t>Một Biên bản Ghi nhớ giữa Đức và Anh ký ngày 8 tháng 11 năm 2011 về các khoản thanh toán thôi việc (chấm dứt) theo Hiệp định Đức-Anh119chỉ đơn thuần nhắc lại các câu hỏi cần đặt ra khi phân loại các khoản thanh toán cho mục đích hiệp định. Biên bản nêu rõ rằng việc phân bổ quyền đánh thuế đối với các khoản thanh toán đó phụ thuộc vào "bối cảnh kinh tế" của các khoản thanh toán. Các khoản thanh toán mang "tính chất dự phòng" được đánh thuế như lương hưu theo điều 17(1) của Hiệp định Thuế Đức-Anh (2010). Khi khoản thanh toán bao gồm việc trả lại tiền lương, tiền công hoặc thù lao khác, và khoản thanh toán được thực hiện trong phạm vi hợp đồng lao động, hoặc để "giải thể" hợp đồng, thì khoản đó thuộc điều 14 (thu nhập từ việc làm thuê).</w:t>
      </w:r>
    </w:p>
    <w:p>
      <w:pPr>
        <w:spacing w:after="80"/>
      </w:pPr>
      <w:r>
        <w:rPr>
          <w:b w:val="0"/>
          <w:i w:val="0"/>
        </w:rPr>
        <w:t>Phạm vi của điều khoản này chưa được các tòa án xem xét. Hầu hết các hiệp định không đưa ra định nghĩa toàn diện về lương hưu. Cụm từ này chỉ được định nghĩa một phần trong ITEPA 2003 để bao gồm "một khoản lương hưu được trả tự nguyện hoặc có khả năng</w:t>
      </w:r>
    </w:p>
    <w:p>
      <w:pPr>
        <w:spacing w:after="80"/>
      </w:pPr>
      <w:r>
        <w:rPr>
          <w:b w:val="0"/>
          <w:i w:val="0"/>
        </w:rPr>
        <w:t>115.Các trường hợp được xác định trong FA 2004, s. 150, chỉ mang tính minh họa chứ không đầy đủ: 150(1) Trong Phần này, "chương trình lương hưu" có nghĩa là một chương trình hoặc thỏa thuận khác, bao gồm một hoặc nhiều văn bản hoặc thỏa thuận, có hoặc có khả năng có hiệu lực để cung cấp quyền lợi cho hoặc liên quan đến người: (a) khi nghỉ hưu, (b) khi qua đời, (c) khi đạt đến một độ tuổi cụ thể, (d) khi khởi phát bệnh nặng hoặc mất năng lực, hoặc (e) trong các trường hợp tương tự.116.Mẫu OECD, điều 15.117.</w:t>
      </w:r>
      <w:r>
        <w:rPr>
          <w:b w:val="0"/>
          <w:i/>
        </w:rPr>
        <w:t>Merrins v the Queen</w:t>
      </w:r>
      <w:r>
        <w:rPr>
          <w:b w:val="0"/>
          <w:i w:val="0"/>
        </w:rPr>
        <w:t>, 2002 CANLII 970 (TCC), được giữ nguyên 2003 FCA 147 (CanLII).118.Xem Hiệp định Thuế Canada-Anh (1978), điều 17 và Hiệp định Thuế Chile-Anh (2003), điều 17.119.Một Biên bản Ghi nhớ giữa Đức và Anh theo Điều 26(3) của Công ước giữa Vương quốc Liên hiệp Anh và Bắc Ireland và Cộng hòa Liên bang Đức về Việc Tránh Đánh Thuế Hai lần và Ngăn ngừa Trốn thuế Tài khóa đối với Thuế Thu nhập và Vốn ngày 30 tháng 3 năm 2010, được lập ngày 8 tháng 11 năm 2011.</w:t>
      </w:r>
    </w:p>
    <w:p>
      <w:pPr>
        <w:spacing w:after="80"/>
      </w:pPr>
      <w:r>
        <w:rPr>
          <w:b w:val="0"/>
          <w:i w:val="0"/>
        </w:rPr>
        <w:t>367</w:t>
      </w:r>
    </w:p>
    <w:p>
      <w:pPr>
        <w:spacing w:after="80"/>
      </w:pPr>
      <w:r>
        <w:rPr>
          <w:b w:val="0"/>
          <w:i w:val="0"/>
        </w:rPr>
        <w:t>bị chấm dứt".120Phạm vi cốt lõi của cụm từ này hiện được trình bày thuận tiện trong ITEPA 2003, s. 566, quy định ý nghĩa của "thu nhập lương hưu" trong việc xác định các khoản được đưa vào diện chịu thuế theo ITEPA 2003, Phần 9. Lương hưu và niên kim được miễn thuế theo Phần 9, Chương 16-18, cũng sẽ thuộc cụm từ hiệp định này. Mặc dù các khoản thanh toán được một chương trình lương hưu đã đăng ký cho phép thực hiện không được FA 2004, Phần 4 quy định cụ thể là chịu thuế, nhưng bất kỳ khoản thanh toán hoặc quyền lợi nào thuộc Chương 3 đều có khả năng là lương hưu hoặc thù lao tương tự.121</w:t>
      </w:r>
    </w:p>
    <w:p>
      <w:pPr>
        <w:spacing w:after="80"/>
      </w:pPr>
      <w:r>
        <w:rPr>
          <w:b w:val="0"/>
          <w:i w:val="0"/>
        </w:rPr>
        <w:t>Tuy nhiên, trong luật tiền nhiệm, ICTA 1988, s. 612(1), định nghĩa về quyền lợi liên quan đã phân biệt lương hưu (bao gồm niên kim) với "khoản trọn gói, tiền thưởng hoặc quyền lợi tương tự khác".Trong</w:t>
      </w:r>
      <w:r>
        <w:rPr>
          <w:b w:val="0"/>
          <w:i/>
        </w:rPr>
        <w:t>Johnson v Holleran</w:t>
      </w:r>
      <w:r>
        <w:rPr>
          <w:b w:val="0"/>
          <w:i w:val="0"/>
        </w:rPr>
        <w:t>,122tiền nhận được từ người được ủy thác của một quỹ lương hưu sau khi chấm dứt việc làm thuê để ghi nhận việc làm thuê trước đây và vì tình trạng khuyết tật là một khoản lương hưu. Việc các khoản thanh toán được thực hiện vì lý do khuyết tật chứ không phải cho các dịch vụ trong quá khứ là không quan trọng. Người ta lập luận rằng để cấu thành một khoản lương hưu, các khoản thanh toán phải được thực hiện sau khi nghỉ hưu, cho một cựu nhân viên, cho các dịch vụ trong quá khứ và phải tiếp tục suốt đời. Người nộp thuế lập luận rằng ông không nghỉ hưu vì nếu tình trạng khuyết tật của ông chấm dứt, các khoản thanh toán sẽ chấm dứt và ông sẽ phải tìm việc làm. Tòa án đã phán quyết rằng chỉ cần việc làm thuê cụ thể đó đã chấm dứt là đủ, nhưng điều này không nhất thiết phải do nghỉ hưu mà có thể vì bất kỳ lý do nào khác. Tòa án, lưu ý rằng không có định nghĩa tư pháp về lương hưu, đã không cố gắng đưa ra một định nghĩa. Trong</w:t>
      </w:r>
      <w:r>
        <w:rPr>
          <w:b w:val="0"/>
          <w:i/>
        </w:rPr>
        <w:t xml:space="preserve"> Johnson v Farquhar</w:t>
      </w:r>
      <w:r>
        <w:rPr>
          <w:b w:val="0"/>
          <w:i w:val="0"/>
        </w:rPr>
        <w:t>,123tòa án xác nhận rằng chỉ cần người nộp thuế trở thành thành viên của chương trình lương hưu vì ông là nhân viên và vẫn là thành viên cho đến khi ông không còn là nhân viên nữa là đủ. Không cần thiết rằng khoản thanh toán phải dành cho các dịch vụ trong quá khứ theo nghĩa được hưởng trọn vẹn và là một hình thức lương trả chậm. Cách tiếp cận này cho thấy rằng nếu việc làm thuê trong quá khứ là một trong những nguyên nhân khởi nguồn, thì như vậy là đủ. Do đó, cụm từ "đền bù" không nên được giải thích theo nghĩa luật hợp đồng tiếng Anh, mà thay vào đó, khoản thanh toán là liên quan đến việc làm thuê. Trên cơ sở này, lương hưu phát sinh từ các khoản đóng góp của thành viên chương trình lương hưu đủ điều kiện hưởng quyền lợi hiệp định. Theo lý luận tương tự, cụm từ "thù lao tương tự khác" chỉ đơn thuần ám chỉ các hình thức thanh toán khác ngoài "lương hưu".</w:t>
      </w:r>
    </w:p>
    <w:p>
      <w:pPr>
        <w:spacing w:after="80"/>
      </w:pPr>
      <w:r>
        <w:rPr>
          <w:b w:val="0"/>
          <w:i w:val="0"/>
        </w:rPr>
        <w:t>Một định nghĩa rộng được đưa vào điều 17(3) của Hiệp định Thuế Thu nhập Canada-Anh (1978), bao gồm "bất kỳ khoản thanh toán nào theo một kế hoạch hưu trí, lương hưu hoặc nghỉ hưu, lương hưu quân đội, lương hưu và trợ cấp cựu chiến binh, và bất kỳ khoản thanh toán nào theo một kế hoạch ốm đau, tai nạn hoặc khuyết tật, cũng như bất kỳ khoản thanh toán nào được thực hiện theo luật an sinh xã hội ở một Quốc gia Ký kết, nhưng không bao gồm bất kỳ</w:t>
      </w:r>
    </w:p>
    <w:p>
      <w:pPr>
        <w:spacing w:after="80"/>
      </w:pPr>
      <w:r>
        <w:rPr>
          <w:b w:val="0"/>
          <w:i w:val="0"/>
        </w:rPr>
        <w:t>120.ITEPA 2003, ss 570 và 574(1).121.Các khoản thanh toán được cho phép theo FA 2004, s. 164(1): Các khoản thanh toán duy nhất mà một chương trình lương hưu đã đăng ký được phép thực hiện cho hoặc liên quan đến một người là hoặc đã từng là thành viên của chương trình lương hưu là: (a) lương hưu được các quy tắc lương hưu hoặc quy tắc trợ cấp tử tuất cho phép trả cho hoặc liên quan đến một thành viên (xem ss 165 và 167), (b) các khoản trọn gói được quy tắc trọn gói hoặc quy tắc trợ cấp tử tuất trọn gói cho phép trả cho hoặc liên quan đến một thành viên (xem ss 166 và 168), (c) các khoản chuyển nhượng được công nhận (xem s. 169), (d) các khoản thanh toán cho thành viên quản lý chương trình (xem s. 171), (e) các khoản thanh toán theo lệnh hoặc quy định chia sẻ lương hưu, và (f) các khoản thanh toán thuộc loại được quy định bởi các quy định do Ủy viên Thuế quan và Thuế doanh thu ban hành.122.</w:t>
      </w:r>
      <w:r>
        <w:rPr>
          <w:b w:val="0"/>
          <w:i/>
        </w:rPr>
        <w:t>Johnson v Holleran</w:t>
      </w:r>
      <w:r>
        <w:rPr>
          <w:b w:val="0"/>
          <w:i w:val="0"/>
        </w:rPr>
        <w:t xml:space="preserve"> [1989] BTC 11; [1989] STC 1, Ch. D.123.</w:t>
      </w:r>
      <w:r>
        <w:rPr>
          <w:b w:val="0"/>
          <w:i/>
        </w:rPr>
        <w:t>Johnson v Farquhar</w:t>
      </w:r>
      <w:r>
        <w:rPr>
          <w:b w:val="0"/>
          <w:i w:val="0"/>
        </w:rPr>
        <w:t xml:space="preserve"> [1992] BTC 3; [1992] STC 11.</w:t>
      </w:r>
    </w:p>
    <w:p>
      <w:pPr>
        <w:spacing w:after="80"/>
      </w:pPr>
      <w:r>
        <w:rPr>
          <w:b w:val="0"/>
          <w:i w:val="0"/>
        </w:rPr>
        <w:t>368</w:t>
      </w:r>
    </w:p>
    <w:p>
      <w:pPr>
        <w:spacing w:after="80"/>
      </w:pPr>
      <w:r>
        <w:rPr>
          <w:b w:val="0"/>
          <w:i w:val="0"/>
        </w:rPr>
        <w:t>khoản thanh toán nào theo một kế hoạch hưu trí, lương hưu hoặc nghỉ hưu để giải quyết tất cả các quyền lợi trong tương lai theo kế hoạch đó hoặc bất kỳ khoản thanh toán nào theo một hợp đồng niên kim bình quân thu nhập".Trong</w:t>
      </w:r>
      <w:r>
        <w:rPr>
          <w:b w:val="0"/>
          <w:i/>
        </w:rPr>
        <w:t>Hughes v The Queen</w:t>
      </w:r>
      <w:r>
        <w:rPr>
          <w:b w:val="0"/>
          <w:i w:val="0"/>
        </w:rPr>
        <w:t>,124trước khi trở thành cư dân Canada, người nộp thuế là một lính cứu hỏa đang làm việc ở Anh, người đã nghỉ hưu vì lý do y tế do chấn thương khi làm việc. Theo chương trình lương hưu lính cứu hỏa theo luật định của Anh, ông nhận được lương hưu với tư cách là lính cứu hỏa đã nghỉ hưu và một khoản bồi thường thương tích cho mất thu nhập, đau đớn và khổ sở do xuất ngũ y tế vì bị thương tích ngoài nhiệm vụ. Tòa án Thuế Canada đã phán quyết rằng khoản bồi thường thương tích là "lương hưu thuộc điều 17(3)". Đó không phải là khoản bồi thường cho mất thu nhập, đau đớn và khổ sở sau khi bị thương tích khi đang làm nhiệm vụ, và do đó Canada được quyền đánh thuế cả hai phần của khoản thanh toán.</w:t>
      </w:r>
    </w:p>
    <w:p>
      <w:pPr>
        <w:spacing w:after="80"/>
      </w:pPr>
      <w:r>
        <w:rPr>
          <w:b/>
          <w:i w:val="0"/>
        </w:rPr>
        <w:t>[D]Nguồn của Lương hưu</w:t>
      </w:r>
    </w:p>
    <w:p>
      <w:pPr>
        <w:spacing w:after="80"/>
      </w:pPr>
      <w:r>
        <w:rPr>
          <w:b w:val="0"/>
          <w:i/>
        </w:rPr>
        <w:t>Situs</w:t>
      </w:r>
      <w:r>
        <w:rPr>
          <w:b w:val="0"/>
          <w:i w:val="0"/>
        </w:rPr>
        <w:t xml:space="preserve"> của người trả lương hưu là quy tắc duy nhất để xác định nguồn gốc của lương hưu theo luật nội địa Vương quốc Anh. Cụ thể, lý do cơ bản đằng sau khoản lương hưu đó không liên quan. Theo luật nội địa, thuế phải nộp theo ITEPA 2003 đối với bất kỳ khoản lương hưu nào được trả không phải bởi hoặc thay mặt cho một người ở Vương quốc Anh.125 Lương hưu nước ngoài là những khoản được trả bởi hoặc thay mặt cho một người bên ngoài Vương quốc Anh cho một người cư trú tại Vương quốc Anh.126 Điều này bao gồm lương hưu an sinh xã hội theo luật định nước ngoài.127</w:t>
      </w:r>
    </w:p>
    <w:p>
      <w:pPr>
        <w:spacing w:after="80"/>
      </w:pPr>
      <w:r>
        <w:rPr>
          <w:b/>
          <w:i w:val="0"/>
        </w:rPr>
        <w:t>§11.16 CÁC KHOẢN ĐÓNG GÓP VÀO QUỸ HƯU TRÍ</w:t>
      </w:r>
    </w:p>
    <w:p>
      <w:pPr>
        <w:spacing w:after="80"/>
      </w:pPr>
      <w:r>
        <w:rPr>
          <w:b w:val="0"/>
          <w:i w:val="0"/>
        </w:rPr>
        <w:t>Ưu đãi thuế của Vương quốc Anh đối với các khoản đóng góp vào quỹ hưu trí nói chung chỉ áp dụng cho các khoản đóng góp đáp ứng các yêu cầu của FA 2004, Phần 4, Chương 4. Một cá nhân là thành viên đang hoạt động của một quỹ hưu trí đã đăng ký được hưởng ưu đãi đối với các khoản đóng góp hưu trí được miễn trừ đã trả trong một năm tính thuế nếu, trong số các điều kiện khác, đáp ứng yêu cầu về cư trú hoặc thu nhập. Yêu cầu về cư trú được đáp ứng nếu cá nhân cư trú tại Vương quốc Anh vào một thời điểm nào đó trong năm đó, hoặc vào một thời điểm nào đó trong năm năm tính thuế ngay trước năm đó – và khi cá nhân trở thành thành viên của quỹ hưu trí. Yêu cầu về thu nhập được đáp ứng, cụ thể, nếu cá nhân có thu nhập từ việc làm hoặc thu nhập từ việc thực hiện hoặc hành nghề thương mại, nghề nghiệp hoặc công việc (dù với tư cách cá nhân hay với tư cách thành viên hợp danh hành động nhân danh mình trong một công ty hợp danh) chịu thuế thu nhập cho năm đó.128 Như vậy, nói một cách tổng quát, những cá nhân không cư trú thực hiện các hoạt động dịch vụ cá nhân mà Vương quốc Anh có quyền đánh thuế theo các quy định của hiệp định được xem xét trong Chương 6 và 7 sẽ</w:t>
      </w:r>
    </w:p>
    <w:p>
      <w:pPr>
        <w:spacing w:after="80"/>
      </w:pPr>
      <w:r>
        <w:rPr>
          <w:b w:val="0"/>
          <w:i w:val="0"/>
        </w:rPr>
        <w:t>124.</w:t>
      </w:r>
      <w:r>
        <w:rPr>
          <w:b w:val="0"/>
          <w:i/>
        </w:rPr>
        <w:t>Hughes v The Queen</w:t>
      </w:r>
      <w:r>
        <w:rPr>
          <w:b w:val="0"/>
          <w:i w:val="0"/>
        </w:rPr>
        <w:t xml:space="preserve"> [2002] 3 CTC 2184; 2001 CanLII 447 (TCC); 56 DTC 151.125.ITEPA 2003. s. 569(1).126.ITEPA 2003, s. 573(1).127.</w:t>
      </w:r>
      <w:r>
        <w:rPr>
          <w:b w:val="0"/>
          <w:i/>
        </w:rPr>
        <w:t>AlbonvIRC</w:t>
      </w:r>
      <w:r>
        <w:rPr>
          <w:b w:val="0"/>
          <w:i w:val="0"/>
        </w:rPr>
        <w:t>[1999]BTC138;[1998]STC1181.Điều này hiện là đối tượng của các quy tắc luật định trong ITEPA 2003, Phần 10, Chương 6.128.Xem FA 2004, ss 188(1) và 189.</w:t>
      </w:r>
    </w:p>
    <w:p>
      <w:pPr>
        <w:spacing w:after="80"/>
      </w:pPr>
      <w:r>
        <w:rPr>
          <w:b w:val="0"/>
          <w:i w:val="0"/>
        </w:rPr>
        <w:t>369</w:t>
      </w:r>
    </w:p>
    <w:p>
      <w:pPr>
        <w:spacing w:after="80"/>
      </w:pPr>
      <w:r>
        <w:rPr>
          <w:b w:val="0"/>
          <w:i w:val="0"/>
        </w:rPr>
        <w:t>được hưởng ưu đãi thuế đối với các khoản đóng góp đủ điều kiện. Thu nhập liên quan tại Vương quốc Anh không bị đánh thuế tại Vương quốc Anh theo một hiệp định được coi là không chịu thuế thu nhập.129</w:t>
      </w:r>
    </w:p>
    <w:p>
      <w:pPr>
        <w:spacing w:after="80"/>
      </w:pPr>
      <w:r>
        <w:rPr>
          <w:b w:val="0"/>
          <w:i w:val="0"/>
        </w:rPr>
        <w:t>Ưu đãi thuế đối với các khoản đóng góp nói chung chỉ áp dụng cho các khoản đóng góp vào các quỹ hưu trí đã đăng ký tại Vương quốc Anh. Ưu đãi tương tự có thể áp dụng đối với các khoản đóng góp vào các quỹ hưu trí nước ngoài đủ điều kiện của những cá nhân chuyển đến Vương quốc Anh.130 Một cá nhân là 'thành viên di trú liên quan' của một 'quỹ hưu trí nước ngoài đủ điều kiện'131 được hưởng ưu đãi thuế tương tự đối với các khoản đóng góp vào quỹ đó nếu:</w:t>
      </w:r>
    </w:p>
    <w:p>
      <w:pPr>
        <w:spacing w:after="80"/>
      </w:pPr>
      <w:r>
        <w:rPr>
          <w:b w:val="0"/>
          <w:i w:val="0"/>
        </w:rPr>
        <w:t>– thu nhập liên quan tại Vương quốc Anh của người đó chịu thuế cho năm đó;– người đó cư trú tại Vương quốc Anh khi các khoản đóng góp được trả; và– người đó đã thông báo cho người quản lý quỹ về ý định yêu cầu ưu đãi cho</w:t>
      </w:r>
    </w:p>
    <w:p>
      <w:pPr>
        <w:spacing w:after="80"/>
      </w:pPr>
      <w:r>
        <w:rPr>
          <w:b w:val="0"/>
          <w:i w:val="0"/>
        </w:rPr>
        <w:t>các khoản đóng góp.132</w:t>
      </w:r>
    </w:p>
    <w:p>
      <w:pPr>
        <w:spacing w:after="80"/>
      </w:pPr>
      <w:r>
        <w:rPr>
          <w:b w:val="0"/>
          <w:i w:val="0"/>
        </w:rPr>
        <w:t>Thành viên di trú liên quan là người không cư trú tại Vương quốc Anh khi lần đầu trở thành thành viên của quỹ hưu trí nước ngoài, nhưng đã là thành viên khi bắt đầu cư trú tại Vương quốc Anh. Hơn nữa, cá nhân phải được hưởng ưu đãi thuế đối với các khoản đóng góp đã trả theo quỹ hưu trí theo luật của quốc gia mà cá nhân cư trú ngay trước khi trở thành cư dân Vương quốc Anh. Ngoài ra, cá nhân phải được người quản lý quỹ thông báo rằng thông tin liên quan đến các sự kiện là sự kiện kết tinh quyền lợi liên quan đến cá nhân sẽ được cung cấp cho HMRC.133</w:t>
      </w:r>
    </w:p>
    <w:p>
      <w:pPr>
        <w:spacing w:after="80"/>
      </w:pPr>
      <w:r>
        <w:rPr>
          <w:b w:val="0"/>
          <w:i w:val="0"/>
        </w:rPr>
        <w:t>Mặc dù có những hạn chế đối với ưu đãi xuyên biên giới cho các khoản đóng góp hưu trí, các quy định của hiệp định giải quyết vấn đề này rất hiếm nhưng ngày càng được tìm thấy trong các hiệp định hiện đại. Các hiệp định của Vương quốc Anh với Chile,134 Đan Mạch,135 Cộng hòa Ireland,136 Hoa Kỳ137</w:t>
      </w:r>
    </w:p>
    <w:p>
      <w:pPr>
        <w:spacing w:after="80"/>
      </w:pPr>
      <w:r>
        <w:rPr>
          <w:b w:val="0"/>
          <w:i w:val="0"/>
        </w:rPr>
        <w:t>và Thụy Sĩ138 là những ví dụ quy định ưu đãi đối với các khoản đóng góp vào một quỹ hưu trí được thành lập tại một quốc gia ký kết liên quan đến việc làm được thực hiện tại quốc gia ký kết kia. Trong mỗi trường hợp, ưu đãi phải tuân theo các điều kiện chi tiết mà, nói một cách tổng quát, phản ánh mô hình được luật nội địa Vương quốc Anh áp dụng theo FA 2004 liên quan đến các thành viên di trú của các quỹ nước ngoài. Một ví dụ ban đầu của các quy định này được chứa trong Hiệp định Ireland-Vương quốc Anh, với nội dung như sau:</w:t>
      </w:r>
    </w:p>
    <w:p>
      <w:pPr>
        <w:spacing w:after="80"/>
      </w:pPr>
      <w:r>
        <w:rPr>
          <w:b w:val="0"/>
          <w:i w:val="0"/>
        </w:rPr>
        <w:t>17A(1) Theo các điều kiện quy định tại khoản (2) của Điều này, khi một người lao động ('người lao động'), là thành viên của một quỹ hưu trí đã được phê duyệt hoặc đang được xem xét phê duyệt theo pháp luật của một trong các Quốc gia ký kết, thực hiện việc làm của mình tại Quốc gia ký kết kia:</w:t>
      </w:r>
    </w:p>
    <w:p>
      <w:pPr>
        <w:spacing w:after="80"/>
      </w:pPr>
      <w:r>
        <w:rPr>
          <w:b w:val="0"/>
          <w:i w:val="0"/>
        </w:rPr>
        <w:t>129.FA 2004, s. 189(2).130.Xem FA 2004, s. 243 và Sch. 33.131.Xem FA 2004, Sch. 33, para. 5.132.FA 2004, Sch. 33, para. 1(1).133.FA 2004, Sch. 33, para. 4.134.Hiệp định thuế Chile-Vương quốc Anh (2003), art. 17(3).135.Công ước giữa Chính phủ Vương quốc Liên hiệp Anh và Bắc Ireland và Chính phủ Đan Mạch về Tránh đánh thuế hai lần và Ngăn ngừa trốn thuế tài chính đối với Thuế thu nhập và Lợi nhuận vốn Công ước ngày 11 tháng 11 năm 1980 (SI 1980/1960), art. 28(3).136.Hiệp định thuế Ireland-Vương quốc Anh (1976), art. 17A.137.Hiệp định thuế Hoa Kỳ-Vương quốc Anh (2001), art. 18.138.Hiệp định thuế Thụy Sĩ-Vương quốc Anh (1977), art. 18.</w:t>
      </w:r>
    </w:p>
    <w:p>
      <w:pPr>
        <w:spacing w:after="80"/>
      </w:pPr>
      <w:r>
        <w:rPr>
          <w:b w:val="0"/>
          <w:i w:val="0"/>
        </w:rPr>
        <w:t>370</w:t>
      </w:r>
    </w:p>
    <w:p>
      <w:pPr>
        <w:spacing w:after="80"/>
      </w:pPr>
      <w:r>
        <w:rPr>
          <w:b w:val="0"/>
          <w:i w:val="0"/>
        </w:rPr>
        <w:t>(a) các khoản đóng góp do người lao động trả cho quỹ đó trong khoảng thời gian mà người đó</w:t>
      </w:r>
    </w:p>
    <w:p>
      <w:pPr>
        <w:spacing w:after="80"/>
      </w:pPr>
      <w:r>
        <w:rPr>
          <w:b w:val="0"/>
          <w:i w:val="0"/>
        </w:rPr>
        <w:t>hưởng lợi từ việc làm của mình ở Quốc gia khác đó sẽ được khấu trừ khi tính thu nhập chịu thuế ở Quốc gia đó trong giới hạn áp dụng như thể các khoản đóng góp đã được trả cho một chương trình hưu trí đã được phê duyệt theo pháp luật của Quốc gia đó; và (b) các khoản thanh toán được thực hiện cho chương trình bởi hoặc thay mặt cho người sử dụng lao động của mình trong khoảng thời gian đó:</w:t>
      </w:r>
    </w:p>
    <w:p>
      <w:pPr>
        <w:spacing w:after="80"/>
      </w:pPr>
      <w:r>
        <w:rPr>
          <w:b w:val="0"/>
          <w:i w:val="0"/>
        </w:rPr>
        <w:t>(iii) sẽ không được coi là một phần thu nhập chịu thuế của người lao động, và (iv) sẽ được cho phép như một khoản khấu trừ khi tính lợi nhuận của người sử dụng lao động,</w:t>
      </w:r>
    </w:p>
    <w:p>
      <w:pPr>
        <w:spacing w:after="80"/>
      </w:pPr>
      <w:r>
        <w:rPr>
          <w:b w:val="0"/>
          <w:i w:val="0"/>
        </w:rPr>
        <w:t>ở Quốc gia khác đó.</w:t>
      </w:r>
    </w:p>
    <w:p>
      <w:pPr>
        <w:spacing w:after="80"/>
      </w:pPr>
      <w:r>
        <w:rPr>
          <w:b w:val="0"/>
          <w:i w:val="0"/>
        </w:rPr>
        <w:t>Kết quả là, cả khoản đóng góp của người sử dụng lao động và người lao động sẽ đủ điều kiện để được giảm trừ ở đó — khoản đóng góp của người lao động sẽ được khấu trừ khi tính thu nhập chịu thuế trong giới hạn do quốc gia làm việc áp đặt, như thể chúng đã được trả cho một chương trình hưu trí địa phương. Tương tự, khoản đóng góp của người sử dụng lao động được khấu trừ bởi người sử dụng lao động và không được coi là một phần thu nhập chịu thuế của người lao động. Chỉ những người lao động là thành viên của một chương trình hưu trí được phê duyệt ở một quốc gia ký kết và đang làm việc ở quốc gia ký kết kia mới đủ điều kiện hưởng lợi ích này. Ngoài ra, Hiệp định Ireland-UK chẳng hạn, áp đặt một số điều kiện nhìn chung tương đồng với các quy định nội địa của UK mà phải được đáp ứng:</w:t>
      </w:r>
    </w:p>
    <w:p>
      <w:pPr>
        <w:spacing w:after="80"/>
      </w:pPr>
      <w:r>
        <w:rPr>
          <w:b w:val="0"/>
          <w:i w:val="0"/>
        </w:rPr>
        <w:t>17A(2) Các điều kiện được quy định trong khoản này là:</w:t>
      </w:r>
    </w:p>
    <w:p>
      <w:pPr>
        <w:spacing w:after="80"/>
      </w:pPr>
      <w:r>
        <w:rPr>
          <w:b w:val="0"/>
          <w:i w:val="0"/>
        </w:rPr>
        <w:t>(a) người lao động được tuyển dụng ở Quốc gia ký kết kia bởi người</w:t>
      </w:r>
    </w:p>
    <w:p>
      <w:pPr>
        <w:spacing w:after="80"/>
      </w:pPr>
      <w:r>
        <w:rPr>
          <w:b w:val="0"/>
          <w:i w:val="0"/>
        </w:rPr>
        <w:t>đã là người sử dụng lao động của mình ngay trước khi anh ta bắt đầu thực hiện công việc của mình ở Quốc gia đó hoặc bởi một người sử dụng lao động liên kết của người sử dụng lao động đó; (b) người lao động không phải là cư dân của Quốc gia đó ngay trước khi anh ta bắt đầu</w:t>
      </w:r>
    </w:p>
    <w:p>
      <w:pPr>
        <w:spacing w:after="80"/>
      </w:pPr>
      <w:r>
        <w:rPr>
          <w:b w:val="0"/>
          <w:i w:val="0"/>
        </w:rPr>
        <w:t>thực hiện công việc của mình ở đó; (c) vào thời điểm các khoản đóng góp được đề cập trong khoản (1)(a) của Điều này</w:t>
      </w:r>
    </w:p>
    <w:p>
      <w:pPr>
        <w:spacing w:after="80"/>
      </w:pPr>
      <w:r>
        <w:rPr>
          <w:b w:val="0"/>
          <w:i w:val="0"/>
        </w:rPr>
        <w:t>được trả, hoặc các khoản thanh toán được đề cập trong khoản (1)(b) của Điều này được thực hiện, cho chương trình mà người lao động đã thực hiện công việc của mình ở Quốc gia đó trong: (v) ít hơn mười năm khi anh ta là cư dân của Quốc gia ký kết được đề cập đầu tiên</w:t>
      </w:r>
    </w:p>
    <w:p>
      <w:pPr>
        <w:spacing w:after="80"/>
      </w:pPr>
      <w:r>
        <w:rPr>
          <w:b w:val="0"/>
          <w:i w:val="0"/>
        </w:rPr>
        <w:t>ngay trước khi anh ta bắt đầu thực hiện công việc của mình ở Quốc gia ký kết kia, hoặc (vi) ít hơn năm năm trong các trường hợp khác.</w:t>
      </w:r>
    </w:p>
    <w:p>
      <w:pPr>
        <w:spacing w:after="80"/>
      </w:pPr>
      <w:r>
        <w:rPr>
          <w:b w:val="0"/>
          <w:i w:val="0"/>
        </w:rPr>
        <w:t>Do đó, những lợi ích này chỉ dành cho những người lao động chuyển từ quốc gia ký kết này sang quốc gia ký kết kia trong quá trình làm việc hiện tại để làm việc ở quốc gia thứ hai và không phải là cư dân ở đó ngay trước khi bắt đầu làm việc ở quốc gia làm việc. Lợi ích này cũng phụ thuộc vào giới hạn thời gian. Các khoản đóng góp sẽ chỉ đủ điều kiện nếu công việc được thực hiện ít hơn mười năm ở quốc gia nơi quỹ không được thành lập nếu anh ta hoặc cô ta là cư dân của quốc gia nơi quỹ được thành lập ngay trước khi bắt đầu làm việc ở quốc gia kia. Trong các trường hợp khác, nó áp dụng khi người lao động đã thực hiện công việc của mình ở quốc gia nơi quỹ không được thành lập ít hơn năm năm. Việc làm sẽ đủ điều kiện với cùng một người sử dụng lao động hoặc một người sử dụng lao động liên kết.</w:t>
      </w:r>
    </w:p>
    <w:p>
      <w:pPr>
        <w:spacing w:after="80"/>
      </w:pPr>
      <w:r>
        <w:rPr>
          <w:b w:val="0"/>
          <w:i w:val="0"/>
        </w:rPr>
        <w:t>Các hiệp định này vẫn chưa giải quyết toàn diện các vấn đề về thỏa thuận hưu trí xuyên biên giới. Hiệp định UK-US là hiệp định đầu tiên cố gắng tiếp cận toàn diện hơn</w:t>
      </w:r>
    </w:p>
    <w:p>
      <w:pPr>
        <w:spacing w:after="80"/>
      </w:pPr>
      <w:r>
        <w:rPr>
          <w:b w:val="0"/>
          <w:i w:val="0"/>
        </w:rPr>
        <w:t>371</w:t>
      </w:r>
    </w:p>
    <w:p>
      <w:pPr>
        <w:spacing w:after="80"/>
      </w:pPr>
      <w:r>
        <w:rPr>
          <w:b w:val="0"/>
          <w:i w:val="0"/>
        </w:rPr>
        <w:t>đối với việc đánh thuế lương hưu và các khoản thanh toán lương hưu. Hiệp định Ireland-UK, trong khi chỉ quy định giảm trừ cho các khoản đóng góp hưu trí, đã giải quyết vấn đề này trong bối cảnh lương hưu nghề nghiệp. Giảm trừ cho các khoản đóng góp của cá nhân tự kinh doanh được đề cập trong Hiệp định UK-US. Một xu hướng theo hướng này được chỉ ra trong các hiệp định của UK với Chile và Thụy Sĩ.</w:t>
      </w:r>
    </w:p>
    <w:p>
      <w:pPr>
        <w:spacing w:after="80"/>
      </w:pPr>
      <w:r>
        <w:rPr>
          <w:b w:val="0"/>
          <w:i w:val="0"/>
        </w:rPr>
        <w:t xml:space="preserve">Một chế độ toàn diện hơn cho các khoản đóng góp hưu trí xuyên biên giới vào các chương trình hưu trí 'được công nhận' đã được đưa vào các hiệp định của UK với Hà Lan,139 Thụy Sĩ140 và Barbados.141 Mặc dù các điều kiện chính xác để được giảm trừ khác nhau giữa các hiệp định, các yếu tố chung được phản ánh trong Điều 18 của Hiệp định Thụy Sĩ-UK. Hiệu lực của Điều 18(3) của hiệp định đó đã được Thẩm phán Tòa án sơ thẩm Walters QC tóm tắt trong </w:t>
      </w:r>
      <w:r>
        <w:rPr>
          <w:b w:val="0"/>
          <w:i/>
        </w:rPr>
        <w:t xml:space="preserve"> Haseldine v HMRC </w:t>
      </w:r>
      <w:r>
        <w:rPr>
          <w:b w:val="0"/>
          <w:i w:val="0"/>
        </w:rPr>
        <w:t>142 như sau: các khoản đóng góp của một cá nhân làm công ăn lương hoặc tự kinh doanh ở một quốc gia ('quốc gia tiếp nhận') sẽ được khấu trừ cho mục đích thuế ở quốc gia đó (bất chấp pháp luật nội địa có quy định ngược lại) với điều kiện là:</w:t>
      </w:r>
    </w:p>
    <w:p>
      <w:pPr>
        <w:spacing w:after="80"/>
      </w:pPr>
      <w:r>
        <w:rPr>
          <w:b w:val="0"/>
          <w:i w:val="0"/>
        </w:rPr>
        <w:t>(a) chương trình hưu trí được 'công nhận cho mục đích thuế' ở 'quốc gia gốc'; và (b) một khoản khấu trừ tương tự được cho phép ở 'quốc gia tiếp nhận' (UK) đối với các khoản đóng góp được thực hiện</w:t>
      </w:r>
    </w:p>
    <w:p>
      <w:pPr>
        <w:spacing w:after="80"/>
      </w:pPr>
      <w:r>
        <w:rPr>
          <w:b w:val="0"/>
          <w:i w:val="0"/>
        </w:rPr>
        <w:t>vào một chương trình hưu trí được ‘công nhận vì mục đích thuế’ ở ‘quốc gia tiếp nhận’ (Vương quốc Anh).</w:t>
      </w:r>
    </w:p>
    <w:p>
      <w:pPr>
        <w:spacing w:after="80"/>
      </w:pPr>
      <w:r>
        <w:rPr>
          <w:b w:val="0"/>
          <w:i w:val="0"/>
        </w:rPr>
        <w:t>Một chương trình hưu trí được ‘công nhận vì mục đích thuế’ ở một quốc gia ký kết nếu (</w:t>
      </w:r>
      <w:r>
        <w:rPr>
          <w:b w:val="0"/>
          <w:i/>
        </w:rPr>
        <w:t>inter alia</w:t>
      </w:r>
      <w:r>
        <w:rPr>
          <w:b w:val="0"/>
          <w:i w:val="0"/>
        </w:rPr>
        <w:t>) các khoản đóng góp đủ điều kiện được giảm thuế ở quốc gia đó theo Điều 18(5)(b). Điều 18(3), ông nói, do đó mang tính chất của một điều khoản chống phân biệt đối xử. Người nộp thuế, một cư dân Vương quốc Anh, đã thực hiện các khoản đóng góp tự nguyện hàng năm của người sử dụng lao động và người lao động vào OASI, một chương trình tự nguyện do nhà nước Thụy Sĩ điều hành dành cho công dân Thụy Sĩ cư trú ở nước ngoài. Bà đã không thuyết phục được Tòa án rằng các yêu cầu của hiệp định để được giảm thuế đã được đáp ứng. Người nộp thuế không có người đại diện và Tòa án, làm việc với các bằng chứng và lập luận được đưa ra, đã không tìm thấy bằng chứng nào để bác bỏ tuyên bố của HMRC rằng chương trình này không được ‘công nhận vì mục đích thuế’ ở Vương quốc Anh như yêu cầu của Điều 18(3). Điều 18(5)(b) quy định rằng một chương trình hưu trí được ‘công nhận vì mục đích thuế’ ở một quốc gia ký kết nếu (</w:t>
      </w:r>
      <w:r>
        <w:rPr>
          <w:b w:val="0"/>
          <w:i/>
        </w:rPr>
        <w:t>inter alia</w:t>
      </w:r>
      <w:r>
        <w:rPr>
          <w:b w:val="0"/>
          <w:i w:val="0"/>
        </w:rPr>
        <w:t xml:space="preserve">) các khoản đóng góp đủ điều kiện được giảm thuế ở quốc gia đó. Tòa án nhận thấy rằng chương trình quốc gia ở Vương quốc Anh cung cấp trợ cấp hưu trí để đổi lấy các khoản đóng góp Bảo hiểm Quốc gia không phải là một chương trình hưu trí được công nhận vì mục đích thuế ở Vương quốc Anh bởi vì các khoản đóng góp Bảo hiểm Quốc gia không đủ điều kiện được giảm thuế ở Vương quốc Anh. Kết luận này không thỏa đáng vì các khoản đóng góp được thực hiện theo </w:t>
      </w:r>
      <w:r>
        <w:rPr>
          <w:b w:val="0"/>
          <w:i/>
        </w:rPr>
        <w:t>Social Security Contributions and Benefits Act</w:t>
      </w:r>
      <w:r>
        <w:rPr>
          <w:b w:val="0"/>
          <w:i w:val="0"/>
        </w:rPr>
        <w:t xml:space="preserve"> 1992, Phần 1 được khấu trừ vì mục đích thuế doanh nghiệp trong phạm vi chúng là các khoản đóng góp Class 1 thứ cấp hoặc các khoản đóng góp Class 1A hoặc Class 1B.143 Ngay cả khi điều này không đúng, người nộp thuế vẫn sẽ thất bại. Điều 18(4)(c) giới hạn việc giảm thuế cho các trường hợp mà trong số những điều khác, chương trình hưu trí phải được ‘cơ quan có thẩm quyền của quốc gia tiếp nhận chấp nhận là nói chung</w:t>
      </w:r>
    </w:p>
    <w:p>
      <w:pPr>
        <w:spacing w:after="80"/>
      </w:pPr>
      <w:r>
        <w:rPr>
          <w:b w:val="0"/>
          <w:i w:val="0"/>
        </w:rPr>
        <w:t xml:space="preserve">139. Hiệp định Thuế Hà Lan - Vương quốc Anh (2008), Điều 17(6). 140. Hiệp định Thuế Thụy Sĩ - Vương quốc Anh (1977), Điều 18(3) được bổ sung bởi Nghị định thư ngày 26 tháng 6 năm 2007, Điều VIII, có hiệu lực từ ngày 22 tháng 12 năm 2008. 141. Hiệp định Thuế Barbados - Vương quốc Anh (2012), Điều 17(3). 142. </w:t>
      </w:r>
      <w:r>
        <w:rPr>
          <w:b w:val="0"/>
          <w:i/>
        </w:rPr>
        <w:t>Haseldine v Revenue &amp; Customs</w:t>
      </w:r>
      <w:r>
        <w:rPr>
          <w:b w:val="0"/>
          <w:i w:val="0"/>
        </w:rPr>
        <w:t xml:space="preserve"> [2012] TC 02157 [2012] UKFTT 480 (TC) tại đoạn 28. 143. Xem, ví dụ, CTA 2009, s. 1302.</w:t>
      </w:r>
    </w:p>
    <w:p>
      <w:pPr>
        <w:spacing w:after="80"/>
      </w:pPr>
      <w:r>
        <w:rPr>
          <w:b w:val="0"/>
          <w:i w:val="0"/>
        </w:rPr>
        <w:t>372</w:t>
      </w:r>
    </w:p>
    <w:p>
      <w:pPr>
        <w:spacing w:after="80"/>
      </w:pPr>
      <w:r>
        <w:rPr>
          <w:b w:val="0"/>
          <w:i w:val="0"/>
        </w:rPr>
        <w:t>tương ứng với một chương trình hưu trí được quốc gia đó công nhận như vậy vì mục đích thuế’. Một tuyên bố của HMRC rằng chương trình OASI đã không được chấp nhận như vậy đã chấm dứt vấn đề. Nếu không có sự đồng ý của HMRC, việc giảm thuế theo hiệp định sẽ không có sẵn. Liệu họ có thể được yêu cầu chấp nhận một chương trình hay không là một vấn đề của luật hành chính.144</w:t>
      </w:r>
    </w:p>
    <w:p>
      <w:pPr>
        <w:spacing w:after="80"/>
      </w:pPr>
      <w:r>
        <w:rPr>
          <w:b w:val="0"/>
          <w:i w:val="0"/>
        </w:rPr>
        <w:t>Ngoài việc thiếu giảm thuế cho các khoản đóng góp trong các hiệp định cũ hơn, việc thiếu các biện pháp cụ thể cũng đặt ra câu hỏi về cách phân loại lợi nhuận đầu tư của quỹ hưu trí khi lương hưu được tài trợ bởi các khoản đóng góp của chính cá nhân nếu chúng không được công nhận cụ thể theo chế độ hưu trí như vậy. Điều 18(2) của Hiệp định Hoa Kỳ - Vương quốc Anh mở rộng việc giảm thuế cho những người tham gia các chương trình hưu trí liên quan đến tự kinh doanh cùng với việc làm. Điều này áp dụng trong cả hai trường hợp chỉ khi việc làm hoặc tự kinh doanh bắt đầu ở quốc gia ký kết kia. Ngoài ra, chương trình hưu trí phải ‘nói chung tương ứng’ với một chương trình hưu trí được thiết lập ở quốc gia kia. Sự tương ứng chung là một cách diễn đạt rộng rãi hơn so với yêu cầu theo luật trong nước và như được yêu cầu, ví dụ, theo Điều 28 của hiệp định thuế hai lần Đan Mạch - Vương quốc Anh. Việc trao đổi công hàm ngày 24 tháng 7 năm 2001 liên quan đến Hiệp định Hoa Kỳ - Vương quốc Anh liệt kê một số chương trình hưu trí cho mục đích của hiệp định và bao gồm các thỏa thuận liên quan đến việc làm ở Vương quốc Anh và lương hưu cá nhân.145 Các kế hoạch hiện có của Hoa Kỳ cũng được bao gồm, cũng như bất kỳ ‘chương trình giống hệt hoặc về cơ bản tương tự’ nào được thiết lập theo luật được ban hành sau ngày ký kết hiệp định. Hiệp định còn quy định rằng khi một cá nhân cư trú ở một quốc gia ký kết là thành viên hoặc người tham gia một chương trình hưu trí được thiết lập ở quốc gia ký kết kia, thu nhập kiếm được bởi chương trình hưu trí chỉ có thể bị đánh thuế như thu nhập của cá nhân đó – khi nó được trả cho hoặc vì lợi ích của cá nhân đó và đặc biệt là khi nó không được chuyển sang một chương trình khác.146 Khi cá nhân thực hiện các khoản đóng góp liên quan đến thu nhập hoặc lợi nhuận bị đánh thuế theo cơ sở chuyển tiền, thì việc giảm thuế có thể được giảm tương ứng với số tiền chưa chuyển.147 Hơn nữa, như một sự thúc đẩy cho ngành hưu trí Vương quốc Anh, các khoản đóng góp của công dân Hoa Kỳ cư trú ở Vương quốc Anh và được thuê bởi một cư dân Vương quốc Anh hoặc một cơ sở thường trú ở Vương quốc Anh có thể đóng góp vào các chương trình hưu trí của Vương quốc Anh cho mục đích thuế Hoa Kỳ và các khoản đóng góp được coi là được khấu trừ (hoặc có thể loại trừ) khi tính thu nhập chịu thuế ở Hoa Kỳ.148</w:t>
      </w:r>
    </w:p>
    <w:p>
      <w:pPr>
        <w:spacing w:after="80"/>
      </w:pPr>
      <w:r>
        <w:rPr>
          <w:b/>
          <w:i w:val="0"/>
        </w:rPr>
        <w:t>§11.17 LƯƠNG HƯU CHÍNH PHỦ</w:t>
      </w:r>
    </w:p>
    <w:p>
      <w:pPr>
        <w:spacing w:after="80"/>
      </w:pPr>
      <w:r>
        <w:rPr>
          <w:b w:val="0"/>
          <w:i w:val="0"/>
        </w:rPr>
        <w:t>Lương hưu chính phủ được đối xử riêng theo các hiệp định. Chúng thường được loại khỏi điều khoản về lương hưu và được đề cập trong điều khoản về dịch vụ chính phủ. Các quy định của Mẫu OECD được chứa trong Điều 19(2) của hiệp định thuế hai lần Việt Nam - Vương quốc Anh như sau:</w:t>
      </w:r>
    </w:p>
    <w:p>
      <w:pPr>
        <w:spacing w:after="80"/>
      </w:pPr>
      <w:r>
        <w:rPr>
          <w:b w:val="0"/>
          <w:i w:val="0"/>
        </w:rPr>
        <w:t>144. Xem Chương 20, §20.02. 145. Trao đổi công hàm liên quan đến Điều 3(1)(o). Xem thêm biên bản ghi nhớ về các chương trình hưu trí giữa Vương quốc Anh và Thụy Sĩ ngày 12 tháng 2 năm 2008. 146. Hiệp định Thuế Hoa Kỳ - Vương quốc Anh (2001), Điều 18(1). 147. Hiệp định Thuế Hoa Kỳ - Vương quốc Anh (2001), Điều 18(4). 148. Hiệp định Thuế Hoa Kỳ - Vương quốc Anh (2001), Điều 18(5).</w:t>
      </w:r>
    </w:p>
    <w:p>
      <w:pPr>
        <w:spacing w:after="80"/>
      </w:pPr>
      <w:r>
        <w:rPr>
          <w:b w:val="0"/>
          <w:i w:val="0"/>
        </w:rPr>
        <w:t>373</w:t>
      </w:r>
    </w:p>
    <w:p>
      <w:pPr>
        <w:spacing w:after="80"/>
      </w:pPr>
      <w:r>
        <w:rPr>
          <w:b w:val="0"/>
          <w:i w:val="0"/>
        </w:rPr>
        <w:t>(a) Bất kỳ lương hưu nào được trả bởi, hoặc từ các quỹ được tạo ra bởi, một Quốc gia ký kết hoặc một</w:t>
      </w:r>
    </w:p>
    <w:p>
      <w:pPr>
        <w:spacing w:after="80"/>
      </w:pPr>
      <w:r>
        <w:rPr>
          <w:b w:val="0"/>
          <w:i w:val="0"/>
        </w:rPr>
        <w:t>phân khu chính trị hoặc chính quyền địa phương của quốc gia đó cho một cá nhân liên quan đến các dịch vụ được cung cấp cho Quốc gia hoặc phân khu hoặc chính quyền đó sẽ chỉ bị đánh thuế ở Quốc gia đó. (b) Bất chấp các quy định của tiểu đoạn (a) của đoạn này,</w:t>
      </w:r>
    </w:p>
    <w:p>
      <w:pPr>
        <w:spacing w:after="80"/>
      </w:pPr>
      <w:r>
        <w:rPr>
          <w:b w:val="0"/>
          <w:i w:val="0"/>
        </w:rPr>
        <w:t>lương hưu đó sẽ chỉ bị đánh thuế ở Quốc gia ký kết kia nếu cá nhân đó là cư dân và là công dân của Quốc gia đó.</w:t>
      </w:r>
    </w:p>
    <w:p>
      <w:pPr>
        <w:spacing w:after="80"/>
      </w:pPr>
      <w:r>
        <w:rPr>
          <w:b w:val="0"/>
          <w:i w:val="0"/>
        </w:rPr>
        <w:t xml:space="preserve">Như với thu nhập từ việc làm, có sự phân biệt giữa những người lao động thực hiện chức năng nhà nước và những người không thực hiện. </w:t>
      </w:r>
      <w:r>
        <w:rPr>
          <w:b w:val="0"/>
          <w:i/>
        </w:rPr>
        <w:t>Double Taxation Relief Manual</w:t>
      </w:r>
      <w:r>
        <w:rPr>
          <w:b w:val="0"/>
          <w:i w:val="0"/>
        </w:rPr>
        <w:t xml:space="preserve"> của HMRC lưu ý rằng việc làm với một cơ quan theo luật định được thành lập bởi một quốc gia thường không được coi là liên quan đến việc thanh toán bởi hoặc việc cung cấp dịch vụ cho quốc gia đó, ngay cả khi cơ quan đó được thành lập và tài trợ bởi quốc gia. Tương tự, người lao động trong các ngành công nghiệp quốc hữu hóa không được coi là thuộc dịch vụ chính phủ. HMRC đưa ra ví dụ về các thành viên lực lượng vũ trang hoặc giáo viên được thuê bởi một chính quyền địa phương là được nhà nước trả tiền cho các dịch vụ được cung cấp cho nhà nước đó. Người góa phụ hoặc người phụ thuộc của một cá nhân đã cung cấp dịch vụ cho một quốc gia được coi là được quốc gia kia trả tiền cho các dịch vụ được cung cấp cho quốc gia đó.149</w:t>
      </w:r>
    </w:p>
    <w:p>
      <w:pPr>
        <w:spacing w:after="80"/>
      </w:pPr>
      <w:r>
        <w:rPr>
          <w:b w:val="0"/>
          <w:i w:val="0"/>
        </w:rPr>
        <w:t>Như với các dịch vụ chính phủ, quyền tài phán đánh thuế thường được dành cho quốc gia trả tiền. Cư dân và công dân của quốc gia ký kết kia thường chỉ bị đánh thuế ở quốc gia đó, để tạo điều kiện thuê nhân viên địa phương.150</w:t>
      </w:r>
    </w:p>
    <w:p>
      <w:pPr>
        <w:spacing w:after="80"/>
      </w:pPr>
      <w:r>
        <w:rPr>
          <w:b w:val="0"/>
          <w:i w:val="0"/>
        </w:rPr>
        <w:t xml:space="preserve">149. HMRC, Double Taxation Relief Manual, DT908. 150. Xem </w:t>
      </w:r>
      <w:r>
        <w:rPr>
          <w:b w:val="0"/>
          <w:i/>
        </w:rPr>
        <w:t>Percival v Revenue &amp; Customs</w:t>
      </w:r>
      <w:r>
        <w:rPr>
          <w:b w:val="0"/>
          <w:i w:val="0"/>
        </w:rPr>
        <w:t xml:space="preserve"> [2013] TC 02654 [2013] UKFTT 240 (TC) về hoạt động của các quy định này.</w:t>
      </w:r>
    </w:p>
    <w:p>
      <w:pPr>
        <w:spacing w:after="80"/>
      </w:pPr>
      <w:r>
        <w:rPr>
          <w:b w:val="0"/>
          <w:i w:val="0"/>
        </w:rPr>
        <w:t>374</w:t>
      </w:r>
    </w:p>
    <w:p>
      <w:pPr>
        <w:spacing w:before="240" w:after="80"/>
      </w:pPr>
      <w:r>
        <w:rPr>
          <w:b/>
          <w:sz w:val="32"/>
        </w:rPr>
        <w:t>CHƯƠNG 12 Lợi nhuận vốn</w:t>
      </w:r>
    </w:p>
    <w:p>
      <w:pPr>
        <w:spacing w:after="80"/>
      </w:pPr>
      <w:r>
        <w:rPr>
          <w:b/>
          <w:i w:val="0"/>
        </w:rPr>
        <w:t>§12.01 GIỚI THIỆU</w:t>
      </w:r>
    </w:p>
    <w:p>
      <w:pPr>
        <w:spacing w:after="80"/>
      </w:pPr>
      <w:r>
        <w:rPr>
          <w:b w:val="0"/>
          <w:i w:val="0"/>
        </w:rPr>
        <w:t>Cách tiếp cận được áp dụng trong các hiệp định theo Mô hình OECD đối với việc đánh thuế lợi nhuận vốn (capital gains), nói một cách tổng quát, tương tự như cách tiếp cận theo luật nội địa của Vương quốc Anh – nguyên tắc cơ bản là lợi nhuận vốn nói chung chỉ bị đánh thuế tại quốc gia cư trú của bên ký kết. Một cách diễn đạt điển hình của quy tắc hiệp định này được tìm thấy tại Điều 13(4) của hiệp định đánh thuế hai lần Bangladesh-Vương quốc Anh, với nội dung như sau:</w:t>
      </w:r>
    </w:p>
    <w:p>
      <w:pPr>
        <w:spacing w:after="80"/>
      </w:pPr>
      <w:r>
        <w:rPr>
          <w:b w:val="0"/>
          <w:i w:val="0"/>
        </w:rPr>
        <w:t>Lợi nhuận vốn từ việc chuyển nhượng bất kỳ tài sản nào khác ngoài những tài sản được đề cập tại các khoản (1), (2) và (3) của Điều này chỉ bị đánh thuế tại Quốc gia ký kết mà bên chuyển nhượng là cư dân.</w:t>
      </w:r>
    </w:p>
    <w:p>
      <w:pPr>
        <w:spacing w:after="80"/>
      </w:pPr>
      <w:r>
        <w:rPr>
          <w:b w:val="0"/>
          <w:i w:val="0"/>
        </w:rPr>
        <w:t xml:space="preserve">Phần còn lại của điều khoản này tạo thành các ngoại lệ đối với quy tắc chung. Hiệu lực của quy tắc chung này đã được các Ủy viên Đặc biệt (Special Commissioners) giải thích trong </w:t>
      </w:r>
      <w:r>
        <w:rPr>
          <w:b w:val="0"/>
          <w:i/>
        </w:rPr>
        <w:t>Trevor Smallwood Trust v HMRC</w:t>
      </w:r>
      <w:r>
        <w:rPr>
          <w:b w:val="0"/>
          <w:i w:val="0"/>
        </w:rPr>
        <w:t xml:space="preserve"> như sau:1</w:t>
      </w:r>
    </w:p>
    <w:p>
      <w:pPr>
        <w:spacing w:after="80"/>
      </w:pPr>
      <w:r>
        <w:rPr>
          <w:b w:val="0"/>
          <w:i w:val="0"/>
        </w:rPr>
        <w:t>Điều 13(4), liên quan đến lợi nhuận từ tất cả các tài sản khác (do đó bao gồm cả tài sản tại quốc gia thứ ba), mang tính tổng quát hơn và không đề cập đến nguồn gốc. Điều này quy định rằng nếu bên chuyển nhượng là Cư dân Hiệp định tại một quốc gia thì lợi nhuận chỉ bị đánh thuế tại quốc gia đó… Kết quả là nếu quốc gia không phải quốc gia Cư trú Hiệp định đánh thuế theo luật nội địa của mình trên bất kỳ cơ sở nào khác ngoài Cư trú Hiệp định thì Hiệp định sẽ ngăn chặn điều đó. Sẽ không có phạm vi nào cho bất kỳ cơ sở đánh thuế nào tại quốc gia không phải quốc gia Cư trú Hiệp định được tiếp tục. Những từ ngữ rõ ràng ‘chỉ bị đánh thuế’ tại quốc gia Cư trú Hiệp định có nghĩa đúng như những gì chúng nói.2</w:t>
      </w:r>
    </w:p>
    <w:p>
      <w:pPr>
        <w:spacing w:after="80"/>
      </w:pPr>
      <w:r>
        <w:rPr>
          <w:b w:val="0"/>
          <w:i w:val="0"/>
        </w:rPr>
        <w:t>Nguyên tắc này vẫn nguyên vẹn tại Tòa Phúc thẩm (Court of Appeal), nơi tập trung vào thời điểm kiểm tra tình trạng cư trú theo Điều 4 để áp dụng Điều 13(4).3</w:t>
      </w:r>
    </w:p>
    <w:p>
      <w:pPr>
        <w:spacing w:after="80"/>
      </w:pPr>
      <w:r>
        <w:rPr>
          <w:b w:val="0"/>
          <w:i w:val="0"/>
        </w:rPr>
        <w:t>1.(2008) Sp C 669.2.Tại đoạn 103.3.</w:t>
      </w:r>
      <w:r>
        <w:rPr>
          <w:b w:val="0"/>
          <w:i/>
        </w:rPr>
        <w:t>Revenue and Customs Commissioners v Smallwood &amp; Anor</w:t>
      </w:r>
      <w:r>
        <w:rPr>
          <w:b w:val="0"/>
          <w:i w:val="0"/>
        </w:rPr>
        <w:t xml:space="preserve"> [2010] STC 2045, [2010] BTC 637 [2010] EWCA Civ 788. Xem Chương 6, §6.04.</w:t>
      </w:r>
    </w:p>
    <w:p>
      <w:pPr>
        <w:spacing w:after="80"/>
      </w:pPr>
      <w:r>
        <w:rPr>
          <w:b w:val="0"/>
          <w:i w:val="0"/>
        </w:rPr>
        <w:t>375</w:t>
      </w:r>
    </w:p>
    <w:p>
      <w:pPr>
        <w:spacing w:after="80"/>
      </w:pPr>
      <w:r>
        <w:rPr>
          <w:b w:val="0"/>
          <w:i w:val="0"/>
        </w:rPr>
        <w:t>Nghĩa vụ thuế nội địa của Vương quốc Anh đối với lợi nhuận vốn phần lớn chỉ giới hạn ở lợi nhuận từ việc chuyển nhượng:</w:t>
      </w:r>
    </w:p>
    <w:p>
      <w:pPr>
        <w:spacing w:after="80"/>
      </w:pPr>
      <w:r>
        <w:rPr>
          <w:b w:val="0"/>
          <w:i w:val="0"/>
        </w:rPr>
        <w:t>– tài sản nằm tại Vương quốc Anh có mối liên hệ liên quan đến chi nhánh hoặc đại lý tại Vương quốc Anh của người đó và được chuyển nhượng vào thời điểm người đó có chi nhánh hoặc đại lý đó;– các tài sản khác là quyền lợi đối với đất đai tại Vương quốc Anh; và– tài sản không thuộc một trong hai loại trên, bất kể nằm ở đâu, mà có ít nhất 75% giá trị bắt nguồn từ đất đai tại Vương quốc Anh khi người thực hiện việc chuyển nhượng được coi là có quyền lợi gián tiếp đáng kể đối với đất đai đó.4</w:t>
      </w:r>
    </w:p>
    <w:p>
      <w:pPr>
        <w:spacing w:after="80"/>
      </w:pPr>
      <w:r>
        <w:rPr>
          <w:b w:val="0"/>
          <w:i w:val="0"/>
        </w:rPr>
        <w:t>Trong trường hợp các công ty không cư trú, nghĩa vụ thuế thu nhập doanh nghiệp cũng tương tự, ngoại trừ việc loại thứ nhất áp dụng cho tài sản nằm tại Vương quốc Anh có mối liên hệ liên quan đến cơ sở thường trú tại Vương quốc Anh của công ty.5 Xem Chương 7 về ý nghĩa của cơ sở thường trú.</w:t>
      </w:r>
    </w:p>
    <w:p>
      <w:pPr>
        <w:spacing w:after="80"/>
      </w:pPr>
      <w:r>
        <w:rPr>
          <w:b w:val="0"/>
          <w:i w:val="0"/>
        </w:rPr>
        <w:t>Không có định nghĩa nào về ‘chuyển nhượng’ (alienation) được tìm thấy trong các hiệp định và thuật ngữ này không được sử dụng trong luật thuế nội địa của Vương quốc Anh. Nghĩa vụ đối với lợi nhuận vốn trong luật nội địa được quy chiếu theo việc chuyển nhượng tài sản,6 một cách diễn đạt mà bản thân nó không được định nghĩa và do đó phải được hiểu theo nghĩa tự nhiên của nó. Trong một số trường hợp nhất định, luật nội địa coi là có sự chuyển nhượng xảy ra trong khi theo nghĩa thông thường thì không có sự chuyển nhượng nào. Những trường hợp này cũng được bao hàm bởi thuật ngữ ‘chuyển nhượng’ trong hiệp định.</w:t>
      </w:r>
    </w:p>
    <w:p>
      <w:pPr>
        <w:spacing w:after="80"/>
      </w:pPr>
      <w:r>
        <w:rPr>
          <w:b w:val="0"/>
          <w:i w:val="0"/>
        </w:rPr>
        <w:t>In the case of non-resident companies, the charge to corporation tax is the sameexceptthatthefirstcategoryappliestoassetssituatedintheUKthathavearelevantconnectiontothecompany’sUKpermanentestablishment.5SeeChapter7onthemeaning of permanent establishment.</w:t>
      </w:r>
    </w:p>
    <w:p>
      <w:pPr>
        <w:spacing w:after="80"/>
      </w:pPr>
      <w:r>
        <w:rPr>
          <w:b w:val="0"/>
          <w:i w:val="0"/>
        </w:rPr>
        <w:t>Nodefinitionof‘alienation’isfoundintreatiesandthetermisnotusedinUKdomestic tax law. The charge in respect of capital gains in domestic law is by referenceto the disposal of assets,6an expression which itself is undefined and therefore must begiven its natural meaning. In certain cases, a disposal is deemed to occur by domesticlawwhere,accordingtotheordinarymeaning,thereisnodisposal.Thesearealsocovered by the treaty term ‘alienation’.</w:t>
      </w:r>
    </w:p>
    <w:p>
      <w:pPr>
        <w:spacing w:after="80"/>
      </w:pPr>
      <w:r>
        <w:rPr>
          <w:b w:val="0"/>
          <w:i w:val="0"/>
        </w:rPr>
        <w:t>Như vậy, không có lời giải thích nào về việc điều gì cấu thành một lợi nhuận (gain) được quy định trong hiệp định. Mặc dù sự phân biệt giữa lãi vốn (capital gain) và một giao dịch chuyển nhượng thuộc phạm vi các quy tắc về thu nhập có thể dẫn đến những hậu quả rất khác nhau theo luật trong nước, nhưng nhu cầu mô tả đặc điểm số tiền thu được từ việc chuyển nhượng vì mục đích hiệp định, khi áp dụng theo mô hình OECD, có thể ít gay cấn hơn. Điều này là bởi vì Điều 13(4) phản ánh, cho mục đích lãi vốn, cách xử lý tổng quát hơn đối với lợi nhuận kinh doanh (business profits) trong Điều 7(1) khi bảo lưu quyền đánh thuế chính và độc quyền cho quốc gia cư trú, và Điều 21 cũng có hiệu lực tương tự đối với các khoản thu nhập khác không được đề cập rõ ràng trong hiệp định. Nghị định thư ngày 26 tháng 9 năm 2008 bổ sung cho Hiệp định Anh-Hà Lan giải quyết một phần xung đột khác giữa các quy định của hiệp định. Điều VI xác định rằng thu nhập liên quan đến việc thanh lý (toàn bộ hoặc một phần) một công ty hoặc việc một công ty mua lại cổ phần của chính mình được xử lý, vì mục đích thuế của Hà Lan, như thu nhập từ cổ phần chứ không phải lãi vốn. Lập trường thuế của Anh không được đề cập, và nghị định thư cũng không chỉ rõ liệu các giao dịch này nên được xử lý như cổ tức trong Điều 10 hay lãi vốn trong Điều 13.</w:t>
      </w:r>
    </w:p>
    <w:p>
      <w:pPr>
        <w:spacing w:after="80"/>
      </w:pPr>
      <w:r>
        <w:rPr>
          <w:b w:val="0"/>
          <w:i w:val="0"/>
        </w:rPr>
        <w:t xml:space="preserve">Trong </w:t>
      </w:r>
      <w:r>
        <w:rPr>
          <w:b w:val="0"/>
          <w:i/>
        </w:rPr>
        <w:t>Gadsden v Minister for National Revenue</w:t>
      </w:r>
      <w:r>
        <w:rPr>
          <w:b w:val="0"/>
          <w:i w:val="0"/>
        </w:rPr>
        <w:t>,7 người nộp thuế, một cư dân Anh, đã chuyển nhượng quyền lợi thu nhập trọn đời của mình trong một quỹ tín thác (trust) theo di chúc của một cá nhân qua đời khi cư trú tại Canada. Theo luật trong nước của Canada, lãi vốn được miễn thuế nhưng</w:t>
      </w:r>
    </w:p>
    <w:p>
      <w:pPr>
        <w:spacing w:after="80"/>
      </w:pPr>
      <w:r>
        <w:rPr>
          <w:b w:val="0"/>
          <w:i w:val="0"/>
        </w:rPr>
        <w:t xml:space="preserve">4. TCGA 1992, s. 1A(3) và thuế doanh nghiệp đối với lãi vốn của các công ty, CTA 2009, s. 5(5) và TCGA 1999, s. 2B(1). Các quy định bổ sung áp dụng cho các phương tiện đầu tư tập thể và nhà đầu tư của chúng, xem TCGA 1992, Sch. 5AAA. 5. TCGA 1992 s. 2C. 6. TCGA 1992, s. 1A(1). 7. </w:t>
      </w:r>
      <w:r>
        <w:rPr>
          <w:b w:val="0"/>
          <w:i/>
        </w:rPr>
        <w:t>Gadsden v Minister for National Revenue</w:t>
      </w:r>
      <w:r>
        <w:rPr>
          <w:b w:val="0"/>
          <w:i w:val="0"/>
        </w:rPr>
        <w:t xml:space="preserve"> [1983] CTC 2132 (TRB).</w:t>
      </w:r>
    </w:p>
    <w:p>
      <w:pPr>
        <w:spacing w:after="80"/>
      </w:pPr>
      <w:r>
        <w:rPr>
          <w:b w:val="0"/>
          <w:i w:val="0"/>
        </w:rPr>
        <w:t>376</w:t>
      </w:r>
    </w:p>
    <w:p>
      <w:pPr>
        <w:spacing w:after="80"/>
      </w:pPr>
      <w:r>
        <w:rPr>
          <w:b w:val="0"/>
          <w:i w:val="0"/>
        </w:rPr>
        <w:t>số tiền thu được từ việc chuyển nhượng quyền lợi thu nhập được tính vào thu nhập. Ban Xét duyệt Thuế Canada (Canadian Tax Review Board) cho rằng không rõ liệu thuật ngữ 'gain' (lợi nhuận) trong Điều 13 có thể áp dụng như nhau cho cả lãi vốn lẫn lợi nhuận kinh doanh (hoặc lợi nhuận từ hoạt động kinh doanh) hay không. Căn cứ vào tiêu đề và phần mở đầu của hiệp định, Ban này kết luận rằng từ đó có nghĩa là lãi vốn. Tuy nhiên, bất chấp việc luật trong nước mô tả số tiền thu được là thu nhập (được đưa ra sau khi ký kết Hiệp định Thuế Thu nhập Canada-Anh (1966)), việc chuyển nhượng quyền lợi thu nhập vẫn được coi là lãi vốn thuộc điều khoản về lãi vốn của hiệp định.</w:t>
      </w:r>
    </w:p>
    <w:p>
      <w:pPr>
        <w:spacing w:after="80"/>
      </w:pPr>
      <w:r>
        <w:rPr>
          <w:b w:val="0"/>
          <w:i w:val="0"/>
        </w:rPr>
        <w:t>Một số hiệp định cũ hơn không có điều khoản về lãi vốn. Hầu hết những hiệp định không có điều khoản này đều ra đời trước khi thuế lãi vốn được áp dụng và được xây dựng theo mô hình thuộc địa. Điều này hiếm gặp ở các hiệp định gần đây hơn. Tuy nhiên, thuế lãi vốn có thể được đưa vào các hiệp định như vậy như một loại thuế 'về cơ bản tương tự' (substantially similar) và việc áp dụng nó được xem xét dựa trên các quy định khác của hiệp định.8</w:t>
      </w:r>
    </w:p>
    <w:p>
      <w:pPr>
        <w:spacing w:after="80"/>
      </w:pPr>
      <w:r>
        <w:rPr>
          <w:b/>
          <w:i w:val="0"/>
        </w:rPr>
        <w:t>§12.02 NGƯỜI PHẢI CHỊU THUẾ</w:t>
      </w:r>
    </w:p>
    <w:p>
      <w:pPr>
        <w:spacing w:after="80"/>
      </w:pPr>
      <w:r>
        <w:rPr>
          <w:b w:val="0"/>
          <w:i w:val="0"/>
        </w:rPr>
        <w:t>Theo cấu trúc của TCGA 1992, người phải chịu thuế chính là người chuyển nhượng hoặc được coi là chuyển nhượng tài sản. Trong bối cảnh Điều 13, người đó được gọi là 'người chuyển nhượng' (alienator). Có những quy định trong luật trong nước nhằm quy kết lợi nhuận của người chuyển nhượng hoặc người bán cho người khác. Đặc biệt quan trọng trong bối cảnh Điều 13 là những quy định quy kết lợi nhuận của người không cư trú cho người cư trú tại Anh. Hiệu lực của Điều 13(4) không chỉ giới hạn ở người chuyển nhượng. Chính khoản lợi nhuận bị loại trừ khỏi thuế dựa trên tình trạng cư trú của người chuyển nhượng.</w:t>
      </w:r>
    </w:p>
    <w:p>
      <w:pPr>
        <w:spacing w:after="80"/>
      </w:pPr>
      <w:r>
        <w:rPr>
          <w:b/>
          <w:i w:val="0"/>
        </w:rPr>
        <w:t>§12.03 LỢI NHUẬN CỦA CÁC CÔNG TY KHÔNG CƯ TRÚ</w:t>
      </w:r>
    </w:p>
    <w:p>
      <w:pPr>
        <w:spacing w:after="80"/>
      </w:pPr>
      <w:r>
        <w:rPr>
          <w:b w:val="0"/>
          <w:i w:val="0"/>
        </w:rPr>
        <w:t>Lợi nhuận của các công ty không cư trú mà nếu cư trú tại Anh sẽ là công ty khép kín (close company) có thể được quy kết cho một số cá nhân cư trú tại Anh theo Luật Thuế Lợi nhuận Chịu thuế 1992 (Taxation of Chargeable Gains Act 1992), Phần 1, Chương 3. Một khoản lợi nhuận chịu thuế phát sinh cho công ty đó được coi như thể một phần tương ứng của khoản lợi nhuận chịu thuế đã phát sinh cho bất kỳ người tham gia nào nắm giữ ít nhất 10% phần tham gia trong công ty.9 Những quy tắc này có thể bị hiệp định ghi đè.10</w:t>
      </w:r>
    </w:p>
    <w:p>
      <w:pPr>
        <w:spacing w:after="80"/>
      </w:pPr>
      <w:r>
        <w:rPr>
          <w:b w:val="0"/>
          <w:i w:val="0"/>
        </w:rPr>
        <w:t>Hiệu lực của các quy định trong hiệp định đối với luật này được pháp luật ghi đè rõ ràng trong trường hợp người được ủy thác của một thỏa thuận tín thác là người tham gia vào công ty đó.11 Khi có những người được ủy thác là người tham gia như vậy, mọi quy định của hiệp định ngăn chặn việc phát sinh nghĩa vụ thuế do quy kết cho người được ủy thác theo s. 13 đều không được áp dụng.12</w:t>
      </w:r>
    </w:p>
    <w:p>
      <w:pPr>
        <w:spacing w:after="80"/>
      </w:pPr>
      <w:r>
        <w:rPr>
          <w:b w:val="0"/>
          <w:i w:val="0"/>
        </w:rPr>
        <w:t>Hơn nữa, nếu công ty được sở hữu bởi một công ty trung gian, mà bản thân công ty trung gian này cũng là người tham gia, và công ty trung gian đó cũng được hiệp định bảo vệ khỏi nghĩa vụ thuế tại Anh, thì khoản lợi nhuận vốn được bảo vệ đó lại được quy kết tiếp cho những người tham gia của nó, và cứ tiếp tục như vậy</w:t>
      </w:r>
    </w:p>
    <w:p>
      <w:pPr>
        <w:spacing w:after="80"/>
      </w:pPr>
      <w:r>
        <w:rPr>
          <w:b w:val="0"/>
          <w:i w:val="0"/>
        </w:rPr>
        <w:t>8. Xem Chương 5, §5.02. 9. TCGA 1992, s. 3. 10. Xem ICAEW Technical Release, TR 500. Tuy nhiên, xem Chương 6, §6.06. 11. TCGA 1992, s. 79B. 12. TCGA 1992, s. 79B(2).</w:t>
      </w:r>
    </w:p>
    <w:p>
      <w:pPr>
        <w:spacing w:after="80"/>
      </w:pPr>
      <w:r>
        <w:rPr>
          <w:b w:val="0"/>
          <w:i w:val="0"/>
        </w:rPr>
        <w:t>377</w:t>
      </w:r>
    </w:p>
    <w:p>
      <w:pPr>
        <w:spacing w:after="80"/>
      </w:pPr>
      <w:r>
        <w:rPr>
          <w:b w:val="0"/>
          <w:i w:val="0"/>
        </w:rPr>
        <w:t>qua bất kỳ số lượng công ty nào.13 Điều này được thực hiện để đảm bảo rằng khoản lợi nhuận bị tước đi quyền miễn trừ theo hiệp định. Một hàm ý của những quy định này là nếu không có chúng, một hiệp định như vậy sẽ ngăn cản việc quy kết theo Phần 1, Chương 3.</w:t>
      </w:r>
    </w:p>
    <w:p>
      <w:pPr>
        <w:spacing w:after="80"/>
      </w:pPr>
      <w:r>
        <w:rPr>
          <w:b/>
          <w:i w:val="0"/>
        </w:rPr>
        <w:t>§12.04 LỢI NHUẬN CỦA CÁC THỎA THUẬN TÍN THÁC KHÔNG CƯ TRÚ</w:t>
      </w:r>
    </w:p>
    <w:p>
      <w:pPr>
        <w:spacing w:after="80"/>
      </w:pPr>
      <w:r>
        <w:rPr>
          <w:b w:val="0"/>
          <w:i w:val="0"/>
        </w:rPr>
        <w:t>Một settlor (người lập quỹ) cư trú tại Vương quốc Anh và được xem là có quyền lợi trong một non-resident hoặc dual-resident settlement (quỹ tín thác không cư trú hoặc cư trú kép) có thể bị quy kết các khoản lợi vốn chịu thuế phát sinh cho các trustee (người quản lý quỹ tín thác) khi chúng phát sinh cho người đó.14 Tương tự, một beneficiary (người thụ hưởng) của một non-resident settlement cư trú hoặc thường trú tại Vương quốc Anh, và đã nhận một capital payment (khoản thanh toán vốn) từ các trustee được khớp với lợi nhuận của quỹ tín thác, sẽ bị quy kết các khoản lợi nhuận đó cho mình trong phạm vi chúng chưa được quy kết cho một settlor theo s. 86.</w:t>
      </w:r>
    </w:p>
    <w:p>
      <w:pPr>
        <w:spacing w:after="80"/>
      </w:pPr>
      <w:r>
        <w:rPr>
          <w:b w:val="0"/>
          <w:i w:val="0"/>
        </w:rPr>
        <w:t xml:space="preserve">Trong </w:t>
      </w:r>
      <w:r>
        <w:rPr>
          <w:b w:val="0"/>
          <w:i/>
        </w:rPr>
        <w:t xml:space="preserve"> Davies (HM Inspector of Taxes) v Hicks </w:t>
      </w:r>
      <w:r>
        <w:rPr>
          <w:b w:val="0"/>
          <w:i w:val="0"/>
        </w:rPr>
        <w:t>,15 các bên đều đồng ý rằng mặc dù settlor có quyền lợi trong quỹ tín thác và thông thường sẽ phải chịu thuế đối với khoản lợi vốn từ việc chuyển nhượng của các trustee theo s. 86, chính các quy định tương tự của Hiệp định Vương quốc Anh – Mauritius lại ngăn chặn việc đánh thuế như vậy. Hướng dẫn hiện có về quy định này dựa trên ngôn ngữ giống hệt trong các quy định nay đã bị bãi bỏ của TCGA 1992, s. 77, liên quan đến việc quy kết lợi nhuận của các quỹ tín thác do người cư trú tại Vương quốc Anh lập.16 Thực tiễn hành chính của HMRC về việc áp dụng art. 13(4) đối với lợi nhuận được quy kết cho các settlor là không rõ ràng. Sổ tay hướng dẫn về thuế lợi vốn của cơ quan này viết:</w:t>
      </w:r>
    </w:p>
    <w:p>
      <w:pPr>
        <w:spacing w:after="80"/>
      </w:pPr>
      <w:r>
        <w:rPr>
          <w:b/>
          <w:i w:val="0"/>
        </w:rPr>
        <w:t>Quỹ tín thác của settlor: tính toán – miễn thuế hai lần [34912]</w:t>
      </w:r>
    </w:p>
    <w:p>
      <w:pPr>
        <w:spacing w:after="80"/>
      </w:pPr>
      <w:r>
        <w:rPr>
          <w:b w:val="0"/>
          <w:i w:val="0"/>
        </w:rPr>
        <w:t>Một settlor có thể yêu cầu miễn thuế đối với một phần hoặc toàn bộ lợi nhuận quỹ tín thác được quy kết, nhưng điều này phụ thuộc vào các điều khoản của hiệp định tránh đánh thuế hai lần cụ thể. Do đó, các Điều khoản miễn thuế cho trustee khỏi thuế Vương quốc Anh đối với lợi nhuận phát sinh từ việc chuyển nhượng một tài sản cụ thể không nhất thiết có tác dụng miễn trách nhiệm cho settlor theo Mục [77].</w:t>
      </w:r>
    </w:p>
    <w:p>
      <w:pPr>
        <w:spacing w:after="80"/>
      </w:pPr>
      <w:r>
        <w:rPr>
          <w:b w:val="0"/>
          <w:i w:val="0"/>
        </w:rPr>
        <w:t xml:space="preserve">Trong </w:t>
      </w:r>
      <w:r>
        <w:rPr>
          <w:b w:val="0"/>
          <w:i/>
        </w:rPr>
        <w:t xml:space="preserve"> Smallwood </w:t>
      </w:r>
      <w:r>
        <w:rPr>
          <w:b w:val="0"/>
          <w:i w:val="0"/>
        </w:rPr>
        <w:t>, các Special Commissioners (Ủy viên Đặc biệt) đã làm rõ rằng hiệu lực của art. 13(4) là ngăn cản việc đánh thuế đối với settlor khi người chuyển nhượng cư trú tại quốc gia ký kết kia.17 Như vậy, trong trường hợp đó, nếu các trustee được xác định là cư trú tại Mauritius chứ không phải Vương quốc Anh theo các quy tắc phá vỡ thế cân bằng trong art. 4(3) của Hiệp định Vương quốc Anh – Mauritius, thì art. 13(4) sẽ ngăn chặn việc đánh thuế.</w:t>
      </w:r>
    </w:p>
    <w:p>
      <w:pPr>
        <w:spacing w:after="80"/>
      </w:pPr>
      <w:r>
        <w:rPr>
          <w:b w:val="0"/>
          <w:i w:val="0"/>
        </w:rPr>
        <w:t xml:space="preserve">Trước các kế hoạch là đối tượng của cả hai vụ án </w:t>
      </w:r>
      <w:r>
        <w:rPr>
          <w:b w:val="0"/>
          <w:i/>
        </w:rPr>
        <w:t xml:space="preserve"> Hicks </w:t>
      </w:r>
      <w:r>
        <w:rPr>
          <w:b w:val="0"/>
          <w:i w:val="0"/>
        </w:rPr>
        <w:t xml:space="preserve"> và </w:t>
      </w:r>
      <w:r>
        <w:rPr>
          <w:b w:val="0"/>
          <w:i/>
        </w:rPr>
        <w:t xml:space="preserve"> Smallwood </w:t>
      </w:r>
      <w:r>
        <w:rPr>
          <w:b w:val="0"/>
          <w:i w:val="0"/>
        </w:rPr>
        <w:t>, Hiệp định Vương quốc Anh – Mauritius đã được sửa đổi vào năm 2003 để bảo lưu quyền của một quốc gia ký kết được đánh thuế theo luật của mình đối với lợi nhuận từ việc chuyển nhượng bất kỳ tài sản nào của một người cư trú tại quốc gia đó vào bất kỳ thời điểm nào trong năm tài chính mà tài sản đó được chuyển nhượng.18 Cách tiếp cận tương tự cũng được áp dụng</w:t>
      </w:r>
    </w:p>
    <w:p>
      <w:pPr>
        <w:spacing w:after="80"/>
      </w:pPr>
      <w:r>
        <w:rPr>
          <w:b w:val="0"/>
          <w:i w:val="0"/>
        </w:rPr>
        <w:t xml:space="preserve">13. TCGA 1992, s. 79B(2).14. TCGA 1992, s. 86.15. </w:t>
      </w:r>
      <w:r>
        <w:rPr>
          <w:b w:val="0"/>
          <w:i/>
        </w:rPr>
        <w:t>Davies (HM Inspector of Taxes) v Hicks</w:t>
      </w:r>
      <w:r>
        <w:rPr>
          <w:b w:val="0"/>
          <w:i w:val="0"/>
        </w:rPr>
        <w:t xml:space="preserve"> [2005] BTC 331; [2005] EWHC 847 (Ch), para. 5.16. Bị bãi bỏ bởi FA 2008, s. 8 và Sch. 2, para. 5.17. Tại các para. 103 và 107.18. Công ước giữa Chính phủ Vương quốc Liên hiệp Anh và Bắc Ireland và Chính phủ Mauritius về Tránh đánh thuế hai lần và</w:t>
      </w:r>
    </w:p>
    <w:p>
      <w:pPr>
        <w:spacing w:after="80"/>
      </w:pPr>
      <w:r>
        <w:rPr>
          <w:b w:val="0"/>
          <w:i w:val="0"/>
        </w:rPr>
        <w:t>378</w:t>
      </w:r>
    </w:p>
    <w:p>
      <w:pPr>
        <w:spacing w:after="80"/>
      </w:pPr>
      <w:r>
        <w:rPr>
          <w:b w:val="0"/>
          <w:i w:val="0"/>
        </w:rPr>
        <w:t>trong các hiệp định sau này.19 Cách tiếp cận này được sửa đổi trong một số hiệp định. Ví dụ, trong Hiệp định Vương quốc Anh – Canada, quyền đánh thuế đối với người cư trú bị giới hạn trong các trường hợp người chuyển nhượng:</w:t>
      </w:r>
    </w:p>
    <w:p>
      <w:pPr>
        <w:spacing w:after="80"/>
      </w:pPr>
      <w:r>
        <w:rPr>
          <w:b w:val="0"/>
          <w:i w:val="0"/>
        </w:rPr>
        <w:t>(a) là công dân của Quốc gia ký kết được đề cập đầu tiên hoặc đã là cư dân của Quốc gia</w:t>
      </w:r>
    </w:p>
    <w:p>
      <w:pPr>
        <w:spacing w:after="80"/>
      </w:pPr>
      <w:r>
        <w:rPr>
          <w:b w:val="0"/>
          <w:i w:val="0"/>
        </w:rPr>
        <w:t>đó từ 15 năm trở lên trước khi chuyển nhượng tài sản, và (b) đã là cư dân của Quốc gia ký kết được đề cập đầu tiên vào bất kỳ thời điểm nào trong</w:t>
      </w:r>
    </w:p>
    <w:p>
      <w:pPr>
        <w:spacing w:after="80"/>
      </w:pPr>
      <w:r>
        <w:rPr>
          <w:b w:val="0"/>
          <w:i w:val="0"/>
        </w:rPr>
        <w:t>năm năm ngay trước khi chuyển nhượng đó.20</w:t>
      </w:r>
    </w:p>
    <w:p>
      <w:pPr>
        <w:spacing w:after="80"/>
      </w:pPr>
      <w:r>
        <w:rPr>
          <w:b w:val="0"/>
          <w:i w:val="0"/>
        </w:rPr>
        <w:t>Sau khi Hiệp định Vương quốc Anh – Mauritius được sửa đổi, một quy định ghi đè hiệp định mang tính cứng rắn hơn đã được ban hành bởi F(No. 2)A 2005 đối với các chuyển nhượng được thực hiện vào hoặc sau ngày 16 tháng 3 năm 2005.21 Khi các trustee của một settlement:</w:t>
      </w:r>
    </w:p>
    <w:p>
      <w:pPr>
        <w:spacing w:after="80"/>
      </w:pPr>
      <w:r>
        <w:rPr>
          <w:b w:val="0"/>
          <w:i w:val="0"/>
        </w:rPr>
        <w:t>– cư trú và thường trú tại Vương quốc Anh; – không phải là non-resident theo hiệp định trong bất kỳ phần nào của một năm đánh thuế; và – trong cùng năm đó không cư trú cũng không thường trú tại Vương quốc Anh, hoặc là</w:t>
      </w:r>
    </w:p>
    <w:p>
      <w:pPr>
        <w:spacing w:after="80"/>
      </w:pPr>
      <w:r>
        <w:rPr>
          <w:b w:val="0"/>
          <w:i w:val="0"/>
        </w:rPr>
        <w:t>non-resident theo hiệp định, thì không được phép áp dụng miễn thuế theo hiệp định đối với việc chuyển nhượng của các trustee được thực hiện trong phần của năm đó mà họ không cư trú.22</w:t>
      </w:r>
    </w:p>
    <w:p>
      <w:pPr>
        <w:spacing w:after="80"/>
      </w:pPr>
      <w:r>
        <w:rPr>
          <w:b/>
          <w:i w:val="0"/>
        </w:rPr>
        <w:t>§12.05 TÀI SẢN ĐỘNG SẢN</w:t>
      </w:r>
    </w:p>
    <w:p>
      <w:pPr>
        <w:spacing w:after="80"/>
      </w:pPr>
      <w:r>
        <w:rPr>
          <w:b w:val="0"/>
          <w:i w:val="0"/>
        </w:rPr>
        <w:t>Khác với bất động sản (immovable property) – vốn được định nghĩa tại Điều 6 trong trường hợp các hiệp định áp dụng ngôn ngữ của Mẫu OECD,23 động sản (movable property) lại không được định nghĩa. Sự phân biệt giữa động sản và bất động sản thường không được vẽ ra trong luật nội địa Anh, nơi thường công nhận bất động sản (realty) và động sản cá nhân (personalty). Sự phân biệt này được vẽ ra trong tư pháp quốc tế tư nhân của Anh.24</w:t>
      </w:r>
    </w:p>
    <w:p>
      <w:pPr>
        <w:spacing w:after="80"/>
      </w:pPr>
      <w:r>
        <w:rPr>
          <w:b/>
          <w:i w:val="0"/>
        </w:rPr>
        <w:t>[A]Tài sản vốn của cơ sở thường trú</w:t>
      </w:r>
    </w:p>
    <w:p>
      <w:pPr>
        <w:spacing w:after="80"/>
      </w:pPr>
      <w:r>
        <w:rPr>
          <w:b w:val="0"/>
          <w:i w:val="0"/>
        </w:rPr>
        <w:t>Lợi nhuận vốn (capital gains) chỉ bị đánh thuế ở mức hạn chế đối với những người không cư trú. Những người không cư trú tại Vương quốc Anh phải chịu thuế đối với các khoản lợi nhuận chịu thuế (chargeable gains) nếu họ đang hành nghề thương mại hoặc hành nghề chuyên môn tại Vương quốc Anh thông qua một chi nhánh hoặc đại lý. Những người không cư trú thuộc diện chịu thuế chỉ phải chịu thuế đối với lợi nhuận phát sinh từ việc chuyển nhượng tài sản nằm tại Vương quốc Anh:</w:t>
      </w:r>
    </w:p>
    <w:p>
      <w:pPr>
        <w:spacing w:after="80"/>
      </w:pPr>
      <w:r>
        <w:rPr>
          <w:b w:val="0"/>
          <w:i w:val="0"/>
        </w:rPr>
        <w:t xml:space="preserve">Công ước về việc ngăn chặn trốn thuế liên quan đến thuế đối với thu nhập và lợi nhuận vốn ngày 11 tháng 2 năm 1981 (SI 1981/1121), Điều 13(5).19. Xem Hiệp định thuế Australia–Vương quốc Anh (2003), Điều 13(6); Công ước giữa Chính phủ Vương quốc Liên hiệp Anh và Bắc Ireland và Chính phủ Cộng hòa Botswana về việc tránh đánh thuế hai lần và ngăn chặn trốn thuế liên quan đến thuế đối với thu nhập và lợi nhuận vốn ngày 9 tháng 9 năm 2005 (SI 2006/1925), Điều 14(6).20. Hiệp định thuế Canada–Vương quốc Anh (1978), Điều 13(9).21. F (No. 2) A 2005, mục 33(2).22. TCGA 1992, mục 83A.23. Xem Chương 10, §10.02.24. Collins, L. và cộng sự </w:t>
      </w:r>
      <w:r>
        <w:rPr>
          <w:b w:val="0"/>
          <w:i/>
        </w:rPr>
        <w:t>.</w:t>
      </w:r>
      <w:r>
        <w:rPr>
          <w:b w:val="0"/>
          <w:i w:val="0"/>
        </w:rPr>
        <w:t xml:space="preserve">(biên tập), </w:t>
      </w:r>
      <w:r>
        <w:rPr>
          <w:b w:val="0"/>
          <w:i/>
        </w:rPr>
        <w:t>Dicey, Morris và Collins về Xung đột pháp luật</w:t>
      </w:r>
      <w:r>
        <w:rPr>
          <w:b w:val="0"/>
          <w:i w:val="0"/>
        </w:rPr>
        <w:t>, tái bản lần thứ 14 (2008), Chương 22-25.</w:t>
      </w:r>
    </w:p>
    <w:p>
      <w:pPr>
        <w:spacing w:after="80"/>
      </w:pPr>
      <w:r>
        <w:rPr>
          <w:b w:val="0"/>
          <w:i w:val="0"/>
        </w:rPr>
        <w:t>379</w:t>
      </w:r>
    </w:p>
    <w:p>
      <w:pPr>
        <w:spacing w:after="80"/>
      </w:pPr>
      <w:r>
        <w:rPr>
          <w:b w:val="0"/>
          <w:i w:val="0"/>
        </w:rPr>
        <w:t>– và được sử dụng vào hoặc cho mục đích của hoạt động thương mại hoặc hành nghề chuyên môn tại hoặc trước thời điểm</w:t>
      </w:r>
    </w:p>
    <w:p>
      <w:pPr>
        <w:spacing w:after="80"/>
      </w:pPr>
      <w:r>
        <w:rPr>
          <w:b w:val="0"/>
          <w:i w:val="0"/>
        </w:rPr>
        <w:t>khi lợi nhuận vốn phát sinh; hoặc – được sử dụng hoặc nắm giữ hoặc mua lại cho mục đích của chi nhánh hoặc đại lý tại hoặc trước</w:t>
      </w:r>
    </w:p>
    <w:p>
      <w:pPr>
        <w:spacing w:after="80"/>
      </w:pPr>
      <w:r>
        <w:rPr>
          <w:b w:val="0"/>
          <w:i w:val="0"/>
        </w:rPr>
        <w:t>thời điểm đó hoặc tài sản được mua lại để sử dụng bởi hoặc cho mục đích của chi nhánh hoặc đại lý.25</w:t>
      </w:r>
    </w:p>
    <w:p>
      <w:pPr>
        <w:spacing w:after="80"/>
      </w:pPr>
      <w:r>
        <w:rPr>
          <w:b w:val="0"/>
          <w:i w:val="0"/>
        </w:rPr>
        <w:t>Trong trường hợp một công ty không cư trú, nghĩa vụ thuế thu nhập doanh nghiệp (corporation tax) cũng được xác định tương tự dựa trên tài sản được sử dụng hoặc nắm giữ liên quan đến hoạt động thương mại được thực hiện thông qua một cơ sở thường trú tại Vương quốc Anh.26 Chỉ những giao dịch chuyển nhượng được thực hiện tại thời điểm mà người đó đang hành nghề thương mại tại Vương quốc Anh thông qua một cơ sở thường trú – trong trường hợp là công ty – hoặc thông qua một chi nhánh hoặc đại lý – trong các trường hợp khác – mới bị đánh thuế.27 Khoản thuế này được khoanh vùng (ring-fenced) bằng các giao dịch chuyển nhượng được coi là (deemed disposals) trong trường hợp người không cư trú theo mục 25. Khi một tài sản không còn là tài sản chịu thuế, vì nó nằm ngoài Vương quốc Anh, thì chủ sở hữu không cư trú được coi là đã chuyển nhượng nó và ngay lập tức mua lại nó theo giá thị trường.28 Tương tự, khi một người không cư trú không còn hành nghề thương mại tại Vương quốc Anh thông qua một chi nhánh hoặc đại lý, người đó được coi là đã chuyển nhượng tài sản tại thời điểm đó và ngay lập tức mua lại nó theo giá thị trường.29 Những quy tắc này cũng mở rộng đến tài sản của một cơ sở thường trú của một công ty không cư trú30</w:t>
      </w:r>
    </w:p>
    <w:p>
      <w:pPr>
        <w:spacing w:after="80"/>
      </w:pPr>
      <w:r>
        <w:rPr>
          <w:b w:val="0"/>
          <w:i w:val="0"/>
        </w:rPr>
        <w:t>và đến một nghề chuyên môn hoặc nghề nghiệp theo ITTOIA 2005.31</w:t>
      </w:r>
    </w:p>
    <w:p>
      <w:pPr>
        <w:spacing w:after="80"/>
      </w:pPr>
      <w:r>
        <w:rPr>
          <w:b w:val="0"/>
          <w:i w:val="0"/>
        </w:rPr>
        <w:t>Tất cả các hiệp định có điều khoản về lợi nhuận vốn đều cho phép quốc gia ký kết nơi có cơ sở thường trú được đánh thuế lợi nhuận vốn từ việc chuyển nhượng động sản tạo thành một phần tài sản kinh doanh của cơ sở thường trú. Các quy tắc tương tự trong các hiệp định trước đây cũng cho phép đánh thuế đối với các tài sản vốn như vậy tạo thành một phần của cơ sở cố định (fixed base) cho mục đích cung cấp dịch vụ chuyên môn. Điều 1(2) của Hiệp định Philippines–Vương quốc Anh là một ví dụ điển hình:</w:t>
      </w:r>
    </w:p>
    <w:p>
      <w:pPr>
        <w:spacing w:after="80"/>
      </w:pPr>
      <w:r>
        <w:rPr>
          <w:b w:val="0"/>
          <w:i w:val="0"/>
        </w:rPr>
        <w:t>Lợi nhuận vốn từ việc chuyển nhượng động sản tạo thành một phần tài sản kinh doanh của một cơ sở thường trú mà một doanh nghiệp của một trong các lãnh thổ có tại lãnh thổ kia, hoặc động sản thuộc một cơ sở cố định mà một cư dân của một trong các lãnh thổ có tại lãnh thổ kia cho mục đích cung cấp dịch vụ chuyên môn, bao gồm cả những lợi nhuận như vậy từ việc chuyển nhượng một cơ sở thường trú đó (riêng lẻ hoặc cùng với toàn bộ doanh nghiệp) hoặc một cơ sở cố định đó, có thể bị đánh thuế tại lãnh thổ kia.</w:t>
      </w:r>
    </w:p>
    <w:p>
      <w:pPr>
        <w:spacing w:after="80"/>
      </w:pPr>
      <w:r>
        <w:rPr>
          <w:b w:val="0"/>
          <w:i w:val="0"/>
        </w:rPr>
        <w:t>Các hiệp định được đàm phán sau năm 2000 mà đồng nhất dịch vụ cá nhân độc lập với lợi nhuận kinh doanh,32 sẽ xóa bỏ phần đề cập đến dịch vụ chuyên môn.33 Dù theo hình thức nào, chúng thường sẽ cho phép đánh thuế lợi nhuận từ việc chuyển nhượng tài sản của chi nhánh tại Vương quốc Anh theo TCGA 1992, mục 1B và 2B.</w:t>
      </w:r>
    </w:p>
    <w:p>
      <w:pPr>
        <w:spacing w:after="80"/>
      </w:pPr>
      <w:r>
        <w:rPr>
          <w:b w:val="0"/>
          <w:i w:val="0"/>
        </w:rPr>
        <w:t>25. TCGA 1992, mục 1B.26. TCGA 1992, mục 2B(3)(a).27. TCGA 1992, mục 2B(3)(b).28. TCGA 1992, mục 25(1).29. TCGA 1992, mục 25(3).30. FA 2003, mục 153(2)(b).31. TCGA 1992, mục 288(1).32. Xem Chương 9, §9.13.33. Xem, ví dụ, Hiệp định thuế Australia–Vương quốc Anh (2003), Điều 13(2), và Hiệp định thuế Chile–Vương quốc Anh (2003), Điều 13(2).</w:t>
      </w:r>
    </w:p>
    <w:p>
      <w:pPr>
        <w:spacing w:after="80"/>
      </w:pPr>
      <w:r>
        <w:rPr>
          <w:b w:val="0"/>
          <w:i w:val="0"/>
        </w:rPr>
        <w:t>380</w:t>
      </w:r>
    </w:p>
    <w:p>
      <w:pPr>
        <w:spacing w:after="80"/>
      </w:pPr>
      <w:r>
        <w:rPr>
          <w:b/>
          <w:i w:val="0"/>
        </w:rPr>
        <w:t>[B]Quyền sáng chế tại Vương quốc Anh</w:t>
      </w:r>
    </w:p>
    <w:p>
      <w:pPr>
        <w:spacing w:after="80"/>
      </w:pPr>
      <w:r>
        <w:rPr>
          <w:b w:val="0"/>
          <w:i w:val="0"/>
        </w:rPr>
        <w:t>Việc chuyển nhượng tài sản nằm ở Vương quốc Anh (UK) bởi một người không cư trú, theo nguyên tắc chung, nằm ngoài phạm vi đánh thuế lợi tức vốn (capital gains tax) theo luật trong nước. Trong trường hợp ngoại lệ, khi một người không cư trú bán toàn bộ hoặc một phần quyền sáng chế tại UK, số tiền thu được sẽ phải chịu thuế thu nhập theo ITTOIA 2005.34 Những quyền như vậy không phải là bất động sản (immovable property) và việc chuyển nhượng không nên phải chịu thuế UK khi không có cơ sở thường trú (permanent establishment). Thẩm quyền của quốc gia nguồn để đánh thuế các giao dịch chuyển nhượng như vậy tại UK theo Hiệp định UK-US không nằm trong điều khoản về lợi tức vốn mà nằm ở Điều 12(3)(b), trong đó bao gồm trong định nghĩa "tiền bản quyền" (royalties) các khoản lợi nhuận từ việc chuyển nhượng quyền sở hữu trí tuệ phụ thuộc vào năng suất, việc sử dụng hoặc việc định đoạt chúng.</w:t>
      </w:r>
    </w:p>
    <w:p>
      <w:pPr>
        <w:spacing w:after="80"/>
      </w:pPr>
      <w:r>
        <w:rPr>
          <w:b/>
          <w:i w:val="0"/>
        </w:rPr>
        <w:t>§12.06 BẤT ĐỘNG SẢN</w:t>
      </w:r>
    </w:p>
    <w:p>
      <w:pPr>
        <w:spacing w:after="80"/>
      </w:pPr>
      <w:r>
        <w:rPr>
          <w:b w:val="0"/>
          <w:i w:val="0"/>
        </w:rPr>
        <w:t>Theo Mô hình OECD (OECD Model), lợi nhuận từ việc chuyển nhượng bất động sản có thể bị đánh thuế bởi quốc gia nơi bất động sản tọa lạc.35 Điều 13(1) của Hiệp định Barbados-UK chứa đựng công thức thông thường:</w:t>
      </w:r>
    </w:p>
    <w:p>
      <w:pPr>
        <w:spacing w:after="80"/>
      </w:pPr>
      <w:r>
        <w:rPr>
          <w:b w:val="0"/>
          <w:i w:val="0"/>
        </w:rPr>
        <w:t>Lợi tức vốn từ việc chuyển nhượng bất động sản, như được định nghĩa tại khoản (2) của Điều 12, có thể bị đánh thuế tại Quốc gia Ký kết nơi bất động sản đó tọa lạc.</w:t>
      </w:r>
    </w:p>
    <w:p>
      <w:pPr>
        <w:spacing w:after="80"/>
      </w:pPr>
      <w:r>
        <w:rPr>
          <w:b w:val="0"/>
          <w:i w:val="0"/>
        </w:rPr>
        <w:t>Việc đánh thuế lợi tức vốn trong nước của UK áp dụng đối với việc chuyển nhượng tài sản là "quyền lợi đối với đất đai tại UK" (interests in UK land).36 Vì mục đích này, "quyền lợi đối với đất đai tại UK" là "quyền sở hữu, quyền lợi, quyền hoặc thẩm quyền đối với hoặc trên đất đai tại Vương quốc Anh", hoặc "lợi ích từ một nghĩa vụ, hạn chế hoặc điều kiện ảnh hưởng đến giá trị của quyền sở hữu, quyền lợi, quyền hoặc thẩm quyền đối với hoặc trên đất đai tại Vương quốc Anh".37 Những khái niệm này liên quan trực tiếp đến luật đất đai của Anh. Việc cấp một quyền chọn (option) yêu cầu một người chuyển nhượng quyền lợi đối với đất đai tại UK được coi là việc chuyển nhượng quyền lợi đối với đất đai tại UK.38 Đất đai bao gồm các tòa nhà và công trình, và đất dưới biển hoặc bị nước bao phủ.39 Một số quyền hạn chế nhất định đối với đất đai tại UK được loại trừ khỏi phạm vi đánh thuế trong nước. Những quyền này bao gồm quyền lợi hoặc quyền được nắm giữ như tài sản bảo đảm cho việc thanh toán tiền hoặc thực hiện một nghĩa vụ, cũng như giấy phép sử dụng hoặc chiếm hữu đất đai (khác với hợp đồng thuê đất).40 Vì mục đích của TCGA 1992, vị trí của các quyền hoặc quyền lợi (không phải dưới hình thức bảo đảm) đối với hoặc trên bất động sản là vị trí của bất động sản đó.41</w:t>
      </w:r>
    </w:p>
    <w:p>
      <w:pPr>
        <w:spacing w:after="80"/>
      </w:pPr>
      <w:r>
        <w:rPr>
          <w:b w:val="0"/>
          <w:i w:val="0"/>
        </w:rPr>
        <w:t>Một khoản thuế bổ sung đối với các giao dịch đất đai áp dụng cho những người không cư trú thực hiện hoạt động kinh doanh mua bán hoặc phát triển đất đai tại UK bất kể hoạt động kinh doanh được tiến hành ở đâu.</w:t>
      </w:r>
    </w:p>
    <w:p>
      <w:pPr>
        <w:spacing w:after="80"/>
      </w:pPr>
      <w:r>
        <w:rPr>
          <w:b w:val="0"/>
          <w:i w:val="0"/>
        </w:rPr>
        <w:t>34. ITTOIA 2005, s. 587(2)(b). Xem Chương 10, §10.05. 35. Xem Chương 10, §10.02 về ý nghĩa của bất động sản. 36. TCGA 1992, s. 1A(3)(b). 37. TCGA 1992, s. 1C(1). 38. TCGA 1992, s. 1C(4). 39. TCGA 1992, s. 1C(6). 40. TCGA 1992, s. 1C(2) và (3). 41. TCGA 1992, s. 275(1)(a). Xem thêm s. 275C về vị trí quyền lợi của các đồng sở hữu.</w:t>
      </w:r>
    </w:p>
    <w:p>
      <w:pPr>
        <w:spacing w:after="80"/>
      </w:pPr>
      <w:r>
        <w:rPr>
          <w:b w:val="0"/>
          <w:i w:val="0"/>
        </w:rPr>
        <w:t>381</w:t>
      </w:r>
    </w:p>
    <w:p>
      <w:pPr>
        <w:spacing w:after="80"/>
      </w:pPr>
      <w:r>
        <w:rPr>
          <w:b w:val="0"/>
          <w:i w:val="0"/>
        </w:rPr>
        <w:t>Hoạt động kinh doanh mua bán hoặc phát triển đất đai tại UK bao gồm việc mua bán hoặc phát triển đất đai nằm tại UK với mục đích chuyển nhượng nó. Đất đai vì mục đích này, một lần nữa, bao gồm các tòa nhà và công trình, bất kỳ quyền sở hữu, quyền lợi hoặc quyền đối với hoặc trên đất đai, và đất dưới biển hoặc bị nước bao phủ theo cách khác.43</w:t>
      </w:r>
    </w:p>
    <w:p>
      <w:pPr>
        <w:spacing w:after="80"/>
      </w:pPr>
      <w:r>
        <w:rPr>
          <w:b w:val="0"/>
          <w:i w:val="0"/>
        </w:rPr>
        <w:t>Nếu đối tượng của hoạt động kinh doanh là đất đai tại UK, thì lợi nhuận của hoạt động kinh doanh đó sẽ phải chịu thuế doanh nghiệp (corporation tax) trong trường hợp các công ty không cư trú và thuế thu nhập trong trường hợp những người không cư trú khác. Bản chất của những thay đổi này là lợi nhuận từ việc kinh doanh đất đai tại UK có thể bị đánh thuế mà không cần hoạt động kinh doanh được tiến hành tại UK hoặc không cần có cơ sở thường trú tại UK theo luật trong nước.</w:t>
      </w:r>
    </w:p>
    <w:p>
      <w:pPr>
        <w:spacing w:after="80"/>
      </w:pPr>
      <w:r>
        <w:rPr>
          <w:b w:val="0"/>
          <w:i w:val="0"/>
        </w:rPr>
        <w:t>Trong một văn bản kỹ thuật (technical note) ban hành khi khoản thuế này được đưa ra bởi Finance Act 2016, HMRC bày tỏ quan điểm rằng hầu hết các hiệp định đánh thuế hai lần của UK đều bảo toàn quyền đánh thuế của UK đối với đất đai tại UK và do đó phù hợp với những thay đổi được đề xuất, nhưng một số sẽ cần thay đổi để đảm bảo chắc chắn.44 Đồng thời, với việc đưa ra những thay đổi này, các hiệp định giữa Guernsey và UK và giữa Jersey và UK đã được sửa đổi để đưa vào các quy định song song với các Điều 6 và 13(1) và (4) của Mô hình OECD.45 Các công ty cư trú tại những khu vực pháp lý này thường được sử dụng để sở hữu các dự án phát triển tại UK nơi hoạt động kinh doanh được tiến hành bên ngoài UK mặc dù đối tượng của hoạt động kinh doanh là đất đai nằm tại UK. Quan điểm của HMRC, và việc tìm cách sửa đổi các hiệp định này, ngụ ý rằng Điều 13(1) của Mô hình OECD cho phép đánh thuế những lợi nhuận này và rằng khoản thuế này không bị ngăn cản bởi Điều 7(1) khi hoạt động kinh doanh không được tiến hành thông qua một cơ sở thường trú tại UK. Điều này không hoàn toàn được ủng hộ bởi Phần bình luận (Commentary) của Mô hình OECD, vốn đề cập xuyên suốt đến "lợi tức vốn" trong khi lưu ý rằng việc phân bổ quyền đánh thuế không quy định cách một quốc gia có thể đánh thuế các khoản lợi nhuận đó.46</w:t>
      </w:r>
    </w:p>
    <w:p>
      <w:pPr>
        <w:spacing w:after="80"/>
      </w:pPr>
      <w:r>
        <w:rPr>
          <w:b w:val="0"/>
          <w:i w:val="0"/>
        </w:rPr>
        <w:t>Các hiệp định đánh thuế hai lần bị vô hiệu hóa nếu một công ty đã tham gia vào một thỏa thuận mà mục đích chính hoặc một trong những mục đích chính là để có được lợi thế thuế nhờ một hiệp định khi lợi thế thuế liên quan trái với mục tiêu và mục đích của các quy định của hiệp định đó.47</w:t>
      </w:r>
    </w:p>
    <w:p>
      <w:pPr>
        <w:spacing w:after="80"/>
      </w:pPr>
      <w:r>
        <w:rPr>
          <w:b/>
          <w:i w:val="0"/>
        </w:rPr>
        <w:t>[A] Lợi nhuận phát triển liên quan đến đất đai</w:t>
      </w:r>
    </w:p>
    <w:p>
      <w:pPr>
        <w:spacing w:after="80"/>
      </w:pPr>
      <w:r>
        <w:rPr>
          <w:b w:val="0"/>
          <w:i w:val="0"/>
        </w:rPr>
        <w:t>Lợi nhuận có tính chất vốn có thể làm phát sinh nghĩa vụ thuế theo CTA 2010, Phần 8ZB trong trường hợp các công ty phải chịu thuế doanh nghiệp, và ITA 2007, Phần 9A đối với những người nộp thuế khác. Điều này xảy ra khi một người không cư trú thực hiện được một khoản lợi nhuận hoặc lợi ích từ một</w:t>
      </w:r>
    </w:p>
    <w:p>
      <w:pPr>
        <w:spacing w:after="80"/>
      </w:pPr>
      <w:r>
        <w:rPr>
          <w:b w:val="0"/>
          <w:i w:val="0"/>
        </w:rPr>
        <w:t>42. CTA 2009 s. 5(2)(a) đối với thuế doanh nghiệp và ITTOIA 2005, s. 6(1A) đối với thuế thu nhập. 43. CTA 2009, s. 5B đối với thuế doanh nghiệp và ITTOIA s. 6B đối với thuế thu nhập. 44. HMRC, Profits from Trading in and Developing UK Land, Technical Note, 16 tháng 3 năm 2016. 45. Thỏa thuận sửa đổi bằng trao đổi thư giữa Chính phủ của Nữ hoàng và Các Bang Guernsey, ký ngày 29 tháng 2 năm 2016 và 9 tháng 3 năm 2016 (SI 2016/750) chèn Điều 3A và 3B; Thỏa thuận sửa đổi bằng trao đổi thư giữa Chính phủ của Nữ hoàng và Chính phủ Jersey, ký ngày 29 tháng 2 năm 2016 và 8 tháng 3 năm 2016 (SI 2016/752) chèn Điều 3A và 3B. Những quy định này được sao chép trong các hiệp định toàn diện tiếp theo giữa UK và các vùng lãnh thổ đó. 46. Phần bình luận của OECD về Điều 13 của Mô hình OECD, các đoạn 3 và 5. 47. CTA 2009, s. 5A đối với thuế doanh nghiệp và ITTOIA 2005, s. 6A đối với thuế thu nhập.</w:t>
      </w:r>
    </w:p>
    <w:p>
      <w:pPr>
        <w:spacing w:after="80"/>
      </w:pPr>
      <w:r>
        <w:rPr>
          <w:b w:val="0"/>
          <w:i w:val="0"/>
        </w:rPr>
        <w:t>382</w:t>
      </w:r>
    </w:p>
    <w:p>
      <w:pPr>
        <w:spacing w:after="80"/>
      </w:pPr>
      <w:r>
        <w:rPr>
          <w:b w:val="0"/>
          <w:i w:val="0"/>
        </w:rPr>
        <w:t>việc chuyển nhượng bất kỳ mảnh đất nào ở Vương quốc Anh. Lợi nhuận hoặc khoản lãi được coi là lợi nhuận kinh doanh từ hoạt động kinh doanh đất đai tại Vương quốc Anh nếu một trong bốn điều kiện sau đây được thỏa mãn:</w:t>
      </w:r>
    </w:p>
    <w:p>
      <w:pPr>
        <w:spacing w:after="80"/>
      </w:pPr>
      <w:r>
        <w:rPr>
          <w:b w:val="0"/>
          <w:i w:val="0"/>
        </w:rPr>
        <w:t>(1) Mục đích chính, hoặc một trong những mục đích chính, của việc mua mảnh đất là</w:t>
      </w:r>
    </w:p>
    <w:p>
      <w:pPr>
        <w:spacing w:after="80"/>
      </w:pPr>
      <w:r>
        <w:rPr>
          <w:b w:val="0"/>
          <w:i w:val="0"/>
        </w:rPr>
        <w:t>để thu được lợi nhuận hoặc khoản lãi từ việc chuyển nhượng mảnh đất đó. (2) Mục đích chính, hoặc một trong những mục đích chính, của việc mua bất kỳ tài sản nào</w:t>
      </w:r>
    </w:p>
    <w:p>
      <w:pPr>
        <w:spacing w:after="80"/>
      </w:pPr>
      <w:r>
        <w:rPr>
          <w:b w:val="0"/>
          <w:i w:val="0"/>
        </w:rPr>
        <w:t>có giá trị bắt nguồn từ mảnh đất đó là để thu được lợi nhuận hoặc khoản lãi từ việc chuyển nhượng mảnh đất đó. (3) Mảnh đất được giữ như hàng hóa kinh doanh. (4) Trường hợp mảnh đất đã được phát triển, mục đích chính, hoặc một trong những mục đích chính,</w:t>
      </w:r>
    </w:p>
    <w:p>
      <w:pPr>
        <w:spacing w:after="80"/>
      </w:pPr>
      <w:r>
        <w:rPr>
          <w:b w:val="0"/>
          <w:i w:val="0"/>
        </w:rPr>
        <w:t>của việc phát triển mảnh đất là để thu được lợi nhuận hoặc khoản lãi từ việc chuyển nhượng mảnh đất sau khi đã phát triển.48</w:t>
      </w:r>
    </w:p>
    <w:p>
      <w:pPr>
        <w:spacing w:after="80"/>
      </w:pPr>
      <w:r>
        <w:rPr>
          <w:b w:val="0"/>
          <w:i w:val="0"/>
        </w:rPr>
        <w:t>Các hiệp ước theo Mô hình OECD dường như cho phép áp dụng khoản thu này, xét về mặt điều khoản, vì nó liên quan đến việc chuyển nhượng đất đai nằm tại Vương quốc Anh.</w:t>
      </w:r>
    </w:p>
    <w:p>
      <w:pPr>
        <w:spacing w:after="80"/>
      </w:pPr>
      <w:r>
        <w:rPr>
          <w:b/>
          <w:i w:val="0"/>
        </w:rPr>
        <w:t>§12.07 CỔ PHẦN VÀ CÁC QUYỀN TƯƠNG TỰ</w:t>
      </w:r>
    </w:p>
    <w:p>
      <w:pPr>
        <w:spacing w:after="80"/>
      </w:pPr>
      <w:r>
        <w:rPr>
          <w:b w:val="0"/>
          <w:i w:val="0"/>
        </w:rPr>
        <w:t xml:space="preserve">Cổ phần, quyền lợi trong hợp danh, phần tham gia quỹ tín thác đơn vị và những thứ tương tự không mặc nhiên được coi là bất động sản. Vì bất động sản thông thường không bao gồm cổ phần, một số hiệp ước cho phép quốc gia nơi </w:t>
      </w:r>
      <w:r>
        <w:rPr>
          <w:b w:val="0"/>
          <w:i/>
        </w:rPr>
        <w:t>tọa lạc</w:t>
      </w:r>
      <w:r>
        <w:rPr>
          <w:b w:val="0"/>
          <w:i w:val="0"/>
        </w:rPr>
        <w:t xml:space="preserve"> bất động sản được đánh thuế đối với việc chuyển nhượng cổ phần trong các công ty có giá trị dựa trên bất động sản tại quốc gia đó. Những điều khoản như vậy, được mô phỏng theo Điều 13(4) được chèn vào Mô hình OECD năm 2000, thường được đưa vào theo yêu cầu của quốc gia ký kết kia nếu quốc gia đó đánh thuế người không cư trú đối với việc bán bất động sản theo luật trong nước của mình. Điều này trải dài từ một công thức đơn giản được tìm thấy trong Điều 13(1) của hiệp định thuế song phương Ai Cập-Vương quốc Anh đối với các khoản lãi 'từ việc chuyển nhượng cổ phần trong một công ty mà tài sản của công ty đó chủ yếu bao gồm bất động sản [như vậy]' cho đến các điều khoản phức tạp của Điều 13 trong hiệp định thuế song phương Canada-Vương quốc Anh. Giữa hai thái cực đó là những điều khoản mở rộng giá trị của công ty để bao gồm giá trị bắt nguồn 'trực tiếp hoặc gián tiếp'49 hoặc những điều khoản hạn chế quyền đánh thuế đối với cổ phần trong các công ty như vậy được giao dịch trên một sàn chứng khoán được công nhận.50</w:t>
      </w:r>
    </w:p>
    <w:p>
      <w:pPr>
        <w:spacing w:after="80"/>
      </w:pPr>
      <w:r>
        <w:rPr>
          <w:b w:val="0"/>
          <w:i w:val="0"/>
        </w:rPr>
        <w:t>Hiệp định Canada-Vương quốc Anh thiết lập các quy tắc riêng biệt tùy thuộc vào việc bên chuyển nhượng và những người có liên quan hoặc có kết nối sở hữu ít hơn 10% mỗi loại vốn cổ phần của công ty và liệu cổ phần có được niêm yết trên một sàn chứng khoán được chấp thuận hay không.51 Sự đổi mới hơn nữa có thể thấy trong Điều 13(b) của hiệp định thuế song phương Hà Lan-Vương quốc Anh (2008), điều khoản này loại trừ quyền đánh thuế đối với các khoản lãi thu được trong quá trình tái cơ cấu doanh nghiệp, sáp nhập, chia tách hoặc giao dịch tương tự.</w:t>
      </w:r>
    </w:p>
    <w:p>
      <w:pPr>
        <w:spacing w:after="80"/>
      </w:pPr>
      <w:r>
        <w:rPr>
          <w:b w:val="0"/>
          <w:i w:val="0"/>
        </w:rPr>
        <w:t>48. CTA 2010, s. 356OB đối với thuế doanh nghiệp và ITA 2007, s. 517B và 517C đối với thuế thu nhập. 49. Ví dụ, Vương quốc Anh-Việt Nam, Điều 13(2)(a). 50. Xem, ví dụ, Hiệp định Thuế Ukraine-Vương quốc Anh (1993), Điều 13(2)(a). So sánh, Công ước giữa Vương quốc Liên hiệp Anh và Bắc Ireland và Cộng hòa Ba Lan về việc Tránh Đánh thuế Hai lần và Ngăn ngừa Trốn thuế Liên quan đến Thuế Thu nhập và Thuế Lãi vốn ngày 20 tháng 7 năm 2006 (SI 2006/3323), Điều 13(2)(a) yêu cầu việc giao dịch các cổ phần như vậy phải 'đáng kể và thường xuyên'. 51. Hiệp định Thuế Canada-Vương quốc Anh (1978), Điều 13(2), (5)(a) và (6).</w:t>
      </w:r>
    </w:p>
    <w:p>
      <w:pPr>
        <w:spacing w:after="80"/>
      </w:pPr>
      <w:r>
        <w:rPr>
          <w:b w:val="0"/>
          <w:i w:val="0"/>
        </w:rPr>
        <w:t>383</w:t>
      </w:r>
    </w:p>
    <w:p>
      <w:pPr>
        <w:spacing w:after="80"/>
      </w:pPr>
      <w:r>
        <w:rPr>
          <w:b w:val="0"/>
          <w:i w:val="0"/>
        </w:rPr>
        <w:t>Theo luật trong nước của Vương quốc Anh, khoản thuế lãi vốn đối với người không cư trú tại Vương quốc Anh mở rộng đến việc chuyển nhượng bất kỳ quyền hoặc lợi ích nào trong một công ty mà tài sản đủ điều kiện của công ty đó có 75% giá trị bắt nguồn trực tiếp hoặc gián tiếp từ đất đai tại Vương quốc Anh.52 Giá trị thị trường có thể được truy vết qua bất kỳ số lượng công ty, hợp danh, quỹ tín thác và các thực thể hoặc thỏa thuận khác, nhưng không qua một khoản vay thương mại thông thường. 'Tài sản đủ điều kiện', cho mục đích này, là những tài sản được giữ bởi một công ty, hợp danh hoặc quỹ tín thác hoặc thực thể hoặc thỏa thuận khác và phải được quy cho các cổ đông, thành viên hợp danh, người thụ hưởng hoặc những người tham gia khác 'ở mỗi giai đoạn theo bất kỳ cách nào phù hợp với hoàn cảnh'.53</w:t>
      </w:r>
    </w:p>
    <w:p>
      <w:pPr>
        <w:spacing w:after="80"/>
      </w:pPr>
      <w:r>
        <w:rPr>
          <w:b w:val="0"/>
          <w:i w:val="0"/>
        </w:rPr>
        <w:t>Khoản thuế này chỉ giới hạn đối với người mà, tại bất kỳ thời điểm nào trong vòng hai năm trước khi chuyển nhượng, đã có khoản đầu tư 25% vào công ty (một 'lợi ích gián tiếp đáng kể đối với đất đai tại Vương quốc Anh').54 Khoản đầu tư được xác định bởi quyền biểu quyết, quyền được phân chia lợi nhuận và tài sản của công ty cũng như quyền đối với số tiền thu được từ việc chuyển nhượng lợi ích đó.55</w:t>
      </w:r>
    </w:p>
    <w:p>
      <w:pPr>
        <w:spacing w:after="80"/>
      </w:pPr>
      <w:r>
        <w:rPr>
          <w:b w:val="0"/>
          <w:i w:val="0"/>
        </w:rPr>
        <w:t>Khoản thuế liên quan đến lãi phát triển gắn với đất đai trong ITA 2007, Phần 9A và CTA 2010, Phần 8ZB cũng áp dụng đối với việc chuyển nhượng một số tài sản nhất định có giá trị bắt nguồn từ đất đai.56 Những tài sản này bao gồm:</w:t>
      </w:r>
    </w:p>
    <w:p>
      <w:pPr>
        <w:spacing w:after="80"/>
      </w:pPr>
      <w:r>
        <w:rPr>
          <w:b w:val="0"/>
          <w:i w:val="0"/>
        </w:rPr>
        <w:t>– bất kỳ phần sở hữu cổ phần nào trong một công ty có giá trị bắt nguồn trực tiếp hoặc gián tiếp từ</w:t>
      </w:r>
    </w:p>
    <w:p>
      <w:pPr>
        <w:spacing w:after="80"/>
      </w:pPr>
      <w:r>
        <w:rPr>
          <w:b w:val="0"/>
          <w:i w:val="0"/>
        </w:rPr>
        <w:t>đất đai; – bất kỳ quyền lợi trong hợp danh nào có giá trị bắt nguồn trực tiếp hoặc gián tiếp từ đất đai; – bất kỳ lợi ích nào trong tài sản đã định đoạt có giá trị bắt nguồn trực tiếp hoặc gián tiếp từ</w:t>
      </w:r>
    </w:p>
    <w:p>
      <w:pPr>
        <w:spacing w:after="80"/>
      </w:pPr>
      <w:r>
        <w:rPr>
          <w:b w:val="0"/>
          <w:i w:val="0"/>
        </w:rPr>
        <w:t>đất đai; và–bất kỳ quyền chọn, sự đồng ý hoặc lệnh cấm vận nào ảnh hưởng đến việc định đoạt đất đai.57</w:t>
      </w:r>
    </w:p>
    <w:p>
      <w:pPr>
        <w:spacing w:after="80"/>
      </w:pPr>
      <w:r>
        <w:rPr>
          <w:b/>
          <w:i w:val="0"/>
        </w:rPr>
        <w:t>[A]Cổ phần thăm dò hoặc khai thác</w:t>
      </w:r>
    </w:p>
    <w:p>
      <w:pPr>
        <w:spacing w:after="80"/>
      </w:pPr>
      <w:r>
        <w:rPr>
          <w:b w:val="0"/>
          <w:i w:val="0"/>
        </w:rPr>
        <w:t>Lợi nhuận phát sinh cho một người không cư trú khi định đoạt quyền thăm dò hoặc khai thác được coi là lợi nhuận phát sinh từ việc định đoạt tài sản được sử dụng cho mục đích của một hoạt động thương mại do người đó thực hiện tại Vương quốc Anh thông qua một chi nhánh hoặc đại lý.58 Quyền thăm dò hoặc khai thác trong ngữ cảnh này đề cập đến tài sản được sử dụng trong việc thăm dò hoặc khai thác đáy biển và lòng đất dưới đáy biển, cùng các nguồn tài nguyên thiên nhiên của chúng nằm tại Vương quốc Anh hoặc một khu vực được chỉ định. Cổ phần có giá trị hoặc phần lớn giá trị bắt nguồn từ tài sản thăm dò hoặc khai thác được coi là những tài sản như vậy. Do đó, việc định đoạt cổ phần trong một công ty như vậy, nơi tài sản nằm tại Vương quốc Anh, có thể làm phát sinh nghĩa vụ thuế thu nhập từ chuyển nhượng vốn.</w:t>
      </w:r>
    </w:p>
    <w:p>
      <w:pPr>
        <w:spacing w:after="80"/>
      </w:pPr>
      <w:r>
        <w:rPr>
          <w:b w:val="0"/>
          <w:i w:val="0"/>
        </w:rPr>
        <w:t>Một số hiệp định của Vương quốc Anh cũng đề cập đến quyền thăm dò hoặc khai thác dầu khí. Những hiệp định này bao gồm các hiệp định với Canada, Thụy Điển và Phần Lan, trong đó xử lý các quyền này theo cùng</w:t>
      </w:r>
    </w:p>
    <w:p>
      <w:pPr>
        <w:spacing w:after="80"/>
      </w:pPr>
      <w:r>
        <w:rPr>
          <w:b w:val="0"/>
          <w:i w:val="0"/>
        </w:rPr>
        <w:t>52.TCGA 1992, s. 1A(3)(c) và 1D(1)(a) với Sch. B1, khoản 3(1).53.TCGA 1992, Sch. B1, khoản 3. Xem Sch. B1, Phần 2 nói chung về yêu cầu giá trị 75%; xem TCGA 1992, Sch. 5AAA đối với nhà đầu tư vào các phương tiện đầu tư tập thể.54.TCGA 1992, s. 1A(3)(c) và 1D(1)(b) với Sch. B1, khoản 8. Xem Sch. B1, Phần 4 về yêu cầu lợi ích đáng kể.55.TCGA 1992, Sch. B1, khoản 9. Xem Sch. B1, Phần 3 nói chung về yêu cầu giá trị 75%.56.CTA 2010, s. 356OD đối với thuế doanh nghiệp và ITA 2007, s. 517D đối với thuế thu nhập.57.CTA 2010, s. 356OR đối với thuế doanh nghiệp và ITA 2007, s. 517S đối với thuế thu nhập.58.TCGA 1992, s. 276(7).</w:t>
      </w:r>
    </w:p>
    <w:p>
      <w:pPr>
        <w:spacing w:after="80"/>
      </w:pPr>
      <w:r>
        <w:rPr>
          <w:b w:val="0"/>
          <w:i w:val="0"/>
        </w:rPr>
        <w:t>384</w:t>
      </w:r>
    </w:p>
    <w:p>
      <w:pPr>
        <w:spacing w:after="80"/>
      </w:pPr>
      <w:r>
        <w:rPr>
          <w:b w:val="0"/>
          <w:i w:val="0"/>
        </w:rPr>
        <w:t xml:space="preserve">cách như bất động sản. Tương tự, cổ phần trong các công ty có giá trị dựa trên những quyền này thường bị đánh thuế. Xem, ví dụ, Hiệp định Canada-Vương quốc Anh, điều 13(4)(b). Hiệp định Canada-Vương quốc Anh còn cho phép đánh thuế tại quốc gia </w:t>
      </w:r>
      <w:r>
        <w:rPr>
          <w:b w:val="0"/>
          <w:i/>
        </w:rPr>
        <w:t>situs</w:t>
      </w:r>
      <w:r>
        <w:rPr>
          <w:b w:val="0"/>
          <w:i w:val="0"/>
        </w:rPr>
        <w:t xml:space="preserve"> liên quan đến các quyền lợi trong hợp danh hoặc tín thác, mà tài sản của chúng chủ yếu bao gồm bất động sản, hoặc quyền dầu khí.59 Các hiệp định có điều khoản về thu nhập từ chuyển nhượng vốn nhưng không cho phép đánh thuế tại </w:t>
      </w:r>
      <w:r>
        <w:rPr>
          <w:b w:val="0"/>
          <w:i/>
        </w:rPr>
        <w:t>situs</w:t>
      </w:r>
      <w:r>
        <w:rPr>
          <w:b w:val="0"/>
          <w:i w:val="0"/>
        </w:rPr>
        <w:t xml:space="preserve"> đối với lợi nhuận từ bất động sản bao gồm hiệp định của Vương quốc Anh với Zambia.60</w:t>
      </w:r>
    </w:p>
    <w:p>
      <w:pPr>
        <w:spacing w:after="80"/>
      </w:pPr>
      <w:r>
        <w:rPr>
          <w:b/>
          <w:i w:val="0"/>
        </w:rPr>
        <w:t>§12.08 CHUYỂN NHƯỢNG TÀU BIỂN VÀ MÁY BAY</w:t>
      </w:r>
    </w:p>
    <w:p>
      <w:pPr>
        <w:spacing w:after="80"/>
      </w:pPr>
      <w:r>
        <w:rPr>
          <w:b w:val="0"/>
          <w:i w:val="0"/>
        </w:rPr>
        <w:t>Quy tắc thông thường là dành quyền đánh thuế độc quyền đối với việc chuyển nhượng tàu biển hoặc máy bay hoạt động trong giao thông quốc tế cho quốc gia cư trú (hoặc cho nơi quản lý thực tế của doanh nghiệp). Quy tắc này được quy định tại điều 14(4) của hiệp định thuế hai lần Malaysia-Vương quốc Anh như sau:</w:t>
      </w:r>
    </w:p>
    <w:p>
      <w:pPr>
        <w:spacing w:after="80"/>
      </w:pPr>
      <w:r>
        <w:rPr>
          <w:b w:val="0"/>
          <w:i w:val="0"/>
        </w:rPr>
        <w:t>Lợi nhuận mà một người cư trú của một Quốc gia ký kết thu được từ việc chuyển nhượng tàu biển hoặc máy bay do một doanh nghiệp của Quốc gia ký kết đó vận hành trong giao thông quốc tế, hoặc động sản liên quan đến việc vận hành các tàu biển hoặc máy bay đó, sẽ chỉ bị đánh thuế tại Quốc gia ký kết đó.</w:t>
      </w:r>
    </w:p>
    <w:p>
      <w:pPr>
        <w:spacing w:after="80"/>
      </w:pPr>
      <w:r>
        <w:rPr>
          <w:b w:val="0"/>
          <w:i w:val="0"/>
        </w:rPr>
        <w:t>Theo luật trong nước, tàu biển hoặc máy bay chỉ được coi là nằm tại Vương quốc Anh nếu chủ sở hữu cư trú tại Vương quốc Anh, và quyền lợi hoặc quyền đối với hoặc trên một tàu biển hoặc máy bay được coi là nằm tại Vương quốc Anh khi và chỉ khi người được hưởng quyền lợi hoặc quyền đó cư trú tại Vương quốc Anh, điều này khớp với quy tắc trong hiệp định.61</w:t>
      </w:r>
    </w:p>
    <w:p>
      <w:pPr>
        <w:spacing w:after="80"/>
      </w:pPr>
      <w:r>
        <w:rPr>
          <w:b/>
          <w:i w:val="0"/>
        </w:rPr>
        <w:t>§12.09 THUẾ KHI RỜI ĐI</w:t>
      </w:r>
    </w:p>
    <w:p>
      <w:pPr>
        <w:spacing w:after="80"/>
      </w:pPr>
      <w:r>
        <w:rPr>
          <w:b w:val="0"/>
          <w:i w:val="0"/>
        </w:rPr>
        <w:t>Khi một công ty không còn cư trú tại Vương quốc Anh, công ty được coi là đã định đoạt toàn bộ tài sản của mình cho mục đích thu nhập từ chuyển nhượng vốn và đã mua lại chúng ngay lập tức theo giá thị trường ngay trước khi công ty không còn cư trú.62 Các tài sản vẫn thuộc phạm vi chịu thuế thu nhập từ chuyển nhượng vốn vì công ty thực hiện hoạt động thương mại tại Vương quốc Anh thông qua một cơ sở thường trú được loại trừ khỏi việc định đoạt được coi là này.63 Vì việc định đoạt diễn ra trước khi công ty không còn là người không cư trú, nghĩa vụ thuế sẽ không thuộc phạm vi của các hiệp định vì tài sản sẽ không thuộc sở hữu của một người cư trú của quốc gia ký kết kia. Tuy nhiên, khi có một lựa chọn theo s. 187 để hoãn nghĩa vụ thuế, tình hình ít rõ ràng hơn. Hiệu lực của lựa chọn này là coi lợi nhuận phát sinh cho công ty chính.64 Công ty chính là cổ đông nắm 75% cổ phần</w:t>
      </w:r>
    </w:p>
    <w:p>
      <w:pPr>
        <w:spacing w:after="80"/>
      </w:pPr>
      <w:r>
        <w:rPr>
          <w:b w:val="0"/>
          <w:i w:val="0"/>
        </w:rPr>
        <w:t>59.Hiệp định thuế Canada-Vương quốc Anh (1978), điều 13(5)(b).60.Công ước giữa Chính phủ Vương quốc Liên hiệp Anh và Bắc Ireland và Chính phủ Cộng hòa Zambia về Tránh đánh thuế hai lần và Ngăn ngừa trốn thuế tài chính đối với các loại thuế thu nhập và thu nhập từ chuyển nhượng vốn, Công ước ngày 22 tháng 3 năm 1972 (SI 1972/1721), điều 14.61.TCGA 1992, s. 275(1)(f).62.TCGA 1992, s. 185(1) và (2).63.TCGA 1992, s. 185(4).64.TCGA 1992, s. 187(3).</w:t>
      </w:r>
    </w:p>
    <w:p>
      <w:pPr>
        <w:spacing w:after="80"/>
      </w:pPr>
      <w:r>
        <w:rPr>
          <w:b w:val="0"/>
          <w:i w:val="0"/>
        </w:rPr>
        <w:t>385</w:t>
      </w:r>
    </w:p>
    <w:p>
      <w:pPr>
        <w:spacing w:after="80"/>
      </w:pPr>
      <w:r>
        <w:rPr>
          <w:b w:val="0"/>
          <w:i w:val="0"/>
        </w:rPr>
        <w:t>cư trú tại Vương quốc Anh.65 Người ta cho rằng vì việc định đoạt thực tế diễn ra tại một công ty không cư trú, lợi nhuận, trong những trường hợp như vậy sẽ được bảo vệ bởi các quy định hiệp định phù hợp, sẽ được miễn trừ bởi các quy định hiệp định phù hợp.</w:t>
      </w:r>
    </w:p>
    <w:p>
      <w:pPr>
        <w:spacing w:after="80"/>
      </w:pPr>
      <w:r>
        <w:rPr>
          <w:b w:val="0"/>
          <w:i w:val="0"/>
        </w:rPr>
        <w:t>Một cách tiếp cận có phần tương tự cũng được áp dụng đối với các ủy viên thôi cư trú tại Vương quốc Anh. Nếu các ủy viên của một quỹ tín thác không còn cư trú và cũng không còn thường trú tại Vương quốc Anh, họ cũng được coi là đã định đoạt tài sản của mình vì mục đích thuế lợi tức vốn (capital gains) và ngay lập tức tái sở hữu chúng ngay trước khi trở thành không cư trú.66 Các tài sản vẫn thuộc diện chịu thuế lợi tức vốn được loại trừ khỏi quy định này.67 Tuy nhiên, nếu các tài sản đó đến mức sau khi các ủy viên thôi cư trú, lợi tức từ các tài sản liên quan sẽ được miễn thuế theo hiệp định, thì chúng không được loại trừ khỏi việc định đoạt được coi là.68 Tương tự, các ủy viên thôi chịu thuế Vương quốc Anh trong khi vẫn cư trú do áp dụng một hiệp định cũng bị coi là định đoạt.69</w:t>
      </w:r>
    </w:p>
    <w:p>
      <w:pPr>
        <w:spacing w:after="80"/>
      </w:pPr>
      <w:r>
        <w:rPr>
          <w:b/>
          <w:i w:val="0"/>
        </w:rPr>
        <w:t>§12.10 THUẾ XUẤT CẢNH NƯỚC NGOÀI</w:t>
      </w:r>
    </w:p>
    <w:p>
      <w:pPr>
        <w:spacing w:after="80"/>
      </w:pPr>
      <w:r>
        <w:rPr>
          <w:b w:val="0"/>
          <w:i w:val="0"/>
        </w:rPr>
        <w:t>Một số khu vực pháp lý cũng áp đặt một khoản thuế xuất cảnh (exit charge) đối với các cá nhân thôi cư trú. Việc định đoạt được coi là ở khu vực pháp lý nước ngoài không được công nhận vì mục đích thuế Vương quốc Anh và khoản thuế đã nộp không được phép khấu trừ khi tính lợi tức theo TCGA 1992, s.38. Thật vậy, s.38(4) đặc biệt không cho phép khấu trừ chi phí liên quan đến việc định đoạt hoặc mua lại được coi là vì mục đích thuế lợi tức vốn của Vương quốc Anh. Do đó, lợi tức ở Vương quốc Anh sẽ được tính trên cơ sở giá gốc lịch sử. Việc đánh thuế hai lần không thể giảm trừ có thể phát sinh khi một cá nhân chuyển đến Vương quốc Anh bị coi là định đoạt và tái sở hữu ở nước ngoài và sau đó định đoạt tài sản trong khi cư trú tại Vương quốc Anh. Hai hiệp định có các biện pháp được thiết kế để giảm bớt vấn đề này. Mặc dù được soạn thảo theo các điều khoản song phương, chúng chỉ áp dụng cho các cá nhân chuyển đến Vương quốc Anh, vì ở đây không có thuế xuất cảnh đối với cá nhân.</w:t>
      </w:r>
    </w:p>
    <w:p>
      <w:pPr>
        <w:spacing w:after="80"/>
      </w:pPr>
      <w:r>
        <w:rPr>
          <w:b w:val="0"/>
          <w:i w:val="0"/>
        </w:rPr>
        <w:t>Trong trường hợp của Úc, hiệp định thuế hai lần Úc-Vương quốc Anh quy định miễn thuế lợi tức vốn ở quốc gia khởi hành nếu cá nhân chọn hoãn thuế cho đến thời điểm thực hiện.70 Do đó, một cư dân Úc chuyển đến Vương quốc Anh, người chọn hoãn lợi tức và định đoạt tài sản trong khi cư trú tại Vương quốc Anh, sẽ chỉ phải chịu thuế ở Vương quốc Anh đối với việc chuyển nhượng tiếp theo đó.</w:t>
      </w:r>
    </w:p>
    <w:p>
      <w:pPr>
        <w:spacing w:after="80"/>
      </w:pPr>
      <w:r>
        <w:rPr>
          <w:b w:val="0"/>
          <w:i w:val="0"/>
        </w:rPr>
        <w:t>Trong trường hợp cư dân Canada chuyển đến Vương quốc Anh, giới hạn về quyền tài phán đánh thuế liên quan đến việc rời khỏi Canada được áp đặt lên Vương quốc Anh theo điều 13(10) của Hiệp định Canada-Vương quốc Anh. Trong trường hợp này, khi cá nhân được coi là đã chuyển nhượng tài sản khi thôi cư trú tại Canada, Vương quốc Anh chỉ được quyền đánh thuế lợi tức đối với việc định đoạt tiếp theo tài sản đó trong phạm vi lợi tức chưa phát sinh trong khi cá nhân cư trú tại Canada. Do đó, trên thực tế, cá nhân</w:t>
      </w:r>
    </w:p>
    <w:p>
      <w:pPr>
        <w:spacing w:after="80"/>
      </w:pPr>
      <w:r>
        <w:rPr>
          <w:b w:val="0"/>
          <w:i w:val="0"/>
        </w:rPr>
        <w:t>65. TCGA 1992, s. 187(1)(a).66. TCGA 1992, s. 80(2).67. TCGA 1992, s. 80(4).68. TCGA 1992, s. 80(5).69. TCGA 1992, s. 83.70. Hiệp định thuế Úc-Vương quốc Anh, điều 13(5).</w:t>
      </w:r>
    </w:p>
    <w:p>
      <w:pPr>
        <w:spacing w:after="80"/>
      </w:pPr>
      <w:r>
        <w:rPr>
          <w:b w:val="0"/>
          <w:i w:val="0"/>
        </w:rPr>
        <w:t>386</w:t>
      </w:r>
    </w:p>
    <w:p>
      <w:pPr>
        <w:spacing w:after="80"/>
      </w:pPr>
      <w:r>
        <w:rPr>
          <w:b w:val="0"/>
          <w:i w:val="0"/>
        </w:rPr>
        <w:t>có thể nâng giá gốc mua tài sản lên giá trị thị trường tại thời điểm trở thành cư trú tại Vương quốc Anh. Khoản giảm trừ này không áp dụng cho bất kỳ tài sản nào mà Vương quốc Anh được quyền đánh thuế theo các quy định của điều 13 nói chung nếu tài sản được định đoạt trong khi cá nhân vẫn còn cư trú tại Canada.</w:t>
      </w:r>
    </w:p>
    <w:p>
      <w:pPr>
        <w:spacing w:after="80"/>
      </w:pPr>
      <w:r>
        <w:rPr>
          <w:b/>
          <w:i w:val="0"/>
        </w:rPr>
        <w:t>§12.11 LỢI TỨC CỦA CỰU CƯ DÂN</w:t>
      </w:r>
    </w:p>
    <w:p>
      <w:pPr>
        <w:spacing w:after="80"/>
      </w:pPr>
      <w:r>
        <w:rPr>
          <w:b w:val="0"/>
          <w:i w:val="0"/>
        </w:rPr>
        <w:t>Một cách tiếp cận hoàn toàn khác được áp dụng đối với các cá nhân rời đi. Không có việc định đoạt được coi là đối với các cá nhân thôi cư trú tại Vương quốc Anh. Cư dân tạm thời không cư trú là những cá nhân rời Vương quốc Anh rồi quay lại, khi có ít hơn năm năm tính thuế giữa năm khởi hành và năm quay lại.71 Lợi tức từ việc định đoạt tài sản trong thời gian vắng mặt tạm thời được coi là phát sinh cho những cá nhân này không phải trong năm định đoạt mà trong năm họ quay lại.72 Cho đến năm 2005, nếu những cá nhân này đủ điều kiện được giảm trừ thuế lợi tức vốn theo một hiệp định phù hợp, luật pháp không ngăn cản việc áp dụng hiệp định đó.73</w:t>
      </w:r>
    </w:p>
    <w:p>
      <w:pPr>
        <w:spacing w:after="80"/>
      </w:pPr>
      <w:r>
        <w:rPr>
          <w:b w:val="0"/>
          <w:i w:val="0"/>
        </w:rPr>
        <w:t>Do đó, bất kỳ khoản miễn trừ nào được đưa ra cụ thể theo một hiệp định đều được tính đến khi xác định nghĩa vụ thuế tại Vương quốc Anh.74 Ngụ ý trong phân tích này là khi áp dụng một hiệp định, thời điểm thực tế của việc định đoạt mới là yếu tố quan trọng, chứ không phải thời điểm được coi là. TCGA 1992, s. 1M(5) hiện nay ghi đè việc áp dụng bất kỳ hiệp định nào.</w:t>
      </w:r>
    </w:p>
    <w:p>
      <w:pPr>
        <w:spacing w:after="80"/>
      </w:pPr>
      <w:r>
        <w:rPr>
          <w:b w:val="0"/>
          <w:i w:val="0"/>
        </w:rPr>
        <w:t>Một số lượng đáng kể các hiệp định cho phép các quốc gia ký kết đánh thuế các cựu cư dân đối với lợi tức vốn trong một khoảng thời gian giới hạn. Một ví dụ hiện tại là điều 13(6) của hiệp định thuế hai lần Estonia-Vương quốc Anh, có nội dung như sau:</w:t>
      </w:r>
    </w:p>
    <w:p>
      <w:pPr>
        <w:spacing w:after="80"/>
      </w:pPr>
      <w:r>
        <w:rPr>
          <w:b w:val="0"/>
          <w:i w:val="0"/>
        </w:rPr>
        <w:t>Các quy định của khoản (5) của Điều này sẽ không ảnh hưởng đến quyền của một Quốc gia ký kết được đánh thuế theo luật của mình đối với lợi tức vốn từ việc chuyển nhượng bất kỳ tài sản nào có được bởi một cá nhân là cư dân của Quốc gia ký kết kia và đã từng là cư dân của Quốc gia ký kết được đề cập đầu tiên vào bất kỳ thời điểm nào trong vòng năm năm ngay trước khi chuyển nhượng tài sản đó.</w:t>
      </w:r>
    </w:p>
    <w:p>
      <w:pPr>
        <w:spacing w:after="80"/>
      </w:pPr>
      <w:r>
        <w:rPr>
          <w:b w:val="0"/>
          <w:i w:val="0"/>
        </w:rPr>
        <w:t>Cách diễn đạt này sẽ cho phép Vương quốc Anh đánh thuế các cá nhân là cư dân tạm thời không cư trú. Thời gian không cư trú ít hơn năm năm trong một số hiệp định (ví dụ: hai năm trong hiệp định thuế hai lần Bolivia-Vương quốc Anh,75 ba năm trong hiệp định thuế hai lần Oman-Vương quốc Anh76 và ba năm trong hiệp định thuế hai lần Áo-Vương quốc Anh)77 nếu lợi tức không phải chịu thuế ở quốc gia cư trú tại thời điểm định đoạt.</w:t>
      </w:r>
    </w:p>
    <w:p>
      <w:pPr>
        <w:spacing w:after="80"/>
      </w:pPr>
      <w:r>
        <w:rPr>
          <w:b w:val="0"/>
          <w:i w:val="0"/>
        </w:rPr>
        <w:t>71. TCGA 1992, s. 1M.72. TCGA 1992, s. 1M(1),(2) và (3).73. TCGA 1992, s. 10A(10).74. HMRC, Sổ tay Thuế Lợi tức Vốn, CG262290 (cho đến khi bị rút).75. Công ước giữa Chính phủ Vương quốc Liên hiệp Anh và Bắc Ireland và Chính phủ Cộng hòa Bolivia về Tránh đánh thuế hai lần và Ngăn ngừa trốn thuế liên quan đến Thuế Thu nhập và Vốn ngày 3 tháng 11 năm 1994 (SI 1995/2707), điều 13(6).76. Thỏa thuận giữa Chính phủ Vương quốc Liên hiệp Anh và Bắc Ireland và Chính phủ Vương quốc Oman về Tránh đánh thuế hai lần và Ngăn ngừa trốn thuế liên quan đến Thuế Thu nhập và Lợi tức Vốn ngày 23 tháng 2 năm 1998 (SI 1998/2568), điều 13(7).77. Hiệp định thuế Áo-Vương quốc Anh (1969), điều 13(5).</w:t>
      </w:r>
    </w:p>
    <w:p>
      <w:pPr>
        <w:spacing w:after="80"/>
      </w:pPr>
      <w:r>
        <w:rPr>
          <w:b w:val="0"/>
          <w:i w:val="0"/>
        </w:rPr>
        <w:t>387</w:t>
      </w:r>
    </w:p>
    <w:p>
      <w:pPr>
        <w:spacing w:before="240" w:after="80"/>
      </w:pPr>
      <w:r>
        <w:rPr>
          <w:b/>
          <w:sz w:val="32"/>
        </w:rPr>
        <w:t>CHƯƠNG 13Thu nhập khác và các trường hợp linh tinh</w:t>
      </w:r>
    </w:p>
    <w:p>
      <w:pPr>
        <w:spacing w:after="80"/>
      </w:pPr>
      <w:r>
        <w:rPr>
          <w:b/>
          <w:i w:val="0"/>
        </w:rPr>
        <w:t>§13.01THU NHẬP KHÁC</w:t>
      </w:r>
    </w:p>
    <w:p>
      <w:pPr>
        <w:spacing w:after="80"/>
      </w:pPr>
      <w:r>
        <w:rPr>
          <w:b w:val="0"/>
          <w:i w:val="0"/>
        </w:rPr>
        <w:t>Các khoản thu nhập không được đề cập trong hiệp định, theo mặc định, sẽ bị đánh thuế theo luật trong nước của các quốc gia ký kết. Các hiệp định theo mô hình OECD cố gắng bao quát nhóm thu nhập còn lại này thông qua điều khoản "Thu nhập khác". Dạng đơn giản nhất của điều khoản này được tìm thấy trong Hiệp định Anh-Sudan, điều 21, quy định như sau:</w:t>
      </w:r>
    </w:p>
    <w:p>
      <w:pPr>
        <w:spacing w:after="80"/>
      </w:pPr>
      <w:r>
        <w:rPr>
          <w:b w:val="0"/>
          <w:i w:val="0"/>
        </w:rPr>
        <w:t>Các khoản thu nhập của một cư dân của một Quốc gia ký kết là thu nhập thuộc một loại hoặc từ các nguồn không được đề cập rõ ràng trong các Điều khoản trước đây của Công ước này sẽ chỉ bị đánh thuế tại Quốc gia đó.</w:t>
      </w:r>
    </w:p>
    <w:p>
      <w:pPr>
        <w:spacing w:after="80"/>
      </w:pPr>
      <w:r>
        <w:rPr>
          <w:b w:val="0"/>
          <w:i w:val="0"/>
        </w:rPr>
        <w:t xml:space="preserve">Do đó, thu nhập không được xử lý rõ ràng chỉ bị đánh thuế tại quốc gia cư trú. Trong </w:t>
      </w:r>
      <w:r>
        <w:rPr>
          <w:b w:val="0"/>
          <w:i/>
        </w:rPr>
        <w:t>Resolute Management Services Ltd; Haderlein v HMRC</w:t>
      </w:r>
      <w:r>
        <w:rPr>
          <w:b w:val="0"/>
          <w:i w:val="0"/>
        </w:rPr>
        <w:t xml:space="preserve">,1 một khoản thanh toán </w:t>
      </w:r>
      <w:r>
        <w:rPr>
          <w:b w:val="0"/>
          <w:i/>
        </w:rPr>
        <w:t>ex gratia</w:t>
      </w:r>
      <w:r>
        <w:rPr>
          <w:b w:val="0"/>
          <w:i w:val="0"/>
        </w:rPr>
        <w:t xml:space="preserve"> khi chấm dứt việc làm bị đánh thuế như thu nhập từ việc làm theo luật trong nước nhưng không nằm trong phạm vi của điều khoản thu nhập từ việc làm của Hiệp định Hoa Kỳ. Người ta cho rằng nó nằm trong phạm vi của điều khoản thu nhập khác và chỉ bị đánh thuế tại quốc gia cư trú của người nhận. Điều này nhìn chung phù hợp với Dự thảo Công ước OECD năm 1963. Một số hiệp định cũ hơn không có quy định như vậy.2</w:t>
      </w:r>
    </w:p>
    <w:p>
      <w:pPr>
        <w:spacing w:after="80"/>
      </w:pPr>
      <w:r>
        <w:rPr>
          <w:b w:val="0"/>
          <w:i w:val="0"/>
        </w:rPr>
        <w:t>Tuy nhiên, các hiệp định sau này theo mô hình OECD năm 1977 và các phiên bản sau đó có một ngoại lệ cho phép một số thu nhập liên quan đến hoạt động của một</w:t>
      </w:r>
    </w:p>
    <w:p>
      <w:pPr>
        <w:spacing w:after="80"/>
      </w:pPr>
      <w:r>
        <w:rPr>
          <w:b w:val="0"/>
          <w:i w:val="0"/>
        </w:rPr>
        <w:t>1.</w:t>
      </w:r>
      <w:r>
        <w:rPr>
          <w:b w:val="0"/>
          <w:i/>
        </w:rPr>
        <w:t>Resolute Management Services Ltd; Bà Kathleen Ann Haderlein v Revenue &amp; Customs</w:t>
      </w:r>
      <w:r>
        <w:rPr>
          <w:b w:val="0"/>
          <w:i w:val="0"/>
        </w:rPr>
        <w:t xml:space="preserve"> (2008) SpC 710. Xem tổng quát Chương 11, §11.02.2. Xem ví dụ, </w:t>
      </w:r>
      <w:r>
        <w:rPr>
          <w:b w:val="0"/>
          <w:i/>
        </w:rPr>
        <w:t>Công ước giữa Chính phủ Vương quốc Liên hiệp Anh và Bắc Ireland và Chính phủ Cộng hòa Nam Phi về Tránh đánh thuế hai lần và Ngăn chặn trốn thuế liên quan đến Thuế thu nhập, Công ước ngày 28 tháng 5 năm 1962</w:t>
      </w:r>
      <w:r>
        <w:rPr>
          <w:b w:val="0"/>
          <w:i w:val="0"/>
        </w:rPr>
        <w:t xml:space="preserve"> (SI 1962/2352) và Công ước giữa Chính phủ Vương quốc Liên hiệp Anh và Bắc Ireland và Chính phủ Cộng hòa Xã hội Chủ nghĩa Dân chủ Sri Lanka về Tránh đánh thuế hai lần và Ngăn chặn trốn thuế liên quan đến Thuế thu nhập và Lợi nhuận vốn, Công ước ngày 21 tháng 6 năm 1979 (SI 1980/713).</w:t>
      </w:r>
    </w:p>
    <w:p>
      <w:pPr>
        <w:spacing w:after="80"/>
      </w:pPr>
      <w:r>
        <w:rPr>
          <w:b w:val="0"/>
          <w:i w:val="0"/>
        </w:rPr>
        <w:t>389</w:t>
      </w:r>
    </w:p>
    <w:p>
      <w:pPr>
        <w:spacing w:after="80"/>
      </w:pPr>
      <w:r>
        <w:rPr>
          <w:b w:val="0"/>
          <w:i w:val="0"/>
        </w:rPr>
        <w:t>cơ sở thường trú bị đánh thuế tại quốc gia đó. Ngoại lệ này được tìm thấy, ví dụ, trong điều 22(2) của Hiệp định Tây Ban Nha-Anh (1975), như sau:</w:t>
      </w:r>
    </w:p>
    <w:p>
      <w:pPr>
        <w:spacing w:after="80"/>
      </w:pPr>
      <w:r>
        <w:rPr>
          <w:b w:val="0"/>
          <w:i w:val="0"/>
        </w:rPr>
        <w:t>Các quy định của khoản (1) của Điều này sẽ không áp dụng nếu người nhận thu nhập, là cư dân của một Quốc gia ký kết, tiến hành kinh doanh tại Quốc gia ký kết kia thông qua một cơ sở thường trú đặt tại đó, hoặc thực hiện tại Quốc gia kia các dịch vụ chuyên môn từ một cơ sở cố định đặt tại đó, và quyền hoặc tài sản mà thu nhập được trả liên quan đến đó được kết nối hiệu quả với cơ sở thường trú hoặc cơ sở cố định đó. Trong trường hợp như vậy, các quy định của Điều 7 hoặc Điều 14, tùy từng trường hợp, sẽ được áp dụng.</w:t>
      </w:r>
    </w:p>
    <w:p>
      <w:pPr>
        <w:spacing w:after="80"/>
      </w:pPr>
      <w:r>
        <w:rPr>
          <w:b w:val="0"/>
          <w:i w:val="0"/>
        </w:rPr>
        <w:t>Thông thường, điều khoản thu nhập khác bao quát thu nhập từ mọi nguồn, do đó ngoài thu nhập từ các nguồn tại quốc gia ký kết nơi người nộp thuế không cư trú, thu nhập từ các quốc gia thứ ba cũng được miễn thuế. Mô hình Liên Hợp Quốc giới hạn tác động đối với thu nhập còn lại chỉ đối với thu nhập từ các nguồn quốc gia thứ ba bằng cách bổ sung thêm ngôn ngữ được phản ánh trong Hiệp định Anh-Venezuela, điều 21(3), như được trình bày ở đây:</w:t>
      </w:r>
    </w:p>
    <w:p>
      <w:pPr>
        <w:spacing w:after="80"/>
      </w:pPr>
      <w:r>
        <w:rPr>
          <w:b w:val="0"/>
          <w:i w:val="0"/>
        </w:rPr>
        <w:t>Bất chấp các quy định của khoản 1 và 2, các khoản thu nhập của một cư dân của một Quốc gia ký kết không được xử lý trong các điều khoản trước đây của Công ước này và phát sinh tại Quốc gia ký kết kia cũng có thể bị đánh thuế tại Quốc gia kia.</w:t>
      </w:r>
    </w:p>
    <w:p>
      <w:pPr>
        <w:spacing w:after="80"/>
      </w:pPr>
      <w:r>
        <w:rPr>
          <w:b w:val="0"/>
          <w:i w:val="0"/>
        </w:rPr>
        <w:t>Tuy nhiên, trong một số hiệp định, thu nhập khác có thể bị đánh thuế tại quốc gia nguồn. Điều này bao gồm các hiệp định của Anh với Argentina,3 Singapore4 và Venezuela.5</w:t>
      </w:r>
    </w:p>
    <w:p>
      <w:pPr>
        <w:spacing w:after="80"/>
      </w:pPr>
      <w:r>
        <w:rPr>
          <w:b w:val="0"/>
          <w:i w:val="0"/>
        </w:rPr>
        <w:t>Vì điều khoản này bao quát tất cả các khoản thu nhập, nó có thể có ý nghĩa đáng kể. Các khoản được HMRC công nhận là thường nằm trong các quy định này bao gồm tiền cấp dưỡng, lương hưu an sinh xã hội, các khoản thanh toán theo chứng thư giao kèo6 và các khoản thanh toán được thực hiện cho những người ủng hộ hậu trường không cư trú của các vở kịch và nhạc kịch (còn được gọi là 'thiên thần') để đổi lấy tiền mà họ bỏ ra trong việc tài trợ cho một tác phẩm, là các khoản thanh toán hàng năm yêu cầu khấu trừ thuế tại nguồn.7 Quan điểm của HMRC là lợi nhuận vốn không được bao quát bởi điều khoản thu nhập khác.8 Tiền thắng cờ bạc được bao gồm.9</w:t>
      </w:r>
    </w:p>
    <w:p>
      <w:pPr>
        <w:spacing w:after="80"/>
      </w:pPr>
      <w:r>
        <w:rPr>
          <w:b w:val="0"/>
          <w:i w:val="0"/>
        </w:rPr>
        <w:t>Việc điều khoản thu nhập khác được sử dụng để gắn kèm các quy định liên quan đến các vấn đề không phù hợp gọn gàng với các phần khác của hiệp định cũng đã trở thành thông lệ.</w:t>
      </w:r>
    </w:p>
    <w:p>
      <w:pPr>
        <w:spacing w:after="80"/>
      </w:pPr>
      <w:r>
        <w:rPr>
          <w:b w:val="0"/>
          <w:i w:val="0"/>
        </w:rPr>
        <w:t>3.Công ước giữa Chính phủ Vương quốc Liên hiệp Anh và Bắc Ireland và Chính phủ Cộng hòa Argentina về Tránh đánh thuế hai lần và Ngăn chặn trốn thuế liên quan đến Thuế thu nhập và Vốn, Công ước ngày 3 tháng 1 năm 1996 (SI 1997/1777), điều 21(5).4.Thỏa thuận giữa Chính phủ Vương quốc Liên hiệp Anh và Bắc Ireland và Chính phủ Cộng hòa Singapore về Tránh đánh thuế hai lần và Ngăn chặn trốn thuế liên quan đến Thuế thu nhập và Lợi nhuận vốn, Thỏa thuận ngày 12 tháng 2 năm 1997 (SI 1997/2988), điều 22(3).5.Công ước giữa Chính phủ Vương quốc Liên hiệp Anh và Bắc Ireland và Chính phủ Cộng hòa Venezuela về Tránh đánh thuế hai lần và Ngăn chặn trốn thuế liên quan đến Thuế thu nhập và Lợi nhuận vốn, Công ước ngày 11 tháng 3 năm 1996 (SI 1996/2599), điều 21(3).6.HMRC, Sổ tay Thuế Quốc tế, INTM153240.7.HMRC, Sổ tay Thuế Quốc tế, INTM342580.8.HMRC, Sổ tay Giảm thuế hai lần, DT227.9.</w:t>
      </w:r>
      <w:r>
        <w:rPr>
          <w:b w:val="0"/>
          <w:i/>
        </w:rPr>
        <w:t>John P. McManus v Commissioner of Internal Revenue</w:t>
      </w:r>
      <w:r>
        <w:rPr>
          <w:b w:val="0"/>
          <w:i w:val="0"/>
        </w:rPr>
        <w:t>, Tòa án Yêu cầu Liên bang Hoa Kỳ, Số 15-946T (ngày 3 tháng 3 năm 2017). Tiền thắng cờ bạc liên quan đến một trận backgammon kéo dài ba ngày diễn ra tại Hoa Kỳ được đồng ý là nằm trong điều 22 của Hiệp định Ireland-Hoa Kỳ.</w:t>
      </w:r>
    </w:p>
    <w:p>
      <w:pPr>
        <w:spacing w:after="80"/>
      </w:pPr>
      <w:r>
        <w:rPr>
          <w:b w:val="0"/>
          <w:i w:val="0"/>
        </w:rPr>
        <w:t>390</w:t>
      </w:r>
    </w:p>
    <w:p>
      <w:pPr>
        <w:spacing w:after="80"/>
      </w:pPr>
      <w:r>
        <w:rPr>
          <w:b w:val="0"/>
          <w:i w:val="0"/>
        </w:rPr>
        <w:t>Kết quả, trong nhiều trường hợp, là một sự phân bổ cụ thể quyền tài phán đánh thuế đối với những khoản mục mà nếu không thì sẽ được xếp vào phạm trù thu nhập khác còn lại. Hoặc, những vấn đề như vậy đôi khi được đặt trong một điều khoản có tiêu đề 'Các quy định linh tinh'.10</w:t>
      </w:r>
    </w:p>
    <w:p>
      <w:pPr>
        <w:spacing w:after="80"/>
      </w:pPr>
      <w:r>
        <w:rPr>
          <w:b/>
          <w:i w:val="0"/>
        </w:rPr>
        <w:t>§13.02 THU NHẬP TỪ TÍN THÁC VÀ DI SẢN</w:t>
      </w:r>
    </w:p>
    <w:p>
      <w:pPr>
        <w:spacing w:after="80"/>
      </w:pPr>
      <w:r>
        <w:rPr>
          <w:b w:val="0"/>
          <w:i w:val="0"/>
        </w:rPr>
        <w:t>Nhiều hiệp định xử lý các khoản thanh toán từ tín thác và di sản trong quá trình quản lý bằng cách cho phép quyền đánh thuế theo luật trong nước. Điều 20(1) của Hiệp định Ireland-UK viết:</w:t>
      </w:r>
    </w:p>
    <w:p>
      <w:pPr>
        <w:spacing w:after="80"/>
      </w:pPr>
      <w:r>
        <w:rPr>
          <w:b w:val="0"/>
          <w:i w:val="0"/>
        </w:rPr>
        <w:t>Các khoản mục thu nhập của một cư dân của một Quốc gia ký kết, dù phát sinh ở đâu, là thu nhập thuộc một loại hoặc từ các nguồn không được đề cập rõ ràng trong các Điều khoản nêu trên của Công ước này, ngoài thu nhập được chi trả từ tín thác hoặc di sản của người đã chết trong quá trình quản lý, sẽ chỉ bị đánh thuế tại Quốc gia đó.</w:t>
      </w:r>
    </w:p>
    <w:p>
      <w:pPr>
        <w:spacing w:after="80"/>
      </w:pPr>
      <w:r>
        <w:rPr>
          <w:b w:val="0"/>
          <w:i w:val="0"/>
        </w:rPr>
        <w:t>Điều này ngăn cản một người thụ hưởng của một tín thác tùy ý là cư dân của quốc gia ký kết kia yêu cầu hoàn trả toàn bộ thuế suất cơ bản và bổ sung được đánh trên các ủy thác viên theo ITA 2007, ss 479 và 493. Tuy nhiên, ESCB18 cho phép người thụ hưởng như vậy 'nhìn xuyên qua' để thấy thu nhập cơ sở của các khoản thanh toán được thực hiện cho họ và điều khoản thích hợp trong hiệp định sẽ áp dụng cho bất kỳ thu nhập nào như vậy phát sinh tại UK.11 Nguyên tắc này được trao thẩm quyền hiệp định bởi điều 20(2) của Hiệp định Thuế Thu nhập Barbados-UK (2012), trong đó bảo toàn nguồn thu nhập cơ sở khi thu nhập được chi trả cho một cư dân của một quốc gia ký kết từ thu nhập mà các ủy thác viên hoặc người đại diện cá nhân đang quản lý di sản của người đã chết nhận được, và những ủy thác viên hoặc người đại diện cá nhân đó là cư dân của quốc gia ký kết kia. Để duy trì sự minh bạch này, bất kỳ khoản thuế nào mà các ủy thác viên hoặc người đại diện cá nhân đã nộp liên quan đến thu nhập được chi trả cho người thụ hưởng đều được coi như thể chính người thụ hưởng đã nộp. Một số hiệp định không đề cập đến các khoản mục thu nhập còn lại mà chỉ đơn giản sử dụng điều khoản để đề cập đến thu nhập từ tín thác hoặc di sản và, thực tế trong một số trường hợp, chỉ từ tín thác.12</w:t>
      </w:r>
    </w:p>
    <w:p>
      <w:pPr>
        <w:spacing w:after="80"/>
      </w:pPr>
      <w:r>
        <w:rPr>
          <w:b w:val="0"/>
          <w:i w:val="0"/>
        </w:rPr>
        <w:t>Một quy tắc bất thường được tìm thấy trong Hiệp định UK-Canada, cụ thể là cho phép Canada đánh thuế đối với cư dân UK là chủ sở hữu hưởng lợi của thu nhập từ tín thác hoặc di sản cư trú tại Canada. Tuy nhiên, trong trường hợp này, số thuế được giới hạn ở 15% tổng thu nhập.13 Không có định nghĩa về tín thác hoặc di sản, nhưng trong hiệp định này, tín thác không bao gồm một thỏa thuận mà theo đó các khoản đóng góp vào tín thác được khấu trừ cho mục đích thuế Canada.14</w:t>
      </w:r>
    </w:p>
    <w:p>
      <w:pPr>
        <w:spacing w:after="80"/>
      </w:pPr>
      <w:r>
        <w:rPr>
          <w:b w:val="0"/>
          <w:i w:val="0"/>
        </w:rPr>
        <w:t>10. Xem, ví dụ, Hiệp định Thuế Barbados-UK (2012), điều 22. 11. HMRC, Sổ tay Thuế Quốc tế, INTM153240. 12. Ví dụ, Thỏa thuận giữa Chính phủ Vương quốc Liên hiệp Anh và Bắc Ireland và Chính phủ Quần đảo Falkland về Việc Tránh Đánh Thuế Hai Lần và Ngăn ngừa Trốn thuế Tài khóa đối với Thuế Thu nhập và Lợi tức Vốn, Thỏa thuận ngày 25 tháng 6 năm 1997 (SI 1997/2985), điều 24. 13. Hiệp định Thuế Canada-UK (1978), điều 20(1). 14. Hiệp định Thuế Canada-UK (1978), điều 20(3).</w:t>
      </w:r>
    </w:p>
    <w:p>
      <w:pPr>
        <w:spacing w:after="80"/>
      </w:pPr>
      <w:r>
        <w:rPr>
          <w:b w:val="0"/>
          <w:i w:val="0"/>
        </w:rPr>
        <w:t>391</w:t>
      </w:r>
    </w:p>
    <w:p>
      <w:pPr>
        <w:spacing w:after="80"/>
      </w:pPr>
      <w:r>
        <w:rPr>
          <w:b/>
          <w:i w:val="0"/>
        </w:rPr>
        <w:t>§13.03 CÁC KHOẢN THANH TOÁN TIỀN CẤP DƯỠNG VÀ CHU CẤP</w:t>
      </w:r>
    </w:p>
    <w:p>
      <w:pPr>
        <w:spacing w:after="80"/>
      </w:pPr>
      <w:r>
        <w:rPr>
          <w:b w:val="0"/>
          <w:i w:val="0"/>
        </w:rPr>
        <w:t>Các khoản thanh toán được thực hiện liên quan đến các thỏa thuận hỗ trợ gia đình khác nhau được xử lý cụ thể trong Hiệp định UK-Chile như sau:</w:t>
      </w:r>
    </w:p>
    <w:p>
      <w:pPr>
        <w:spacing w:after="80"/>
      </w:pPr>
      <w:r>
        <w:rPr>
          <w:b w:val="0"/>
          <w:i w:val="0"/>
        </w:rPr>
        <w:t>Các khoản thanh toán định kỳ, được thực hiện theo một thỏa thuận ly thân bằng văn bản hoặc một phán quyết ly hôn, chu cấp riêng biệt hoặc hỗ trợ bắt buộc, bao gồm các khoản thanh toán để hỗ trợ một đứa trẻ, được thực hiện bởi một cư dân của một Quốc gia ký kết cho một cư dân của Quốc gia ký kết kia, sẽ được miễn thuế ở cả hai Quốc gia ký kết, ngoại trừ việc, nếu người nộp được hưởng giảm thuế cho các khoản thanh toán đó ở Quốc gia được đề cập đầu tiên, thì các khoản thanh toán đó sẽ chỉ bị đánh thuế ở Quốc gia kia.15</w:t>
      </w:r>
    </w:p>
    <w:p>
      <w:pPr>
        <w:spacing w:after="80"/>
      </w:pPr>
      <w:r>
        <w:rPr>
          <w:b w:val="0"/>
          <w:i w:val="0"/>
        </w:rPr>
        <w:t>Đây là một ví dụ hiếm hoi về việc miễn thuế ở cả hai quốc gia ký kết.</w:t>
      </w:r>
    </w:p>
    <w:p>
      <w:pPr>
        <w:spacing w:after="80"/>
      </w:pPr>
      <w:r>
        <w:rPr>
          <w:b/>
          <w:i w:val="0"/>
        </w:rPr>
        <w:t>§13.04 HOẠT ĐỘNG THĂM DÒ VÀ KHAI THÁC NGOÀI KHƠI</w:t>
      </w:r>
    </w:p>
    <w:p>
      <w:pPr>
        <w:spacing w:after="80"/>
      </w:pPr>
      <w:r>
        <w:rPr>
          <w:b w:val="0"/>
          <w:i w:val="0"/>
        </w:rPr>
        <w:t>Kể từ khi ngành công nghiệp dầu khí ngoài khơi phát triển ở UK từ đầu những năm 1970, các hiệp định đã chứa các quy định giải quyết cách thức mà các hoạt động của cư dân các quốc gia có hiệp định sẽ bị đánh thuế trong bối cảnh đó. Quyền tài phán áp đặt thuế thu nhập, thuế lợi tức vốn và thuế công ty đối với các hoạt động thăm dò hoặc khai thác ở Biển Bắc theo FA1973, s.38, được áp dụng cho việc thăm dò hoặc khai thác đáy biển và lòng đất dưới đáy biển cùng các tài nguyên thiên nhiên của chúng nằm ở cả UK hoặc một khu vực được chỉ định của thềm lục địa. Nếu không có sự mở rộng như vậy, UK thông thường sẽ bị giới hạn trong các khu vực lãnh hải của mình. Chiều rộng của lãnh hải là 12 hải lý tính từ đường bờ biển.16 Định nghĩa về UK cũng được mở rộng trong hầu hết các hiệp định. Ví dụ, UK được định nghĩa trong Hiệp định Canada-UK, điều 3(1)(a)(ii), có nghĩa là:</w:t>
      </w:r>
    </w:p>
    <w:p>
      <w:pPr>
        <w:spacing w:after="80"/>
      </w:pPr>
      <w:r>
        <w:rPr>
          <w:b w:val="0"/>
          <w:i w:val="0"/>
        </w:rPr>
        <w:t>Vương quốc Anh và Bắc Ireland, bao gồm bất kỳ khu vực nào nằm ngoài lãnh hải của Vương quốc Liên hiệp Anh mà theo luật quốc tế đã được hoặc có thể sau này được chỉ định theo luật của Vương quốc Liên hiệp Anh liên quan đến thềm lục địa, như một khu vực trong đó các quyền của Vương quốc Liên hiệp Anh đối với đáy biển và lòng đất dưới đáy biển cùng các tài nguyên thiên nhiên của chúng có thể được thực thi.</w:t>
      </w:r>
    </w:p>
    <w:p>
      <w:pPr>
        <w:spacing w:after="80"/>
      </w:pPr>
      <w:r>
        <w:rPr>
          <w:b w:val="0"/>
          <w:i w:val="0"/>
        </w:rPr>
        <w:t>Các quy định này mở rộng quyền đánh thuế đối với các khu vực thuộc Vương quốc Anh trên thềm lục địa (Continental Shelf) và, trong một số trường hợp, tạo ra các ngoại lệ đối với các quy tắc đánh thuế được tìm thấy trong hầu hết các hiệp ước. Điều 27A của Hiệp ước Canada-UK bao hàm chủ đề điển hình của các quy định này. Theo Điều 27A(2), các hoạt động liên quan đến việc thăm dò hoặc khai thác đáy biển và lòng đất dưới đáy biển cùng các tài nguyên thiên nhiên của chúng nằm ở quốc gia ký kết kia thường được coi là đang tiến hành hoạt động kinh doanh tại quốc gia ký kết kia thông qua một cơ sở thường trú (permanent establishment). Điều này không đúng trừ khi các hoạt động này được tiến hành trong khoảng thời gian vượt quá ba mươi ngày cộng dồn trong bất kỳ khoảng thời gian mười hai tháng nào.17</w:t>
      </w:r>
    </w:p>
    <w:p>
      <w:pPr>
        <w:spacing w:after="80"/>
      </w:pPr>
      <w:r>
        <w:rPr>
          <w:b w:val="0"/>
          <w:i w:val="0"/>
        </w:rPr>
        <w:t xml:space="preserve">15. Xem Hiệp ước Thuế Chile-UK (2003), Điều 17(2); xem thêm Hiệp ước Thuế UK-US (2001), Điều 17(5). 16. </w:t>
      </w:r>
      <w:r>
        <w:rPr>
          <w:b w:val="0"/>
          <w:i/>
        </w:rPr>
        <w:t>Territorial Sea Act</w:t>
      </w:r>
      <w:r>
        <w:rPr>
          <w:b w:val="0"/>
          <w:i w:val="0"/>
        </w:rPr>
        <w:t xml:space="preserve"> 1987, mục 1. 17. Hiệp ước Thuế Canada-UK (1978), Điều 27A(3).</w:t>
      </w:r>
    </w:p>
    <w:p>
      <w:pPr>
        <w:spacing w:after="80"/>
      </w:pPr>
      <w:r>
        <w:rPr>
          <w:b w:val="0"/>
          <w:i w:val="0"/>
        </w:rPr>
        <w:t>392</w:t>
      </w:r>
    </w:p>
    <w:p>
      <w:pPr>
        <w:spacing w:after="80"/>
      </w:pPr>
      <w:r>
        <w:rPr>
          <w:b w:val="0"/>
          <w:i w:val="0"/>
        </w:rPr>
        <w:t xml:space="preserve">Trong </w:t>
      </w:r>
      <w:r>
        <w:rPr>
          <w:b w:val="0"/>
          <w:i/>
        </w:rPr>
        <w:t>Gulf Offshore NS Ltd v Canada</w:t>
      </w:r>
      <w:r>
        <w:rPr>
          <w:b w:val="0"/>
          <w:i w:val="0"/>
        </w:rPr>
        <w:t>,18 một công ty cư trú tại Vương quốc Anh đã ký một thỏa thuận thuê tàu (charter-party agreement) với một công ty cư trú tại Canada để cung cấp một tàu có đầy đủ thủy thủ đoàn cho công ty Canada. Con tàu đã hoạt động trên vùng biển Canada trong tám mươi tám ngày, chủ yếu cung cấp ống cho các tàu rải ống của công ty Canada, cả hai đều đang rải đường ống tại vùng biển đó. Tòa án Liên bang Canada (Canadian Federal Court of Appeal) đã phán quyết rằng cụm từ 'tiến hành các hoạt động' trong Điều 27A(2) của Hiệp ước Thuế Thu nhập Canada-UK (1978) nên được hiểu theo nghĩa thông thường của nó và rằng việc cung cấp một tàu tiếp tế có đầy đủ thủy thủ đoàn, được thiết kế đặc biệt, do người nộp thuế sở hữu và vận hành, dù theo hợp đồng, thực sự cấu thành việc tiến hành các hoạt động tại Canada liên quan đến việc thăm dò hoặc khai thác đáy biển và lòng đất dưới đáy biển cùng các tài nguyên thiên nhiên của chúng, đúng như yêu cầu của điều khoản này.</w:t>
      </w:r>
    </w:p>
    <w:p>
      <w:pPr>
        <w:spacing w:after="80"/>
      </w:pPr>
      <w:r>
        <w:rPr>
          <w:b w:val="0"/>
          <w:i w:val="0"/>
        </w:rPr>
        <w:t xml:space="preserve">Ngôn ngữ tương tự trong Điều 21 của Hiệp ước Thuế Thu nhập UK-US đã dẫn Tòa án Thuế Hoa Kỳ (US Tax Court) trong vụ </w:t>
      </w:r>
      <w:r>
        <w:rPr>
          <w:b w:val="0"/>
          <w:i/>
        </w:rPr>
        <w:t>Adams Challenge (UK) Limited v Commissioner of Internal Revenue</w:t>
      </w:r>
      <w:r>
        <w:rPr>
          <w:b w:val="0"/>
          <w:i w:val="0"/>
        </w:rPr>
        <w:t>19 đi đến kết luận rằng một tàu hỗ trợ đa năng được thuê để hỗ trợ việc tháo dỡ các giếng dầu khí và loại bỏ mảnh vụn trên các phần của Thềm lục địa Hoa Kỳ đã làm phát sinh một cơ sở thường trú được coi là có. Các nhiệm vụ cụ thể bao gồm đào xung quanh các giàn bị hư hại, cắt rời các bộ phận kim loại khỏi các giàn bị lật đổ, bịt kín các giếng bị bỏ hoang, và loại bỏ mảnh vụn kim loại khỏi đáy biển. Không có địa điểm nào đang khai thác dầu hoặc khí một cách tích cực vào thời điểm đó. Các hoạt động này được xác định là 'liên quan đến' việc thăm dò hoặc khai thác đáy biển và các tài nguyên thiên nhiên ở đó.</w:t>
      </w:r>
    </w:p>
    <w:p>
      <w:pPr>
        <w:spacing w:after="80"/>
      </w:pPr>
      <w:r>
        <w:rPr>
          <w:b w:val="0"/>
          <w:i w:val="0"/>
        </w:rPr>
        <w:t>Quyền đánh thuế đối với thu nhập từ việc làm cũng được mở rộng tương tự. Tiền lương và thù lao tương tự liên quan đến việc làm gắn với việc thăm dò hoặc khai thác đáy biển có thể bị đánh thuế trong phạm vi các nhiệm vụ được thực hiện ngoài khơi tại quốc gia ký kết kia.20 Do đó, các miễn trừ thông thường đối với thu nhập từ việc làm không áp dụng trong bối cảnh này.</w:t>
      </w:r>
    </w:p>
    <w:p>
      <w:pPr>
        <w:spacing w:after="80"/>
      </w:pPr>
      <w:r>
        <w:rPr>
          <w:b w:val="0"/>
          <w:i w:val="0"/>
        </w:rPr>
        <w:t>Trong Điều 28A(4) của Hiệp ước Đan Mạch-UK, lợi nhuận từ việc vận hành, liên quan đến các hoạt động ngoài khơi, các tàu hoặc máy bay được thiết kế chủ yếu để vận chuyển vật tư hoặc nhân sự, hoặc các tàu kéo hoặc tàu xử lý neo, chỉ bị đánh thuế tại quốc gia nơi đặt trụ sở quản lý hiệu quả của doanh nghiệp. Điều này không áp dụng cho lợi nhuận trong bất kỳ khoảng thời gian nào mà một tàu hoặc máy bay như vậy được ký hợp đồng để sử dụng chủ yếu cho các mục đích khác ngoài việc vận chuyển vật tư hoặc nhân sự đến hoặc giữa các địa điểm nơi các hoạt động ngoài khơi đang được tiến hành.</w:t>
      </w:r>
    </w:p>
    <w:p>
      <w:pPr>
        <w:spacing w:after="80"/>
      </w:pPr>
      <w:r>
        <w:rPr>
          <w:b w:val="0"/>
          <w:i w:val="0"/>
        </w:rPr>
        <w:t>Tương tự, thù lao liên quan đến việc làm được thực hiện trên một tàu hoặc máy bay mà lợi nhuận của nó bị đánh thuế theo cách này, thì bản thân thù lao đó cũng bị đánh thuế.21 Trong một số trường hợp, các dịch vụ cá nhân độc lập cũng được coi là được tiến hành thông qua một cơ sở cố định (fixed base) nếu chúng được thực hiện trong khoảng thời gian vượt quá ba mươi ngày cộng dồn trong bất kỳ khoảng thời gian mười hai tháng nào.22</w:t>
      </w:r>
    </w:p>
    <w:p>
      <w:pPr>
        <w:spacing w:after="80"/>
      </w:pPr>
      <w:r>
        <w:rPr>
          <w:b w:val="0"/>
          <w:i w:val="0"/>
        </w:rPr>
        <w:t xml:space="preserve">18. </w:t>
      </w:r>
      <w:r>
        <w:rPr>
          <w:b w:val="0"/>
          <w:i/>
        </w:rPr>
        <w:t>Gulf Offshore NS Ltd v Canada</w:t>
      </w:r>
      <w:r>
        <w:rPr>
          <w:b w:val="0"/>
          <w:i w:val="0"/>
        </w:rPr>
        <w:t xml:space="preserve"> [2007] FCA 302. 19. </w:t>
      </w:r>
      <w:r>
        <w:rPr>
          <w:b w:val="0"/>
          <w:i/>
        </w:rPr>
        <w:t>Adams Challenge (UK) Limited v Commissioner of Internal Revenue</w:t>
      </w:r>
      <w:r>
        <w:rPr>
          <w:b w:val="0"/>
          <w:i w:val="0"/>
        </w:rPr>
        <w:t>, 154 T.C. No. 3, Docket 4816-15, (8 tháng 1 năm 2020). Xem Chương 9, §9.04 về việc phân bổ lợi nhuận cho cơ sở thường trú và §9.15 về các khía cạnh vận tải biển của vụ án. 20. Hiệp ước Thuế Canada-UK (1978), Điều 27A(4). 21. Hiệp ước Thuế Đan Mạch-UK (1980), Điều 28A(5)(b). 22. Ví dụ, Hiệp ước Thuế Na Uy-UK (2013), Điều 23(5).</w:t>
      </w:r>
    </w:p>
    <w:p>
      <w:pPr>
        <w:spacing w:after="80"/>
      </w:pPr>
      <w:r>
        <w:rPr>
          <w:b w:val="0"/>
          <w:i w:val="0"/>
        </w:rPr>
        <w:t>393</w:t>
      </w:r>
    </w:p>
    <w:p>
      <w:pPr>
        <w:spacing w:after="80"/>
      </w:pPr>
      <w:r>
        <w:rPr>
          <w:b w:val="0"/>
          <w:i w:val="0"/>
        </w:rPr>
        <w:t>Các quy định cụ thể hơn nữa được chứa trong Hiệp ước Na Uy-UK liên quan đến các mỏ dầu khí ở đường trung tuyến23 và một số mỏ cụ thể.24</w:t>
      </w:r>
    </w:p>
    <w:p>
      <w:pPr>
        <w:spacing w:after="80"/>
      </w:pPr>
      <w:r>
        <w:rPr>
          <w:b/>
          <w:i w:val="0"/>
        </w:rPr>
        <w:t>§13.05 ĐƯỜNG HẦM CHANNEL</w:t>
      </w:r>
    </w:p>
    <w:p>
      <w:pPr>
        <w:spacing w:after="80"/>
      </w:pPr>
      <w:r>
        <w:rPr>
          <w:b w:val="0"/>
          <w:i w:val="0"/>
        </w:rPr>
        <w:t>Trong trường hợp của Pháp, một điều khoản riêng đã được thêm vào để giải quyết việc đánh thuế các hoạt động của Đường hầm Channel.25 Tác động chính đối với các nhà vận hành đường hầm là phân bổ lợi nhuận giữa các bên nhận nhượng quyền của Vương quốc Anh và Pháp một cách bình đẳng, tùy thuộc vào các điều kiện chi tiết.26 Chừng nào cổ phần trong các bên nhận nhượng quyền hoặc các công ty mẹ của họ còn được yêu cầu phải gắn chặt (stapled) với nhau, thì lợi nhuận này chỉ bị đánh thuế tại quốc gia nơi chúng được thành lập.27 Nếu cổ phần không được gắn chặt, thì một nửa lợi nhuận được quy cho một cơ sở thường trú tại quốc gia ký kết kia.28</w:t>
      </w:r>
    </w:p>
    <w:p>
      <w:pPr>
        <w:spacing w:after="80"/>
      </w:pPr>
      <w:r>
        <w:rPr>
          <w:b w:val="0"/>
          <w:i w:val="0"/>
        </w:rPr>
        <w:t>Một ngoại lệ cũng được đưa ra cho nhân viên của các bên nhận nhượng quyền. Những nhân viên này chỉ bị đánh thuế tại quốc gia ký kết nơi bên nhận nhượng quyền có trụ sở quản lý hiệu quả của mình, và thù lao không được coi là do bất kỳ cơ sở thường trú nào tại quốc gia ký kết kia gánh chịu.29</w:t>
      </w:r>
    </w:p>
    <w:p>
      <w:pPr>
        <w:spacing w:after="80"/>
      </w:pPr>
      <w:r>
        <w:rPr>
          <w:b/>
          <w:i w:val="0"/>
        </w:rPr>
        <w:t>§13.06 NGƯỜI NỘP THUẾ THEO CƠ SỞ CHUYỂN TIỀN</w:t>
      </w:r>
    </w:p>
    <w:p>
      <w:pPr>
        <w:spacing w:after="80"/>
      </w:pPr>
      <w:r>
        <w:rPr>
          <w:b w:val="0"/>
          <w:i w:val="0"/>
        </w:rPr>
        <w:t>Hầu hết các hiệp ước của Vương quốc Anh đều chứa các quy định hạn chế các lợi ích liên quan đến thu nhập và lợi tức bị đánh thuế theo cơ sở chuyển tiền (remittance basis). Nói chung, các quy tắc này nhắm vào các cá nhân cư trú nhưng không có quốc tịch thường trú (domiciled) tại Vương quốc Anh,30 mặc dù một số khu vực tài phán khác cũng đánh thuế thu nhập từ nguồn nước ngoài đối với các cá nhân và công ty theo cơ sở chuyển tiền. Những cá nhân như vậy có thể đủ điều kiện là cư dân của một quốc gia ký kết ngay cả khi thu nhập và lợi tức từ nước ngoài chỉ bị đánh thuế khi được chuyển về.31 Regeringsrätten của Thụy Điển (Tòa án Hành chính Tối cao) đã quyết định với tỷ lệ ba phiếu thuận hai phiếu chống rằng quy tắc chuyển tiền trong Điều II(2) của Hiệp ước Thuế Thu nhập Thụy Điển-UK (1960) không áp dụng cho các khoản lợi tức vốn, dẫn đến kết quả là một cựu cư dân Thụy Điển, người cư trú, thường trú nhưng không có quốc tịch thường trú tại Vương quốc Anh, chỉ phải chịu thuế tại Vương quốc Anh đối với khoản lợi tức từ việc bán cổ phần trong một công ty Thụy Điển.32 Hoge Raad của Hà Lan (Tòa án Tối cao)33 cũng kết luận rằng khoản lợi tức vốn từ việc bán cổ phần trong một công ty Hà Lan bởi một cá nhân cư trú tại Vương quốc Anh nhưng không có quốc tịch thường trú không phải là thu nhập và do đó không</w:t>
      </w:r>
    </w:p>
    <w:p>
      <w:pPr>
        <w:spacing w:after="80"/>
      </w:pPr>
      <w:r>
        <w:rPr>
          <w:b w:val="0"/>
          <w:i w:val="0"/>
        </w:rPr>
        <w:t>23.Hiệp định thuế Na Uy-Anh (2013), điều 24.24.Các vỉa chứa mỏ Seatjord, điều 25, vỉa chứa mỏ Murchison, điều 26 và vỉa chứa mỏ Frigg, điều 27.25.Điều 7A, theo Nghị định thư ngày 15 tháng 10 năm 1987; điều 9 của Hiệp định thuế Pháp-Anh (2008).26.Hiệp định thuế Pháp-Anh (2008), điều 9(3).27.Hiệp định thuế Pháp-Anh (2008), điều 9(4).28.Hiệp định thuế Pháp-Anh (2008), điều 9(5).29.Hiệp định thuế Pháp-Anh (2008), điều 9(6).30.Xem TCGA 1992, mục 12, và ITA 2007, Phần 14, Chương A1.31.Xem Hoge Raad der Nederlanden (Tòa án Tối cao Hà Lan) (Vụ án 36.915) ngày 3 tháng 5 năm 2002.32.Swedish Regeringsrätten (Tòa án Hành chính Tối cao) (Vụ án 1169-1987) ngày 23 tháng 12 năm 1987, (IBFD International Tax Research Platform).33.Trong Vụ án 32.330, ngày 28 tháng 10 năm 1998 (IBFD International Tax Research Platform).</w:t>
      </w:r>
    </w:p>
    <w:p>
      <w:pPr>
        <w:spacing w:after="80"/>
      </w:pPr>
      <w:r>
        <w:rPr>
          <w:b w:val="0"/>
          <w:i w:val="0"/>
        </w:rPr>
        <w:t>394</w:t>
      </w:r>
    </w:p>
    <w:p>
      <w:pPr>
        <w:spacing w:after="80"/>
      </w:pPr>
      <w:r>
        <w:rPr>
          <w:b w:val="0"/>
          <w:i w:val="0"/>
        </w:rPr>
        <w:t>chịu sự điều chỉnh của quy tắc chuyển tiền về nước tại Điều 27 của Hiệp định thuế thu nhập Hà Lan-Anh (1980). Tại Pháp, Bordeaux Cour Administrative d'Appel (Tòa án Hành chính Phúc thẩm)34 đã đi đến kết luận ngược lại rằng một cá nhân không cư trú (domiciled) tại Anh không thể viện dẫn Hiệp định thuế thu nhập Pháp-Anh (1968). Italian Corte di Cassazione (Tòa án Tối cao) cũng đã xem xét rằng một cá nhân cư trú (domiciled) tại Ý không thể đủ điều kiện là cư dân của một quốc gia ký kết theo điều 4(1) của Hiệp định thuế thu nhập Ý-Anh trên cơ sở rằng một người không cư trú (domiciled) tại Anh chỉ phải chịu thuế tại Anh đối với thu nhập có nguồn gốc từ Anh và thu nhập nước ngoài được chuyển về nước.35 Theo quan điểm của tác giả, phán quyết này không phân biệt thỏa đáng giữa 'chịu thuế' (liable to tax) và 'đối tượng chịu thuế' (subject to tax) – một cư dân không cư trú (domiciled) tại Anh phải chịu thuế thu nhập và thuế lợi tức vốn của Anh trên cơ sở toàn cầu nhưng thu nhập và lợi tức nước ngoài có thể là đối tượng chịu thuế trên cơ sở chuyển tiền về nước khi đáp ứng các yêu cầu của ITA 2007, Phần 14, Chương A1. Các hiệp định hiện đại quy định rõ ràng về cơ sở chuyển tiền về nước đưa ra một bối cảnh rõ ràng hơn so với các hiệp định cũ như Hiệp định thuế thu nhập Ý-Anh.</w:t>
      </w:r>
    </w:p>
    <w:p>
      <w:pPr>
        <w:spacing w:after="80"/>
      </w:pPr>
      <w:r>
        <w:rPr>
          <w:b w:val="0"/>
          <w:i w:val="0"/>
        </w:rPr>
        <w:t>Các quy định như vậy được áp dụng khi theo luật của quốc gia cư trú, một người là đối tượng chịu thuế dựa trên số thu nhập (hoặc lợi tức) được 'chuyển về hoặc nhận được' tại quốc gia đó và 'không dựa trên toàn bộ số tiền đó'.36 Do đó, khi quy tắc này được áp dụng và thuế của một quốc gia ký kết khác được giảm bớt, việc này được quyết định dựa trên việc liệu Anh có đánh thuế thu nhập trên cơ sở chuyển tiền về nước hay không. Khi các quy định như vậy giới hạn các lợi ích liên quan đến thuế của Anh, điều này được xác định bởi cơ sở chuyển tiền về nước (nếu có) của quốc gia ký kết khác.</w:t>
      </w:r>
    </w:p>
    <w:p>
      <w:pPr>
        <w:spacing w:after="80"/>
      </w:pPr>
      <w:r>
        <w:rPr>
          <w:b w:val="0"/>
          <w:i w:val="0"/>
        </w:rPr>
        <w:t>Các phiên bản đầu tiên của quy tắc này chỉ cho phép giảm thuế theo hiệp định đối với phần thu nhập được chuyển về hoặc nhận được tại quốc gia ký kết khác.37 Rõ ràng là những khoản tiền như vậy nên đủ điều kiện được giảm thuế tại quốc gia ký kết khác ngay cả khi chúng không bị đánh thuế toàn bộ hoặc một phần vì bất kỳ lý do gì theo luật trong nước của quốc gia cư trú.</w:t>
      </w:r>
    </w:p>
    <w:p>
      <w:pPr>
        <w:spacing w:after="80"/>
      </w:pPr>
      <w:r>
        <w:rPr>
          <w:b w:val="0"/>
          <w:i w:val="0"/>
        </w:rPr>
        <w:t xml:space="preserve">Trong </w:t>
      </w:r>
      <w:r>
        <w:rPr>
          <w:b w:val="0"/>
          <w:i/>
        </w:rPr>
        <w:t>Retief Goosen v Commissioner of Internal Revenue</w:t>
      </w:r>
      <w:r>
        <w:rPr>
          <w:b w:val="0"/>
          <w:i w:val="0"/>
        </w:rPr>
        <w:t>38, một golfer chuyên nghiệp người Nam Phi, cư trú nhưng không cư trú (domiciled) tại Anh, đã ký các hợp đồng lao động riêng biệt với hai thực thể do công ty quảng bá thể thao IMG kiểm soát, một cho thu nhập từ quảng cáo và tiền thưởng trong Anh và một cho các hoạt động liên quan đến thể thao và quảng cáo bên ngoài Anh. Ông được trả một mức lương hàng năm cố định và tiền thưởng bởi mỗi thực thể. Thu nhập từ mỗi hợp đồng được trả vào các tài khoản ngân hàng riêng biệt (thu nhập Anh hoặc thu nhập ngoài Anh) tại Liechtenstein. Thực thể liên quan đã ký hợp đồng với các bên thứ ba liên quan đến các hoạt động của ông trong và ngoài Anh. Cơ quan Thuế Anh đã chấp thuận cấu trúc việc làm này.</w:t>
      </w:r>
    </w:p>
    <w:p>
      <w:pPr>
        <w:spacing w:after="80"/>
      </w:pPr>
      <w:r>
        <w:rPr>
          <w:b w:val="0"/>
          <w:i w:val="0"/>
        </w:rPr>
        <w:t>34.Cour Administrative d'Appel Bordeaux (Tòa án Hành chính Phúc thẩm) (ngày 9 tháng 7 năm 1991) (Số vụ án 89BX00640) Phán quyết được công bố trong D.F. 1992, Số 15, Com. 761 (IBFD International Tax Research Platform).35.</w:t>
      </w:r>
      <w:r>
        <w:rPr>
          <w:b w:val="0"/>
          <w:i/>
        </w:rPr>
        <w:t>Tiziano Ferrov Agenzia delle entrate</w:t>
      </w:r>
      <w:r>
        <w:rPr>
          <w:b w:val="0"/>
          <w:i w:val="0"/>
        </w:rPr>
        <w:t xml:space="preserve"> Corte Suprema di Cassazione (Tòa án Hành chính Tối cao Ý) (Số vụ án 21696) ngày 8 tháng 10 năm 2020.36.Xem, ví dụ, Hiệp định thuế Georgia-Anh (2004), điều 24(1).37.Công ước giữa Chính phủ Vương quốc Liên hiệp Anh và Bắc Ireland và Chính phủ Vương quốc Thái Lan về Tránh đánh thuế hai lần và Ngăn ngừa trốn thuế đối với Thuế Thu nhập, Công ước ngày 18 tháng 2 năm 1981 (SI 1981/1546), điều 6.38.</w:t>
      </w:r>
      <w:r>
        <w:rPr>
          <w:b w:val="0"/>
          <w:i/>
        </w:rPr>
        <w:t>Retief Goosen v Commissioner of Internal Revenue</w:t>
      </w:r>
      <w:r>
        <w:rPr>
          <w:b w:val="0"/>
          <w:i w:val="0"/>
        </w:rPr>
        <w:t xml:space="preserve"> 136 TC Số 27.</w:t>
      </w:r>
    </w:p>
    <w:p>
      <w:pPr>
        <w:spacing w:after="80"/>
      </w:pPr>
      <w:r>
        <w:rPr>
          <w:b w:val="0"/>
          <w:i w:val="0"/>
        </w:rPr>
        <w:t>395</w:t>
      </w:r>
    </w:p>
    <w:p>
      <w:pPr>
        <w:spacing w:after="80"/>
      </w:pPr>
      <w:r>
        <w:rPr>
          <w:b w:val="0"/>
          <w:i w:val="0"/>
        </w:rPr>
        <w:t>Tòa án Thuế Hoa Kỳ đã xác định rằng đối với mục đích luật trong nước Hoa Kỳ, thu nhập có nguồn gốc Hoa Kỳ của ông Goosen vượt quá thu nhập từ việc làm ngoài Anh của ông. Người ta đồng ý rằng thu nhập ngoài Anh mà ông nhận được không được chuyển về hoặc nhận được tại Anh theo điều IV(5) của Hiệp định thuế thu nhập Hoa Kỳ-Anh (1975) hoặc điều 1(7) của Hiệp định thuế thu nhập (2001).39 Tòa án đã phán quyết trên cơ sở chứng cứ rằng ông cũng không thể hưởng lợi từ các hiệp định liên quan đến lương và tiền thưởng thu nhập tại Anh của ông được chuyển về tài khoản ngân hàng tại Anh của ông. Ông Goosen đã nộp sao kê tài khoản ngân hàng tại Anh của mình cho thấy các khoản chuyển từ tài khoản thu nhập Anh ở nước ngoài của ông sang tài khoản ngân hàng tại Anh của ông, nhưng tòa án kết luận rằng ông không chứng minh được liệu các khoản lương và tiền thưởng cụ thể này có cấu thành thu nhập từ quảng cáo hay thu nhập khác được coi là thu nhập có nguồn gốc Hoa Kỳ cho mục đích thuế Hoa Kỳ hay không. Ngụ ý trong ý kiến của Tòa án là ý nghĩa thông thường của 'chuyển về hoặc nhận được tại' đã được áp dụng.</w:t>
      </w:r>
    </w:p>
    <w:p>
      <w:pPr>
        <w:spacing w:after="80"/>
      </w:pPr>
      <w:r>
        <w:rPr>
          <w:b w:val="0"/>
          <w:i w:val="0"/>
        </w:rPr>
        <w:t xml:space="preserve">Trong </w:t>
      </w:r>
      <w:r>
        <w:rPr>
          <w:b w:val="0"/>
          <w:i/>
        </w:rPr>
        <w:t>Black v The Queen</w:t>
      </w:r>
      <w:r>
        <w:rPr>
          <w:b w:val="0"/>
          <w:i w:val="0"/>
        </w:rPr>
        <w:t>40, người nộp thuế là cư dân Anh nhưng không cư trú (domiciled) tại Anh. Ông cũng là cư dân Canada nhưng là cư dân Anh theo quy tắc phá vỡ thế cân bằng (tiebreaker) tại điều 4(2) của Hiệp định thuế Canada-Anh. Thu nhập từ việc làm có nguồn gốc Hoa Kỳ của ông không được chuyển về hoặc nhận được tại Anh. Điều 27(2) của hiệp định, như được áp dụng cho năm 2002, yêu cầu Canada giảm thuế Canada cho người nộp thuế theo cơ sở chuyển tiền về nước của Anh chỉ đối với thu nhập được chuyển về hoặc nhận được tại Anh. Tòa án Thuế Canada kết luận rằng điều này không bị giới hạn trong phạm vi đối với thu nhập phát sinh tại Canada. Việc áp dụng điều 27(2) đã bị từ chối trên cơ sở rằng người nộp thuế vẫn là cư dân Canada theo luật trong nước. Chính xác hơn, người nộp thuế đã bị từ chối đúng đắn lợi ích của hiệp định tại Canada vì các khoản thu nhập không được chuyển về Anh, dẫn đến việc Canada có quyền đánh thuế ông với tư cách là cư dân theo luật trong nước của mình. Nếu ông đã chuyển các khoản tiền này về Anh, Canada sẽ phải cấp cho ông các lợi ích hiệp định với tư cách là cư dân Anh.</w:t>
      </w:r>
    </w:p>
    <w:p>
      <w:pPr>
        <w:spacing w:after="80"/>
      </w:pPr>
      <w:r>
        <w:rPr>
          <w:b w:val="0"/>
          <w:i w:val="0"/>
        </w:rPr>
        <w:t>Các hiệp định gần đây đã áp dụng một công thức khắt khe hơn nhiều đối với nguyên tắc này. Ví dụ, điều 24(1) của Hiệp định Singapore, cùng với các hiệp định được ký kết từ giữa những năm 1990, quy định rằng việc giảm thuế tại quốc gia nguồn cho người nộp thuế theo cơ sở chuyển tiền về nước chỉ 'đối với phần thu nhập được đánh thuế tại quốc gia ký kết khác'. Cách tiếp cận này không tính đến các hoàn cảnh thương mại thông thường, như lỗ tỷ giá hối đoái, có thể loại bỏ lợi tức tại quốc gia cư trú; cũng không tính đến hoàn cảnh cá nhân, như những người không phải nộp thuế vì họ có thu nhập thấp hoặc các khoản giảm trừ khác. Do đó, nó có thể đặt người nộp thuế theo cơ sở chuyển tiền về nước, người chuyển một khoản tiền về nước, vào vị trí bất lợi hơn so với người nộp thuế hoàn toàn chịu thuế trên cơ sở toàn cầu. Sự khác biệt trong cách đối xử có thể tạo ra những kết quả đáng ngạc nhiên, đặc biệt đối với những cư dân Anh dài hạn phải trả 'phí sử dụng' £ 30,000 hoặc £ 50,000,41 với thu nhập hoặc lợi tức nước ngoài từ các nguồn khác nhau với các công thức hiệp định khác nhau được áp dụng. Thu nhập được chỉ định sẽ được</w:t>
      </w:r>
    </w:p>
    <w:p>
      <w:pPr>
        <w:spacing w:after="80"/>
      </w:pPr>
      <w:r>
        <w:rPr>
          <w:b w:val="0"/>
          <w:i w:val="0"/>
        </w:rPr>
        <w:t>39.Tòa án đã bỏ qua thực tế rằng hiệp định năm 1975 cho phép các lợi ích hiệp định dựa trên số tiền nhận được hoặc chuyển về Anh trong khi hiệp định năm 2001 cho phép các lợi ích hiệp định dựa trên số tiền được đánh thuế tại Anh.40.</w:t>
      </w:r>
      <w:r>
        <w:rPr>
          <w:b w:val="0"/>
          <w:i/>
        </w:rPr>
        <w:t>Black v The Queen</w:t>
      </w:r>
      <w:r>
        <w:rPr>
          <w:b w:val="0"/>
          <w:i w:val="0"/>
        </w:rPr>
        <w:t xml:space="preserve">, 2014 TCC 12 (CanLII); được xác nhận với tên gọi </w:t>
      </w:r>
      <w:r>
        <w:rPr>
          <w:b w:val="0"/>
          <w:i/>
        </w:rPr>
        <w:t>Black v Canada</w:t>
      </w:r>
      <w:r>
        <w:rPr>
          <w:b w:val="0"/>
          <w:i w:val="0"/>
        </w:rPr>
        <w:t>, 2014 FCA 275 (CanLII); đơn xin phép kháng cáo lên Tòa án Tối cao Canada bị từ chối. Xem Chương 6, §6.05.41.ITA 2007, mục 809H.</w:t>
      </w:r>
    </w:p>
    <w:p>
      <w:pPr>
        <w:spacing w:after="80"/>
      </w:pPr>
      <w:r>
        <w:rPr>
          <w:b w:val="0"/>
          <w:i w:val="0"/>
        </w:rPr>
        <w:t>396</w:t>
      </w:r>
    </w:p>
    <w:p>
      <w:pPr>
        <w:spacing w:after="80"/>
      </w:pPr>
      <w:r>
        <w:rPr>
          <w:b w:val="0"/>
          <w:i w:val="0"/>
        </w:rPr>
        <w:t>được coi là đã bị đánh thuế mặc dù không được chuyển về nước. Mặt khác, thu nhập được chỉ định thực sự được chuyển về nước bởi người như vậy có thể được coi là không được chuyển về nước.42</w:t>
      </w:r>
    </w:p>
    <w:p>
      <w:pPr>
        <w:spacing w:after="80"/>
      </w:pPr>
      <w:r>
        <w:rPr>
          <w:b w:val="0"/>
          <w:i w:val="0"/>
        </w:rPr>
        <w:t>Hiệp định Singapore-Anh thực sự có một số triển vọng để được giảm thuế. Điều 24(2) quy định rằng giới hạn này sẽ không áp dụng cho bất kỳ người nào có thể được đồng ý giữa các cơ quan có thẩm quyền của các quốc gia ký kết. Không có hướng dẫn nào được cung cấp về thời điểm thỏa thuận như vậy sẽ là phù hợp, và cũng không có bất kỳ nghĩa vụ nào đối với các cơ quan có thẩm quyền phải thực sự đồng ý. Không có hiệp định nào khác thậm chí còn dự tính các trường hợp loại trừ bằng thỏa thuận. Các giới hạn tương tự được áp đặt đối với việc hưởng các lợi ích tại Anh liên quan đến thu nhập hoặc lợi tức của cư dân tạm thời tại Úc.43</w:t>
      </w:r>
    </w:p>
    <w:p>
      <w:pPr>
        <w:spacing w:after="80"/>
      </w:pPr>
      <w:r>
        <w:rPr>
          <w:b/>
          <w:i w:val="0"/>
        </w:rPr>
        <w:t>§13.07 SINH VIÊN</w:t>
      </w:r>
    </w:p>
    <w:p>
      <w:pPr>
        <w:spacing w:after="80"/>
      </w:pPr>
      <w:r>
        <w:rPr>
          <w:b w:val="0"/>
          <w:i w:val="0"/>
        </w:rPr>
        <w:t>Các khoản thanh toán mà sinh viên hoặc người học nghề kinh doanh nhận được nhằm mục đích trang trải chi phí sinh hoạt, học tập hoặc đào tạo thường được miễn thuế theo hiệp định tại quốc gia nơi họ học tập. Điều 20 của OECD Model hiện hành được phản ánh trong Điều 19 của Hiệp định Bulgaria-UK như sau:</w:t>
      </w:r>
    </w:p>
    <w:p>
      <w:pPr>
        <w:spacing w:after="80"/>
      </w:pPr>
      <w:r>
        <w:rPr>
          <w:b w:val="0"/>
          <w:i w:val="0"/>
        </w:rPr>
        <w:t>Các khoản thanh toán mà một sinh viên hoặc người học nghề kinh doanh, người là hoặc ngay trước khi đến thăm một Quốc gia ký kết là cư dân của Quốc gia ký kết kia và người hiện đang ở tại Quốc gia được đề cập đầu tiên chỉ nhằm mục đích học tập hoặc đào tạo, nhận được nhằm mục đích trang trải chi phí sinh hoạt, học tập hoặc đào tạo sẽ không bị đánh thuế tại Quốc gia đó, với điều kiện là các khoản thanh toán đó phát sinh từ các nguồn bên ngoài Quốc gia đó.</w:t>
      </w:r>
    </w:p>
    <w:p>
      <w:pPr>
        <w:spacing w:after="80"/>
      </w:pPr>
      <w:r>
        <w:rPr>
          <w:b w:val="0"/>
          <w:i w:val="0"/>
        </w:rPr>
        <w:t>Có rất nhiều biến thể khác nhau về chủ đề này. Hiệp định của UK với Bolivia giới hạn điều này ở mức 3.500 bảng Anh đầu tiên ngoài các khoản trợ cấp cá nhân. Không có giới hạn thời gian nào thường được nêu rõ, mặc dù cụm từ 'người là hoặc ngay trước khi đến thăm một quốc gia ký kết' gợi ý rằng điều này không phải là không có giới hạn. Những hiệp định khác, chẳng hạn như Hiệp định Belize-UK, Điều 12, chỉ yêu cầu rằng sinh viên phải 'đến từ' một quốc gia ký kết. Những hiệp định theo OECD Model 1963 áp dụng cho sinh viên những người 'trước đây' là cư dân của một quốc gia ký kết. Một số hiệp định của UK, chẳng hạn như những hiệp định với Bangladesh và Trung Quốc, có các quy định mở rộng giải quyết vấn đề này.</w:t>
      </w:r>
    </w:p>
    <w:p>
      <w:pPr>
        <w:spacing w:after="80"/>
      </w:pPr>
      <w:r>
        <w:rPr>
          <w:b w:val="0"/>
          <w:i w:val="0"/>
        </w:rPr>
        <w:t xml:space="preserve">42.ITA 2007, s. 809H.43.Hiệp định Thuế Australia-UK (2003), Điều 23(2). Xem </w:t>
      </w:r>
      <w:r>
        <w:rPr>
          <w:b w:val="0"/>
          <w:i/>
        </w:rPr>
        <w:t>Emanuel v Federal Taxation Comr</w:t>
      </w:r>
      <w:r>
        <w:rPr>
          <w:b w:val="0"/>
          <w:i w:val="0"/>
        </w:rPr>
        <w:t xml:space="preserve"> [1968] 10 AITR 672, nơi các lợi ích hiệp định bị từ chối tại Australia đối với một cá nhân cư dân UK, nhưng không có domicile, theo Hiệp định Thuế Australia-UK cũ (1946).</w:t>
      </w:r>
    </w:p>
    <w:p>
      <w:pPr>
        <w:spacing w:after="80"/>
      </w:pPr>
      <w:r>
        <w:rPr>
          <w:b w:val="0"/>
          <w:i w:val="0"/>
        </w:rPr>
        <w:t>397</w:t>
      </w:r>
    </w:p>
    <w:p>
      <w:pPr>
        <w:spacing w:before="240" w:after="80"/>
      </w:pPr>
      <w:r>
        <w:rPr>
          <w:b/>
          <w:sz w:val="32"/>
        </w:rPr>
        <w:t>CHƯƠNG 14 Các Hiệp định và Chỉ thị Thuế Châu Âu</w:t>
      </w:r>
    </w:p>
    <w:p>
      <w:pPr>
        <w:spacing w:after="80"/>
      </w:pPr>
      <w:r>
        <w:rPr>
          <w:b/>
          <w:i w:val="0"/>
        </w:rPr>
        <w:t>§14.01 GIỚI THIỆU</w:t>
      </w:r>
    </w:p>
    <w:p>
      <w:pPr>
        <w:spacing w:after="80"/>
      </w:pPr>
      <w:r>
        <w:rPr>
          <w:b w:val="0"/>
          <w:i w:val="0"/>
        </w:rPr>
        <w:t>Tính tối cao của Hiệp ước về Hoạt động của Liên minh Châu Âu (TFEU) so với các hiệp định song phương của các Quốc gia Thành viên đã được xem xét trong Chương 2. Chương này xem xét mối quan hệ giữa các hiệp định thuế và các công cụ lập pháp khác của Liên minh Châu Âu (EU). Do mối liên hệ chặt chẽ giữa thuế và chủ quyền, TFEU yêu cầu sự chấp thuận nhất trí của tất cả các Quốc gia Thành viên để các quy định về thuế được ban hành, sửa đổi hoặc bãi bỏ. Đây là một ngoại lệ quan trọng đối với nguyên tắc bỏ phiếu theo đa số. Kết quả là, tiến độ trong lĩnh vực hài hòa hóa thuế doanh nghiệp đã cực kỳ chậm chạp. Ba biện pháp thuế trực thu1 được ban hành vào năm 1991 đã ở dạng đề xuất trong hơn hai mươi năm trước khi trở thành luật. Một gói biện pháp thuế trực thu thứ hai đã được thông qua vào năm 2003.2 Một nhóm chỉ thị thứ ba nhằm đảm bảo tuân thủ thuế trong thị trường đơn nhất đã phát triển.3 Chương trình Xói mòn Cơ sở và</w:t>
      </w:r>
    </w:p>
    <w:p>
      <w:pPr>
        <w:spacing w:after="80"/>
      </w:pPr>
      <w:r>
        <w:rPr>
          <w:b w:val="0"/>
          <w:i w:val="0"/>
        </w:rPr>
        <w:t>1.Chỉ thị 90/434 về hệ thống thuế chung áp dụng cho việc sáp nhập, chia tách, chuyển nhượng tài sản và trao đổi cổ phần liên quan đến các công ty của các Quốc gia Thành viên khác nhau. (Điều này đã được viết lại và hệ thống hóa trong Chỉ thị 2009/133 về hệ thống thuế chung áp dụng cho việc sáp nhập, chia tách, chia tách một phần, chuyển nhượng tài sản và trao đổi cổ phần liên quan đến các công ty của các Quốc gia Thành viên khác nhau và việc chuyển trụ sở đăng ký của một SE hoặc SCE giữa các Quốc gia Thành viên, có hiệu lực từ ngày 15 tháng 12 năm 2009.) Chỉ thị 90/435 về hệ thống thuế chung áp dụng trong trường hợp các công ty mẹ và công ty con của các Quốc gia Thành viên khác nhau, và Công ước về Loại bỏ Đánh thuế Hai lần liên quan đến Điều chỉnh Lợi nhuận của các Doanh nghiệp Liên kết (90/436). (Điều này đã được viết lại và hệ thống hóa trong Chỉ thị 2011/96/EU ngày 30 tháng 11 năm 2011 về hệ thống thuế chung áp dụng trong trường hợp các công ty mẹ và công ty con của các Quốc gia Thành viên khác nhau có hiệu lực từ ngày 18 tháng 1 năm 2012.) 2.Chỉ thị 03/48 về đánh thuế thu nhập tiết kiệm dưới hình thức thanh toán lãi; Chỉ thị 03/49 về hệ thống thuế chung áp dụng cho các khoản thanh toán lãi và tiền bản quyền được thực hiện giữa các công ty liên kết của các Quốc gia Thành viên khác nhau (Bãi bỏ ngày 15 tháng 11 năm 2015). 3.Chỉ thị 2010/24 Chỉ thị Hội đồng 2010/24/EU ngày 16 tháng 3 năm 2010 về hỗ trợ tương hỗ để thu hồi các khiếu nại liên quan đến thuế, phí và các biện pháp khác; Chỉ thị 2011/16 Chỉ thị Hội đồng ngày 15 tháng 2 năm 2011 về hợp tác hành chính trong lĩnh vực thuế và bãi bỏ Chỉ thị 77/799/EEC và Quy định 1189/2011 Đặt ra các quy tắc chi tiết liên quan đến một số</w:t>
      </w:r>
    </w:p>
    <w:p>
      <w:pPr>
        <w:spacing w:after="80"/>
      </w:pPr>
      <w:r>
        <w:rPr>
          <w:b w:val="0"/>
          <w:i w:val="0"/>
        </w:rPr>
        <w:t>399</w:t>
      </w:r>
    </w:p>
    <w:p>
      <w:pPr>
        <w:spacing w:after="80"/>
      </w:pPr>
      <w:r>
        <w:rPr>
          <w:b w:val="0"/>
          <w:i w:val="0"/>
        </w:rPr>
        <w:t>Chuyển dịch Lợi nhuận (BEPS)4 đã dẫn đến việc sửa đổi các chỉ thị tuân thủ thuế và các biện pháp mới có hiệu lực đối với các đề xuất BEPS. Chỉ thị đặt ra các quy tắc chống lại các thực tiễn tránh thuế ảnh hưởng trực tiếp đến hoạt động của thị trường nội bộ (chỉ thị chống tránh thuế (ATAD))5 tác động đến một số lĩnh vực thuộc phạm vi của các hiệp định đánh thuế hai lần. Những điều này là một phần của Gói Chống Tránh Thuế của Ủy ban vào tháng 1 năm 2016, cũng bao gồm các sửa đổi đối với Chỉ thị Hỗ trợ Tương hỗ được thảo luận trong Chương 22.6</w:t>
      </w:r>
    </w:p>
    <w:p>
      <w:pPr>
        <w:spacing w:after="80"/>
      </w:pPr>
      <w:r>
        <w:rPr>
          <w:b w:val="0"/>
          <w:i w:val="0"/>
        </w:rPr>
        <w:t>Chỉ thị về Cơ chế Giải quyết Tranh chấp Đánh thuế Hai lần7 báo hiệu một kỷ nguyên mới trong việc giải quyết tranh chấp hiệp định đánh thuế hai lần thông qua một cơ chế thống nhất để giải quyết các tranh chấp như vậy giữa các Quốc gia Thành viên EU và được thảo luận trong Chương 21.</w:t>
      </w:r>
    </w:p>
    <w:p>
      <w:pPr>
        <w:spacing w:after="80"/>
      </w:pPr>
      <w:r>
        <w:rPr>
          <w:b w:val="0"/>
          <w:i w:val="0"/>
        </w:rPr>
        <w:t>Các biện pháp này có thẩm quyền pháp lý dựa trên Điều 115 của TFEU, điều này cung cấp thẩm quyền rộng rãi để xấp xỉ hóa các luật ảnh hưởng trực tiếp đến việc thành lập hoặc hoạt động của thị trường chung. Rõ ràng là tùy thuộc vào các quyền tự do cơ bản được cấp bởi luật EU, trong trường hợp không có các biện pháp hài hòa hóa, các Quốc gia Thành viên được tự do đánh thuế theo luật trong nước của họ.8 Cách thức mà quyền tự do này có thể bị hạn chế được xác định bởi công cụ pháp lý được chọn để hài hòa hóa.</w:t>
      </w:r>
    </w:p>
    <w:p>
      <w:pPr>
        <w:spacing w:after="80"/>
      </w:pPr>
      <w:r>
        <w:rPr>
          <w:b/>
          <w:i w:val="0"/>
        </w:rPr>
        <w:t>§14.02 CÁC CÔNG CỤ LẬP PHÁP</w:t>
      </w:r>
    </w:p>
    <w:p>
      <w:pPr>
        <w:spacing w:after="80"/>
      </w:pPr>
      <w:r>
        <w:rPr>
          <w:b w:val="0"/>
          <w:i w:val="0"/>
        </w:rPr>
        <w:t>Tóm lại, các phương tiện lập pháp có sẵn cho EU là:</w:t>
      </w:r>
    </w:p>
    <w:p>
      <w:pPr>
        <w:spacing w:after="80"/>
      </w:pPr>
      <w:r>
        <w:rPr>
          <w:b w:val="0"/>
          <w:i w:val="0"/>
        </w:rPr>
        <w:t>(1)</w:t>
      </w:r>
      <w:r>
        <w:rPr>
          <w:b w:val="0"/>
          <w:i/>
        </w:rPr>
        <w:t>Quy định.</w:t>
      </w:r>
      <w:r>
        <w:rPr>
          <w:b w:val="0"/>
          <w:i w:val="0"/>
        </w:rPr>
        <w:t xml:space="preserve"> Đây là các quy tắc thống nhất và theo định nghĩa có tính ràng buộc trong</w:t>
      </w:r>
    </w:p>
    <w:p>
      <w:pPr>
        <w:spacing w:after="80"/>
      </w:pPr>
      <w:r>
        <w:rPr>
          <w:b w:val="0"/>
          <w:i w:val="0"/>
        </w:rPr>
        <w:t>toàn bộ và áp dụng trực tiếp. Chúng không cần phải được thông qua trong luật pháp của các Quốc gia Thành viên. Chúng trao quyền cho các cá nhân mà tòa án của các Quốc gia Thành viên phải bảo vệ.9</w:t>
      </w:r>
    </w:p>
    <w:p>
      <w:pPr>
        <w:spacing w:after="80"/>
      </w:pPr>
      <w:r>
        <w:rPr>
          <w:b w:val="0"/>
          <w:i w:val="0"/>
        </w:rPr>
        <w:t>(2)</w:t>
      </w:r>
      <w:r>
        <w:rPr>
          <w:b w:val="0"/>
          <w:i/>
        </w:rPr>
        <w:t>Chỉ thị.</w:t>
      </w:r>
      <w:r>
        <w:rPr>
          <w:b w:val="0"/>
          <w:i w:val="0"/>
        </w:rPr>
        <w:t xml:space="preserve"> Những văn bản này được gửi đến và ràng buộc các Quốc gia Thành viên. Các</w:t>
      </w:r>
    </w:p>
    <w:p>
      <w:pPr>
        <w:spacing w:after="80"/>
      </w:pPr>
      <w:r>
        <w:rPr>
          <w:b w:val="0"/>
          <w:i w:val="0"/>
        </w:rPr>
        <w:t>Quốc gia Thành viên được yêu cầu đạt được kết quả được mô tả trong chỉ thị bằng cách ban hành luật vào pháp luật quốc gia. Trong một số trường hợp nhất định, chỉ thị có thể có hiệu lực trực tiếp nếu pháp luật quốc gia không đầy đủ hoặc nếu chúng chưa được chuyển hóa vào pháp luật quốc gia.</w:t>
      </w:r>
    </w:p>
    <w:p>
      <w:pPr>
        <w:spacing w:after="80"/>
      </w:pPr>
      <w:r>
        <w:rPr>
          <w:b w:val="0"/>
          <w:i w:val="0"/>
        </w:rPr>
        <w:t>các quy định của Chỉ thị Hội đồng 2010/24/EU liên quan đến hỗ trợ tương trợ để thu hồi các khoản yêu cầu liên quan đến thuế, nghĩa vụ và các biện pháp khác.4. OECD (2013), Addressing Base Erosion and Profit Shifting http://dx.doi.org/10.1787/9789264192744-en (OECD: Addressing BEPS); OECD (2013), Action Plan on Base Erosion and Profit Shifting, OECD Publishing http://dx.doi.org/10.1787/9789264202719-en (BEPS Action Plan). Xem Chương 17, §17.01 và Chương 18.5. Chỉ thị Hội đồng (EU) 2016/1164 ngày 12 tháng 7 năm 2016 quy định các quy tắc chống lại các hành vi tránh thuế ảnh hưởng trực tiếp đến hoạt động của thị trường nội bộ OJ L 193/1, 19.7.2016 (ATAD).6. Xem §§14.10 và tiếp theo.7. Chỉ thị Hội đồng về Cơ chế Giải quyết Tranh chấp Đánh thuế Hai lần trong Liên minh Châu Âu 2017/1852.8.</w:t>
      </w:r>
      <w:r>
        <w:rPr>
          <w:b w:val="0"/>
          <w:i/>
        </w:rPr>
        <w:t>R v HM Treasury and Inland Revenue Commissioners, ex parte Daily Mail and General Trust plc</w:t>
      </w:r>
      <w:r>
        <w:rPr>
          <w:b w:val="0"/>
          <w:i w:val="0"/>
        </w:rPr>
        <w:t xml:space="preserve"> (Case C-81/87) [1988] ECR 05483; [1987] BTC 153; [1988] STC 787. Xem Chương 3, §§3.01ff.9.</w:t>
      </w:r>
      <w:r>
        <w:rPr>
          <w:b w:val="0"/>
          <w:i/>
        </w:rPr>
        <w:t>Pigs Marketing Board v Redmond</w:t>
      </w:r>
      <w:r>
        <w:rPr>
          <w:b w:val="0"/>
          <w:i w:val="0"/>
        </w:rPr>
        <w:t xml:space="preserve"> (Case C-83/78) [1978] ECR 2347.</w:t>
      </w:r>
    </w:p>
    <w:p>
      <w:pPr>
        <w:spacing w:after="80"/>
      </w:pPr>
      <w:r>
        <w:rPr>
          <w:b w:val="0"/>
          <w:i w:val="0"/>
        </w:rPr>
        <w:t>400</w:t>
      </w:r>
    </w:p>
    <w:p>
      <w:pPr>
        <w:spacing w:after="80"/>
      </w:pPr>
      <w:r>
        <w:rPr>
          <w:b w:val="0"/>
          <w:i w:val="0"/>
        </w:rPr>
        <w:t>(3)</w:t>
      </w:r>
      <w:r>
        <w:rPr>
          <w:b w:val="0"/>
          <w:i/>
        </w:rPr>
        <w:t>Quyết định.</w:t>
      </w:r>
      <w:r>
        <w:rPr>
          <w:b w:val="0"/>
          <w:i w:val="0"/>
        </w:rPr>
        <w:t xml:space="preserve"> Đây là các biện pháp được thực hiện trong một trường hợp cá nhân. Một Quốc gia Thành viên hoặc</w:t>
      </w:r>
    </w:p>
    <w:p>
      <w:pPr>
        <w:spacing w:after="80"/>
      </w:pPr>
      <w:r>
        <w:rPr>
          <w:b w:val="0"/>
          <w:i w:val="0"/>
        </w:rPr>
        <w:t>các cá nhân có thể được yêu cầu thực hiện hoặc không thực hiện một hành động cụ thể. Những điều này hiếm khi liên quan đến thuế.(4)</w:t>
      </w:r>
      <w:r>
        <w:rPr>
          <w:b w:val="0"/>
          <w:i/>
        </w:rPr>
        <w:t>Ý kiến.</w:t>
      </w:r>
      <w:r>
        <w:rPr>
          <w:b w:val="0"/>
          <w:i w:val="0"/>
        </w:rPr>
        <w:t xml:space="preserve"> Những văn bản này được ban hành bởi một thể chế EU duy nhất và tạo thành</w:t>
      </w:r>
    </w:p>
    <w:p>
      <w:pPr>
        <w:spacing w:after="80"/>
      </w:pPr>
      <w:r>
        <w:rPr>
          <w:b w:val="0"/>
          <w:i w:val="0"/>
        </w:rPr>
        <w:t>các biện pháp pháp lý không ràng buộc. Nó cho phép thể chế bày tỏ quan điểm về các sự kiện cụ thể với các Quốc gia Thành viên hoặc với các cá nhân nói chung.</w:t>
      </w:r>
    </w:p>
    <w:p>
      <w:pPr>
        <w:spacing w:after="80"/>
      </w:pPr>
      <w:r>
        <w:rPr>
          <w:b/>
          <w:i w:val="0"/>
        </w:rPr>
        <w:t>§14.03 HIỆU LỰC TRỰC TIẾP</w:t>
      </w:r>
    </w:p>
    <w:p>
      <w:pPr>
        <w:spacing w:after="80"/>
      </w:pPr>
      <w:r>
        <w:rPr>
          <w:b w:val="0"/>
          <w:i w:val="0"/>
        </w:rPr>
        <w:t>Các quy định vốn dĩ có hiệu lực trực tiếp. Trong</w:t>
      </w:r>
      <w:r>
        <w:rPr>
          <w:b w:val="0"/>
          <w:i/>
        </w:rPr>
        <w:t xml:space="preserve"> Walder v Bestuur der Sociale Verzerk-eringsbank,</w:t>
      </w:r>
      <w:r>
        <w:rPr>
          <w:b w:val="0"/>
          <w:i w:val="0"/>
        </w:rPr>
        <w:t>10 Tòa án Công lý Châu Âu (ECJ) đã xem xét tính ưu tiên của một quy định liên quan đến các khoản thanh toán an sinh xã hội cho người lao động di cư.11 ECJ đã phán quyết rằng quá trình mà các Quốc gia Thành viên chuyển giao các quyền và nghĩa vụ từ hệ thống pháp luật trong nước của họ sang Liên minh không thể bị đảo ngược bằng các biện pháp đơn phương sau đó không phù hợp với luật Liên minh. Tương tự, kết quả tương tự không thể đạt được bằng các biện pháp song phương, chẳng hạn như các hiệp ước thuế song phương. Trên cơ sở này, các hiệp ước song phương giữa các Quốc gia Thành viên không phù hợp với các quy định thực sự vượt quá thẩm quyền quốc gia còn lại và do đó, không có hiệu lực.</w:t>
      </w:r>
    </w:p>
    <w:p>
      <w:pPr>
        <w:spacing w:after="80"/>
      </w:pPr>
      <w:r>
        <w:rPr>
          <w:b w:val="0"/>
          <w:i w:val="0"/>
        </w:rPr>
        <w:t>Tình hình phức tạp hơn đáng kể liên quan đến các chỉ thị vì bản chất pháp lý của chúng. Các chỉ thị được gửi đến các Quốc gia Thành viên. Hiệu lực ràng buộc theo Điều 288 của TFEU được giới hạn ở kết quả cần đạt được đối với mỗi Quốc gia Thành viên mà nó được gửi đến, trong khi một quy định có hiệu lực ràng buộc toàn bộ. Kết quả được mô tả trong chỉ thị và phải được chuyển hóa trong khoảng thời gian được chỉ định trong chỉ thị thành các quy định ràng buộc của pháp luật trong nước của các Quốc gia Thành viên. Các Quốc gia Thành viên vẫn tự do xác định phương pháp và hình thức. Về nguyên tắc, không có lý do gì mà hiệu lực không thể được trao cho một chỉ thị thông qua một hiệp ước. Do đó, các hiệp ước có thể vi phạm các quy định của một chỉ thị khi nó, cùng với pháp luật trong nước của một Quốc gia Thành viên, không thực hiện hoặc không thực hiện đúng một chỉ thị.</w:t>
      </w:r>
    </w:p>
    <w:p>
      <w:pPr>
        <w:spacing w:after="80"/>
      </w:pPr>
      <w:r>
        <w:rPr>
          <w:b w:val="0"/>
          <w:i w:val="0"/>
        </w:rPr>
        <w:t>Các chỉ thị có thể có hiệu lực trực tiếp toàn bộ hoặc một phần. Học thuyết về hiệu lực trực tiếp lần đầu tiên được ECJ xem xét trong bối cảnh thuế trong phán quyết</w:t>
      </w:r>
      <w:r>
        <w:rPr>
          <w:b w:val="0"/>
          <w:i/>
        </w:rPr>
        <w:t xml:space="preserve"> Becker v Finanzamt Munster-Innenstadt</w:t>
      </w:r>
      <w:r>
        <w:rPr>
          <w:b w:val="0"/>
          <w:i w:val="0"/>
        </w:rPr>
        <w:t>.12 ECJ đã phán quyết rằng bất cứ nơi nào các quy định của một chỉ thị có vẻ vô điều kiện và đủ chính xác về mặt đối tượng, những quy định đó có thể, trong trường hợp không có các biện pháp thực thi được thông qua, được viện dẫn chống lại bất kỳ quy định quốc gia nào không phù hợp với chỉ thị, trong phạm vi các quy định xác định các quyền mà các cá nhân có thể khẳng định chống lại quốc gia đó. Trong</w:t>
      </w:r>
      <w:r>
        <w:rPr>
          <w:b w:val="0"/>
          <w:i/>
        </w:rPr>
        <w:t>Becker</w:t>
      </w:r>
      <w:r>
        <w:rPr>
          <w:b w:val="0"/>
          <w:i w:val="0"/>
        </w:rPr>
        <w:t>, thời hạn thực thi chỉ thị đã hết mà quy định đó không được Quốc gia Thành viên thực hiện. Trong</w:t>
      </w:r>
      <w:r>
        <w:rPr>
          <w:b w:val="0"/>
          <w:i/>
        </w:rPr>
        <w:t>Denkavit International BV v</w:t>
      </w:r>
    </w:p>
    <w:p>
      <w:pPr>
        <w:spacing w:after="80"/>
      </w:pPr>
      <w:r>
        <w:rPr>
          <w:b w:val="0"/>
          <w:i w:val="0"/>
        </w:rPr>
        <w:t>10.</w:t>
      </w:r>
      <w:r>
        <w:rPr>
          <w:b w:val="0"/>
          <w:i/>
        </w:rPr>
        <w:t>Walder v Bestuur der Sociale Verzerkeringsbank</w:t>
      </w:r>
      <w:r>
        <w:rPr>
          <w:b w:val="0"/>
          <w:i w:val="0"/>
        </w:rPr>
        <w:t xml:space="preserve"> (Case 82/72) [1973] ECR 599.11. Reg. 1408/71, art. 3.12.</w:t>
      </w:r>
      <w:r>
        <w:rPr>
          <w:b w:val="0"/>
          <w:i/>
        </w:rPr>
        <w:t>Becker v Finanzamt Munster-lnnenstadt</w:t>
      </w:r>
      <w:r>
        <w:rPr>
          <w:b w:val="0"/>
          <w:i w:val="0"/>
        </w:rPr>
        <w:t xml:space="preserve"> (Case C-8/81) [1982] ECR 53.</w:t>
      </w:r>
    </w:p>
    <w:p>
      <w:pPr>
        <w:spacing w:after="80"/>
      </w:pPr>
      <w:r>
        <w:rPr>
          <w:b w:val="0"/>
          <w:i w:val="0"/>
        </w:rPr>
        <w:t>401</w:t>
      </w:r>
    </w:p>
    <w:p>
      <w:pPr>
        <w:spacing w:after="80"/>
      </w:pPr>
      <w:r>
        <w:rPr>
          <w:b w:val="0"/>
          <w:i/>
        </w:rPr>
        <w:t>Bundesampt fur Finanzen</w:t>
      </w:r>
      <w:r>
        <w:rPr>
          <w:b w:val="0"/>
          <w:i w:val="0"/>
        </w:rPr>
        <w:t>,13 hiệu lực trực tiếp của chỉ thị có thể được người nộp thuế viện dẫn khi việc thực thi bị khiếm khuyết.</w:t>
      </w:r>
    </w:p>
    <w:p>
      <w:pPr>
        <w:spacing w:after="80"/>
      </w:pPr>
      <w:r>
        <w:rPr>
          <w:b/>
          <w:i w:val="0"/>
        </w:rPr>
        <w:t>§14.04 ĐÁNH THUẾ BẰNG QUY ĐỊNH: NHÓM LỢI ÍCH KINH TẾ CHÂU ÂU</w:t>
      </w:r>
    </w:p>
    <w:p>
      <w:pPr>
        <w:spacing w:after="80"/>
      </w:pPr>
      <w:r>
        <w:rPr>
          <w:b w:val="0"/>
          <w:i w:val="0"/>
        </w:rPr>
        <w:t>Các quy định về thuế cũng xuất hiện trong một số văn bản pháp luật phi thuế của EU, chẳng hạn như Quy định về Nhóm lợi ích kinh tế châu Âu (European Economic Interest Grouping – EEIG).14</w:t>
      </w:r>
    </w:p>
    <w:p>
      <w:pPr>
        <w:spacing w:after="80"/>
      </w:pPr>
      <w:r>
        <w:rPr>
          <w:b w:val="0"/>
          <w:i w:val="0"/>
        </w:rPr>
        <w:t>EEIG là một dạng liên doanh theo luật định. Điều 40 của quy định này yêu cầu áp dụng cơ chế thuế "chảy qua" (flow-through) đối với EEIG. Điều này quy định rằng lợi nhuận hoặc lỗ phát sinh từ hoạt động của một nhóm chỉ bị đánh thuế vào tay các thành viên của nhóm đó. Quy định này không đưa ra nhiều hướng dẫn về cách xử lý thuế chính xác. EEIG có đầy đủ năng lực pháp lý; tuy nhiên, việc nó có tư cách pháp nhân hay không phụ thuộc vào luật nội địa của quốc gia thành lập. Do đó, việc các thành viên có phải chịu thuế thu nhập doanh nghiệp hay thuế thu nhập cá nhân hay không không được quy định bởi Quy định này. Có vẻ như ngay cả khi EEIG có tư cách pháp nhân, nó vẫn không thể đủ điều kiện hưởng các ưu đãi theo hiệp định thuế. Mặc dù nó có thể là đối tượng cư trú tại một quốc gia ký kết, nhưng nó không thể phải chịu thuế tại quốc gia ký kết đó dựa trên tư cách cư trú đó, bởi vì lợi nhuận hoặc lỗ phát sinh từ hoạt động của nó chỉ bị đánh thuế vào tay các thành viên. Việc một thành viên của EEIG có cấu thành cơ sở thường trú (permanent establishment) của một thành viên khác hay không sẽ phụ thuộc vào các điều khoản của hợp đồng EEIG và tất cả các hoàn cảnh liên quan.</w:t>
      </w:r>
    </w:p>
    <w:p>
      <w:pPr>
        <w:spacing w:after="80"/>
      </w:pPr>
      <w:r>
        <w:rPr>
          <w:b w:val="0"/>
          <w:i w:val="0"/>
        </w:rPr>
        <w:t>Địa chỉ chính thức của một EEIG, theo Điều 12 của Quy định EEIG, phải là nơi EEIG có trụ sở quản lý trung tâm hoặc nơi một trong các thành viên của nó có trụ sở quản lý chính hoặc hoạt động chính. Liệu điều này có cấu thành cơ sở thường trú cho mục đích hiệp định thuế hay không? Điều 3(1) của quy định nêu rõ rằng mục đích của một nhóm là tạo điều kiện thuận lợi hoặc phát triển các hoạt động kinh tế của các thành viên hoặc cải thiện hay gia tăng kết quả của các hoạt động đó. Mục đích của nó không phải là tạo lợi nhuận cho chính mình. Điều này còn quy định rằng các hoạt động phải liên quan đến các hoạt động kinh tế của các thành viên và "không được nhiều hơn mức phụ trợ cho các hoạt động đó". Liệu điều này có nghĩa là các hoạt động của một EEIG không bao giờ có thể nhiều hơn mức "chuẩn bị hoặc hỗ trợ", như được đề cập trong Điều 5 của Hiệp định mẫu OECD (và do đó không bao giờ cấu thành cơ sở thường trú)? Điều 3(2) của quy định nêu rõ các hoạt động bị cấm do những hạn chế này áp đặt lên EEIG. Thật không may, mặc dù quy định này có hiệu lực trực tiếp, Quy định EEIG vẫn không cung cấp đủ chi tiết để giải quyết những vấn đề này.</w:t>
      </w:r>
    </w:p>
    <w:p>
      <w:pPr>
        <w:spacing w:after="80"/>
      </w:pPr>
      <w:r>
        <w:rPr>
          <w:b/>
          <w:i w:val="0"/>
        </w:rPr>
        <w:t>§14.05 CÁC CHỈ THỊ VÀ HIỆP ĐỊNH THUẾ</w:t>
      </w:r>
    </w:p>
    <w:p>
      <w:pPr>
        <w:spacing w:after="80"/>
      </w:pPr>
      <w:r>
        <w:rPr>
          <w:b w:val="0"/>
          <w:i w:val="0"/>
        </w:rPr>
        <w:t>Các biện pháp thuế trực thu quan trọng nhất trong bối cảnh doanh nghiệp có mối tương quan trực tiếp với các điều khoản hiệp định là: Chỉ thị về Công ty mẹ – Công ty con 2011/96, xử lý</w:t>
      </w:r>
    </w:p>
    <w:p>
      <w:pPr>
        <w:spacing w:after="80"/>
      </w:pPr>
      <w:r>
        <w:rPr>
          <w:b w:val="0"/>
          <w:i w:val="0"/>
        </w:rPr>
        <w:t>13.</w:t>
      </w:r>
      <w:r>
        <w:rPr>
          <w:b w:val="0"/>
          <w:i/>
        </w:rPr>
        <w:t>Denkavit International BV v Bundesampt fur Finanzen</w:t>
      </w:r>
      <w:r>
        <w:rPr>
          <w:b w:val="0"/>
          <w:i w:val="0"/>
        </w:rPr>
        <w:t xml:space="preserve"> (Case C-283/94) [1996] ECR I-05063; [1996] STC 1445.14. 2137/85; [1985] OJ L 189/31.</w:t>
      </w:r>
    </w:p>
    <w:p>
      <w:pPr>
        <w:spacing w:after="80"/>
      </w:pPr>
      <w:r>
        <w:rPr>
          <w:b w:val="0"/>
          <w:i w:val="0"/>
        </w:rPr>
        <w:t>402</w:t>
      </w:r>
    </w:p>
    <w:p>
      <w:pPr>
        <w:spacing w:after="80"/>
      </w:pPr>
      <w:r>
        <w:rPr>
          <w:b w:val="0"/>
          <w:i w:val="0"/>
        </w:rPr>
        <w:t>cổ tức xuyên biên giới trong nội bộ tập đoàn, chiếm cùng lĩnh vực với Điều 10 của Hiệp định mẫu OECD; và Chỉ thị về Lãi và Tiền bản quyền 03/49, xử lý các khoản thanh toán lãi và tiền bản quyền xuyên biên giới giữa các công ty liên kết, bao trùm cùng lĩnh vực với Điều 11 và 12. Chỉ thị về Sáp nhập 2009/113, xử lý các vụ sáp nhập, chia tách và tái cơ cấu doanh nghiệp xuyên biên giới, có liên quan đến Điều 13. Công ước Trọng tài 90/436, liên quan đến định giá chuyển nhượng (transfer pricing), song hành với Điều 9, và ban đầu khởi đầu như một dự thảo chỉ thị. Cuối cùng nó được thông qua như một hiệp định đa phương.</w:t>
      </w:r>
    </w:p>
    <w:p>
      <w:pPr>
        <w:spacing w:after="80"/>
      </w:pPr>
      <w:r>
        <w:rPr>
          <w:b w:val="0"/>
          <w:i w:val="0"/>
        </w:rPr>
        <w:t>Hợp tác hành chính giữa các Quốc gia Thành viên cũng được xử lý bằng chỉ thị. Điều này bao gồm việc trao đổi thông tin và song hành với Điều 26 của Hiệp định mẫu OECD.15 Ngược lại, việc thu thuế xuyên biên giới hoạt động song song với Điều 27 của Hiệp định mẫu OECD.16</w:t>
      </w:r>
    </w:p>
    <w:p>
      <w:pPr>
        <w:spacing w:after="80"/>
      </w:pPr>
      <w:r>
        <w:rPr>
          <w:b w:val="0"/>
          <w:i w:val="0"/>
        </w:rPr>
        <w:t>Trong lĩnh vực tiết kiệm cá nhân của các cá nhân, Chỉ thị về Tiết kiệm trước đây là một dạng lai.17 Mặc dù nói chung là một công cụ hợp tác hành chính để thu thập thông tin về thu nhập lãi của cư dân châu Âu, nó cũng quy định một loại thuế được đánh trong những trường hợp hạn chế và việc loại bỏ đánh thuế hai lần phát sinh từ loại thuế được đánh đó.</w:t>
      </w:r>
    </w:p>
    <w:p>
      <w:pPr>
        <w:spacing w:after="80"/>
      </w:pPr>
      <w:r>
        <w:rPr>
          <w:b/>
          <w:i w:val="0"/>
        </w:rPr>
        <w:t>§14.06 CHỈ THỊ VỀ CÔNG TY MẸ – CÔNG TY CON</w:t>
      </w:r>
    </w:p>
    <w:p>
      <w:pPr>
        <w:spacing w:after="80"/>
      </w:pPr>
      <w:r>
        <w:rPr>
          <w:b w:val="0"/>
          <w:i w:val="0"/>
        </w:rPr>
        <w:t>Chỉ thị về Công ty mẹ – Công ty con18 nhằm mục đích loại bỏ việc đánh thuế hai lần đối với việc phân phối lợi nhuận trong các tập đoàn doanh nghiệp trong Liên minh. Mục tiêu của chỉ thị đó là, thông qua việc đưa ra một hệ thống thuế chung, loại bỏ bất kỳ bất lợi nào đối với sự hợp tác giữa các công ty của các Quốc gia Thành viên khác nhau so với sự hợp tác giữa các công ty của cùng một Quốc gia Thành viên và qua đó tạo điều kiện thuận lợi cho việc tập hợp các công ty lại với nhau ở cấp độ Liên minh.19 Nó có tầm quan trọng đáng kể trong bối cảnh hiệp định thuế vì nó chiếm cùng lĩnh vực ở nhiều khía cạnh với Điều 10 (Cổ tức) và Điều 23 (Loại bỏ đánh thuế hai lần) của Hiệp định mẫu OECD.20</w:t>
      </w:r>
    </w:p>
    <w:p>
      <w:pPr>
        <w:spacing w:after="80"/>
      </w:pPr>
      <w:r>
        <w:rPr>
          <w:b w:val="0"/>
          <w:i w:val="0"/>
        </w:rPr>
        <w:t>Các điều khoản hoạt động chính của chỉ thị là:</w:t>
      </w:r>
    </w:p>
    <w:p>
      <w:pPr>
        <w:spacing w:after="80"/>
      </w:pPr>
      <w:r>
        <w:rPr>
          <w:b w:val="0"/>
          <w:i w:val="0"/>
        </w:rPr>
        <w:t>– việc miễn thuế khấu trừ đối với các khoản phân phối được trả cho cổ phần từ 10%</w:t>
      </w:r>
    </w:p>
    <w:p>
      <w:pPr>
        <w:spacing w:after="80"/>
      </w:pPr>
      <w:r>
        <w:rPr>
          <w:b w:val="0"/>
          <w:i w:val="0"/>
        </w:rPr>
        <w:t>hoặc lớn hơn cho một cổ đông ở một Quốc gia Thành viên EU khác;21 và</w:t>
      </w:r>
    </w:p>
    <w:p>
      <w:pPr>
        <w:spacing w:after="80"/>
      </w:pPr>
      <w:r>
        <w:rPr>
          <w:b w:val="0"/>
          <w:i w:val="0"/>
        </w:rPr>
        <w:t>15. Chỉ thị của Hội đồng 2011/16/EU ngày 15 tháng 2 năm 2011 về hợp tác hành chính trong lĩnh vực thuế và bãi bỏ Chỉ thị 77/799/EEC.16. Chỉ thị của Hội đồng 2010/24/EU ngày 16 tháng 3 năm 2010 liên quan đến hỗ trợ tương hỗ để thu hồi các khoản phải thu liên quan đến thuế, phí và các biện pháp khác; Quy định 1189/2011 đặt ra các quy tắc chi tiết liên quan đến một số điều khoản của Chỉ thị của Hội đồng 2010/24/EU liên quan đến hỗ trợ tương hỗ để thu hồi các khoản phải thu liên quan đến thuế, phí và các biện pháp khác.17. Chỉ thị 03/48 về đánh thuế thu nhập tiết kiệm dưới hình thức thanh toán lãi.18. Chỉ thị 2011/96/EU ngày 30 tháng 11 năm 2011 về hệ thống thuế chung áp dụng trong trường hợp công ty mẹ và công ty con của các Quốc gia Thành viên khác nhau, có hiệu lực từ ngày 18 tháng 1 năm 2012.19.</w:t>
      </w:r>
      <w:r>
        <w:rPr>
          <w:b w:val="0"/>
          <w:i/>
        </w:rPr>
        <w:t>Test Claimants in the FII Group Litigation v Inland Revenue Commissioners</w:t>
      </w:r>
      <w:r>
        <w:rPr>
          <w:b w:val="0"/>
          <w:i w:val="0"/>
        </w:rPr>
        <w:t xml:space="preserve"> (Case C-446/04) [2006] ECR I-11753; [2008] BTC 222; [2009] STC 906 (ECJ) tại đoạn 103 và các vụ án được trích dẫn trong đoạn đó. Chỉ thị 2011/96, Lời nói đầu 3.20. Xem Chương 10, §10.03 và §10.04.21. Điều 5(1).</w:t>
      </w:r>
    </w:p>
    <w:p>
      <w:pPr>
        <w:spacing w:after="80"/>
      </w:pPr>
      <w:r>
        <w:rPr>
          <w:b w:val="0"/>
          <w:i w:val="0"/>
        </w:rPr>
        <w:t>403</w:t>
      </w:r>
    </w:p>
    <w:p>
      <w:pPr>
        <w:spacing w:after="80"/>
      </w:pPr>
      <w:r>
        <w:rPr>
          <w:b w:val="0"/>
          <w:i w:val="0"/>
        </w:rPr>
        <w:t>– việc miễn hoặc khấu trừ thuế cơ sở cho công ty nhận cổ tức bởi</w:t>
      </w:r>
    </w:p>
    <w:p>
      <w:pPr>
        <w:spacing w:after="80"/>
      </w:pPr>
      <w:r>
        <w:rPr>
          <w:b w:val="0"/>
          <w:i w:val="0"/>
        </w:rPr>
        <w:t>quốc gia của công ty nhận cổ tức liên quan đến việc phân phối lợi nhuận.22 Mặc dù được quy định trong luật, kết quả tương tự cũng sẽ phát sinh khi áp dụng các quyền tự do cơ bản.23 Điều này bao gồm quyền tự do khỏi thuế khấu trừ đối với lợi nhuận được phân phối của công ty con tại quốc gia của công ty mẹ.24</w:t>
      </w:r>
    </w:p>
    <w:p>
      <w:pPr>
        <w:spacing w:after="80"/>
      </w:pPr>
      <w:r>
        <w:rPr>
          <w:b w:val="0"/>
          <w:i w:val="0"/>
        </w:rPr>
        <w:t xml:space="preserve">Việc miễn thuế khấu trừ đã được xác định là có hiệu lực trực tiếp trong </w:t>
      </w:r>
      <w:r>
        <w:rPr>
          <w:b w:val="0"/>
          <w:i/>
        </w:rPr>
        <w:t>Denkavit International BV and others v Bundesampt fur Finanzen</w:t>
      </w:r>
      <w:r>
        <w:rPr>
          <w:b w:val="0"/>
          <w:i w:val="0"/>
        </w:rPr>
        <w:t>25 với lý do rằng nó rõ ràng và không mơ hồ. Một khi một Quốc gia Thành viên đã lựa chọn và áp dụng phương pháp khấu trừ hoặc miễn thuế để loại bỏ đánh thuế hai lần tại quốc gia cư trú của công ty mẹ, các yêu cầu của chỉ thị áp dụng cho phương pháp đó có hiệu lực trực tiếp.26</w:t>
      </w:r>
    </w:p>
    <w:p>
      <w:pPr>
        <w:spacing w:after="80"/>
      </w:pPr>
      <w:r>
        <w:rPr>
          <w:b w:val="0"/>
          <w:i w:val="0"/>
        </w:rPr>
        <w:t>Cho đến năm 2014, chỉ thị này là một biện pháp giảm thuế hoàn toàn. Quốc gia Thành viên của công ty mẹ giờ đây chỉ có nghĩa vụ không đánh thuế đối với các khoản phân phối trong phạm vi lợi nhuận đó không được công ty con khấu trừ. Đáng chú ý hơn, chỉ thị yêu cầu các Quốc gia Thành viên phải đánh thuế đối với các khoản phân phối trong phạm vi chúng được công ty con khấu trừ.27 Mục đích của sửa đổi là để tránh việc không bị đánh thuế hai lần phát sinh từ sự không khớp trong cách xử lý thuế đối với việc phân phối lợi nhuận giữa các Quốc gia Thành viên. Các Quốc gia Thành viên nơi công ty mẹ cư trú không có quyền tùy ý liên quan đến điều này.</w:t>
      </w:r>
    </w:p>
    <w:p>
      <w:pPr>
        <w:spacing w:after="80"/>
      </w:pPr>
      <w:r>
        <w:rPr>
          <w:b/>
          <w:i w:val="0"/>
        </w:rPr>
        <w:t>[A]Điều kiện áp dụng</w:t>
      </w:r>
    </w:p>
    <w:p>
      <w:pPr>
        <w:spacing w:after="80"/>
      </w:pPr>
      <w:r>
        <w:rPr>
          <w:b w:val="0"/>
          <w:i w:val="0"/>
        </w:rPr>
        <w:t>Có một số yêu cầu phải được tuân thủ để thuộc phạm vi áp dụng của chỉ thị:</w:t>
      </w:r>
    </w:p>
    <w:p>
      <w:pPr>
        <w:spacing w:after="80"/>
      </w:pPr>
      <w:r>
        <w:rPr>
          <w:b w:val="0"/>
          <w:i w:val="0"/>
        </w:rPr>
        <w:t>(1) Cả công ty mẹ và công ty con đều phải là các hình thức thực thể được liệt kê trong một phụ lục của</w:t>
      </w:r>
    </w:p>
    <w:p>
      <w:pPr>
        <w:spacing w:after="80"/>
      </w:pPr>
      <w:r>
        <w:rPr>
          <w:b w:val="0"/>
          <w:i w:val="0"/>
        </w:rPr>
        <w:t>chỉ thị.28 Các hình thức pháp lý đó được liệt kê đầy đủ. Do đó, nó không áp dụng cho tất cả các thực thể được đặc trưng là công ty vì mục đích thuế của các Quốc gia Thành viên cụ thể.29 Mặc dù cách thức mà cổ tức đó</w:t>
      </w:r>
    </w:p>
    <w:p>
      <w:pPr>
        <w:spacing w:after="80"/>
      </w:pPr>
      <w:r>
        <w:rPr>
          <w:b w:val="0"/>
          <w:i w:val="0"/>
        </w:rPr>
        <w:t xml:space="preserve">22. Điều 4(1). </w:t>
      </w:r>
      <w:r>
        <w:rPr>
          <w:b w:val="0"/>
          <w:i/>
        </w:rPr>
        <w:t>Banque Fédérative du Crédit Mutuel v Ministre de l’Économie, des Finances et de l’Industrie</w:t>
      </w:r>
      <w:r>
        <w:rPr>
          <w:b w:val="0"/>
          <w:i w:val="0"/>
        </w:rPr>
        <w:t xml:space="preserve"> (Vụ án C-27/07) ECLI:EU:C:2008:195. Cách xử lý tương tự cũng áp dụng cho cổ tức được phân phối thông qua một chuỗi sở hữu doanh nghiệp (Đoạn 11). 23. </w:t>
      </w:r>
      <w:r>
        <w:rPr>
          <w:b w:val="0"/>
          <w:i/>
        </w:rPr>
        <w:t>European Commission v French Republic</w:t>
      </w:r>
      <w:r>
        <w:rPr>
          <w:b w:val="0"/>
          <w:i w:val="0"/>
        </w:rPr>
        <w:t xml:space="preserve"> (Vụ án C-416/17) ECLI:EU:C:2018:811. 24. Điều 6. 25. </w:t>
      </w:r>
      <w:r>
        <w:rPr>
          <w:b w:val="0"/>
          <w:i/>
        </w:rPr>
        <w:t>Denkavit International BV and others v Bundesampt fur Finanzen</w:t>
      </w:r>
      <w:r>
        <w:rPr>
          <w:b w:val="0"/>
          <w:i w:val="0"/>
        </w:rPr>
        <w:t xml:space="preserve"> (Vụ án C-283/94) [1996] ECR I-5063; [1996] STC 1445. 26. </w:t>
      </w:r>
      <w:r>
        <w:rPr>
          <w:b w:val="0"/>
          <w:i/>
        </w:rPr>
        <w:t>Test Claimants in the FII Group Litigation v Inland Revenue Commissioners</w:t>
      </w:r>
      <w:r>
        <w:rPr>
          <w:b w:val="0"/>
          <w:i w:val="0"/>
        </w:rPr>
        <w:t xml:space="preserve"> (Vụ án C-446/04) [2006] ECR I-11753; [2008] BTC 222; [2007] STC 326 (ECJ), tại đoạn 102; (Vụ án C-138/07) </w:t>
      </w:r>
      <w:r>
        <w:rPr>
          <w:b w:val="0"/>
          <w:i/>
        </w:rPr>
        <w:t>Belgische Staat v NV Cobelfret</w:t>
      </w:r>
      <w:r>
        <w:rPr>
          <w:b w:val="0"/>
          <w:i w:val="0"/>
        </w:rPr>
        <w:t xml:space="preserve"> [2009] ECR I-00731, tại đoạn 33. 27. Điều 4(1)(a) được thay thế bởi Council Directive 2014/86/EU ngày 8 tháng 7 năm 2014 sửa đổi Directive 2011/96/EU về hệ thống thuế chung áp dụng trong trường hợp công ty mẹ và công ty con của các Quốc gia Thành viên khác nhau, điều 1(1). 28. Điều 2(a)(i). 29. </w:t>
      </w:r>
      <w:r>
        <w:rPr>
          <w:b w:val="0"/>
          <w:i/>
        </w:rPr>
        <w:t>Gaz de France – Berliner Investissement SA v Bundeszentralamt für Steuern</w:t>
      </w:r>
      <w:r>
        <w:rPr>
          <w:b w:val="0"/>
          <w:i w:val="0"/>
        </w:rPr>
        <w:t xml:space="preserve"> (Vụ án C-247/08) [2009] ECR I-09225; [2010] STC 1519 (ECJ). Trong trường hợp đó, ví dụ, một công ty theo luật Pháp dưới hình thức ‘société par actions simplifiée’ không thể được coi là ‘công ty của một Quốc gia Thành viên’ theo nghĩa của chỉ thị đó.</w:t>
      </w:r>
    </w:p>
    <w:p>
      <w:pPr>
        <w:spacing w:after="80"/>
      </w:pPr>
      <w:r>
        <w:rPr>
          <w:b w:val="0"/>
          <w:i w:val="0"/>
        </w:rPr>
        <w:t>404</w:t>
      </w:r>
    </w:p>
    <w:p>
      <w:pPr>
        <w:spacing w:after="80"/>
      </w:pPr>
      <w:r>
        <w:rPr>
          <w:b w:val="0"/>
          <w:i w:val="0"/>
        </w:rPr>
        <w:t xml:space="preserve">được xử lý và việc giảm thuế đánh thuế hai lần thuộc thẩm quyền của các Quốc gia Thành viên, thẩm quyền đó phải được thực hiện phù hợp với luật EU: xem </w:t>
      </w:r>
      <w:r>
        <w:rPr>
          <w:b w:val="0"/>
          <w:i/>
        </w:rPr>
        <w:t>Aberdeen Property Fininvest Alpha Oy</w:t>
      </w:r>
      <w:r>
        <w:rPr>
          <w:b w:val="0"/>
          <w:i w:val="0"/>
        </w:rPr>
        <w:t>.30 Do đó, cách xử lý tương tự có thể áp dụng cho một thực thể không đủ điều kiện theo một trong các quyền tự do cơ bản (xem tổng quát Chương 2). (2) Cả công ty mẹ và công ty con đều phải cư trú vì mục đích thuế tại một Quốc gia Thành viên EU khác nhau31 và không được coi là cư trú ngoài Liên minh theo bất kỳ hiệp ước áp dụng nào.32</w:t>
      </w:r>
    </w:p>
    <w:p>
      <w:pPr>
        <w:spacing w:after="80"/>
      </w:pPr>
      <w:r>
        <w:rPr>
          <w:b w:val="0"/>
          <w:i w:val="0"/>
        </w:rPr>
        <w:t>(3) Cả công ty mẹ và công ty con đều phải chịu một trong các loại thuế được liệt kê trong</w:t>
      </w:r>
    </w:p>
    <w:p>
      <w:pPr>
        <w:spacing w:after="80"/>
      </w:pPr>
      <w:r>
        <w:rPr>
          <w:b w:val="0"/>
          <w:i w:val="0"/>
        </w:rPr>
        <w:t>chỉ thị.33 Đây thực chất là thuế thu nhập doanh nghiệp được áp dụng trong Liên minh.34</w:t>
      </w:r>
    </w:p>
    <w:p>
      <w:pPr>
        <w:spacing w:after="80"/>
      </w:pPr>
      <w:r>
        <w:rPr>
          <w:b w:val="0"/>
          <w:i w:val="0"/>
        </w:rPr>
        <w:t xml:space="preserve">Việc chịu một mức thuế suất dương là cần thiết để đáp ứng yêu cầu ‘chịu thuế’. Trong </w:t>
      </w:r>
      <w:r>
        <w:rPr>
          <w:b w:val="0"/>
          <w:i/>
        </w:rPr>
        <w:t>Belgische Staat v Wereldhave Belgium Comm. VA</w:t>
      </w:r>
      <w:r>
        <w:rPr>
          <w:b w:val="0"/>
          <w:i w:val="0"/>
        </w:rPr>
        <w:t>,35 một công ty đủ điều kiện là tổ chức đầu tư tài chính Hà Lan, phải chịu thuế thu nhập doanh nghiệp tại Hà Lan với mức thuế suất bằng không, đã không đủ điều kiện là ‘công ty của một Quốc gia Thành viên’ vì lý do này. Tòa án Công lý Liên minh Châu Âu (CJEU) lưu ý rằng điều 2(a)(iii) đặt ra một tiêu chí tích cực để đủ điều kiện, đó là phải chịu loại thuế đang xét, và một tiêu chí tiêu cực, đó là không được miễn loại thuế đó và không có khả năng lựa chọn. Những điều này, cùng nhau, dẫn đến kết luận rằng một công ty không chỉ phải nằm trong phạm vi áp dụng của loại thuế đang xét mà còn không được có khả năng thực tế là không phải nộp bất kỳ loại thuế nào. Mức thuế suất bằng không tương đương với việc không phải chịu thuế và có nghĩa là không có nguy cơ đánh thuế hai lần mà chỉ thị được thiết kế để ngăn chặn.</w:t>
      </w:r>
    </w:p>
    <w:p>
      <w:pPr>
        <w:spacing w:after="80"/>
      </w:pPr>
      <w:r>
        <w:rPr>
          <w:b w:val="0"/>
          <w:i w:val="0"/>
        </w:rPr>
        <w:t>Exposuretoapositiverateoftaxisnecessarytomeetthe‘subject-to-tax’requirement.In</w:t>
      </w:r>
      <w:r>
        <w:rPr>
          <w:b w:val="0"/>
          <w:i/>
        </w:rPr>
        <w:t>BelgischeStaatvWereldhaveBelgiumComm.VA</w:t>
      </w:r>
      <w:r>
        <w:rPr>
          <w:b w:val="0"/>
          <w:i w:val="0"/>
        </w:rPr>
        <w:t>,35acom-panythatqualifiedasaNetherlandsfiscalinvestmentinstitutionwhichissubject to corporation tax in the Netherlands at a zero rate did not qualify asa‘companyofaMemberState’forthisreason.TheCourtofJusticeoftheEuropean Union (CJEU) noted that art. 2(a)(iii) lays down a positive criterionforqualifying,thatistosay,beingsubjecttothetaxinquestion,andanegativecriterion,thatistosay,notbeingexemptfromthattaxandnothavingthepossibilityofanoption.These,together,leadtotheconclusionthat a company must not only be within the scope of the tax in question butshould also not have the possibility that it is not actually liable to pay any tax.A zero rate of tax is tantamount to not being subject to tax and means there isno risk of the double taxation that the directive is designed to prevent.</w:t>
      </w:r>
    </w:p>
    <w:p>
      <w:pPr>
        <w:spacing w:after="80"/>
      </w:pPr>
      <w:r>
        <w:rPr>
          <w:b w:val="0"/>
          <w:i w:val="0"/>
        </w:rPr>
        <w:t>Phần vốn góp tối thiểu 10% vốn điều lệ36 của công ty con có thể được thay thế bằng yêu cầu về quyền biểu quyết theo hiệp định song phương.37 Các Quốc gia Thành viên cũng có thể đơn phương áp đặt thời hạn nắm giữ hai năm để đủ điều kiện nhận các khoản phân phối theo chỉ thị.38 Nếu một Quốc gia Thành viên thực hiện lựa chọn này, quốc gia đó không thể yêu cầu cổ phần phải được nắm giữ trong hai năm trước khi khoản phân phối đủ điều kiện hưởng các lợi ích của chỉ thị.39</w:t>
      </w:r>
    </w:p>
    <w:p>
      <w:pPr>
        <w:spacing w:after="80"/>
      </w:pPr>
      <w:r>
        <w:rPr>
          <w:b w:val="0"/>
          <w:i w:val="0"/>
        </w:rPr>
        <w:t>30.</w:t>
      </w:r>
      <w:r>
        <w:rPr>
          <w:b w:val="0"/>
          <w:i/>
        </w:rPr>
        <w:t>AberdeenPropertyFininvestAlphaOy</w:t>
      </w:r>
      <w:r>
        <w:rPr>
          <w:b w:val="0"/>
          <w:i w:val="0"/>
        </w:rPr>
        <w:t>(CaseC-303/07)[2009]ECRI-05145[2009]STC1945,ECJ.31.Điều 1(1).32.Điều 2(b).33.Điều 2(a)(ii).34.Thuế doanh nghiệp Gibraltar không phải là 'thuế doanh nghiệp tại Vương quốc Anh' theo mục đích của chỉ thị, dẫn đến việc các công ty được thành lập tại đó không thể đủ điều kiện hưởng chỉ thị ('</w:t>
      </w:r>
      <w:r>
        <w:rPr>
          <w:b w:val="0"/>
          <w:i/>
        </w:rPr>
        <w:t>GVCServices(Bulgaria)</w:t>
      </w:r>
      <w:r>
        <w:rPr>
          <w:b w:val="0"/>
          <w:i w:val="0"/>
        </w:rPr>
        <w:t>'</w:t>
      </w:r>
      <w:r>
        <w:rPr>
          <w:b w:val="0"/>
          <w:i/>
        </w:rPr>
        <w:t xml:space="preserve"> EOOD v Direktor na Direktsia 'Obzhalvane i danachno-osiguritelna praktika' – Sofia</w:t>
      </w:r>
      <w:r>
        <w:rPr>
          <w:b w:val="0"/>
          <w:i w:val="0"/>
        </w:rPr>
        <w:t>(Case C-458/18) ECLI:EU:C:2020:266).35.</w:t>
      </w:r>
      <w:r>
        <w:rPr>
          <w:b w:val="0"/>
          <w:i/>
        </w:rPr>
        <w:t>BelgischeStaatvWereldhaveBelgiumComm.VAandOthers</w:t>
      </w:r>
      <w:r>
        <w:rPr>
          <w:b w:val="0"/>
          <w:i w:val="0"/>
        </w:rPr>
        <w:t>(CaseC-448/15)ECLI:EU:C:2017:180.36.Điều 3(1)(a). Tại Ireland, chỉ thị được thực thi bởi TCA 1977, s. 831. Tỷ lệ vốn góp tối thiểu tại Ireland là 5% (TCA 1997, s. 831(1)(a)) 'công ty mẹ' (i).37.Điều 3(2)(a). Tại Ireland, khi một hiệp định yêu cầu như vậy, điều này được thực hiện bởi TCA 1997, s. 831(1)(a) 'công ty mẹ' (ii)(II).38.Điều3(2)(b).TạiIreland,khimộthiệpđịnhyêucầunhưvậy,điềunàyđượcthựchiệnbởiTCA1997,s.831(1)(a) 'công ty mẹ' (ii).39.Cases C-283/94, C-291/94 và C-292/94</w:t>
      </w:r>
      <w:r>
        <w:rPr>
          <w:b w:val="0"/>
          <w:i/>
        </w:rPr>
        <w:t xml:space="preserve"> Denkavit Internationaal BV, VITIC Amsterdam BV vàVoormeer BV v Bundesampt für Finanzen</w:t>
      </w:r>
      <w:r>
        <w:rPr>
          <w:b w:val="0"/>
          <w:i w:val="0"/>
        </w:rPr>
        <w:t xml:space="preserve"> [1996] ECR I-5063; [1996] STC 1445, [1996] BTC 800.</w:t>
      </w:r>
    </w:p>
    <w:p>
      <w:pPr>
        <w:spacing w:after="80"/>
      </w:pPr>
      <w:r>
        <w:rPr>
          <w:b w:val="0"/>
          <w:i w:val="0"/>
        </w:rPr>
        <w:t>405</w:t>
      </w:r>
    </w:p>
    <w:p>
      <w:pPr>
        <w:spacing w:after="80"/>
      </w:pPr>
      <w:r>
        <w:rPr>
          <w:b w:val="0"/>
          <w:i w:val="0"/>
        </w:rPr>
        <w:t xml:space="preserve">Không giống như chỉ thị về lãi và tiền bản quyền,40 không có yêu cầu rõ ràng rằng cổ đông phải là 'chủ sở hữu hưởng lợi' của cổ phần để thuộc phạm vi chỉ thị. Trong </w:t>
      </w:r>
      <w:r>
        <w:rPr>
          <w:b w:val="0"/>
          <w:i/>
        </w:rPr>
        <w:t xml:space="preserve"> État Belge – Service Public Fédéral Finances v Les Vergers du Vieux TauvesSA</w:t>
      </w:r>
      <w:r>
        <w:rPr>
          <w:b w:val="0"/>
          <w:i w:val="0"/>
        </w:rPr>
        <w:t>,41 ECJ đã xem xét việc nắm giữ cổ phần theo quyền dụng ích. Người nộp thuế, một công ty Bỉ, đã mua quyền dụng ích đối với cổ phần trong một công ty khác trong thời hạn mười năm. Quyền sở hữu hợp pháp đối với những cổ phần đó được một công ty thứ ba nắm giữ. Theo Điều 578 Bộ luật Dân sự Bỉ, quyền của người dụng ích là đối với lợi nhuận được phân phối, với lợi nhuận được đưa vào dự trữ sẽ thuộc về chủ sở hữu hợp pháp (quyền hưởng dụng những thứ thuộc sở hữu của người khác, như chính chủ sở hữu, nhưng có điều kiện phải bảo toàn bản chất của tài sản). Do đó, người dụng ích chỉ sở hữu quyền sử dụng và hoa lợi nhưng không có quyền định đoạt, quyền này vẫn thuộc về chủ sở hữu quyền sở hữu hợp pháp. Người nộp thuế lập luận rằng cổ tức được phân phối vào thời điểm người đó có quyền dụng ích đối với cổ phần thuộc phạm vi chỉ thị. Tổng Chưởng lý Sharpston đồng ý.42 Tuy nhiên, Tòa án đã phán quyết rằng khái niệm nắm giữ vốn trong một công ty không bao gồm việc nắm giữ cổ phần theo quyền dụng ích. 'Việc nắm giữ vốn' trong Điều 3 đề cập đến mối quan hệ pháp lý giữa công ty mẹ và công ty con.</w:t>
      </w:r>
    </w:p>
    <w:p>
      <w:pPr>
        <w:spacing w:after="80"/>
      </w:pPr>
      <w:r>
        <w:rPr>
          <w:b w:val="0"/>
          <w:i w:val="0"/>
        </w:rPr>
        <w:t xml:space="preserve">Chỉ thị chỉ áp dụng cho việc phân phối lợi nhuận. Lợi nhuận vốn từ việc bán cổ phần của công ty con không được bao gồm. Chỉ thị cũng không áp dụng cho việc phân phối khi giải thể.43 Trong </w:t>
      </w:r>
      <w:r>
        <w:rPr>
          <w:b w:val="0"/>
          <w:i/>
        </w:rPr>
        <w:t xml:space="preserve"> Punch Graphix Prepress Belgium NV v Belgische Staat</w:t>
      </w:r>
      <w:r>
        <w:rPr>
          <w:b w:val="0"/>
          <w:i w:val="0"/>
        </w:rPr>
        <w:t>,44 CJEU đã phán quyết rằng việc giải thể một công ty trong bối cảnh sáp nhập bằng cách thâu tóm không thể được coi là giải thể cho mục đích này.</w:t>
      </w:r>
    </w:p>
    <w:p>
      <w:pPr>
        <w:spacing w:after="80"/>
      </w:pPr>
      <w:r>
        <w:rPr>
          <w:b w:val="0"/>
          <w:i w:val="0"/>
        </w:rPr>
        <w:t>Chỉ thị cho phép cả các quy định trong nước hoặc dựa trên hiệp định để ngăn chặn gian lận hoặc lạm dụng và áp đặt các quy định chống tránh thuế của riêng mình.45 Nghĩa vụ loại bỏ đánh thuế hai lần bởi quốc gia của công ty mẹ mở rộng đến các công ty con cấp hai hoặc thấp hơn.46</w:t>
      </w:r>
    </w:p>
    <w:p>
      <w:pPr>
        <w:spacing w:after="80"/>
      </w:pPr>
      <w:r>
        <w:rPr>
          <w:b/>
          <w:i w:val="0"/>
        </w:rPr>
        <w:t>[B]Cơ sở thường trú</w:t>
      </w:r>
    </w:p>
    <w:p>
      <w:pPr>
        <w:spacing w:after="80"/>
      </w:pPr>
      <w:r>
        <w:rPr>
          <w:b w:val="0"/>
          <w:i w:val="0"/>
        </w:rPr>
        <w:t>Lợi ích của việc miễn thuế hoặc khấu trừ thuế tại Quốc gia Thành viên của công ty nhận được mở rộng đến các khoản phân phối lợi nhuận mà các cơ sở thường trú của các công ty đủ điều kiện nhận được. Tuy nhiên, các cơ sở thường trú có thể được đặt tại một Quốc gia Thành viên khác với quốc gia nơi công ty con trả cổ tức tọa lạc, cũng như một cơ sở thường trú được đặt tại hoặc trong cùng Quốc gia Thành viên với công ty con.47</w:t>
      </w:r>
    </w:p>
    <w:p>
      <w:pPr>
        <w:spacing w:after="80"/>
      </w:pPr>
      <w:r>
        <w:rPr>
          <w:b w:val="0"/>
          <w:i w:val="0"/>
        </w:rPr>
        <w:t>Do đó, các trường hợp tam giác được giải quyết theo cách mà các hiệp định song phương không thể làm được. Ví dụ, nếu một công ty cư trú tại Ireland có một cơ sở thường trú tại Đức để</w:t>
      </w:r>
    </w:p>
    <w:p>
      <w:pPr>
        <w:spacing w:after="80"/>
      </w:pPr>
      <w:r>
        <w:rPr>
          <w:b w:val="0"/>
          <w:i w:val="0"/>
        </w:rPr>
        <w:t>40.Xem §14.07.41.</w:t>
      </w:r>
      <w:r>
        <w:rPr>
          <w:b w:val="0"/>
          <w:i/>
        </w:rPr>
        <w:t>ÉtatBelge–ServicePublicFédéralFinancesvLesVergersduVieuxTauvesSA</w:t>
      </w:r>
      <w:r>
        <w:rPr>
          <w:b w:val="0"/>
          <w:i w:val="0"/>
        </w:rPr>
        <w:t>(CaseC-48/07)[2008] ECR I-10627; [2009] 2 CMLR 332.42.Ý kiến của Tổng Chưởng lý tại đoạn 64.43.Điều 4(1).44.</w:t>
      </w:r>
      <w:r>
        <w:rPr>
          <w:b w:val="0"/>
          <w:i/>
        </w:rPr>
        <w:t>PunchGraphixPrepressBelgiumNVvBelgischeStaat</w:t>
      </w:r>
      <w:r>
        <w:rPr>
          <w:b w:val="0"/>
          <w:i w:val="0"/>
        </w:rPr>
        <w:t>(CaseC-371/11)ECLI:EU:C:2012:647;[2013] STC 603, [2013] BTC 856.45.Điều 1(2)-1(4). Xem §14.10.46.Điều 1(1).47.Điều 1(1), dòng thứ hai và thứ ba.</w:t>
      </w:r>
    </w:p>
    <w:p>
      <w:pPr>
        <w:spacing w:after="80"/>
      </w:pPr>
      <w:r>
        <w:rPr>
          <w:b w:val="0"/>
          <w:i w:val="0"/>
        </w:rPr>
        <w:t>406</w:t>
      </w:r>
    </w:p>
    <w:p>
      <w:pPr>
        <w:spacing w:after="80"/>
      </w:pPr>
      <w:r>
        <w:rPr>
          <w:b w:val="0"/>
          <w:i w:val="0"/>
        </w:rPr>
        <w:t>mà các khoản phân phối được thực hiện bởi một công ty Pháp được quy cho mục đích thuế Đức, cơ sở thường trú phải được hưởng cùng một khoản miễn thuế hoặc khấu trừ thuế như đối với một công ty cư trú tại Đức đối với các khoản phân phối nhận được từ công ty Pháp. Ireland cũng sẽ được yêu cầu cung cấp cùng một khoản giảm thuế hai lần trong trường hợp như vậy.48</w:t>
      </w:r>
    </w:p>
    <w:p>
      <w:pPr>
        <w:spacing w:after="80"/>
      </w:pPr>
      <w:r>
        <w:rPr>
          <w:b w:val="0"/>
          <w:i w:val="0"/>
        </w:rPr>
        <w:t>Chỉ thị áp dụng một định nghĩa bán tự trị như sau:</w:t>
      </w:r>
    </w:p>
    <w:p>
      <w:pPr>
        <w:spacing w:after="80"/>
      </w:pPr>
      <w:r>
        <w:rPr>
          <w:b w:val="0"/>
          <w:i w:val="0"/>
        </w:rPr>
        <w:t>2(b) Cho mục đích của chỉ thị này, thuật ngữ 'cơ sở thường trú' có nghĩa là một địa điểm kinh doanh cố định được đặt tại một quốc gia thành viên mà qua đó hoạt động kinh doanh của một công ty của một quốc gia thành viên khác được thực hiện toàn bộ hoặc một phần, trong phạm vi lợi nhuận của địa điểm kinh doanh đó phải chịu thuế tại quốc gia thành viên nơi nó được đặt theo hiệp định thuế song phương có liên quan hoặc, trong trường hợp không có hiệp định đó, theo luật quốc gia.</w:t>
      </w:r>
    </w:p>
    <w:p>
      <w:pPr>
        <w:spacing w:after="80"/>
      </w:pPr>
      <w:r>
        <w:rPr>
          <w:b w:val="0"/>
          <w:i w:val="0"/>
        </w:rPr>
        <w:t>Có thể lưu ý rằng định nghĩa chỉ kết hợp Điều 5(1) của Mẫu OECD và do đó các cơ sở thường trú đại lý hoặc dịch vụ bị loại trừ.49 Các hiệp định thuế có liên quan trong việc thu hẹp thêm định nghĩa cho mục đích này thành các cơ sở thường trú trong phạm vi lợi nhuận của chúng phải chịu thuế theo các điều khoản của một hiệp định hiện hành. Tính tương thích của các quy tắc liên quan đến thu nhập đầu tư được quy cho các cơ sở thường trú tại quốc gia thứ ba trong Điều 3 của Nghị định thư ngày 30 tháng 3 năm 2010 đối với hiệp định Anh-Đức (2010)50 với các quy định này phải được đặt trong vòng nghi ngờ.</w:t>
      </w:r>
    </w:p>
    <w:p>
      <w:pPr>
        <w:spacing w:after="80"/>
      </w:pPr>
      <w:r>
        <w:rPr>
          <w:b/>
          <w:i w:val="0"/>
        </w:rPr>
        <w:t>[C]Các thực thể minh bạch</w:t>
      </w:r>
    </w:p>
    <w:p>
      <w:pPr>
        <w:spacing w:after="80"/>
      </w:pPr>
      <w:r>
        <w:rPr>
          <w:b w:val="0"/>
          <w:i w:val="0"/>
        </w:rPr>
        <w:t>Chỉ thị này, nói chung, không quy định việc loại trừ đánh thuế hai lần trong trường hợp lợi nhuận không được kiếm bởi một công ty con cư trú tại một Quốc gia thành viên khác mà bởi một cơ sở thường trú (permanent establishment). Tuy nhiên, vấn đề này được đề cập trong mối liên hệ với các thực thể minh bạch (transparent entities). Chỉ thị không ngăn cản quốc gia của công ty mẹ coi một công ty con là minh bạch về mặt thuế dựa trên các đặc điểm pháp lý của công ty con đó. Chỉ thị thừa nhận rằng trong trường hợp như vậy, quốc gia của công ty mẹ có thể đánh thuế công ty mẹ trên phần lợi nhuận của công ty con mà công ty mẹ được hưởng khi lợi nhuận đó phát sinh. Trong trường hợp này, quốc gia của công ty mẹ bị cấm đánh thuế lên lợi nhuận đã được phân phối của công ty con.51</w:t>
      </w:r>
    </w:p>
    <w:p>
      <w:pPr>
        <w:spacing w:after="80"/>
      </w:pPr>
      <w:r>
        <w:rPr>
          <w:b/>
          <w:i w:val="0"/>
        </w:rPr>
        <w:t>[D]Thực thi</w:t>
      </w:r>
    </w:p>
    <w:p>
      <w:pPr>
        <w:spacing w:after="80"/>
      </w:pPr>
      <w:r>
        <w:rPr>
          <w:b w:val="0"/>
          <w:i w:val="0"/>
        </w:rPr>
        <w:t>Các tiểu mục sau đây thảo luận về các vấn đề xoay quanh việc Ireland thực thi Chỉ thị Công ty Mẹ - Công ty Con (Parent-Subsidiary Directive).</w:t>
      </w:r>
    </w:p>
    <w:p>
      <w:pPr>
        <w:spacing w:after="80"/>
      </w:pPr>
      <w:r>
        <w:rPr>
          <w:b w:val="0"/>
          <w:i w:val="0"/>
        </w:rPr>
        <w:t>48. Điều 1(1), dòng thứ nhất. 49. Xem Chương 7, §§7.01ff. 50. Xem Chương 10, §10.03. 51. Điều 4(1a).</w:t>
      </w:r>
    </w:p>
    <w:p>
      <w:pPr>
        <w:spacing w:after="80"/>
      </w:pPr>
      <w:r>
        <w:rPr>
          <w:b w:val="0"/>
          <w:i w:val="0"/>
        </w:rPr>
        <w:t>407</w:t>
      </w:r>
    </w:p>
    <w:p>
      <w:pPr>
        <w:spacing w:after="80"/>
      </w:pPr>
      <w:r>
        <w:rPr>
          <w:b/>
          <w:i/>
        </w:rPr>
        <w:t>[1]Phân phối vào trong (Inward-Bound Distributions)</w:t>
      </w:r>
    </w:p>
    <w:p>
      <w:pPr>
        <w:spacing w:after="80"/>
      </w:pPr>
      <w:r>
        <w:rPr>
          <w:b w:val="0"/>
          <w:i w:val="0"/>
        </w:rPr>
        <w:t>Ireland tìm cách tuân thủ nghĩa vụ tại Điều 4(1) của chỉ thị bằng phương pháp khấu trừ (credit method) được cho phép bởi Điều 4(1)(b). Các khoản phân phối mà một công ty mẹ cư trú tại Ireland nhận được đều phải chịu thuế. Việc giảm trừ đánh thuế hai lần được thực hiện bằng cách khấu trừ phần thuế nước ngoài mà công ty con phải chịu, tương ứng một cách hợp lý với tỷ lệ lợi nhuận của công ty con được tính vào thuế thu nhập doanh nghiệp (corporation tax) của công ty mẹ Ireland đối với cùng khoản lợi nhuận đó, tối đa bằng số thuế thu nhập doanh nghiệp Ireland phải nộp.52 Khi một Quốc gia thành viên đã chọn một hệ thống được nêu tại Điều 4(1) của chỉ thị, quyền được loại trừ đánh thuế hai lần chỉ phụ thuộc vào các yêu cầu của chỉ thị và không được áp đặt thêm điều kiện nào khác. Tuy nhiên, nếu một hiệp định mang lại mức giảm trừ hào phóng hơn, thì các quy định của hiệp định vẫn có thể được áp dụng.53</w:t>
      </w:r>
    </w:p>
    <w:p>
      <w:pPr>
        <w:spacing w:after="80"/>
      </w:pPr>
      <w:r>
        <w:rPr>
          <w:b w:val="0"/>
          <w:i w:val="0"/>
        </w:rPr>
        <w:t>Việc giảm trừ đánh thuế hai lần mà Điều 4 yêu cầu Quốc gia thành viên nơi công ty mẹ cư trú phải thực hiện được áp dụng không phân biệt, dựa trên việc sự kiện chịu thuế của công ty mẹ là việc nhận được lợi nhuận đó hay việc tái phân phối lợi nhuận đó. Do đó, một "thuế công bằng" (fairness tax) của Bỉ, đánh lên các công ty khi họ phân phối cổ tức không nằm trong lợi nhuận chịu thuế của họ, tạo ra việc đánh thuế hai lần bị Điều 4 cấm.54 Hơn nữa, Điều 4 không quy định bất kỳ loại thuế cụ thể nào mà nó áp dụng. Mục đích của nó là ngăn các Quốc gia thành viên thông qua các biện pháp thuế dẫn đến việc đánh thuế hai lần lên lợi nhuận đã phân phối trong tay các công ty mẹ, và do đó, việc biện pháp thuế đó có được phân loại là thuế thu nhập doanh nghiệp hay không là không liên quan.55</w:t>
      </w:r>
    </w:p>
    <w:p>
      <w:pPr>
        <w:spacing w:after="80"/>
      </w:pPr>
      <w:r>
        <w:rPr>
          <w:b/>
          <w:i/>
        </w:rPr>
        <w:t>[2]Phân phối ra ngoài (Outward-Bound Distributions)</w:t>
      </w:r>
    </w:p>
    <w:p>
      <w:pPr>
        <w:spacing w:after="80"/>
      </w:pPr>
      <w:r>
        <w:rPr>
          <w:b w:val="0"/>
          <w:i w:val="0"/>
        </w:rPr>
        <w:t>Các khoản phân phối mà một công ty mẹ cư trú tại EU nhận được từ công ty con cư trú tại Ireland của mình không phải chịu thuế khấu trừ cổ tức (dividend withholding tax) vốn áp dụng cho các khoản phân phối của một công ty cư trú tại Ireland đối với các cổ đông không cư trú.56,57 Một ngoại lệ đối với quy tắc này được đặt ra liên quan đến các khoản phân phối của các quỹ đầu tư bất động sản (real estate investment trusts - REITs) vốn phải chịu thuế khấu trừ tại nguồn theo thuế suất tiêu chuẩn.58 Mặc dù luật về REIT được thiết kế để khuyến khích các REIT không có cổ đông được hưởng lợi ích từ chỉ thị, một REIT thực hiện phân phối cho một người nắm giữ cổ phần vượt quá mức tối đa được phép sẽ phải chịu thuế trên một khoản danh nghĩa được coi là thu nhập mà REIT nhận được.</w:t>
      </w:r>
    </w:p>
    <w:p>
      <w:pPr>
        <w:spacing w:after="80"/>
      </w:pPr>
      <w:r>
        <w:rPr>
          <w:b w:val="0"/>
          <w:i w:val="0"/>
        </w:rPr>
        <w:t xml:space="preserve">Việc áp dụng thuế khấu trừ đối với các REIT này có khả năng cấu thành một "thuế khấu trừ" (withholding tax) theo Điều 5(1) của chỉ thị. Trong </w:t>
      </w:r>
      <w:r>
        <w:rPr>
          <w:b w:val="0"/>
          <w:i/>
        </w:rPr>
        <w:t>Ministerio Publico and others v Epson Europe</w:t>
      </w:r>
    </w:p>
    <w:p>
      <w:pPr>
        <w:spacing w:after="80"/>
      </w:pPr>
      <w:r>
        <w:rPr>
          <w:b w:val="0"/>
          <w:i w:val="0"/>
        </w:rPr>
        <w:t xml:space="preserve">52. TCA 1997, s. 831(2A). 53. TCA 1997, s. 831(4). 54. </w:t>
      </w:r>
      <w:r>
        <w:rPr>
          <w:b w:val="0"/>
          <w:i/>
        </w:rPr>
        <w:t>X v Ministerraad</w:t>
      </w:r>
      <w:r>
        <w:rPr>
          <w:b w:val="0"/>
          <w:i w:val="0"/>
        </w:rPr>
        <w:t xml:space="preserve"> (Vụ án C-68/15) ECLI:EU:C:2017:379. 55. </w:t>
      </w:r>
      <w:r>
        <w:rPr>
          <w:b w:val="0"/>
          <w:i/>
        </w:rPr>
        <w:t>Association française des entreprises privées (AFEP) and Others v Ministre des finances et des comptes publics</w:t>
      </w:r>
      <w:r>
        <w:rPr>
          <w:b w:val="0"/>
          <w:i w:val="0"/>
        </w:rPr>
        <w:t xml:space="preserve"> (Vụ án C-365/16) ECLI:EU:C:2017:378, tại đoạn 33. 56. TCA 1997, s. 831(5). Tuy nhiên, các nghĩa vụ báo cáo theo s. 172K vẫn được áp dụng. Xem §14.10 về các quy định chống lạm dụng. 57. TCA 1997, ss 172B và 705J. 58. Xem Chương 10, §10.03.</w:t>
      </w:r>
    </w:p>
    <w:p>
      <w:pPr>
        <w:spacing w:after="80"/>
      </w:pPr>
      <w:r>
        <w:rPr>
          <w:b w:val="0"/>
          <w:i w:val="0"/>
        </w:rPr>
        <w:t>408</w:t>
      </w:r>
    </w:p>
    <w:p>
      <w:pPr>
        <w:spacing w:after="80"/>
      </w:pPr>
      <w:r>
        <w:rPr>
          <w:b w:val="0"/>
          <w:i/>
        </w:rPr>
        <w:t>BV</w:t>
      </w:r>
      <w:r>
        <w:rPr>
          <w:b w:val="0"/>
          <w:i w:val="0"/>
        </w:rPr>
        <w:t>,59 Tòa án Công lý Châu Âu (ECJ) đã xem xét tính hợp pháp của một loại thuế khoán đánh lên việc thừa kế và tặng cho, được đánh trên thu nhập từ một số chứng khoán nhất định (cổ phiếu và trái phiếu). Theo luật nội địa của Bồ Đào Nha, cổ tức phải chịu thuế khấu trừ 5% trên cổ tức như một khoản thay thế cho thuế theo luật thuế thừa kế và tặng cho.</w:t>
      </w:r>
    </w:p>
    <w:p>
      <w:pPr>
        <w:spacing w:after="80"/>
      </w:pPr>
      <w:r>
        <w:rPr>
          <w:b w:val="0"/>
          <w:i w:val="0"/>
        </w:rPr>
        <w:t xml:space="preserve">Tổng Chưởng lý (Advocate-General) lưu ý rằng Điều 5(1) không quy định bất kỳ loại thuế cụ thể nào, và luật Cộng đồng không vận hành dựa trên những phân biệt về ngữ nghĩa và những cấu trúc lý thuyết liên quan đến luật quốc gia. Trong bất kỳ trường hợp nào, thuế khấu trừ 5% đều nằm trong phạm vi chỉ thị theo cách giải thích theo nghĩa đen hoặc bất kỳ phương pháp giải thích nào khác. ECJ đã áp dụng cách tiếp cận tương tự và phán quyết rằng thuế của Bồ Đào Nha là một loại thuế khấu trừ nằm trong phạm vi chỉ thị. ECJ cho rằng thuật ngữ "thuế khấu trừ" trong Điều 5(1) không giới hạn ở các loại thuế quốc gia cụ thể. Tòa án kết luận rằng thuế thừa kế và tặng cho thay thế là một loại thuế khấu trừ mà sự kiện chịu thuế là việc thanh toán cổ tức và người chịu thuế là người nắm giữ cổ phiếu. Thuế thừa kế và tặng cho thay thế có cùng hiệu lực như một loại thuế đánh trên thu nhập, và việc loại thuế đó được gọi là "thuế thừa kế và tặng cho" và được đánh song song với thuế thu nhập là không quan trọng. Trong </w:t>
      </w:r>
      <w:r>
        <w:rPr>
          <w:b w:val="0"/>
          <w:i/>
        </w:rPr>
        <w:t>Athinaiki Zithopiia AE v Greece</w:t>
      </w:r>
      <w:r>
        <w:rPr>
          <w:b w:val="0"/>
          <w:i w:val="0"/>
        </w:rPr>
        <w:t>,60 ECJ phán quyết rằng khi sự kiện chịu thuế là việc thanh toán cổ tức và số tiền thuế liên quan trực tiếp đến quy mô của khoản phân phối, thì khoản thu đó là một loại thuế khấu trừ ngay cả khi nó do công ty phân phối chịu chứ không phải cổ đông.61</w:t>
      </w:r>
    </w:p>
    <w:p>
      <w:pPr>
        <w:spacing w:after="80"/>
      </w:pPr>
      <w:r>
        <w:rPr>
          <w:b w:val="0"/>
          <w:i w:val="0"/>
        </w:rPr>
        <w:t xml:space="preserve">Trong </w:t>
      </w:r>
      <w:r>
        <w:rPr>
          <w:b w:val="0"/>
          <w:i/>
        </w:rPr>
        <w:t>Finanzamt Hamburg-Am Tierpark v Burda GmbH</w:t>
      </w:r>
      <w:r>
        <w:rPr>
          <w:b w:val="0"/>
          <w:i w:val="0"/>
        </w:rPr>
        <w:t>,62 tòa án cho rằng phải thỏa mãn ba điều kiện tích lũy để một khoản thuế được đặc trưng là thuế khấu trừ. Thứ nhất, sự kiện chịu thuế theo mục đích thuế phải là việc thanh toán cổ tức hoặc bất kỳ thu nhập nào khác từ cổ phiếu; thứ hai, số tiền chịu thuế phải là thu nhập từ những cổ phiếu đó; và thứ ba, người chịu thuế phải là "người nắm giữ cổ phiếu".</w:t>
      </w:r>
    </w:p>
    <w:p>
      <w:pPr>
        <w:spacing w:after="80"/>
      </w:pPr>
      <w:r>
        <w:rPr>
          <w:b w:val="0"/>
          <w:i w:val="0"/>
        </w:rPr>
        <w:t>Tuy nhiên, một REIT có thể không phải là ‘công ty của một quốc gia thành viên’ theo Điều 2(1) của chỉ thị. Để đủ điều kiện, một công ty phải, cùng với các yêu cầu khác, chịu thuế thu nhập doanh nghiệp ‘mà không có khả năng lựa chọn hoặc được miễn trừ’.63</w:t>
      </w:r>
    </w:p>
    <w:p>
      <w:pPr>
        <w:spacing w:after="80"/>
      </w:pPr>
      <w:r>
        <w:rPr>
          <w:b w:val="0"/>
          <w:i w:val="0"/>
        </w:rPr>
        <w:t>Vì sự miễn trừ dành cho các REIT là tùy chọn, chúng có thể không thuộc phạm vi của chỉ thị.</w:t>
      </w:r>
    </w:p>
    <w:p>
      <w:pPr>
        <w:spacing w:after="80"/>
      </w:pPr>
      <w:r>
        <w:rPr>
          <w:b/>
          <w:i w:val="0"/>
        </w:rPr>
        <w:t>[E]Tương tác với các Hiệp định</w:t>
      </w:r>
    </w:p>
    <w:p>
      <w:pPr>
        <w:spacing w:after="80"/>
      </w:pPr>
      <w:r>
        <w:rPr>
          <w:b w:val="0"/>
          <w:i w:val="0"/>
        </w:rPr>
        <w:t>Chỉ thị Mẹ-Con có phạm vi tương đối hẹp. Do đó, nó không bao phủ hoàn toàn lĩnh vực liên quan đến cổ tức hoặc các phân phối lợi nhuận khác giữa các Quốc gia Thành viên. Các Quốc gia Thành viên do đó được tự do thỏa thuận về cách xử lý thuế đối với</w:t>
      </w:r>
    </w:p>
    <w:p>
      <w:pPr>
        <w:spacing w:after="80"/>
      </w:pPr>
      <w:r>
        <w:rPr>
          <w:b w:val="0"/>
          <w:i w:val="0"/>
        </w:rPr>
        <w:t>59.</w:t>
      </w:r>
      <w:r>
        <w:rPr>
          <w:b w:val="0"/>
          <w:i/>
        </w:rPr>
        <w:t>MinisterioPublicoandothersvEpsonEuropeBV</w:t>
      </w:r>
      <w:r>
        <w:rPr>
          <w:b w:val="0"/>
          <w:i w:val="0"/>
        </w:rPr>
        <w:t>(CaseC-375/98)[2000]ECRI-04243;[2002]STC 739, [2002] BTC 600.60.</w:t>
      </w:r>
      <w:r>
        <w:rPr>
          <w:b w:val="0"/>
          <w:i/>
        </w:rPr>
        <w:t>AthinaikiZithopiiaAEvGreece</w:t>
      </w:r>
      <w:r>
        <w:rPr>
          <w:b w:val="0"/>
          <w:i w:val="0"/>
        </w:rPr>
        <w:t>(CaseC-294/99)[2001]ECRI-06797;[2001]BTC451;[2002]STC 559, ECJ.61.See also</w:t>
      </w:r>
      <w:r>
        <w:rPr>
          <w:b w:val="0"/>
          <w:i/>
        </w:rPr>
        <w:t xml:space="preserve"> P Ferrero e C. SpA v Agenzia delle Entrate – Ufficio di Alba</w:t>
      </w:r>
      <w:r>
        <w:rPr>
          <w:b w:val="0"/>
          <w:i w:val="0"/>
        </w:rPr>
        <w:t xml:space="preserve"> and</w:t>
      </w:r>
      <w:r>
        <w:rPr>
          <w:b w:val="0"/>
          <w:i/>
        </w:rPr>
        <w:t xml:space="preserve"> General Beverage EuropeBVvAgenziadelleEntrate–UfficiodiTorino1</w:t>
      </w:r>
      <w:r>
        <w:rPr>
          <w:b w:val="0"/>
          <w:i w:val="0"/>
        </w:rPr>
        <w:t>,(CasesC-338/08andC-339/08)[2010]ECRI-05743, on provisions of the Italian imputation system and its interaction with treaties.62.</w:t>
      </w:r>
      <w:r>
        <w:rPr>
          <w:b w:val="0"/>
          <w:i/>
        </w:rPr>
        <w:t>Finanzamt Hamburg-Am Tierpark v Burda GmbH (formerly Burda Verlagsbeteiligungen GmbH)</w:t>
      </w:r>
      <w:r>
        <w:rPr>
          <w:b w:val="0"/>
          <w:i w:val="0"/>
        </w:rPr>
        <w:t>(Case C-284/06) [2008] BTC 1500 [2008] STC 2996; [2008] ECR I-4571.63.Art. 2(1)(c).</w:t>
      </w:r>
    </w:p>
    <w:p>
      <w:pPr>
        <w:spacing w:after="80"/>
      </w:pPr>
      <w:r>
        <w:rPr>
          <w:b w:val="0"/>
          <w:i w:val="0"/>
        </w:rPr>
        <w:t>409</w:t>
      </w:r>
    </w:p>
    <w:p>
      <w:pPr>
        <w:spacing w:after="80"/>
      </w:pPr>
      <w:r>
        <w:rPr>
          <w:b w:val="0"/>
          <w:i w:val="0"/>
        </w:rPr>
        <w:t>các phân phối nằm ngoài phạm vi của chỉ thị. Điều 7(2) nhằm bảo toàn vị trí của các hiệp định (và luật trong nước) ở một mức độ nào đó. Điều này quy định rằng chỉ thị không làm giảm hiệu lực của các quy định trong nước hoặc dựa trên thỏa thuận được thiết kế để loại bỏ hoặc giảm bớt đánh thuế hai lần về kinh tế đối với cổ tức. Do đó, Điều 7(2) đã được giải thích là cho phép khoản thu, được dự kiến khi hoàn trả các khoản tín dụng thuế (nay đã bị bãi bỏ) đối với cổ tức do một công ty con cư trú tại Vương quốc Anh trả cho công ty mẹ không cư trú của mình theo, ví dụ, Điều 19(3) của Hiệp định Thuế Thu nhập Vương quốc Anh-Ý, mặc dù khoản thu đó tương đương với thuế khấu trừ theo nghĩa của Điều 5(1).64 Một loại thuế khấu trừ mà nếu không thì bị Điều 5 cấm có thể được bảo toàn bằng cách nằm trong phạm vi ngoại lệ của Điều 7(2) đối với các quy định dựa trên hiệp định được thiết kế để loại bỏ hoặc giảm bớt đánh thuế hai lần về kinh tế đối với cổ tức, chỉ khi đáp ứng hai yêu cầu. Thứ nhất, hiệp định được đề cập được thiết kế để tránh đánh thuế hai lần và chứa các quy định nhằm loại bỏ hoặc giảm thiểu đánh thuế hai lần về kinh tế đối với các phân phối cổ tức. Thứ hai, việc áp đặt thuế khấu trừ đó không được triệt tiêu hiệu lực của việc loại bỏ hoặc giảm thiểu đánh thuế hai lần theo hiệp định. Liệu điều này có đúng hay không là do tòa án quốc gia đánh giá.65 Các hiệp định hoặc nghị định thư với các Quốc gia Thành viên EU được đàm phán kể từ khi chỉ thị có hiệu lực không đồng nhất trong việc giải quyết các vấn đề này.66</w:t>
      </w:r>
    </w:p>
    <w:p>
      <w:pPr>
        <w:spacing w:after="80"/>
      </w:pPr>
      <w:r>
        <w:rPr>
          <w:b w:val="0"/>
          <w:i w:val="0"/>
        </w:rPr>
        <w:t>Các hiệp định thuế vẫn có thể hoạt động song song với chỉ thị. Tòa án Tối cao Ý (Corte di Cassazione) đã bác bỏ việc từ chối tín dụng quy kết đối với cổ tức do một công ty Ý trả cho công ty mẹ cư trú tại Vương quốc Anh theo yêu cầu của Điều 10(4) của Hiệp định Thuế Thu nhập Ý-Vương quốc Anh trên cơ sở rằng Điều 5 của chỉ thị đã làm cho cổ tức được miễn thuế Ý.67</w:t>
      </w:r>
    </w:p>
    <w:p>
      <w:pPr>
        <w:spacing w:after="80"/>
      </w:pPr>
      <w:r>
        <w:rPr>
          <w:b/>
          <w:i w:val="0"/>
        </w:rPr>
        <w:t>[F]Loại bỏ Đánh thuế Hai lần</w:t>
      </w:r>
    </w:p>
    <w:p>
      <w:pPr>
        <w:spacing w:after="80"/>
      </w:pPr>
      <w:r>
        <w:rPr>
          <w:b w:val="0"/>
          <w:i w:val="0"/>
        </w:rPr>
        <w:t>Các hiệp định của Ireland với các Quốc gia Thành viên EU khác giảm nhẹ đánh thuế hai lần ở Ireland bằng phương pháp tín dụng,68 phù hợp với biện pháp giảm nhẹ đơn phương của Ireland và việc thực hiện chỉ thị Mẹ-con của nước này. Tín dụng cho thuế cơ sở cũng thường được cấp khi một công ty cư trú tại Ireland kiểm soát trực tiếp hoặc gián tiếp một tỷ lệ phần trăm quyền biểu quyết được chỉ định của công ty cư trú tại quốc gia ký kết khác trả cổ tức.69 Trong một số hiệp định, việc tham gia dựa trên vốn của</w:t>
      </w:r>
    </w:p>
    <w:p>
      <w:pPr>
        <w:spacing w:after="80"/>
      </w:pPr>
      <w:r>
        <w:rPr>
          <w:b w:val="0"/>
          <w:i w:val="0"/>
        </w:rPr>
        <w:t>64.</w:t>
      </w:r>
      <w:r>
        <w:rPr>
          <w:b w:val="0"/>
          <w:i/>
        </w:rPr>
        <w:t>Océ van der Grinten NV v Inland Revenue Commissioners</w:t>
      </w:r>
      <w:r>
        <w:rPr>
          <w:b w:val="0"/>
          <w:i w:val="0"/>
        </w:rPr>
        <w:t xml:space="preserve"> (Case C-58/01) [2003] BTC 535 [2003]ECR I-9809; [2003] STC 1248, ECJ.65.</w:t>
      </w:r>
      <w:r>
        <w:rPr>
          <w:b w:val="0"/>
          <w:i/>
        </w:rPr>
        <w:t>P.FerreroeC.SpAvAgenziadelleEntrate–UfficiodiAlba</w:t>
      </w:r>
      <w:r>
        <w:rPr>
          <w:b w:val="0"/>
          <w:i w:val="0"/>
        </w:rPr>
        <w:t>and</w:t>
      </w:r>
      <w:r>
        <w:rPr>
          <w:b w:val="0"/>
          <w:i/>
        </w:rPr>
        <w:t>GeneralBeverageEuropeBVvAgenzia delle Entrate – Ufficio di Torino 1</w:t>
      </w:r>
      <w:r>
        <w:rPr>
          <w:b w:val="0"/>
          <w:i w:val="0"/>
        </w:rPr>
        <w:t xml:space="preserve"> (Cases C-338/08 and C-339/08) [2010] ECR I-05743,ECLI:EU:C:2010:364 Judgment, at para. 47.66.For example, see the UK treaties with Denmark and Finland and the treaties with France and theNetherlands.67.Corte Suprema di Cassazione (Italian Supreme Admonistrative Court) Decision No. 2313/2020,31 January 2020.68.For example, Ireland-Germany Tax Treaty (2010), art. 23(1).69.For example, Ireland-Germany Tax Treaty (2010), art. 23(1)(b).</w:t>
      </w:r>
    </w:p>
    <w:p>
      <w:pPr>
        <w:spacing w:after="80"/>
      </w:pPr>
      <w:r>
        <w:rPr>
          <w:b w:val="0"/>
          <w:i w:val="0"/>
        </w:rPr>
        <w:t>410</w:t>
      </w:r>
    </w:p>
    <w:p>
      <w:pPr>
        <w:spacing w:after="80"/>
      </w:pPr>
      <w:r>
        <w:rPr>
          <w:b w:val="0"/>
          <w:i w:val="0"/>
        </w:rPr>
        <w:t>công ty trả cổ tức.70 Tỷ lệ phần trăm yêu cầu thay đổi từ 5%71 đến 25%,72 với kết quả là chỉ thị trong một số trường hợp sẽ có phạm vi rộng hơn một hiệp định.</w:t>
      </w:r>
    </w:p>
    <w:p>
      <w:pPr>
        <w:spacing w:after="80"/>
      </w:pPr>
      <w:r>
        <w:rPr>
          <w:b/>
          <w:i w:val="0"/>
        </w:rPr>
        <w:t>§14.07 CHỈ THỊ LÃI VAY VÀ TIỀN BẢN QUYỀN</w:t>
      </w:r>
    </w:p>
    <w:p>
      <w:pPr>
        <w:spacing w:after="80"/>
      </w:pPr>
      <w:r>
        <w:rPr>
          <w:b w:val="0"/>
          <w:i w:val="0"/>
        </w:rPr>
        <w:t>Chỉ thị Lãi vay và Tiền bản quyền73 cũng nhằm mục đích loại bỏ đánh thuế hai lần. Nó tìm cách đạt được điều này bằng cách đảm bảo rằng các khoản thanh toán lãi vay và tiền bản quyền giữa các công ty liên kết về cơ bản được miễn thuế ở quốc gia nguồn nếu chủ sở hữu hưởng lợi cư trú tại một Quốc gia Thành viên khác.74 Do đó, nó chiếm cùng lĩnh vực với các Điều 11 và 12 của Mẫu OECD. Nó được thực thi trong luật Ireland tại TCA1997, s.267G-267K. Việc không được khấu trừ lãi vay đối với công ty trả trong việc tính cơ sở thuế không thuộc phạm vi của chỉ thị.75</w:t>
      </w:r>
    </w:p>
    <w:p>
      <w:pPr>
        <w:spacing w:after="80"/>
      </w:pPr>
      <w:r>
        <w:rPr>
          <w:b w:val="0"/>
          <w:i w:val="0"/>
        </w:rPr>
        <w:t>Chỉ thị đặc biệt tuyên bố rằng nó không ảnh hưởng đến việc áp dụng các quy định trong nước hoặc dựa trên thỏa thuận vượt ra ngoài các quy định của chỉ thị này và được thiết kế để loại bỏ hoặc giảm thiểu đánh thuế hai lần đối với lãi vay và tiền bản quyền.76 Như trường hợp của hầu hết các hiệp định thuế, các lợi ích của chỉ thị bị hạn chế trong các trường hợp có mối quan hệ đặc biệt giữa người trả và chủ sở hữu hưởng lợi của lãi vay hoặc tiền bản quyền, hoặc giữa một trong hai người đó và một người khác. Lợi ích của chỉ thị được giới hạn ở số tiền mà người trả và chủ sở hữu hưởng lợi sẽ đồng ý trong trường hợp không có mối quan hệ như vậy.77</w:t>
      </w:r>
    </w:p>
    <w:p>
      <w:pPr>
        <w:spacing w:after="80"/>
      </w:pPr>
      <w:r>
        <w:rPr>
          <w:b/>
          <w:i w:val="0"/>
        </w:rPr>
        <w:t>[A] Quyền sở hữu thực hưởng (Beneficial Ownership)</w:t>
      </w:r>
    </w:p>
    <w:p>
      <w:pPr>
        <w:spacing w:after="80"/>
      </w:pPr>
      <w:r>
        <w:rPr>
          <w:b w:val="0"/>
          <w:i w:val="0"/>
        </w:rPr>
        <w:t>Tương tự, quy định miễn trừ chỉ áp dụng cho chủ sở hữu thực hưởng của tiền lãi hoặc tiền bản quyền.78 Khác với các hiệp định được xây dựng theo Mô hình OECD, chỉ thị này có định nghĩa tự trị riêng về quyền sở hữu thực hưởng.</w:t>
      </w:r>
    </w:p>
    <w:p>
      <w:pPr>
        <w:spacing w:after="80"/>
      </w:pPr>
      <w:r>
        <w:rPr>
          <w:b w:val="0"/>
          <w:i w:val="0"/>
        </w:rPr>
        <w:t>Một công ty của một Quốc gia Thành viên chỉ được coi là chủ sở hữu thực hưởng của tiền lãi hoặc tiền bản quyền nếu công ty đó nhận các khoản thanh toán này vì lợi ích của chính mình chứ không phải với tư cách trung gian, chẳng hạn như đại lý, người được ủy thác hoặc người ký được ủy quyền, cho một người khác.79</w:t>
      </w:r>
    </w:p>
    <w:p>
      <w:pPr>
        <w:spacing w:after="80"/>
      </w:pPr>
      <w:r>
        <w:rPr>
          <w:b w:val="0"/>
          <w:i w:val="0"/>
        </w:rPr>
        <w:t xml:space="preserve">70. Hiệp định thuế Đan Mạch – Ireland (1980), điều 23(2)(b). 71. Hiệp định thuế Ireland – Đức (2010), điều 23(1)(b). 72. Hiệp định thuế Đan Mạch – Ireland (1980), điều 23(2)(b). 73. Chỉ thị 03/49 về hệ thống thuế chung áp dụng cho các khoản thanh toán tiền lãi và tiền bản quyền giữa các công ty liên kết của các Quốc gia Thành viên khác nhau. 74. Điều 1(1); ITTOIA 2005, s. 758. 75. </w:t>
      </w:r>
      <w:r>
        <w:rPr>
          <w:b w:val="0"/>
          <w:i/>
        </w:rPr>
        <w:t>Scheuten Solar Technology GmbH v Finanzamt Gelsenkirchen-Süd</w:t>
      </w:r>
      <w:r>
        <w:rPr>
          <w:b w:val="0"/>
          <w:i w:val="0"/>
        </w:rPr>
        <w:t xml:space="preserve"> (Vụ án C-397/09) [2011] ECR I-06455; [2013] BTC 209; [2011] STC 1622. Nhưng xem phần dưới về việc quy kết các khoản thanh toán tiền lãi và tiền bản quyền cho một cơ sở thường trú. 76. Điều 9. 77. Điều 4(2); ITTOIA 2005, ss 763 và 764; xem Chương 10, §10.04 và §10.05. 78. Điều 1(1). 79. Điều 1(4). Xem Bình luận OECD cho điều 10 của Mô hình OECD, đoạn 12 về nguồn gốc của những cách diễn đạt này. Xem Chương 17, §17.07 về quyền sở hữu thực hưởng trong các hiệp định thuế.</w:t>
      </w:r>
    </w:p>
    <w:p>
      <w:pPr>
        <w:spacing w:after="80"/>
      </w:pPr>
      <w:r>
        <w:rPr>
          <w:b w:val="0"/>
          <w:i w:val="0"/>
        </w:rPr>
        <w:t>411</w:t>
      </w:r>
    </w:p>
    <w:p>
      <w:pPr>
        <w:spacing w:after="80"/>
      </w:pPr>
      <w:r>
        <w:rPr>
          <w:b w:val="0"/>
          <w:i w:val="0"/>
        </w:rPr>
        <w:t>Ý nghĩa của chủ sở hữu thực hưởng đã được Tòa án Công lý xem xét trong một loạt vụ án do Østre Landsret (Tòa án Cấp cao Đông Đan Mạch) của Đan Mạch chuyển đến.80</w:t>
      </w:r>
    </w:p>
    <w:p>
      <w:pPr>
        <w:spacing w:after="80"/>
      </w:pPr>
      <w:r>
        <w:rPr>
          <w:b w:val="0"/>
          <w:i w:val="0"/>
        </w:rPr>
        <w:t>Các vụ án liên quan đến tiền lãi do các công ty Đan Mạch trả cho các công ty liên kết được thành lập tại một Quốc gia Thành viên khác, mà toàn bộ hoặc gần như toàn bộ tiền lãi đó lại được trả cho các phương tiện đầu tư được thành lập ngoài EU. Các công ty liên kết này là các phương tiện có mục đích đặc biệt mà chức năng là sở hữu và tài trợ cho các công ty Đan Mạch bằng nguồn vốn thu được từ các phương tiện đầu tư ngoài EU. Tòa án xác định rằng thuật ngữ này không được giải thích theo luật của Quốc gia Thành viên và do đó mang tính tự trị.81 Tòa đã xem xét các phiên bản ngôn ngữ khác nhau thể hiện khái niệm này một cách rộng rãi trong nhiều phạm trù, 'người thụ hưởng'/'người nhận', 'chủ sở hữu thực hưởng'/'người thụ hưởng thực tế', 'chủ sở hữu'/'người có quyền sử dụng' và 'người có quyền cuối cùng'. Yếu tố chung, theo tòa, 'nhấn mạnh rằng thuật ngữ "chủ sở hữu thực hưởng" không liên quan đến một người nhận được xác định một cách hình thức mà đúng hơn là thực thể được hưởng lợi về mặt kinh tế từ tiền lãi nhận được và do đó có quyền tự do quyết định việc sử dụng số tiền đó'.82 Chủ sở hữu thực hưởng của tiền lãi, theo phán quyết của tòa, là một thực thể thực sự được hưởng lợi từ tiền lãi được trả cho mình.83 Khi đi đến kết luận này, tòa lưu ý rằng thuật ngữ này nên được giải thích dựa trên Mô hình và Bình luận của OECD. Tòa dường như không đưa ra lý do để dựa nhiều hơn vào phiên bản Bình luận năm 2003 thay vì phiên bản năm 2014.84 Tòa lưu ý rằng ngay cả khi người nhận một khoản thanh toán không phải là chủ sở hữu thực hưởng của tiền lãi, một thực thể đủ điều kiện khác được thành lập trong EU hoàn toàn có thể là chủ sở hữu thực hưởng.85 Tổng biện lý Kokott, với sự rõ ràng đáng kể, đã diễn đạt ý nghĩa trong vụ án đó như sau:</w:t>
      </w:r>
    </w:p>
    <w:p>
      <w:pPr>
        <w:spacing w:after="80"/>
      </w:pPr>
      <w:r>
        <w:rPr>
          <w:b w:val="0"/>
          <w:i w:val="0"/>
        </w:rPr>
        <w:t>Do đó, câu hỏi quyết định là liệu tiền lãi đó đang được rút ra vì lợi ích của chính mình hay thay mặt cho một bên thứ ba. Một người chỉ có thể tự mình quyết định việc sử dụng tiền lãi và cũng chỉ một mình gánh chịu rủi ro tổn thất thì đang hành động vì lợi ích của chính mình, trong khi một người bị ràng buộc với một bên thứ ba theo cách mà bên thứ ba đó cuối cùng gánh chịu rủi ro tổn thất (trong trường hợp này là tiền lãi) thì đang hành động thay mặt cho một bên thứ ba.86</w:t>
      </w:r>
    </w:p>
    <w:p>
      <w:pPr>
        <w:spacing w:after="80"/>
      </w:pPr>
      <w:r>
        <w:rPr>
          <w:b w:val="0"/>
          <w:i w:val="0"/>
        </w:rPr>
        <w:t xml:space="preserve">80. </w:t>
      </w:r>
      <w:r>
        <w:rPr>
          <w:b w:val="0"/>
          <w:i/>
        </w:rPr>
        <w:t>N Luxembourg I, X Denmark, C Danmark I và Z Denmark v Skatteministeriet</w:t>
      </w:r>
      <w:r>
        <w:rPr>
          <w:b w:val="0"/>
          <w:i w:val="0"/>
        </w:rPr>
        <w:t xml:space="preserve"> (Các vụ án C-115/16, C-118/16, C-119/16 và C-299/16) EU:C:2019:134 ('Các vụ án Đan Mạch'). 81. Tại đoạn 84. 82. Tại đoạn 89. 83. Tại đoạn 88. 84. Tại các đoạn 90-92. 85. Tại đoạn 94. Tòa lưu ý rằng, khi từ chối miễn trừ vì một thực thể không phải là chủ sở hữu thực hưởng, cơ quan thuế không có nhiệm vụ xác định ai là chủ sở hữu thực hưởng (tại các đoạn 143-145). Do đó, nghĩa vụ chứng minh thuộc về người nộp thuế. Xem ngược lại, Ý kiến của Tổng biện lý Kokott: 2018 trong </w:t>
      </w:r>
      <w:r>
        <w:rPr>
          <w:b w:val="0"/>
          <w:i/>
        </w:rPr>
        <w:t>N Luxembourg 1</w:t>
      </w:r>
      <w:r>
        <w:rPr>
          <w:b w:val="0"/>
          <w:i w:val="0"/>
        </w:rPr>
        <w:t xml:space="preserve"> (Vụ án C-115/16) EU:C:2018:143, tại đoạn 96; </w:t>
      </w:r>
      <w:r>
        <w:rPr>
          <w:b w:val="0"/>
          <w:i/>
        </w:rPr>
        <w:t>X Denmark</w:t>
      </w:r>
      <w:r>
        <w:rPr>
          <w:b w:val="0"/>
          <w:i w:val="0"/>
        </w:rPr>
        <w:t xml:space="preserve"> (Vụ án C-118/16) EU:C:2018:146, tại đoạn 105; </w:t>
      </w:r>
      <w:r>
        <w:rPr>
          <w:b w:val="0"/>
          <w:i/>
        </w:rPr>
        <w:t>C Danmark I</w:t>
      </w:r>
      <w:r>
        <w:rPr>
          <w:b w:val="0"/>
          <w:i w:val="0"/>
        </w:rPr>
        <w:t xml:space="preserve"> (Vụ án C-119/16) EU:C:2018:147, đoạn 94 và </w:t>
      </w:r>
      <w:r>
        <w:rPr>
          <w:b w:val="0"/>
          <w:i/>
        </w:rPr>
        <w:t>Z Denmark</w:t>
      </w:r>
      <w:r>
        <w:rPr>
          <w:b w:val="0"/>
          <w:i w:val="0"/>
        </w:rPr>
        <w:t xml:space="preserve"> (Vụ án C-299/16) EU:C:2018:148, tại đoạn 96. 86. Ý kiến, ECLI:EU:C:2018:143 tại đoạn 39.</w:t>
      </w:r>
    </w:p>
    <w:p>
      <w:pPr>
        <w:spacing w:after="80"/>
      </w:pPr>
      <w:r>
        <w:rPr>
          <w:b w:val="0"/>
          <w:i w:val="0"/>
        </w:rPr>
        <w:t>412</w:t>
      </w:r>
    </w:p>
    <w:p>
      <w:pPr>
        <w:spacing w:after="80"/>
      </w:pPr>
      <w:r>
        <w:rPr>
          <w:b/>
          <w:i w:val="0"/>
        </w:rPr>
        <w:t>[B]Điều kiện đủ tư cách (Qualification)</w:t>
      </w:r>
    </w:p>
    <w:p>
      <w:pPr>
        <w:spacing w:after="80"/>
      </w:pPr>
      <w:r>
        <w:rPr>
          <w:b w:val="0"/>
          <w:i w:val="0"/>
        </w:rPr>
        <w:t>Chỉ thị về Tiền lãi và Tiền bản quyền áp dụng một tiêu chí tương tự như tiêu chí trong Chỉ thị về Công ty Mẹ – Công ty Con để xác định thực thể nào đủ điều kiện hưởng các lợi ích.87 Quy định miễn trừ chỉ áp dụng cho các khoản thanh toán giữa các công ty liên kết. Các công ty được coi là liên kết nếu một công ty nắm giữ trực tiếp ít nhất 25% vốn của công ty kia, hoặc nếu một công ty thứ ba nắm giữ trực tiếp ít nhất 25% vốn của cả công ty trả và công ty nhận. Việc nắm giữ phải chỉ liên quan đến các công ty cư trú trong Cộng đồng. Cũng như với chỉ thị về công ty mẹ – công ty con, các Quốc gia Thành viên có quyền lựa chọn không áp dụng Chỉ thị này khi các công ty liên quan chưa liên kết với nhau trong một khoảng thời gian liên tục ít nhất hai năm.88 Các Quốc gia Thành viên có quyền lựa chọn thay thế tiêu chí nắm giữ tối thiểu về vốn bằng tiêu chí nắm giữ tối thiểu về quyền biểu quyết.89 Ireland áp dụng miễn trừ nếu đạt được ngưỡng quyền biểu quyết.90</w:t>
      </w:r>
    </w:p>
    <w:p>
      <w:pPr>
        <w:spacing w:after="80"/>
      </w:pPr>
      <w:r>
        <w:rPr>
          <w:b/>
          <w:i w:val="0"/>
        </w:rPr>
        <w:t>[C]Cơ sở thường trú (Permanent Establishments)</w:t>
      </w:r>
    </w:p>
    <w:p>
      <w:pPr>
        <w:spacing w:after="80"/>
      </w:pPr>
      <w:r>
        <w:rPr>
          <w:b w:val="0"/>
          <w:i w:val="0"/>
        </w:rPr>
        <w:t>Chỉ thị có hiệu lực đối với các khoản thanh toán cho hoặc từ một cơ sở thường trú tại một Quốc gia Thành viên của một công ty đủ điều kiện tại một Quốc gia khác,91 nhưng không áp dụng khi tiền lãi hoặc tiền bản quyền được trả bởi hoặc cho một cơ sở thường trú nằm tại một quốc gia thứ ba ngoài EU và hoạt động kinh doanh của công ty được thực hiện toàn bộ hoặc một phần thông qua cơ sở thường trú đó.92 Một định nghĩa hoàn toàn tự trị giới hạn thuật ngữ 'cơ sở thường trú' trong phạm vi một địa điểm kinh doanh cố định nằm tại một Quốc gia Thành viên mà qua đó hoạt động kinh doanh của một công ty thuộc một Quốc gia Thành viên khác được thực hiện toàn bộ hoặc một phần.93</w:t>
      </w:r>
    </w:p>
    <w:p>
      <w:pPr>
        <w:spacing w:after="80"/>
      </w:pPr>
      <w:r>
        <w:rPr>
          <w:b w:val="0"/>
          <w:i w:val="0"/>
        </w:rPr>
        <w:t>Chỉ thị áp dụng các quy tắc riêng của mình để quy kết các khoản thanh toán. Do đó, một cơ sở thường trú chỉ được coi là người trả tiền lãi hoặc tiền bản quyền trong chừng mực các khoản thanh toán đó thể hiện một khoản chi phí được khấu trừ thuế cho cơ sở thường trú tại Quốc gia Thành viên nơi nó tọa lạc.94 Vì vậy, khoản chi phí trước tiên phải được quy kết cho cơ sở thường trú theo các nguyên tắc hiệp định thuế trong Mô hình OECD, điều 7.95 Phải đáp ứng hai tiêu chí để một cơ sở thường trú được coi là chủ sở hữu thực hưởng của tiền lãi hoặc tiền bản quyền.96 Thứ nhất, quyền đòi nợ – quyền hoặc việc sử dụng thông tin làm phát sinh các khoản thanh toán tiền lãi hoặc tiền bản quyền – phải</w:t>
      </w:r>
    </w:p>
    <w:p>
      <w:pPr>
        <w:spacing w:after="80"/>
      </w:pPr>
      <w:r>
        <w:rPr>
          <w:b w:val="0"/>
          <w:i w:val="0"/>
        </w:rPr>
        <w:t xml:space="preserve">87. Điều 3(1)(a). Xem, nói chung, §14.06. Các công ty có thể được miễn trừ tùy chọn không bị loại trừ khỏi chỉ thị về tiền lãi và tiền bản quyền. 88. Điều 10(1). Trong </w:t>
      </w:r>
      <w:r>
        <w:rPr>
          <w:b w:val="0"/>
          <w:i/>
        </w:rPr>
        <w:t>Scheuten Solar Technology GmbH v Finanzamt Gelsenkirchen-Süd</w:t>
      </w:r>
      <w:r>
        <w:rPr>
          <w:b w:val="0"/>
          <w:i w:val="0"/>
        </w:rPr>
        <w:t xml:space="preserve"> (Vụ án C-397/09) [2011] ECR I-06455; [2013] BTC 209; [2011] STC 1622, Tổng biện lý Sharpston có quan điểm rằng việc giải thích quy định này nên tuân theo phán quyết của ECJ trong </w:t>
      </w:r>
      <w:r>
        <w:rPr>
          <w:b w:val="0"/>
          <w:i/>
        </w:rPr>
        <w:t>Denkavit International BV v Bundesamt fur Finanzen</w:t>
      </w:r>
      <w:r>
        <w:rPr>
          <w:b w:val="0"/>
          <w:i w:val="0"/>
        </w:rPr>
        <w:t xml:space="preserve"> (Vụ án C-283/94) [1996] ECR I-5063; [1996] STC 1445. Tòa thấy không cần thiết phải trả lời câu hỏi. 89. Điều 3(b). 90. TCA, 1997 s. 267G(2)(a). 91. Điều 1(1). 92. Điều 1(8). 93. Điều 3(c). 94. Điều 1(3). 95. Xem Chương 9, §9.04 và §9.12, và Chương 10, §10.04 và §10.05. 96. Điều 1(5).</w:t>
      </w:r>
    </w:p>
    <w:p>
      <w:pPr>
        <w:spacing w:after="80"/>
      </w:pPr>
      <w:r>
        <w:rPr>
          <w:b w:val="0"/>
          <w:i w:val="0"/>
        </w:rPr>
        <w:t>413</w:t>
      </w:r>
    </w:p>
    <w:p>
      <w:pPr>
        <w:spacing w:after="80"/>
      </w:pPr>
      <w:r>
        <w:rPr>
          <w:b w:val="0"/>
          <w:i w:val="0"/>
        </w:rPr>
        <w:t>thực sự gắn kết với cơ sở thường trú đó. Điều này khớp với quy tắc phân bổ trong hiệp định thuế tại Mô hình OECD, điều 11(5), trong trường hợp lãi tiền vay, và điều 12(3), trong trường hợp tiền bản quyền.97 Thứ hai, lãi tiền vay hoặc tiền bản quyền phải là thu nhập mà cơ sở thường trú nhận được phải chịu thuế thu nhập doanh nghiệp được công nhận tại Quốc gia Thành viên nơi cơ sở đó đặt trụ sở. Như vậy, một giới hạn lợi ích "phải chịu thuế" được áp đặt.98 Khi một cơ sở thường trú được coi là bên trả tiền, hoặc là chủ sở hữu hưởng lợi, của lãi tiền vay hoặc tiền bản quyền, thì không phần nào khác của công ty được coi là bên trả tiền, hoặc là chủ sở hữu hưởng lợi tương ứng.99</w:t>
      </w:r>
    </w:p>
    <w:p>
      <w:pPr>
        <w:spacing w:after="80"/>
      </w:pPr>
      <w:r>
        <w:rPr>
          <w:b/>
          <w:i w:val="0"/>
        </w:rPr>
        <w:t xml:space="preserve">[D] Lãi tiền vay </w:t>
      </w:r>
    </w:p>
    <w:p>
      <w:pPr>
        <w:spacing w:after="80"/>
      </w:pPr>
      <w:r>
        <w:rPr>
          <w:b w:val="0"/>
          <w:i w:val="0"/>
        </w:rPr>
        <w:t>Định nghĩa về lãi tiền vay cho mục đích của chỉ thị tuân theo điều 11 của Công ước Mô hình OECD. Nó có nghĩa là thu nhập từ "các khoản nợ thuộc mọi loại, dù có được bảo đảm bằng thế chấp hay không và dù có mang quyền tham gia vào lợi nhuận của bên mắc nợ hay không, và đặc biệt là thu nhập từ chứng khoán và thu nhập từ trái phiếu hoặc giấy nợ, bao gồm cả phụ trội và giải thưởng gắn với các chứng khoán, trái phiếu hoặc giấy nợ đó". Các khoản phạt do thanh toán chậm không được coi là lãi tiền vay.100 Các Quốc gia Thành viên được phép phân loại lại lãi tiền vay thành các khoản phân phối trong một số trường hợp nhất định101 và các lợi ích của chỉ thị bị giới hạn ở mức mà lẽ ra đã được thỏa thuận nếu không có mối quan hệ đặc biệt, tương tự như Mô hình OECD.102 Chỉ thị không đề cập đến việc khấu trừ các khoản thanh toán lãi tiền vay và tiền bản quyền, hoặc giảm trừ thuế hai lần do việc xử lý không khớp giữa quốc gia trả tiền và quốc gia nhận tiền. Thuế hai lần do việc áp dụng không khớp các yêu cầu về "mối quan hệ đặc biệt" tại điều 4(2) sẽ có thể được giải quyết theo Công ước Trọng tài.103 Một khoản thanh toán lãi tiền vay hoặc tiền bản quyền được coi là phát sinh tại Quốc gia Thành viên nơi công ty hoặc cơ sở thường trú thực hiện thanh toán đặt trụ sở.104</w:t>
      </w:r>
    </w:p>
    <w:p>
      <w:pPr>
        <w:spacing w:after="80"/>
      </w:pPr>
      <w:r>
        <w:rPr>
          <w:b/>
          <w:i w:val="0"/>
        </w:rPr>
        <w:t xml:space="preserve">[E] Tiền bản quyền </w:t>
      </w:r>
    </w:p>
    <w:p>
      <w:pPr>
        <w:spacing w:after="80"/>
      </w:pPr>
      <w:r>
        <w:rPr>
          <w:b w:val="0"/>
          <w:i w:val="0"/>
        </w:rPr>
        <w:t>Tiền bản quyền cũng tương tự tuân theo điều 12 của Mô hình OECD. Chúng bao gồm các khoản thanh toán thuộc mọi loại nhận được như khoản đền bù cho việc sử dụng hoặc quyền sử dụng bất kỳ bản quyền nào:</w:t>
      </w:r>
    </w:p>
    <w:p>
      <w:pPr>
        <w:spacing w:after="80"/>
      </w:pPr>
      <w:r>
        <w:rPr>
          <w:b w:val="0"/>
          <w:i w:val="0"/>
        </w:rPr>
        <w:t>– đối với tác phẩm văn học, nghệ thuật hoặc khoa học, bao gồm phim điện ảnh; – đối với bất kỳ bằng sáng chế, nhãn hiệu, kiểu dáng hoặc mẫu, công thức hoặc quy trình bí mật; – đối với việc sử dụng hoặc quyền sử dụng thiết bị công nghiệp, thương mại hoặc khoa học;</w:t>
      </w:r>
    </w:p>
    <w:p>
      <w:pPr>
        <w:spacing w:after="80"/>
      </w:pPr>
      <w:r>
        <w:rPr>
          <w:b w:val="0"/>
          <w:i w:val="0"/>
        </w:rPr>
        <w:t>hoặc</w:t>
      </w:r>
    </w:p>
    <w:p>
      <w:pPr>
        <w:spacing w:after="80"/>
      </w:pPr>
      <w:r>
        <w:rPr>
          <w:b w:val="0"/>
          <w:i w:val="0"/>
        </w:rPr>
        <w:t>97. Xem Chương 10, §10.04 và §10.05. 98. Xem Chương 17, §17.09. 99. Điều 1(6). 100. Điều 2(1)(a). 101. Điều 4(1). 102. Điều 4(2). 103. Xem Chương 21. 104. Điều B(2).</w:t>
      </w:r>
    </w:p>
    <w:p>
      <w:pPr>
        <w:spacing w:after="80"/>
      </w:pPr>
      <w:r>
        <w:rPr>
          <w:b w:val="0"/>
          <w:i w:val="0"/>
        </w:rPr>
        <w:t>414</w:t>
      </w:r>
    </w:p>
    <w:p>
      <w:pPr>
        <w:spacing w:after="80"/>
      </w:pPr>
      <w:r>
        <w:rPr>
          <w:b w:val="0"/>
          <w:i w:val="0"/>
        </w:rPr>
        <w:t>– đối với thông tin liên quan đến kinh nghiệm công nghiệp, thương mại hoặc khoa học.105</w:t>
      </w:r>
    </w:p>
    <w:p>
      <w:pPr>
        <w:spacing w:after="80"/>
      </w:pPr>
      <w:r>
        <w:rPr>
          <w:b w:val="0"/>
          <w:i w:val="0"/>
        </w:rPr>
        <w:t>Tuy nhiên, định nghĩa này không phản ánh tư duy hiện tại của OECD, vốn thực tế loại trừ các khoản thanh toán thuê đối với thiết bị công nghiệp, thương mại hoặc khoa học.</w:t>
      </w:r>
    </w:p>
    <w:p>
      <w:pPr>
        <w:spacing w:after="80"/>
      </w:pPr>
      <w:r>
        <w:rPr>
          <w:b w:val="0"/>
          <w:i w:val="0"/>
        </w:rPr>
        <w:t>Cũng như trường hợp của Chỉ thị Công ty Mẹ - Công ty Con, Chỉ thị Lãi tiền vay và Tiền bản quyền không thay thế các điều 11 và 12 của Mô hình OECD. Nó sẽ chiếm lĩnh phạm vi trong một số mối quan hệ nhất định giữa các tập đoàn và liên doanh, nhưng ngoài phạm vi đó, các quy tắc hiệp định sẽ tiếp tục được áp dụng.</w:t>
      </w:r>
    </w:p>
    <w:p>
      <w:pPr>
        <w:spacing w:after="80"/>
      </w:pPr>
      <w:r>
        <w:rPr>
          <w:b/>
          <w:i w:val="0"/>
        </w:rPr>
        <w:t xml:space="preserve">[F] Các vấn đề thủ tục </w:t>
      </w:r>
    </w:p>
    <w:p>
      <w:pPr>
        <w:spacing w:after="80"/>
      </w:pPr>
      <w:r>
        <w:rPr>
          <w:b w:val="0"/>
          <w:i w:val="0"/>
        </w:rPr>
        <w:t>Chỉ thị đặt ra các thủ tục cho việc áp dụng nó, bao gồm các yêu cầu về bằng chứng và tài liệu, giảm trừ tại nguồn và hoàn trả.106</w:t>
      </w:r>
    </w:p>
    <w:p>
      <w:pPr>
        <w:spacing w:after="80"/>
      </w:pPr>
      <w:r>
        <w:rPr>
          <w:b/>
          <w:i w:val="0"/>
        </w:rPr>
        <w:t>§14.08 CHỈ THỊ SÁP NHẬP</w:t>
      </w:r>
    </w:p>
    <w:p>
      <w:pPr>
        <w:spacing w:after="80"/>
      </w:pPr>
      <w:r>
        <w:rPr>
          <w:b w:val="0"/>
          <w:i w:val="0"/>
        </w:rPr>
        <w:t xml:space="preserve">Như với Chỉ thị Công ty Mẹ - Công ty Con, Chỉ thị Sáp nhập107 có hiệu lực từ ngày 1 tháng 1 năm 1992. Mục đích của chỉ thị là tạo thuận lợi cho việc sáp nhập, chia tách, chuyển nhượng tài sản và trao đổi cổ phần giữa các công ty được thành lập tại các Quốc gia Thành viên khác nhau. Chỉ thị nhằm loại bỏ các rào cản thuế đối với những giao dịch như vậy để tạo ra các điều kiện tương tự như của một thị trường nội bộ. Như với Chỉ thị Công ty Mẹ - Công ty Con, có thể lập luận rằng kết quả tương tự như chỉ thị mang lại cũng có thể đạt được thông qua việc áp dụng các quyền tự do cơ bản.108 Trong </w:t>
      </w:r>
      <w:r>
        <w:rPr>
          <w:b w:val="0"/>
          <w:i/>
        </w:rPr>
        <w:t>Veronsaajien oikeudenvalvontayk-sikko v A Oy</w:t>
      </w:r>
      <w:r>
        <w:rPr>
          <w:b w:val="0"/>
          <w:i w:val="0"/>
        </w:rPr>
        <w:t>,109 CJEU đã xác nhận rằng điều này có thể mở rộng đến các công ty được thành lập tại Khu vực Kinh tế Châu Âu. Tòa án đã phán quyết rằng một cuộc trao đổi cổ phần, trong đó một công ty trách nhiệm hữu hạn Phần Lan chuyển cho một công ty Na Uy (dưới hình thức công ty 'aksjeselskap' (công ty trách nhiệm hữu hạn đại chúng)) cổ phần của một công ty mà nó sở hữu và nhận lại cổ phần do công ty Na Uy phát hành làm khoản đối giá, phải được đối xử (có tính đến các điều 31 và 40 của Hiệp định EEA) một cách trung lập về thuế, giống như thể việc trao đổi cổ phần diễn ra giữa các công ty trong nước hoặc các công ty có trụ sở tại các Quốc gia Thành viên của EU. Ngoại lệ duy nhất là khi việc trao đổi thông tin không đủ để cho phép giám sát tài chính.</w:t>
      </w:r>
    </w:p>
    <w:p>
      <w:pPr>
        <w:spacing w:after="80"/>
      </w:pPr>
      <w:r>
        <w:rPr>
          <w:b w:val="0"/>
          <w:i w:val="0"/>
        </w:rPr>
        <w:t>Sẽ dễ dàng nhận thấy ngay rằng bản chất của khoản ưu đãi được cấp theo Chỉ thị Sáp nhập không rõ ràng thuộc bất kỳ phạm trù gọn gàng nào của các hiệp định dựa trên Mô hình OECD. Mặc dù cả chỉ thị và điều 13 của Mô hình OECD đều đề cập đến</w:t>
      </w:r>
    </w:p>
    <w:p>
      <w:pPr>
        <w:spacing w:after="80"/>
      </w:pPr>
      <w:r>
        <w:rPr>
          <w:b w:val="0"/>
          <w:i w:val="0"/>
        </w:rPr>
        <w:t xml:space="preserve">105. Điều 2(1)(b).106. Điều 1(11)-(16). Xem Chương 19, §19.12.107. Chỉ thị 2009/133 về hệ thống thuế chung áp dụng cho việc sáp nhập, chia tách, chia tách một phần, chuyển nhượng tài sản và trao đổi cổ phần liên quan đến các công ty thuộc các quốc gia thành viên khác nhau và việc chuyển trụ sở đăng ký của một SE hoặc SCE giữa các quốc gia thành viên, đã hệ thống hóa chỉ thị 90/434 như được sửa đổi bởi các Chỉ thị 2005/19 và 2006/98 có hiệu lực từ ngày 15 tháng 12 năm 2009.108. Xem </w:t>
      </w:r>
      <w:r>
        <w:rPr>
          <w:b w:val="0"/>
          <w:i/>
        </w:rPr>
        <w:t>SEVIC Systems AG</w:t>
      </w:r>
      <w:r>
        <w:rPr>
          <w:b w:val="0"/>
          <w:i w:val="0"/>
        </w:rPr>
        <w:t xml:space="preserve"> (Vụ án C-411/03) [2005] ECR I-10805 và Chương 3 nói chung.109. </w:t>
      </w:r>
      <w:r>
        <w:rPr>
          <w:b w:val="0"/>
          <w:i/>
        </w:rPr>
        <w:t>Veronsaajien oikeudenvalvontayksikko v A Oy</w:t>
      </w:r>
      <w:r>
        <w:rPr>
          <w:b w:val="0"/>
          <w:i w:val="0"/>
        </w:rPr>
        <w:t xml:space="preserve"> (Vụ án C-48/11) ECLI:EU:C:2012:485; [2012] 3 CMLR 1266; [2012] STC 2338.</w:t>
      </w:r>
    </w:p>
    <w:p>
      <w:pPr>
        <w:spacing w:after="80"/>
      </w:pPr>
      <w:r>
        <w:rPr>
          <w:b w:val="0"/>
          <w:i w:val="0"/>
        </w:rPr>
        <w:t>415</w:t>
      </w:r>
    </w:p>
    <w:p>
      <w:pPr>
        <w:spacing w:after="80"/>
      </w:pPr>
      <w:r>
        <w:rPr>
          <w:b w:val="0"/>
          <w:i w:val="0"/>
        </w:rPr>
        <w:t xml:space="preserve">việc chuyển nhượng tài sản, khoản ưu đãi chính được quy định tại điều 4 của chỉ thị là việc hoãn thuế đối với lợi nhuận. Ngược lại, điều 13 của Mô hình OECD nói chung miễn thuế cho cư dân của một quốc gia ký kết khỏi thuế lợi tức vốn tại quốc gia nguồn hoặc cho phép quốc gia nguồn đánh thuế họ. Các miễn trừ theo hiệp định có thể quan trọng đối với các giao dịch liên quan đến khoản đối giá bằng tiền mặt không vượt quá 10%, vốn chỉ đủ điều kiện để hoãn thuế đối với phần đối giá phi tiền mặt. Việc hoãn thuế không được dự liệu trong các hiệp định của Vương quốc Anh. Các ưu đãi được quy định tại các điều 5 và 6 của chỉ thị liên quan đến việc chuyển tiếp các thuộc tính thuế dưới hình thức dự phòng, quỹ dự trữ và lỗ không được đề cập trong các hiệp định song phương theo cùng một cách nhất quán. Mặc dù không phải là một vụ án liên quan đến chỉ thị, Vụ án C-436/00 </w:t>
      </w:r>
      <w:r>
        <w:rPr>
          <w:b w:val="0"/>
          <w:i/>
        </w:rPr>
        <w:t>X và Y</w:t>
      </w:r>
      <w:r>
        <w:rPr>
          <w:b w:val="0"/>
          <w:i w:val="0"/>
        </w:rPr>
        <w:t>110 làm nổi bật sự tương tác giữa việc hoãn thuế trung lập về thuế được quy định bởi chỉ thị và khả năng miễn thuế tiềm năng được quy định trong các hiệp định theo mô hình điều 13 của Mô hình OECD. Theo luật Thụy Điển, một cuộc trao đổi cổ phần được hoãn thuế có thể được thực hiện, nhưng không được thực hiện khi việc chuyển nhượng là cho một công ty nước ngoài. Hiệp định thuế giữa Bỉ và Thụy Điển tuân theo mô hình OECD trong việc nói chung chỉ cho phép quốc gia cư trú đánh thuế lợi tức vốn. Tuy nhiên, nó cho phép quốc gia nguồn đánh thuế đối với những người từng là cư dân trong một số trường hợp nhất định. ECJ đã phán quyết rằng sự khác biệt trong đối xử là một hạn chế đối với quyền tự do thành lập. Không có biện minh nào cho hạn chế này dựa trên nhu cầu duy trì sự gắn kết tài chính. Hiệp định là sự phân bổ có đi có lại quyền tài phán về thuế giữa các Quốc gia Thành viên, những quốc gia vẫn giữ thẩm quyền của mình để thỏa thuận các điều khoản giữa họ. Mối quan ngại cụ thể của cơ quan thuế Thụy Điển rằng các cá nhân sẽ trao đổi cổ phần lấy cổ phần của một công ty ở Quốc gia Thành viên khác và sau đó không còn là cư dân, dù sao cũng đã được giải quyết bằng các điều khoản của hiệp định.</w:t>
      </w:r>
    </w:p>
    <w:p>
      <w:pPr>
        <w:spacing w:after="80"/>
      </w:pPr>
      <w:r>
        <w:rPr>
          <w:b w:val="0"/>
          <w:i w:val="0"/>
        </w:rPr>
        <w:t>Tương tự, các hiệp định thuế song phương nói chung không đề cập đến việc tái cơ cấu doanh nghiệp. Do đó, một phân tích chi tiết về chỉ thị nằm ngoài phạm vi của một tác phẩm về các hiệp định thuế. Các yếu tố chính của chỉ thị được tóm tắt dưới đây.</w:t>
      </w:r>
    </w:p>
    <w:p>
      <w:pPr>
        <w:spacing w:after="80"/>
      </w:pPr>
      <w:r>
        <w:rPr>
          <w:b/>
          <w:i w:val="0"/>
        </w:rPr>
        <w:t>[A] Các Thực thể Đủ điều kiện</w:t>
      </w:r>
    </w:p>
    <w:p>
      <w:pPr>
        <w:spacing w:after="80"/>
      </w:pPr>
      <w:r>
        <w:rPr>
          <w:b w:val="0"/>
          <w:i w:val="0"/>
        </w:rPr>
        <w:t>Chỉ thị sáp nhập áp dụng cùng một tiêu chí để xác định các thực thể đủ điều kiện hưởng các ưu đãi theo Chỉ thị Công ty Mẹ - Công ty Con.111</w:t>
      </w:r>
    </w:p>
    <w:p>
      <w:pPr>
        <w:spacing w:after="80"/>
      </w:pPr>
      <w:r>
        <w:rPr>
          <w:b/>
          <w:i w:val="0"/>
        </w:rPr>
        <w:t>[B] Các Giao dịch Đủ điều kiện</w:t>
      </w:r>
    </w:p>
    <w:p>
      <w:pPr>
        <w:spacing w:after="80"/>
      </w:pPr>
      <w:r>
        <w:rPr>
          <w:b w:val="0"/>
          <w:i w:val="0"/>
        </w:rPr>
        <w:t>Có sáu hình thức giao dịch đủ điều kiện được Chỉ thị Sáp nhập xác định. Đó là:</w:t>
      </w:r>
    </w:p>
    <w:p>
      <w:pPr>
        <w:spacing w:after="80"/>
      </w:pPr>
      <w:r>
        <w:rPr>
          <w:b w:val="0"/>
          <w:i w:val="0"/>
        </w:rPr>
        <w:t xml:space="preserve">(1) </w:t>
      </w:r>
      <w:r>
        <w:rPr>
          <w:b w:val="0"/>
          <w:i/>
        </w:rPr>
        <w:t>sáp nhập bằng tiếp nhận:</w:t>
      </w:r>
      <w:r>
        <w:rPr>
          <w:b w:val="0"/>
          <w:i w:val="0"/>
        </w:rPr>
        <w:t xml:space="preserve"> khi một hoặc nhiều công ty chuyển toàn bộ</w:t>
      </w:r>
    </w:p>
    <w:p>
      <w:pPr>
        <w:spacing w:after="80"/>
      </w:pPr>
      <w:r>
        <w:rPr>
          <w:b w:val="0"/>
          <w:i w:val="0"/>
        </w:rPr>
        <w:t>tài sản và nghĩa vụ của mình cho một công ty hiện hữu để đổi lấy việc phát hành cổ phần cho các cổ đông của công ty chuyển nhượng;112</w:t>
      </w:r>
    </w:p>
    <w:p>
      <w:pPr>
        <w:spacing w:after="80"/>
      </w:pPr>
      <w:r>
        <w:rPr>
          <w:b w:val="0"/>
          <w:i w:val="0"/>
        </w:rPr>
        <w:t xml:space="preserve">110. </w:t>
      </w:r>
      <w:r>
        <w:rPr>
          <w:b w:val="0"/>
          <w:i/>
        </w:rPr>
        <w:t>X và Y</w:t>
      </w:r>
      <w:r>
        <w:rPr>
          <w:b w:val="0"/>
          <w:i w:val="0"/>
        </w:rPr>
        <w:t xml:space="preserve"> (Vụ án C-436/00) [2002] ECR I-10829.111. Điều 3. Xem §14.06.112. Chỉ thị Sáp nhập, điều 2(a)(i).</w:t>
      </w:r>
    </w:p>
    <w:p>
      <w:pPr>
        <w:spacing w:after="80"/>
      </w:pPr>
      <w:r>
        <w:rPr>
          <w:b w:val="0"/>
          <w:i w:val="0"/>
        </w:rPr>
        <w:t>416</w:t>
      </w:r>
    </w:p>
    <w:p>
      <w:pPr>
        <w:spacing w:after="80"/>
      </w:pPr>
      <w:r>
        <w:rPr>
          <w:b w:val="0"/>
          <w:i w:val="0"/>
        </w:rPr>
        <w:t xml:space="preserve">(2) </w:t>
      </w:r>
      <w:r>
        <w:rPr>
          <w:b w:val="0"/>
          <w:i/>
        </w:rPr>
        <w:t>sáp nhập bằng thành lập:</w:t>
      </w:r>
      <w:r>
        <w:rPr>
          <w:b w:val="0"/>
          <w:i w:val="0"/>
        </w:rPr>
        <w:t xml:space="preserve"> khi hai hoặc nhiều công ty chuyển toàn bộ tài sản</w:t>
      </w:r>
    </w:p>
    <w:p>
      <w:pPr>
        <w:spacing w:after="80"/>
      </w:pPr>
      <w:r>
        <w:rPr>
          <w:b w:val="0"/>
          <w:i w:val="0"/>
        </w:rPr>
        <w:t>và nghĩa vụ của mình cho một công ty được thành lập bởi họ để đổi lấy việc phát hành cổ phần trong công ty mới cho các cổ đông của các công ty chuyển nhượng;113</w:t>
      </w:r>
    </w:p>
    <w:p>
      <w:pPr>
        <w:spacing w:after="80"/>
      </w:pPr>
      <w:r>
        <w:rPr>
          <w:b w:val="0"/>
          <w:i w:val="0"/>
        </w:rPr>
        <w:t>(3)</w:t>
      </w:r>
      <w:r>
        <w:rPr>
          <w:b w:val="0"/>
          <w:i/>
        </w:rPr>
        <w:t>hợp nhất công ty con sở hữu toàn phần:</w:t>
      </w:r>
      <w:r>
        <w:rPr>
          <w:b w:val="0"/>
          <w:i w:val="0"/>
        </w:rPr>
        <w:t xml:space="preserve"> việc chuyển giao toàn bộ tài sản và</w:t>
      </w:r>
    </w:p>
    <w:p>
      <w:pPr>
        <w:spacing w:after="80"/>
      </w:pPr>
      <w:r>
        <w:rPr>
          <w:b w:val="0"/>
          <w:i w:val="0"/>
        </w:rPr>
        <w:t>nghĩa vụ của một công ty con sở hữu toàn phần cho công ty mẹ khi giải thể;114</w:t>
      </w:r>
    </w:p>
    <w:p>
      <w:pPr>
        <w:spacing w:after="80"/>
      </w:pPr>
      <w:r>
        <w:rPr>
          <w:b w:val="0"/>
          <w:i w:val="0"/>
        </w:rPr>
        <w:t>(4)</w:t>
      </w:r>
      <w:r>
        <w:rPr>
          <w:b w:val="0"/>
          <w:i/>
        </w:rPr>
        <w:t>trao đổi cổ phần:</w:t>
      </w:r>
      <w:r>
        <w:rPr>
          <w:b w:val="0"/>
          <w:i w:val="0"/>
        </w:rPr>
        <w:t xml:space="preserve"> việc chuyển giao phần lớn cổ phần có quyền biểu quyết của một công ty</w:t>
      </w:r>
    </w:p>
    <w:p>
      <w:pPr>
        <w:spacing w:after="80"/>
      </w:pPr>
      <w:r>
        <w:rPr>
          <w:b w:val="0"/>
          <w:i w:val="0"/>
        </w:rPr>
        <w:t>cho một công ty khác để đổi lấy việc phát hành cổ phần của bên nhận chuyển giao;115</w:t>
      </w:r>
    </w:p>
    <w:p>
      <w:pPr>
        <w:spacing w:after="80"/>
      </w:pPr>
      <w:r>
        <w:rPr>
          <w:b w:val="0"/>
          <w:i w:val="0"/>
        </w:rPr>
        <w:t>(5)</w:t>
      </w:r>
      <w:r>
        <w:rPr>
          <w:b w:val="0"/>
          <w:i/>
        </w:rPr>
        <w:t>chuyển giao tài sản:</w:t>
      </w:r>
      <w:r>
        <w:rPr>
          <w:b w:val="0"/>
          <w:i w:val="0"/>
        </w:rPr>
        <w:t xml:space="preserve"> việc chuyển giao một hoặc nhiều chi nhánh hoạt động của mình cho một</w:t>
      </w:r>
    </w:p>
    <w:p>
      <w:pPr>
        <w:spacing w:after="80"/>
      </w:pPr>
      <w:r>
        <w:rPr>
          <w:b w:val="0"/>
          <w:i w:val="0"/>
        </w:rPr>
        <w:t>công ty khác để đổi lấy việc bên nhận chuyển giao phát hành cổ phần cho bên chuyển giao;116 và (6)</w:t>
      </w:r>
      <w:r>
        <w:rPr>
          <w:b w:val="0"/>
          <w:i/>
        </w:rPr>
        <w:t>chia tách:</w:t>
      </w:r>
      <w:r>
        <w:rPr>
          <w:b w:val="0"/>
          <w:i w:val="0"/>
        </w:rPr>
        <w:t xml:space="preserve"> việc một công ty chuyển giao toàn bộ tài sản và nghĩa vụ cho hai hoặc</w:t>
      </w:r>
    </w:p>
    <w:p>
      <w:pPr>
        <w:spacing w:after="80"/>
      </w:pPr>
      <w:r>
        <w:rPr>
          <w:b w:val="0"/>
          <w:i w:val="0"/>
        </w:rPr>
        <w:t>nhiều công ty mới hoặc hiện hữu để đổi lấy việc phát hành cổ phần của các công ty nhận chuyển giao cho các cổ đông của mình theo tỷ lệ tương ứng.117</w:t>
      </w:r>
    </w:p>
    <w:p>
      <w:pPr>
        <w:spacing w:after="80"/>
      </w:pPr>
      <w:r>
        <w:rPr>
          <w:b/>
          <w:i w:val="0"/>
        </w:rPr>
        <w:t>§14.09 CHỈ THỊ VỀ HỢP NHẤT: HẬU QUẢ THUẾ</w:t>
      </w:r>
    </w:p>
    <w:p>
      <w:pPr>
        <w:spacing w:after="80"/>
      </w:pPr>
      <w:r>
        <w:rPr>
          <w:b w:val="0"/>
          <w:i w:val="0"/>
        </w:rPr>
        <w:t>Chỉ thị về Hợp nhất không giải quyết tất cả các hậu quả thuế của các giao dịch mà chỉ thị này dự liệu. Do đó, những hậu quả chưa được giải quyết thuộc thẩm quyền của các Quốc gia Thành viên, với điều kiện tuân thủ luật pháp EU.118 Các hiệu lực thực tiễn của chỉ thị như sau.</w:t>
      </w:r>
    </w:p>
    <w:p>
      <w:pPr>
        <w:spacing w:after="80"/>
      </w:pPr>
      <w:r>
        <w:rPr>
          <w:b/>
          <w:i w:val="0"/>
        </w:rPr>
        <w:t>[A]Lợi nhuận chưa thực hiện</w:t>
      </w:r>
    </w:p>
    <w:p>
      <w:pPr>
        <w:spacing w:after="80"/>
      </w:pPr>
      <w:r>
        <w:rPr>
          <w:b w:val="0"/>
          <w:i w:val="0"/>
        </w:rPr>
        <w:t>Không được đánh thuế đối với khoản lãi vốn phát sinh từ việc hợp nhất hoặc chia tách. Trong mỗi trường hợp, luật nội địa của Quốc gia Thành viên sẽ được áp dụng để xác định khoản lãi hoặc lỗ liên quan đến việc định đoạt tài sản.119 Để đủ điều kiện, tài sản và nghĩa vụ được chuyển giao phải có mối liên hệ thực tế với một cơ sở thường trú của công ty nhận chuyển giao tại một Quốc gia Thành viên nơi công ty chuyển giao đặt trụ sở sau khi chuyển giao. Tài sản được chuyển giao như vậy cũng phải được sử dụng để tạo thu nhập cho mục đích thuế.120</w:t>
      </w:r>
    </w:p>
    <w:p>
      <w:pPr>
        <w:spacing w:after="80"/>
      </w:pPr>
      <w:r>
        <w:rPr>
          <w:b w:val="0"/>
          <w:i w:val="0"/>
        </w:rPr>
        <w:t>Các khoản lãi và lỗ tiếp theo được tính toán như thể việc hợp nhất hoặc chia tách đã không diễn ra và giá trị tài sản cho mục đích thuế lãi vốn và khấu hao được chuyển</w:t>
      </w:r>
    </w:p>
    <w:p>
      <w:pPr>
        <w:spacing w:after="80"/>
      </w:pPr>
      <w:r>
        <w:rPr>
          <w:b w:val="0"/>
          <w:i w:val="0"/>
        </w:rPr>
        <w:t>113. Điều 2(a)(ii).114. Điều 2(a)(iii).115. Điều 2(e).116. Điều 2(d).117. Điều 2(b).118.</w:t>
      </w:r>
      <w:r>
        <w:rPr>
          <w:b w:val="0"/>
          <w:i/>
        </w:rPr>
        <w:t>A Oy v. Veronsaajien oikeudenvalvontayksikkö</w:t>
      </w:r>
      <w:r>
        <w:rPr>
          <w:b w:val="0"/>
          <w:i w:val="0"/>
        </w:rPr>
        <w:t xml:space="preserve"> (Vụ C-292/16) ECLI:EU:C:2017:888, tại đoạn 22.119. Điều 4(1).120. Điều 4(2)(b).</w:t>
      </w:r>
    </w:p>
    <w:p>
      <w:pPr>
        <w:spacing w:after="80"/>
      </w:pPr>
      <w:r>
        <w:rPr>
          <w:b w:val="0"/>
          <w:i w:val="0"/>
        </w:rPr>
        <w:t>417</w:t>
      </w:r>
    </w:p>
    <w:p>
      <w:pPr>
        <w:spacing w:after="80"/>
      </w:pPr>
      <w:r>
        <w:rPr>
          <w:b w:val="0"/>
          <w:i w:val="0"/>
        </w:rPr>
        <w:t>tiếp.121 Khi các Quốc gia Thành viên vận hành một cơ chế tùy chọn, cho phép các giá gốc khác nhau cho mục đích khấu hao và thuế lãi vốn, việc chuyển tiếp sẽ không áp dụng cho tài sản và nghĩa vụ mà quyền tùy chọn đó được thực hiện.122</w:t>
      </w:r>
    </w:p>
    <w:p>
      <w:pPr>
        <w:spacing w:after="80"/>
      </w:pPr>
      <w:r>
        <w:rPr>
          <w:b w:val="0"/>
          <w:i w:val="0"/>
        </w:rPr>
        <w:t>Việc chuyển tiếp không áp dụng cho tài sản và nghĩa vụ nằm ngoài các cơ sở thường trú đó. Các quy tắc đặc biệt được đặt ra cho tài sản tạo thành một phần của cơ sở thường trú tại các quốc gia thứ ba trong EU.123</w:t>
      </w:r>
    </w:p>
    <w:p>
      <w:pPr>
        <w:spacing w:after="80"/>
      </w:pPr>
      <w:r>
        <w:rPr>
          <w:b/>
          <w:i w:val="0"/>
        </w:rPr>
        <w:t>[B]Các khoản lỗ</w:t>
      </w:r>
    </w:p>
    <w:p>
      <w:pPr>
        <w:spacing w:after="80"/>
      </w:pPr>
      <w:r>
        <w:rPr>
          <w:b w:val="0"/>
          <w:i w:val="0"/>
        </w:rPr>
        <w:t>Chỉ thị Sáp nhập cho phép chuyển việc bù trừ lỗ từ công ty chuyển nhượng sang cơ sở thường trú của công ty nhận nếu Quốc gia thành viên của bên chuyển nhượng cho phép chuyển các khoản lỗ đó đối với các trường hợp tái cơ cấu trong nước. Chỉ thị không đặt ra hạn chế nào liên quan đến việc chuyển lỗ sang kỳ sau hoặc chuyển lỗ về kỳ trước để bù trừ với thu nhập từ các nguồn khác của công ty nhận.124</w:t>
      </w:r>
    </w:p>
    <w:p>
      <w:pPr>
        <w:spacing w:after="80"/>
      </w:pPr>
      <w:r>
        <w:rPr>
          <w:b/>
          <w:i w:val="0"/>
        </w:rPr>
        <w:t>[C]Cách xử lý đối với cổ đông</w:t>
      </w:r>
    </w:p>
    <w:p>
      <w:pPr>
        <w:spacing w:after="80"/>
      </w:pPr>
      <w:r>
        <w:rPr>
          <w:b w:val="0"/>
          <w:i w:val="0"/>
        </w:rPr>
        <w:t>Cổ đông sẽ không phải chịu thuế thu nhập hoặc thuế thu nhập từ chuyển nhượng vốn đối với việc sáp nhập, chia tách hoặc trao đổi cổ phần, với điều kiện là cổ phần nhận được trong giao dịch trao đổi được kế thừa nguyên giá cơ sở để tính thuế của các chứng khoán đã chuyển nhượng.125 Bất kỳ lần chuyển nhượng nào sau đó đối với chứng khoán nhận được như vậy đều có thể bị đánh thuế toàn bộ đối với phần lợi nhuận được hoãn thuế. Theo đó, sự kiện chịu thuế chính là việc chuyển nhượng cổ phần nhận được trong quá trình trao đổi (khi thời gian hoãn thuế kết thúc), kết quả là hiệp định áp dụng sẽ là hiệp định giữa quốc gia cư trú của cổ đông và quốc gia của công ty mà cổ phần của công ty đó được nhận trong giao dịch trao đổi, tại thời điểm thời gian hoãn thuế kết thúc.126</w:t>
      </w:r>
    </w:p>
    <w:p>
      <w:pPr>
        <w:spacing w:after="80"/>
      </w:pPr>
      <w:r>
        <w:rPr>
          <w:b w:val="0"/>
          <w:i w:val="0"/>
        </w:rPr>
        <w:t>Khi công ty nhận tài sản nắm giữ cổ phần trong công ty chuyển nhượng, mọi khoản lợi nhuận phát sinh cho công ty nhận từ việc hủy bỏ phần vốn góp của mình sẽ không phải chịu thuế. Tuy nhiên, từng Quốc gia thành viên có thể áp dụng quy định khác với nguyên tắc này khi phần vốn góp của công ty nhận trong vốn của công ty chuyển nhượng dưới 25%.127</w:t>
      </w:r>
    </w:p>
    <w:p>
      <w:pPr>
        <w:spacing w:after="80"/>
      </w:pPr>
      <w:r>
        <w:rPr>
          <w:b/>
          <w:i w:val="0"/>
        </w:rPr>
        <w:t>[D]Khoản thanh toán bằng tiền mặt</w:t>
      </w:r>
    </w:p>
    <w:p>
      <w:pPr>
        <w:spacing w:after="80"/>
      </w:pPr>
      <w:r>
        <w:rPr>
          <w:b w:val="0"/>
          <w:i w:val="0"/>
        </w:rPr>
        <w:t>Trong mỗi trường hợp, một khoản thanh toán bằng tiền mặt không vượt quá 10% giá trị danh nghĩa của chứng khoán nhận được cũng có thể được nhận mà không làm ảnh hưởng đến tình trạng miễn thuế của giao dịch.128 Tuy nhiên, phần tiền mặt này vẫn có thể bị đánh thuế.</w:t>
      </w:r>
    </w:p>
    <w:p>
      <w:pPr>
        <w:spacing w:after="80"/>
      </w:pPr>
      <w:r>
        <w:rPr>
          <w:b w:val="0"/>
          <w:i w:val="0"/>
        </w:rPr>
        <w:t xml:space="preserve">121. Điều 4(4). 122. Điều 4(5). 123. Điều 10. 124. Điều 6. 125. Điều 8. 126. </w:t>
      </w:r>
      <w:r>
        <w:rPr>
          <w:b w:val="0"/>
          <w:i/>
        </w:rPr>
        <w:t>Marc Jacob v Ministre des Finances et des Comptes publics và Ministre des Finances et des Comptes publics v Marc Lassus</w:t>
      </w:r>
      <w:r>
        <w:rPr>
          <w:b w:val="0"/>
          <w:i w:val="0"/>
        </w:rPr>
        <w:t xml:space="preserve"> (Các vụ án hợp nhất C-327/16 và C-421/16) ECLI:EU:C:2018:210. 127. Điều 7. 128. Điều 2.</w:t>
      </w:r>
    </w:p>
    <w:p>
      <w:pPr>
        <w:spacing w:after="80"/>
      </w:pPr>
      <w:r>
        <w:rPr>
          <w:b w:val="0"/>
          <w:i w:val="0"/>
        </w:rPr>
        <w:t>418</w:t>
      </w:r>
    </w:p>
    <w:p>
      <w:pPr>
        <w:spacing w:after="80"/>
      </w:pPr>
      <w:r>
        <w:rPr>
          <w:b/>
          <w:i w:val="0"/>
        </w:rPr>
        <w:t>[E]Cơ sở thường trú</w:t>
      </w:r>
    </w:p>
    <w:p>
      <w:pPr>
        <w:spacing w:after="80"/>
      </w:pPr>
      <w:r>
        <w:rPr>
          <w:b w:val="0"/>
          <w:i w:val="0"/>
        </w:rPr>
        <w:t>Theo các giao dịch được chỉ thị này dự liệu, một công ty được thành lập tại một Quốc gia thành viên trên thực tế có thể bị chuyển đổi thành cơ sở thường trú của một công ty tại Quốc gia thành viên khác. Bởi vì trong nhiều trường hợp, điều này sẽ thu hẹp thẩm quyền đánh thuế từ cơ sở toàn cầu xuống cơ sở nguồn thu nội địa, nên các quy tắc phức tạp đã được xây dựng để giải quyết những vấn đề phát sinh.</w:t>
      </w:r>
    </w:p>
    <w:p>
      <w:pPr>
        <w:spacing w:after="80"/>
      </w:pPr>
      <w:r>
        <w:rPr>
          <w:b w:val="0"/>
          <w:i w:val="0"/>
        </w:rPr>
        <w:t>Khi tài sản được chuyển nhượng bao gồm một cơ sở thường trú của công ty chuyển nhượng nằm tại một Quốc gia thành viên khác, quốc gia sau đó được yêu cầu từ bỏ mọi quyền đánh thuế đối với cơ sở thường trú đó. Quốc gia của công ty chuyển nhượng có thể phục hồi các khoản lỗ của cơ sở thường trú trước đây đã được bù trừ vào lợi nhuận chịu thuế của công ty tại quốc gia đó và chưa được thu hồi.129</w:t>
      </w:r>
    </w:p>
    <w:p>
      <w:pPr>
        <w:spacing w:after="80"/>
      </w:pPr>
      <w:r>
        <w:rPr>
          <w:b w:val="0"/>
          <w:i w:val="0"/>
        </w:rPr>
        <w:t>Về mọi phương diện khác, quốc gia nơi có cơ sở thường trú phải áp dụng quy tắc hoãn thuế như thể mình là quốc gia của công ty chuyển nhượng. Khi Quốc gia thành viên của công ty chuyển nhượng đánh thuế trên lợi nhuận toàn cầu, quốc gia đó sẽ có quyền đánh thuế mọi khoản lợi nhuận hoặc lợi ích của cơ sở thường trú phát sinh từ việc sáp nhập, với điều kiện là quốc gia đó cho khấu trừ đối với khoản thuế lẽ ra đã được đánh trên cơ sở thường trú theo cùng cách thức và cùng số tiền như thể khoản thuế đó đã thực sự được đánh và nộp.130</w:t>
      </w:r>
    </w:p>
    <w:p>
      <w:pPr>
        <w:spacing w:after="80"/>
      </w:pPr>
      <w:r>
        <w:rPr>
          <w:b w:val="0"/>
          <w:i w:val="0"/>
        </w:rPr>
        <w:t>Khác với chỉ thị về công ty mẹ - công ty con, hay chỉ thị về lãi tiền vay và tiền bản quyền, chỉ thị sáp nhập không đưa ra định nghĩa nào về cơ sở thường trú. Cũng không có chỉ dẫn nào cho biết liệu nên áp dụng định nghĩa cơ sở thường trú theo pháp luật trong nước hay theo hiệp định áp dụng. Theo quan điểm của tác giả, định nghĩa theo hiệp định mới là định nghĩa phù hợp, vì thẩm quyền đánh thuế của quốc gia nơi cơ sở thường trú tọa lạc sẽ bị giới hạn bởi định nghĩa trong hiệp định.131</w:t>
      </w:r>
    </w:p>
    <w:p>
      <w:pPr>
        <w:spacing w:after="80"/>
      </w:pPr>
      <w:r>
        <w:rPr>
          <w:b/>
          <w:i w:val="0"/>
        </w:rPr>
        <w:t>§14.10 LẠM DỤNG CHỈ THỊ VÀ TRÁNH THUẾ</w:t>
      </w:r>
    </w:p>
    <w:p>
      <w:pPr>
        <w:spacing w:after="80"/>
      </w:pPr>
      <w:r>
        <w:rPr>
          <w:b w:val="0"/>
          <w:i w:val="0"/>
        </w:rPr>
        <w:t>Chỉ thị về công ty mẹ - công ty con và Chỉ thị về lãi tiền vay và tiền bản quyền, vốn tương tự với các Điều 10, 11 và 12 của Mẫu OECD, có thể dẫn đến hiện tượng có thể gọi là "mua sắm chỉ thị" (directive shopping) hoặc các hành vi tránh thuế khác có thể song hành với những vấn đề được xem xét trong Chương 17 liên quan đến các hiệp định thuế. Luật EU đã phát triển đáng kể, cả về các cơ chế chống lạm dụng trong các chỉ thị lẫn cách tiếp cận của Tòa án Công lý.</w:t>
      </w:r>
    </w:p>
    <w:p>
      <w:pPr>
        <w:spacing w:after="80"/>
      </w:pPr>
      <w:r>
        <w:rPr>
          <w:b w:val="0"/>
          <w:i w:val="0"/>
        </w:rPr>
        <w:t>Các cơ chế được áp dụng trong các chỉ thị này tương tự như những cơ chế được tìm thấy trong các hiệp định thuế nhưng không hoàn toàn giống nhau. Chỉ thị về Lãi vay và Tiền bản quyền (Interest and Royalty Directive), được ban hành hơn mười năm sau Chỉ thị gốc về Công ty mẹ - Công ty con (Parent-Subsidiary Directive), cho thấy mức độ tinh vi cao hơn. Ví</w:t>
      </w:r>
    </w:p>
    <w:p>
      <w:pPr>
        <w:spacing w:after="80"/>
      </w:pPr>
      <w:r>
        <w:rPr>
          <w:b w:val="0"/>
          <w:i w:val="0"/>
        </w:rPr>
        <w:t>129. Điều 10(1). 130. Điều 10(1). 131. Xem Chương 7.</w:t>
      </w:r>
    </w:p>
    <w:p>
      <w:pPr>
        <w:spacing w:after="80"/>
      </w:pPr>
      <w:r>
        <w:rPr>
          <w:b w:val="0"/>
          <w:i w:val="0"/>
        </w:rPr>
        <w:t>419</w:t>
      </w:r>
    </w:p>
    <w:p>
      <w:pPr>
        <w:spacing w:after="80"/>
      </w:pPr>
      <w:r>
        <w:rPr>
          <w:b w:val="0"/>
          <w:i w:val="0"/>
        </w:rPr>
        <w:t>dụ, Chỉ thị về Công ty mẹ - Công ty con chưa áp dụng yêu cầu về "quyền sở hữu thực hưởng" (beneficial ownership). Tuy nhiên, Tòa án Công lý Châu Âu (ECJ) tỏ ra ngần ngại trong việc cho phép áp dụng chỉ thị khi quyền sở hữu thực hưởng bị tách rời khỏi quyền sở hữu pháp lý.132</w:t>
      </w:r>
    </w:p>
    <w:p>
      <w:pPr>
        <w:spacing w:after="80"/>
      </w:pPr>
      <w:r>
        <w:rPr>
          <w:b w:val="0"/>
          <w:i w:val="0"/>
        </w:rPr>
        <w:t xml:space="preserve">Cả Chỉ thị về Công ty mẹ - Công ty con và Chỉ thị về Lãi vay và Tiền bản quyền đều cho phép các Quốc gia Thành viên duy trì các quy định chống lạm dụng của riêng mình. Điều 1(2) của Chỉ thị về Công ty mẹ - Công ty con quy định rằng "Chỉ thị này không được cản trở việc áp dụng các quy định trong nước hoặc dựa trên hiệp định cần thiết để ngăn chặn gian lận hoặc lạm dụng". Do đó, trong việc ngăn chặn gian lận hoặc lạm dụng chỉ thị, người ta dựa vào các quy định trong nước hoặc trong hiệp định. Việc các Quốc gia Thành viên có muốn đưa ra các quy định như vậy hay không là tùy thuộc vào phán đoán của họ. Phạm vi của quyền tùy nghi đó không thể vượt quá các điều khoản thực tế của quy định đó. Trong vụ </w:t>
      </w:r>
      <w:r>
        <w:rPr>
          <w:b w:val="0"/>
          <w:i/>
        </w:rPr>
        <w:t>Eqiom SAS và Enka SA v Ministre des finances et des comptes publics</w:t>
      </w:r>
      <w:r>
        <w:rPr>
          <w:b w:val="0"/>
          <w:i w:val="0"/>
        </w:rPr>
        <w:t>,133 Tòa án Công lý đã xem xét Điều 119b(3) của Bộ luật Thuế Tổng hợp Pháp (Code général des impôts), điều khoản này loại trừ khỏi việc miễn thuế khấu trừ đối với cổ tức do một công ty con Pháp trả cho một công ty mẹ ở một Quốc gia Thành viên khác khi cổ tức đó thuộc quyền lợi của một pháp nhân được kiểm soát bởi cư dân của các quốc gia không thuộc EU, trừ khi mục đích chính hoặc một trong các mục đích chính của chuỗi lợi ích không phải là để tận dụng việc miễn thuế. Tòa án nhận định rằng quy định này không được thiết kế đặc biệt để giải quyết các thỏa thuận nhằm hưởng lợi một cách không chính đáng từ việc miễn thuế, mà được áp dụng một cách chung chung cho bất kỳ trường hợp nào mà một công ty bị kiểm soát trực tiếp hoặc gián tiếp bởi cư dân của các quốc gia thứ ba.134</w:t>
      </w:r>
    </w:p>
    <w:p>
      <w:pPr>
        <w:spacing w:after="80"/>
      </w:pPr>
      <w:r>
        <w:rPr>
          <w:b w:val="0"/>
          <w:i w:val="0"/>
        </w:rPr>
        <w:t xml:space="preserve">Khi đặt việc miễn thuế vào điều kiện là công ty mẹ phải chứng minh rằng mục đích chính hoặc một trong các mục đích chính của chuỗi lợi ích không phải là để tận dụng việc miễn thuế đó, mà không yêu cầu cơ quan thuế phải đưa ra dù chỉ là bằng chứng </w:t>
      </w:r>
      <w:r>
        <w:rPr>
          <w:b w:val="0"/>
          <w:i/>
        </w:rPr>
        <w:t>sơ bộ</w:t>
      </w:r>
      <w:r>
        <w:rPr>
          <w:b w:val="0"/>
          <w:i w:val="0"/>
        </w:rPr>
        <w:t xml:space="preserve"> (prima facie) về hành vi lạm dụng, quy định này đã áp dụng một giả định chung làm xói mòn mục đích của Chỉ thị về Công ty mẹ - Công ty con, đó là ngăn chặn việc đánh thuế hai lần đối với lợi nhuận được phân phối từ công ty con cho công ty mẹ.135 Việc giảm thuế khấu trừ đối với cổ tức từ các khoản phân phối của các công ty cư trú tại Ireland sẽ không được áp dụng nếu phần lớn quyền biểu quyết trong công ty mẹ bị kiểm soát trực tiếp hoặc gián tiếp bởi những người không phải là cư dân thuế tại một Quốc gia Thành viên hoặc một vùng lãnh thổ có hiệp định thuế hai lần với Ireland, trừ khi công ty mẹ (a) tồn tại vì lý do thương mại chính đáng và (b) không tạo thành một phần của bất kỳ thỏa thuận hoặc kế hoạch nào mà mục đích chính, hoặc một trong các mục đích chính, là trốn tránh nghĩa vụ thuế thu nhập, thuế doanh nghiệp hoặc thuế lợi tức vốn.136 Tương tự, việc giảm thuế cũng không được áp dụng đối với một khoản phân phối được trả hoặc nhận bởi một công ty Ireland nếu có một thỏa thuận hoặc một loạt thỏa thuận (a) có mục đích chính, hoặc một trong các mục đích</w:t>
      </w:r>
    </w:p>
    <w:p>
      <w:pPr>
        <w:spacing w:after="80"/>
      </w:pPr>
      <w:r>
        <w:rPr>
          <w:b w:val="0"/>
          <w:i w:val="0"/>
        </w:rPr>
        <w:t xml:space="preserve">132. </w:t>
      </w:r>
      <w:r>
        <w:rPr>
          <w:b w:val="0"/>
          <w:i/>
        </w:rPr>
        <w:t>État Belge – Service Public Fédéral Finances v Les Vergers du Vieux Tauves SA</w:t>
      </w:r>
      <w:r>
        <w:rPr>
          <w:b w:val="0"/>
          <w:i w:val="0"/>
        </w:rPr>
        <w:t xml:space="preserve"> (Vụ C-48/07) [2008] ECR I-10627; [2009] 2 CMLR 13. Xem §14.06. 133. </w:t>
      </w:r>
      <w:r>
        <w:rPr>
          <w:b w:val="0"/>
          <w:i/>
        </w:rPr>
        <w:t>Holcim France SAS và Enka SA v Ministre des finances et des comptes publics</w:t>
      </w:r>
      <w:r>
        <w:rPr>
          <w:b w:val="0"/>
          <w:i w:val="0"/>
        </w:rPr>
        <w:t xml:space="preserve"> (Vụ C-6/16) ECLI:EU:C:2017:641. 134. Tại đoạn 33. Quyết định này đã được Trạng sư Kokott viện dẫn trong các vụ Danish PSD và Danish IRD (Xem, ví dụ, </w:t>
      </w:r>
      <w:r>
        <w:rPr>
          <w:b w:val="0"/>
          <w:i/>
        </w:rPr>
        <w:t>Skatteministeriet v T Danmark và Y Denmark Aps</w:t>
      </w:r>
      <w:r>
        <w:rPr>
          <w:b w:val="0"/>
          <w:i w:val="0"/>
        </w:rPr>
        <w:t xml:space="preserve"> (Các vụ hợp nhất C-116/16 và C-117/16) ECLI:EU:C:2018:144) được thảo luận dưới đây trong mục </w:t>
      </w:r>
      <w:r>
        <w:rPr>
          <w:b w:val="0"/>
          <w:i/>
        </w:rPr>
        <w:t>Các cách tiếp cận tư pháp</w:t>
      </w:r>
      <w:r>
        <w:rPr>
          <w:b w:val="0"/>
          <w:i w:val="0"/>
        </w:rPr>
        <w:t xml:space="preserve"> nhưng không được Tòa án đề cập trong các Phán quyết của mình. Có vẻ như việc chỉ sở hữu bởi công dân nước thứ ba tự nó không nhất thiết là hành vi lạm dụng. 135. Tại đoạn 36. Xem Chương 3, §3.09 về quyền tự do thành lập và các khía cạnh lạm dụng của vụ án. 136. TCA 1997, s. 831(6).</w:t>
      </w:r>
    </w:p>
    <w:p>
      <w:pPr>
        <w:spacing w:after="80"/>
      </w:pPr>
      <w:r>
        <w:rPr>
          <w:b w:val="0"/>
          <w:i w:val="0"/>
        </w:rPr>
        <w:t>420</w:t>
      </w:r>
    </w:p>
    <w:p>
      <w:pPr>
        <w:spacing w:after="80"/>
      </w:pPr>
      <w:r>
        <w:rPr>
          <w:b w:val="0"/>
          <w:i w:val="0"/>
        </w:rPr>
        <w:t>chính là, đạt được lợi thế thuế đi ngược lại đối tượng hoặc mục đích của Chỉ thị và, (b) không chính đáng khi xét đến tất cả các sự kiện và hoàn cảnh (tức là không có lý do thương mại hợp lệ phản ánh thực tế kinh tế).137</w:t>
      </w:r>
    </w:p>
    <w:p>
      <w:pPr>
        <w:spacing w:after="80"/>
      </w:pPr>
      <w:r>
        <w:rPr>
          <w:b w:val="0"/>
          <w:i w:val="0"/>
        </w:rPr>
        <w:t xml:space="preserve">Sự cho phép tương tự đối với các biện pháp trong nước hoặc trong hiệp định cũng được tìm thấy trong Chỉ thị về Lãi vay và Tiền bản quyền.138 Do đó, tại Ireland, lợi ích của chỉ thị không được áp dụng liên quan đến một khoản thanh toán trừ khi có thể chứng minh rằng việc thanh toán lãi vay hoặc tiền bản quyền được thực hiện vì lý do thương mại chính đáng và không tạo thành một phần của bất kỳ thỏa thuận hoặc kế hoạch nào mà mục đích chính hoặc một trong các mục đích chính là trốn tránh nghĩa vụ thuế thu nhập, thuế doanh nghiệp hoặc thuế lợi tức vốn.139 Trong vụ </w:t>
      </w:r>
      <w:r>
        <w:rPr>
          <w:b w:val="0"/>
          <w:i/>
        </w:rPr>
        <w:t>Denkavit</w:t>
      </w:r>
      <w:r>
        <w:rPr>
          <w:b w:val="0"/>
          <w:i w:val="0"/>
        </w:rPr>
        <w:t xml:space="preserve"> và các vụ liên quan,140 ECJ lưu ý rằng Điều 1(2), điều khoản cho phép thời gian nắm giữ tối thiểu, đặc biệt nhằm chống lại hành vi lạm dụng khi cổ phần được nắm giữ trong vốn của các công ty chỉ với mục đích duy nhất là hưởng lợi từ các ưu đãi thuế sẵn có và không nhằm mục đích lâu dài. Nhưng tòa án đã bác bỏ lập luận của Chính phủ Đức: rằng yêu cầu của họ về việc nắm giữ cổ phần tối thiểu mười hai tháng trước khi cổ tức đủ điều kiện được miễn thuế khấu trừ có thể được biện minh trên cơ sở Điều 1(2). Tòa án không coi đây là cần thiết để ngăn chặn gian lận hoặc lạm dụng. Vụ án này không phải là một sự xem xét chi tiết về khái niệm lạm dụng hoặc trốn thuế theo luật châu Âu. Nó có lẽ là dấu hiệu cho thấy rằng một bài kiểm tra về mục đích duy nhất hoặc mục đích chính phản ánh các nguyên tắc châu Âu.</w:t>
      </w:r>
    </w:p>
    <w:p>
      <w:pPr>
        <w:spacing w:after="80"/>
      </w:pPr>
      <w:r>
        <w:rPr>
          <w:b w:val="0"/>
          <w:i w:val="0"/>
        </w:rPr>
        <w:t>Mỗi chỉ thị trong ba chỉ thị hiện nay đều chứa đựng quy định chống lạm dụng tự chủ của riêng mình. Chỉ thị về Lãi vay và Tiền bản quyền quy định rằng "các quốc gia thành viên có thể, trong trường hợp các giao dịch mà động cơ chính hoặc một trong các động cơ chính là trốn thuế, tránh thuế hoặc lạm dụng, thu hồi các lợi ích của Chỉ thị này hoặc từ chối áp dụng Chỉ thị này".141</w:t>
      </w:r>
    </w:p>
    <w:p>
      <w:pPr>
        <w:spacing w:after="80"/>
      </w:pPr>
      <w:r>
        <w:rPr>
          <w:b w:val="0"/>
          <w:i w:val="0"/>
        </w:rPr>
        <w:t>Tương tự, Chỉ thị về Sáp nhập (Mergers Directive) đã có, kể từ khi ra đời, quy định chống lạm dụng của riêng mình. Các lợi ích của chỉ thị có thể bị từ chối nếu một giao dịch có một trong các mục tiêu chính là trốn thuế hoặc tránh thuế. Trong Chỉ thị về Sáp nhập, chỉ thị còn quy định thêm rằng: "nếu các hoạt động không được thực hiện vì lý do thương mại hợp lệ như tái cơ cấu hoặc hợp lý hóa các hoạt động của các công ty tham gia, điều này có thể được coi là tạo thành một giả định về sự tồn tại của mục đích tránh thuế".142 Do đó, chỉ thị này cũng áp dụng một dạng kiểm tra về tính chính đáng. Cách diễn đạt này đã được chuyển thể vào luật ban hành của Vương quốc Anh thành "lý do thương mại chính đáng không tạo thành một phần của kế hoạch hoặc thỏa thuận mà mục đích chính hoặc một trong các mục đích chính là trốn tránh nghĩa vụ thuế thu nhập, thuế doanh nghiệp hoặc thuế lợi tức vốn".143 Cách diễn đạt này theo các cách diễn đạt hiện có liên quan đến việc tái cơ cấu doanh nghiệp trong TCGA 1992, s. 137(1). Chỉ thị về Sáp nhập không</w:t>
      </w:r>
    </w:p>
    <w:p>
      <w:pPr>
        <w:spacing w:after="80"/>
      </w:pPr>
      <w:r>
        <w:rPr>
          <w:b w:val="0"/>
          <w:i w:val="0"/>
        </w:rPr>
        <w:t xml:space="preserve">137. TCA 1997, s. 831(7). 138. Điều 5(1). 139. TCA 1997, s. 267K(1). 140. </w:t>
      </w:r>
      <w:r>
        <w:rPr>
          <w:b w:val="0"/>
          <w:i/>
        </w:rPr>
        <w:t>Denkavit International BV</w:t>
      </w:r>
      <w:r>
        <w:rPr>
          <w:b w:val="0"/>
          <w:i w:val="0"/>
        </w:rPr>
        <w:t xml:space="preserve">, </w:t>
      </w:r>
      <w:r>
        <w:rPr>
          <w:b w:val="0"/>
          <w:i/>
        </w:rPr>
        <w:t>VITIC Amsterdam BV</w:t>
      </w:r>
      <w:r>
        <w:rPr>
          <w:b w:val="0"/>
          <w:i w:val="0"/>
        </w:rPr>
        <w:t xml:space="preserve"> và </w:t>
      </w:r>
      <w:r>
        <w:rPr>
          <w:b w:val="0"/>
          <w:i/>
        </w:rPr>
        <w:t>Vormeer BV v Bundesampt Fur Finanzen</w:t>
      </w:r>
      <w:r>
        <w:rPr>
          <w:b w:val="0"/>
          <w:i w:val="0"/>
        </w:rPr>
        <w:t xml:space="preserve"> (Các vụ hợp nhất C-283/94, C-291/94 và C-292/94) [1996] ECR I-05063; [1996] STC 1445. 141. Điều 5(2). 142. Điều 15(1)(a). 143. Xem, ví dụ, TCGA 1992, s. 140B và 140D.</w:t>
      </w:r>
    </w:p>
    <w:p>
      <w:pPr>
        <w:spacing w:after="80"/>
      </w:pPr>
      <w:r>
        <w:rPr>
          <w:b w:val="0"/>
          <w:i w:val="0"/>
        </w:rPr>
        <w:t>421</w:t>
      </w:r>
    </w:p>
    <w:p>
      <w:pPr>
        <w:spacing w:after="80"/>
      </w:pPr>
      <w:r>
        <w:rPr>
          <w:b w:val="0"/>
          <w:i w:val="0"/>
        </w:rPr>
        <w:t xml:space="preserve">tuy nhiên, chứa một quy định cho phép các quy định chống lạm dụng trong nước hoặc dựa trên hiệp định. Trong vụ </w:t>
      </w:r>
      <w:r>
        <w:rPr>
          <w:b w:val="0"/>
          <w:i/>
        </w:rPr>
        <w:t>Hans Markus Kofoed v Skatteministeriet,</w:t>
      </w:r>
      <w:r>
        <w:rPr>
          <w:b w:val="0"/>
          <w:i w:val="0"/>
        </w:rPr>
        <w:t>144 ECJ đã công nhận tính chất tự chủ của điều khoản hiện nay là Điều 15(1)(a), cho rằng việc chuyển thể nó vào luật quốc gia của các Quốc gia Thành viên là không bắt buộc.</w:t>
      </w:r>
    </w:p>
    <w:p>
      <w:pPr>
        <w:spacing w:after="80"/>
      </w:pPr>
      <w:r>
        <w:rPr>
          <w:b w:val="0"/>
          <w:i w:val="0"/>
        </w:rPr>
        <w:t xml:space="preserve">ECJ đã giải thích các yêu cầu của điều khoản hiện nay là Điều 15(1)(a) của Chỉ thị về Sáp nhập trong bối cảnh trao đổi cổ phần trong vụ </w:t>
      </w:r>
      <w:r>
        <w:rPr>
          <w:b w:val="0"/>
          <w:i/>
        </w:rPr>
        <w:t>Leur-Bloem v Inspecteur der Belastingdienst.</w:t>
      </w:r>
      <w:r>
        <w:rPr>
          <w:b w:val="0"/>
          <w:i w:val="0"/>
        </w:rPr>
        <w:t>145 Người nộp thuế, một cá nhân cư trú tại Hà Lan, là cổ đông duy nhất và giám đốc của hai công ty tư nhân Hà Lan. Bà dự định góp cổ phần trong hai công ty vào một công ty holding để đổi lấy việc phát hành cổ phần trong công ty đó. Người nộp thuế đã yêu cầu thanh tra thuế cấp giấy xác nhận rằng các giao dịch được đề xuất nên được coi là "sáp nhập bằng trao đổi cổ phần" theo nghĩa của luật. Điều này sẽ cho phép bà loại trừ khỏi thuế các khoản lợi nhuận phát sinh từ việc chuyển nhượng cổ phần trong hai công ty cho công ty thứ ba và khả năng bù trừ lỗ trong tập đoàn doanh nghiệp được tạo ra như vậy.</w:t>
      </w:r>
    </w:p>
    <w:p>
      <w:pPr>
        <w:spacing w:after="80"/>
      </w:pPr>
      <w:r>
        <w:rPr>
          <w:b w:val="0"/>
          <w:i w:val="0"/>
        </w:rPr>
        <w:t>Thanh tra cho rằng không có việc sáp nhập bằng trao đổi cổ phần như vậy và mục đích của giao dịch không phải là kết hợp vĩnh viễn hoạt động kinh doanh của các công ty thành một thực thể đơn nhất lớn về mặt kinh tế và tài chính, như luật Hà Lan yêu cầu. Ông lập luận rằng một thực thể như vậy đã tồn tại từ góc độ tài chính và kinh tế, vì cả hai công ty đã có cùng giám đốc và cổ đông.</w:t>
      </w:r>
    </w:p>
    <w:p>
      <w:pPr>
        <w:spacing w:after="80"/>
      </w:pPr>
      <w:r>
        <w:rPr>
          <w:b w:val="0"/>
          <w:i w:val="0"/>
        </w:rPr>
        <w:t>Theo Điều 2(e) hiện hành của Chỉ thị Sáp nhập (Merger Directive), trao đổi cổ phần là một hoạt động trong đó một công ty mua lại cổ phần trong vốn của một công ty khác đến mức đạt được phần lớn quyền biểu quyết trong công ty đó, đổi lại bằng việc phát hành chứng khoán đại diện cho vốn của công ty mua lại.</w:t>
      </w:r>
    </w:p>
    <w:p>
      <w:pPr>
        <w:spacing w:after="80"/>
      </w:pPr>
      <w:r>
        <w:rPr>
          <w:b w:val="0"/>
          <w:i w:val="0"/>
        </w:rPr>
        <w:t>Điều 15(1)(a) cho phép các Quốc gia Thành viên từ chối áp dụng các lợi ích của chỉ thị khi có hành vi trốn thuế. Đây là trường hợp giao dịch có mục tiêu chính, hoặc một trong các mục tiêu chính, là trốn thuế hoặc tránh thuế.</w:t>
      </w:r>
    </w:p>
    <w:p>
      <w:pPr>
        <w:spacing w:after="80"/>
      </w:pPr>
      <w:r>
        <w:rPr>
          <w:b w:val="0"/>
          <w:i w:val="0"/>
        </w:rPr>
        <w:t>ECJ lưu ý rằng yêu cầu các công ty liên quan phải sáp nhập hoạt động kinh doanh của họ vĩnh viễn thành một đơn vị duy nhất từ góc độ tài chính và kinh tế đã được đưa vào quy định của Hà Lan theo Điều 15 của Chỉ thị Sáp nhập. Tòa án lưu ý rằng Điều 2(e) của chỉ thị quy định rõ ràng rằng các lợi ích thuế mà chỉ thị mang lại phải được áp dụng không phân biệt cho tất cả các vụ sáp nhập, chia tách, chuyển nhượng tài sản hoặc trao đổi cổ phần, bất kể lý do là tài chính, kinh tế hay đơn thuần là thuế.</w:t>
      </w:r>
    </w:p>
    <w:p>
      <w:pPr>
        <w:spacing w:after="80"/>
      </w:pPr>
      <w:r>
        <w:rPr>
          <w:b w:val="0"/>
          <w:i w:val="0"/>
        </w:rPr>
        <w:t>Về các quy định chống lạm dụng tại Điều 15(1)(a) của chỉ thị, tòa án cho rằng rõ ràng các Quốc gia Thành viên phải cấp các lợi ích thuế được quy định bởi chỉ thị đối với các giao dịch trao đổi cổ phần được đề cập tại Điều 2(e), trừ khi các giao dịch đó có mục tiêu chính, hoặc một trong các mục tiêu chính, là trốn thuế hoặc tránh thuế. Để xác định liệu</w:t>
      </w:r>
    </w:p>
    <w:p>
      <w:pPr>
        <w:spacing w:after="80"/>
      </w:pPr>
      <w:r>
        <w:rPr>
          <w:b w:val="0"/>
          <w:i w:val="0"/>
        </w:rPr>
        <w:t>144.</w:t>
      </w:r>
      <w:r>
        <w:rPr>
          <w:b w:val="0"/>
          <w:i/>
        </w:rPr>
        <w:t>Hans Markus Kofoed v Skatteministeriet</w:t>
      </w:r>
      <w:r>
        <w:rPr>
          <w:b w:val="0"/>
          <w:i w:val="0"/>
        </w:rPr>
        <w:t xml:space="preserve"> (Vụ C-321/05) [2007] ECR I-05795; [2008] STC 1202, ECJ. 145.</w:t>
      </w:r>
      <w:r>
        <w:rPr>
          <w:b w:val="0"/>
          <w:i/>
        </w:rPr>
        <w:t>Leur-Bloem v Inspecteur der Belastingdienst</w:t>
      </w:r>
      <w:r>
        <w:rPr>
          <w:b w:val="0"/>
          <w:i w:val="0"/>
        </w:rPr>
        <w:t xml:space="preserve"> (Vụ C-28/95) [1997] ECR I-04161; [1997] BTC 504; [1997] STC 1205.</w:t>
      </w:r>
    </w:p>
    <w:p>
      <w:pPr>
        <w:spacing w:after="80"/>
      </w:pPr>
      <w:r>
        <w:rPr>
          <w:b w:val="0"/>
          <w:i w:val="0"/>
        </w:rPr>
        <w:t>422</w:t>
      </w:r>
    </w:p>
    <w:p>
      <w:pPr>
        <w:spacing w:after="80"/>
      </w:pPr>
      <w:r>
        <w:rPr>
          <w:b w:val="0"/>
          <w:i w:val="0"/>
        </w:rPr>
        <w:t>giao dịch được đề xuất có mục tiêu như vậy hay không, cơ quan thuế không thể chỉ giới hạn ở việc áp dụng các tiêu chí chung được định trước mà phải tiến hành kiểm tra tổng quát từng trường hợp cụ thể.</w:t>
      </w:r>
    </w:p>
    <w:p>
      <w:pPr>
        <w:spacing w:after="80"/>
      </w:pPr>
      <w:r>
        <w:rPr>
          <w:b w:val="0"/>
          <w:i w:val="0"/>
        </w:rPr>
        <w:t>Khi đặt câu hỏi cho ECJ, tòa án Hà Lan hỏi liệu một số tiêu chí cụ thể có thể giới hạn phạm vi áp dụng của các quy định về trao đổi cổ phần trong trường hợp:</w:t>
      </w:r>
    </w:p>
    <w:p>
      <w:pPr>
        <w:spacing w:after="80"/>
      </w:pPr>
      <w:r>
        <w:rPr>
          <w:b w:val="0"/>
          <w:i w:val="0"/>
        </w:rPr>
        <w:t>– công ty mua lại không tự mình tiến hành hoạt động kinh doanh; – cùng một người là cổ đông duy nhất và giám đốc của công ty bị mua lại</w:t>
      </w:r>
    </w:p>
    <w:p>
      <w:pPr>
        <w:spacing w:after="80"/>
      </w:pPr>
      <w:r>
        <w:rPr>
          <w:b w:val="0"/>
          <w:i w:val="0"/>
        </w:rPr>
        <w:t>và trước khi trao đổi là giám đốc và cổ đông duy nhất trong công ty mua lại của giao dịch trao đổi; – tác động duy nhất của việc trao đổi là sáp nhập hoạt động kinh doanh của công ty mua lại</w:t>
      </w:r>
    </w:p>
    <w:p>
      <w:pPr>
        <w:spacing w:after="80"/>
      </w:pPr>
      <w:r>
        <w:rPr>
          <w:b w:val="0"/>
          <w:i w:val="0"/>
        </w:rPr>
        <w:t>và hoạt động kinh doanh của một công ty khác vĩnh viễn thành một đơn vị duy nhất từ góc độ tài chính và kinh tế; – tác động duy nhất của việc trao đổi là sáp nhập hoạt động kinh doanh của hai hoặc nhiều</w:t>
      </w:r>
    </w:p>
    <w:p>
      <w:pPr>
        <w:spacing w:after="80"/>
      </w:pPr>
      <w:r>
        <w:rPr>
          <w:b w:val="0"/>
          <w:i w:val="0"/>
        </w:rPr>
        <w:t>công ty bị mua lại vĩnh viễn thành một đơn vị duy nhất từ góc độ tài chính và kinh tế; hoặc – việc trao đổi được thực hiện nhằm tạo ra sự bù trừ theo chiều ngang các khoản lỗ thuế</w:t>
      </w:r>
    </w:p>
    <w:p>
      <w:pPr>
        <w:spacing w:after="80"/>
      </w:pPr>
      <w:r>
        <w:rPr>
          <w:b w:val="0"/>
          <w:i w:val="0"/>
        </w:rPr>
        <w:t>giữa các doanh nghiệp tham gia trong một đơn vị thuế (fiscal unity) theo quy định của luật Hà Lan.</w:t>
      </w:r>
    </w:p>
    <w:p>
      <w:pPr>
        <w:spacing w:after="80"/>
      </w:pPr>
      <w:r>
        <w:rPr>
          <w:b w:val="0"/>
          <w:i w:val="0"/>
        </w:rPr>
        <w:t xml:space="preserve">Điều 15(1)(a) của Chỉ thị Sáp nhập chỉ áp dụng cho các loại thuế được xác định trong Phụ lục I phần B của chỉ thị. ECJ đã phán quyết trong </w:t>
      </w:r>
      <w:r>
        <w:rPr>
          <w:b w:val="0"/>
          <w:i/>
        </w:rPr>
        <w:t>Modehuis A Zwijnenburg BV v Staatssecretaris van Financiën</w:t>
      </w:r>
      <w:r>
        <w:rPr>
          <w:b w:val="0"/>
          <w:i w:val="0"/>
        </w:rPr>
        <w:t>146 rằng điều khoản này phải được giải thích theo nghĩa rằng không được từ chối đối xử ưu đãi mà chỉ thị đó mang lại cho một người nộp thuế đã tìm cách, thông qua một mưu đồ pháp lý liên quan đến sáp nhập công ty, để tránh một loại thuế nằm ngoài phạm vi áp dụng của chỉ thị đó.</w:t>
      </w:r>
    </w:p>
    <w:p>
      <w:pPr>
        <w:spacing w:after="80"/>
      </w:pPr>
      <w:r>
        <w:rPr>
          <w:b w:val="0"/>
          <w:i w:val="0"/>
        </w:rPr>
        <w:t>Một quy định chống lạm dụng tự trị chi tiết cũng đã được đưa vào Chỉ thị Mẹ-Con (Parent-Subsidiary Directive) bởi Chỉ thị Hội đồng 2015/121/EU147, mà các Quốc gia Thành viên phải thực thi trước ngày 31 tháng 12 năm 2015. Quy định này, tại Điều 1(2) và (3) của Chỉ thị Mẹ-Con, chịu ảnh hưởng nhiều từ GAAR nội địa của Vương quốc Anh trong FA 2013, Phần 5148, có nội dung đầy đủ như sau:</w:t>
      </w:r>
    </w:p>
    <w:p>
      <w:pPr>
        <w:spacing w:after="80"/>
      </w:pPr>
      <w:r>
        <w:rPr>
          <w:b w:val="0"/>
          <w:i w:val="0"/>
        </w:rPr>
        <w:t>1(2)Các Quốc gia Thành viên không được trao các lợi ích của Chỉ thị này cho một thỏa thuận hoặc một chuỗi thỏa thuận mà, đã được đưa ra với mục đích chính hoặc một trong các mục đích chính là đạt được lợi thế thuế làm xói mòn mục tiêu hoặc ý định của Chỉ thị này, lại không có tính chân thực xét theo tất cả các sự kiện và hoàn cảnh liên quan.</w:t>
      </w:r>
    </w:p>
    <w:p>
      <w:pPr>
        <w:spacing w:after="80"/>
      </w:pPr>
      <w:r>
        <w:rPr>
          <w:b w:val="0"/>
          <w:i w:val="0"/>
        </w:rPr>
        <w:t>Một thỏa thuận có thể bao gồm nhiều bước hoặc nhiều phần.1(3)Vì các mục đích của khoản 2, một thỏa thuận hoặc một chuỗi thỏa thuận được coi là không chân thực trong phạm vi chúng không được đưa ra vì những lý do thương mại chính đáng phản ánh thực tế kinh tế.</w:t>
      </w:r>
    </w:p>
    <w:p>
      <w:pPr>
        <w:spacing w:after="80"/>
      </w:pPr>
      <w:r>
        <w:rPr>
          <w:b w:val="0"/>
          <w:i w:val="0"/>
        </w:rPr>
        <w:t>146.</w:t>
      </w:r>
      <w:r>
        <w:rPr>
          <w:b w:val="0"/>
          <w:i/>
        </w:rPr>
        <w:t>ModehuisAZwijnenburgBVvStaatssecretarisvanFinanciën</w:t>
      </w:r>
      <w:r>
        <w:rPr>
          <w:b w:val="0"/>
          <w:i w:val="0"/>
        </w:rPr>
        <w:t>(VụC-352/08)[2010]ECRI-04303.147.Chỉ thị Hội đồng 2015/121/EU ngày 27 tháng 1 năm 2015 sửa đổi Chỉ thị 2011/96/EU về hệ thống thuế chung áp dụng cho các công ty mẹ và công ty con của các Quốc gia Thành viên khác nhau.148.Xem Chương 18, §18.02[B].</w:t>
      </w:r>
    </w:p>
    <w:p>
      <w:pPr>
        <w:spacing w:after="80"/>
      </w:pPr>
      <w:r>
        <w:rPr>
          <w:b w:val="0"/>
          <w:i w:val="0"/>
        </w:rPr>
        <w:t>423</w:t>
      </w:r>
    </w:p>
    <w:p>
      <w:pPr>
        <w:spacing w:after="80"/>
      </w:pPr>
      <w:r>
        <w:rPr>
          <w:b w:val="0"/>
          <w:i w:val="0"/>
        </w:rPr>
        <w:t>Phần lời nói đầu của chỉ thị sửa đổi lưu ý rằng một số, nhưng không phải tất cả, các Quốc gia Thành viên có những quy định trong nước hoặc dựa trên hiệp định với mức độ nghiêm khắc khác nhau, được thiết kế để phản ánh những đặc thù của hệ thống thuế mỗi Quốc gia Thành viên. Một mức tối thiểu chung về chống lạm dụng sẽ rất hữu ích để ngăn chặn việc lạm dụng Chỉ thị và đảm bảo tính nhất quán cao hơn trong việc áp dụng nó. Việc áp dụng các quy tắc phải tương xứng và phục vụ mục đích cụ thể là giải quyết những thỏa thuận không phản ánh thực tế kinh tế, điều này được xác định bằng phân tích khách quan.149</w:t>
      </w:r>
    </w:p>
    <w:p>
      <w:pPr>
        <w:spacing w:after="80"/>
      </w:pPr>
      <w:r>
        <w:rPr>
          <w:b/>
          <w:i w:val="0"/>
        </w:rPr>
        <w:t>[A]Các cách tiếp cận tư pháp</w:t>
      </w:r>
    </w:p>
    <w:p>
      <w:pPr>
        <w:spacing w:after="80"/>
      </w:pPr>
      <w:r>
        <w:rPr>
          <w:b w:val="0"/>
          <w:i w:val="0"/>
        </w:rPr>
        <w:t xml:space="preserve">ECJ đã có dịp bình luận về vấn đề lạm dụng liên quan đến việc giải thích và áp dụng các chỉ thị, điều này cho thấy sự không khoan nhượng rộng rãi đối với lạm dụng. Trong </w:t>
      </w:r>
      <w:r>
        <w:rPr>
          <w:b w:val="0"/>
          <w:i/>
        </w:rPr>
        <w:t>Kofoed v Skatteministeriet</w:t>
      </w:r>
      <w:r>
        <w:rPr>
          <w:b w:val="0"/>
          <w:i w:val="0"/>
        </w:rPr>
        <w:t xml:space="preserve"> tòa nói:150</w:t>
      </w:r>
    </w:p>
    <w:p>
      <w:pPr>
        <w:spacing w:after="80"/>
      </w:pPr>
      <w:r>
        <w:rPr>
          <w:b w:val="0"/>
          <w:i w:val="0"/>
        </w:rPr>
        <w:t>Điều [15](1)(a) Chỉ thị 90/434 phản ánh nguyên tắc chung của Cộng đồng rằng lạm dụng quyền bị cấm. Các cá nhân không được lợi dụng một cách không chính đáng hoặc gian lận các quy định của luật Cộng đồng. Việc áp dụng pháp luật Cộng đồng không thể được mở rộng để bao trùm các hành vi lạm dụng, nghĩa là, các giao dịch được thực hiện không phải trong bối cảnh hoạt động thương mại bình thường, mà chỉ nhằm mục đích đạt được một cách sai trái những lợi ích được pháp luật Cộng đồng quy định.</w:t>
      </w:r>
    </w:p>
    <w:p>
      <w:pPr>
        <w:spacing w:after="80"/>
      </w:pPr>
      <w:r>
        <w:rPr>
          <w:b w:val="0"/>
          <w:i w:val="0"/>
        </w:rPr>
        <w:t xml:space="preserve">Mệnh đề này đã được tòa án mở rộng đáng kể trong </w:t>
      </w:r>
      <w:r>
        <w:rPr>
          <w:b w:val="0"/>
          <w:i/>
        </w:rPr>
        <w:t>các vụ án Đan Mạch</w:t>
      </w:r>
      <w:r>
        <w:rPr>
          <w:b w:val="0"/>
          <w:i w:val="0"/>
        </w:rPr>
        <w:t xml:space="preserve"> cả liên quan đến Chỉ thị Lãi và Tiền bản quyền151 cũng như Chỉ thị Công ty mẹ - công ty con.152 Nguyên tắc pháp lý chung rằng không thể viện dẫn luật EU cho những mục đích lạm dụng hoặc gian lận có nghĩa là không cần thiết để Quốc gia Thành viên ban hành các quy định trong nước cụ thể hoặc đồng ý một quy định dựa trên hiệp định được cho phép bởi Điều 5 của Chỉ thị Lãi và Tiền bản quyền, để từ chối một lợi ích vì lạm dụng. Điều 5(1) không ngăn cản việc áp dụng các quy định chống lạm dụng trong nước hoặc dựa trên hiệp định và Điều 5(2) không ngăn cản việc áp dụng nguyên tắc pháp lý chung.153 Dựa trên các kết luận của mình, tòa án cho rằng không cần thiết phải xem xét liệu khái niệm 'chủ sở hữu hưởng lợi' trong các hiệp định thuế song phương có phải là một quy định chống lạm dụng hay không.154 Tổng biện lý Kokott rõ ràng rằng, mặc dù quyền sở hữu hưởng lợi không xung đột với nguyên tắc chống lạm dụng, nó giải quyết một vấn đề khác và việc không có quyền sở hữu hưởng lợi không đồng nghĩa với lạm dụng.155</w:t>
      </w:r>
    </w:p>
    <w:p>
      <w:pPr>
        <w:spacing w:after="80"/>
      </w:pPr>
      <w:r>
        <w:rPr>
          <w:b w:val="0"/>
          <w:i w:val="0"/>
        </w:rPr>
        <w:t xml:space="preserve">Trong </w:t>
      </w:r>
      <w:r>
        <w:rPr>
          <w:b w:val="0"/>
          <w:i/>
        </w:rPr>
        <w:t>Kofoed</w:t>
      </w:r>
      <w:r>
        <w:rPr>
          <w:b w:val="0"/>
          <w:i w:val="0"/>
        </w:rPr>
        <w:t>, tòa án Đan Mạch đã xác định rằng việc trao đổi cổ phần không được thực hiện vì bất kỳ lý do thương mại nào. Tuy nhiên, tòa án chưa sẵn sàng</w:t>
      </w:r>
    </w:p>
    <w:p>
      <w:pPr>
        <w:spacing w:after="80"/>
      </w:pPr>
      <w:r>
        <w:rPr>
          <w:b w:val="0"/>
          <w:i w:val="0"/>
        </w:rPr>
        <w:t>149.Chỉ thị Hội đồng 2015/121/EU, Lời nói đầu.150.</w:t>
      </w:r>
      <w:r>
        <w:rPr>
          <w:b w:val="0"/>
          <w:i/>
        </w:rPr>
        <w:t>Hans Markus Kofoed v Skatteministeriet</w:t>
      </w:r>
      <w:r>
        <w:rPr>
          <w:b w:val="0"/>
          <w:i w:val="0"/>
        </w:rPr>
        <w:t xml:space="preserve"> (Vụ C-321/05) EU:C:2007:408, đoạn 38.151.</w:t>
      </w:r>
      <w:r>
        <w:rPr>
          <w:b w:val="0"/>
          <w:i/>
        </w:rPr>
        <w:t>N Luxembourg I, X Denmark, C Danmark I và Z Denmark v Skatteministeriet</w:t>
      </w:r>
      <w:r>
        <w:rPr>
          <w:b w:val="0"/>
          <w:i w:val="0"/>
        </w:rPr>
        <w:t xml:space="preserve"> (Các vụ C-115/16, C-118/16, C-119/16 và C-299/16) EU:C:2019:134 (các vụ </w:t>
      </w:r>
      <w:r>
        <w:rPr>
          <w:b w:val="0"/>
          <w:i/>
        </w:rPr>
        <w:t>Danish IRD</w:t>
      </w:r>
      <w:r>
        <w:rPr>
          <w:b w:val="0"/>
          <w:i w:val="0"/>
        </w:rPr>
        <w:t>).152.</w:t>
      </w:r>
      <w:r>
        <w:rPr>
          <w:b w:val="0"/>
          <w:i/>
        </w:rPr>
        <w:t>SkatteministerietvTDanmarkandYDenmarkAps</w:t>
      </w:r>
      <w:r>
        <w:rPr>
          <w:b w:val="0"/>
          <w:i w:val="0"/>
        </w:rPr>
        <w:t xml:space="preserve">(Các vụ hợp nhất C-116/16 và C-117/16) ECLI:EU:C:2019:135 (các vụ </w:t>
      </w:r>
      <w:r>
        <w:rPr>
          <w:b w:val="0"/>
          <w:i/>
        </w:rPr>
        <w:t>Danish PSD</w:t>
      </w:r>
      <w:r>
        <w:rPr>
          <w:b w:val="0"/>
          <w:i w:val="0"/>
        </w:rPr>
        <w:t xml:space="preserve">).153.Các vụ </w:t>
      </w:r>
      <w:r>
        <w:rPr>
          <w:b w:val="0"/>
          <w:i/>
        </w:rPr>
        <w:t>Danish IRD</w:t>
      </w:r>
      <w:r>
        <w:rPr>
          <w:b w:val="0"/>
          <w:i w:val="0"/>
        </w:rPr>
        <w:t xml:space="preserve">, đoạn 95-120; các vụ </w:t>
      </w:r>
      <w:r>
        <w:rPr>
          <w:b w:val="0"/>
          <w:i/>
        </w:rPr>
        <w:t>Danish PSD</w:t>
      </w:r>
      <w:r>
        <w:rPr>
          <w:b w:val="0"/>
          <w:i w:val="0"/>
        </w:rPr>
        <w:t xml:space="preserve">, đoạn 68-93 về Điều 1(2) của Chỉ thị Công ty mẹ - công ty con. Nguyên tắc chung cũng được thảo luận trong Chương 3, §3.09 liên quan đến các quyền tự do cơ bản.154.Các vụ </w:t>
      </w:r>
      <w:r>
        <w:rPr>
          <w:b w:val="0"/>
          <w:i/>
        </w:rPr>
        <w:t>Danish IRD</w:t>
      </w:r>
      <w:r>
        <w:rPr>
          <w:b w:val="0"/>
          <w:i w:val="0"/>
        </w:rPr>
        <w:t xml:space="preserve">, đoạn 121; các vụ </w:t>
      </w:r>
      <w:r>
        <w:rPr>
          <w:b w:val="0"/>
          <w:i/>
        </w:rPr>
        <w:t>Danish PSD</w:t>
      </w:r>
      <w:r>
        <w:rPr>
          <w:b w:val="0"/>
          <w:i w:val="0"/>
        </w:rPr>
        <w:t>, đoạn 94. Theo quan điểm của tác giả, đây là một cơ hội bị bỏ lỡ để phân biệt chúng.155.Ý kiến, ECLI:EU:C:2018:143, tại đoạn 60.</w:t>
      </w:r>
    </w:p>
    <w:p>
      <w:pPr>
        <w:spacing w:after="80"/>
      </w:pPr>
      <w:r>
        <w:rPr>
          <w:b w:val="0"/>
          <w:i w:val="0"/>
        </w:rPr>
        <w:t>424</w:t>
      </w:r>
    </w:p>
    <w:p>
      <w:pPr>
        <w:spacing w:after="80"/>
      </w:pPr>
      <w:r>
        <w:rPr>
          <w:b w:val="0"/>
          <w:i w:val="0"/>
        </w:rPr>
        <w:t xml:space="preserve">cho phép các Quốc gia Thành viên định trước sự tồn tại của lạm dụng, nhận xét trong </w:t>
      </w:r>
      <w:r>
        <w:rPr>
          <w:b w:val="0"/>
          <w:i/>
        </w:rPr>
        <w:t>Leur-Bloem v Inspecteur der Belastingdienst</w:t>
      </w:r>
      <w:r>
        <w:rPr>
          <w:b w:val="0"/>
          <w:i w:val="0"/>
        </w:rPr>
        <w:t>:156</w:t>
      </w:r>
    </w:p>
    <w:p>
      <w:pPr>
        <w:spacing w:after="80"/>
      </w:pPr>
      <w:r>
        <w:rPr>
          <w:b w:val="0"/>
          <w:i w:val="0"/>
        </w:rPr>
        <w:t>Tuy nhiên, để xác định liệu hoạt động được dự kiến có mục tiêu như vậy hay không, các cơ quan có thẩm quyền quốc gia không thể chỉ giới hạn ở việc áp dụng các tiêu chí chung được định trước mà phải đưa từng trường hợp cụ thể vào một cuộc kiểm tra tổng thể. Theo án lệ đã được thiết lập, cuộc kiểm tra như vậy phải có thể được xem xét tư pháp.</w:t>
      </w:r>
    </w:p>
    <w:p>
      <w:pPr>
        <w:spacing w:after="80"/>
      </w:pPr>
      <w:r>
        <w:rPr>
          <w:b w:val="0"/>
          <w:i w:val="0"/>
        </w:rPr>
        <w:t xml:space="preserve">Lạm dụng, như được tòa án giải thích trong </w:t>
      </w:r>
      <w:r>
        <w:rPr>
          <w:b w:val="0"/>
          <w:i/>
        </w:rPr>
        <w:t>các vụ Danish IRD</w:t>
      </w:r>
      <w:r>
        <w:rPr>
          <w:b w:val="0"/>
          <w:i w:val="0"/>
        </w:rPr>
        <w:t>, liên quan đến việc một người viện dẫn các quy tắc của luật EU để mang lại một lợi thế theo cách không nhất quán với các mục tiêu của quy tắc đó. Mục đích của việc miễn thuế đối với lãi tại Quốc gia Thành viên nguồn trong Chỉ thị Lãi và Tiền bản quyền được cho là 'phát triển một thị trường duy nhất có các đặc điểm của một thị trường nội địa'. Các thỏa thuận tài chính có mục đích thiết yếu là hưởng lợi từ Chỉ thị sẽ không nhất quán với những mục tiêu đó và làm xói mòn sự gắn kết kinh tế và hoạt động hiệu quả của thị trường nội bộ bằng cách bóp méo các điều kiện cạnh tranh. Người nộp thuế không thể hưởng một quyền hoặc lợi thế phát sinh từ luật EU khi giao dịch đang xét hoàn toàn là nhân tạo về mặt kinh tế và được thiết kế để lách việc áp dụng pháp luật của Quốc gia Thành viên liên quan.157</w:t>
      </w:r>
    </w:p>
    <w:p>
      <w:pPr>
        <w:spacing w:after="80"/>
      </w:pPr>
      <w:r>
        <w:rPr>
          <w:b w:val="0"/>
          <w:i w:val="0"/>
        </w:rPr>
        <w:t>Một hành vi lạm dụng được cấu thành bởi thứ nhất, các hoàn cảnh khách quan khi luật EU được tuân thủ về hình thức, nhưng mục đích của luật đó thì không, và thứ hai, ý định chủ quan nhằm đạt được một lợi thế từ luật EU bằng cách tạo ra một cách nhân tạo các điều kiện để đáp ứng chúng.158 Các tòa án quốc gia phải xác định liệu những yếu tố này có được đáp ứng hay không.159</w:t>
      </w:r>
    </w:p>
    <w:p>
      <w:pPr>
        <w:spacing w:after="80"/>
      </w:pPr>
      <w:r>
        <w:rPr>
          <w:b w:val="0"/>
          <w:i w:val="0"/>
        </w:rPr>
        <w:t>Điều này dựa trên một cách diễn giải quan trọng về nguyên tắc chống lạm dụng trong bối cảnh thuế giá trị gia tăng (VAT). Câu hỏi về việc lạm dụng một chỉ thị đã được xem xét chi tiết trong</w:t>
      </w:r>
      <w:r>
        <w:rPr>
          <w:b w:val="0"/>
          <w:i/>
        </w:rPr>
        <w:t xml:space="preserve"> Halifax plc v Commissioners of Customs &amp; Excise</w:t>
      </w:r>
      <w:r>
        <w:rPr>
          <w:b w:val="0"/>
          <w:i w:val="0"/>
        </w:rPr>
        <w:t>160, nơi Tòa án đã xây dựng lập trường một cách chi tiết như sau:</w:t>
      </w:r>
    </w:p>
    <w:p>
      <w:pPr>
        <w:spacing w:after="80"/>
      </w:pPr>
      <w:r>
        <w:rPr>
          <w:b w:val="0"/>
          <w:i w:val="0"/>
        </w:rPr>
        <w:t>69. Việc áp dụng luật pháp Cộng đồng không thể được mở rộng để bao trùm các hành vi lạm dụng của các chủ thể kinh tế, nghĩa là, các giao dịch được thực hiện không phải trong bối cảnh hoạt động thương mại thông thường, mà chỉ nhằm mục đích giành được một cách bất chính những lợi ích mà luật pháp Cộng đồng quy định (xem, theo nghĩa đó, Vụ 125/76</w:t>
      </w:r>
      <w:r>
        <w:rPr>
          <w:b w:val="0"/>
          <w:i/>
        </w:rPr>
        <w:t xml:space="preserve"> Cremer</w:t>
      </w:r>
      <w:r>
        <w:rPr>
          <w:b w:val="0"/>
          <w:i w:val="0"/>
        </w:rPr>
        <w:t xml:space="preserve"> [1977] ECR 1593, đoạn 21; Vụ C-8/92</w:t>
      </w:r>
      <w:r>
        <w:rPr>
          <w:b w:val="0"/>
          <w:i/>
        </w:rPr>
        <w:t xml:space="preserve"> General Milk Products</w:t>
      </w:r>
      <w:r>
        <w:rPr>
          <w:b w:val="0"/>
          <w:i w:val="0"/>
        </w:rPr>
        <w:t xml:space="preserve"> [1993] ECR I-779, đoạn 21; và</w:t>
      </w:r>
      <w:r>
        <w:rPr>
          <w:b w:val="0"/>
          <w:i/>
        </w:rPr>
        <w:t xml:space="preserve"> Emsland-Stärke</w:t>
      </w:r>
      <w:r>
        <w:rPr>
          <w:b w:val="0"/>
          <w:i w:val="0"/>
        </w:rPr>
        <w:t>, đoạn 51).</w:t>
      </w:r>
    </w:p>
    <w:p>
      <w:pPr>
        <w:spacing w:after="80"/>
      </w:pPr>
      <w:r>
        <w:rPr>
          <w:b w:val="0"/>
          <w:i w:val="0"/>
        </w:rPr>
        <w:t>…</w:t>
      </w:r>
    </w:p>
    <w:p>
      <w:pPr>
        <w:spacing w:after="80"/>
      </w:pPr>
      <w:r>
        <w:rPr>
          <w:b w:val="0"/>
          <w:i w:val="0"/>
        </w:rPr>
        <w:t>73. … việc một thương nhân lựa chọn giữa các giao dịch được miễn thuế và các giao dịch chịu thuế có thể dựa trên nhiều yếu tố, bao gồm cả các cân nhắc về thuế liên quan đến hệ thống VAT. Khi đối tượng nộp thuế chọn một trong hai giao dịch, Chỉ thị thứ sáu không buộc họ phải chọn giao dịch dẫn đến việc phải trả số</w:t>
      </w:r>
    </w:p>
    <w:p>
      <w:pPr>
        <w:spacing w:after="80"/>
      </w:pPr>
      <w:r>
        <w:rPr>
          <w:b w:val="0"/>
          <w:i w:val="0"/>
        </w:rPr>
        <w:t>156.</w:t>
      </w:r>
      <w:r>
        <w:rPr>
          <w:b w:val="0"/>
          <w:i/>
        </w:rPr>
        <w:t>Leur-BloemvInspecteurderBelastingdienst/OndernemingenAmsterdam2</w:t>
      </w:r>
      <w:r>
        <w:rPr>
          <w:b w:val="0"/>
          <w:i w:val="0"/>
        </w:rPr>
        <w:t>(CaseC-28/95)[1997] ECR I-04161; [1997] BTC 504, đoạn 41.157.</w:t>
      </w:r>
      <w:r>
        <w:rPr>
          <w:b w:val="0"/>
          <w:i/>
        </w:rPr>
        <w:t>Danish IRD</w:t>
      </w:r>
      <w:r>
        <w:rPr>
          <w:b w:val="0"/>
          <w:i w:val="0"/>
        </w:rPr>
        <w:t xml:space="preserve"> cases, đoạn 102, 103, 107 và 109. Xem thêm,</w:t>
      </w:r>
      <w:r>
        <w:rPr>
          <w:b w:val="0"/>
          <w:i/>
        </w:rPr>
        <w:t xml:space="preserve"> Danish PSD</w:t>
      </w:r>
      <w:r>
        <w:rPr>
          <w:b w:val="0"/>
          <w:i w:val="0"/>
        </w:rPr>
        <w:t xml:space="preserve"> cases, đoạn 70-76.158.</w:t>
      </w:r>
      <w:r>
        <w:rPr>
          <w:b w:val="0"/>
          <w:i/>
        </w:rPr>
        <w:t>Danish IRD</w:t>
      </w:r>
      <w:r>
        <w:rPr>
          <w:b w:val="0"/>
          <w:i w:val="0"/>
        </w:rPr>
        <w:t xml:space="preserve"> cases, đoạn 124.159.</w:t>
      </w:r>
      <w:r>
        <w:rPr>
          <w:b w:val="0"/>
          <w:i/>
        </w:rPr>
        <w:t>Danish IRD</w:t>
      </w:r>
      <w:r>
        <w:rPr>
          <w:b w:val="0"/>
          <w:i w:val="0"/>
        </w:rPr>
        <w:t xml:space="preserve"> cases, đoạn 126.160.</w:t>
      </w:r>
      <w:r>
        <w:rPr>
          <w:b w:val="0"/>
          <w:i/>
        </w:rPr>
        <w:t>Halifax plc, Leeds Permanent Development Services Ltd, County Wide Property Investments LtdvCustomsandExciseCommissioners</w:t>
      </w:r>
      <w:r>
        <w:rPr>
          <w:b w:val="0"/>
          <w:i w:val="0"/>
        </w:rPr>
        <w:t>(CaseC-255/02)[2006]ECRI-01609;[2006]BVC377;[2006] STC 919, ECJ.</w:t>
      </w:r>
    </w:p>
    <w:p>
      <w:pPr>
        <w:spacing w:after="80"/>
      </w:pPr>
      <w:r>
        <w:rPr>
          <w:b w:val="0"/>
          <w:i w:val="0"/>
        </w:rPr>
        <w:t>425</w:t>
      </w:r>
    </w:p>
    <w:p>
      <w:pPr>
        <w:spacing w:after="80"/>
      </w:pPr>
      <w:r>
        <w:rPr>
          <w:b w:val="0"/>
          <w:i w:val="0"/>
        </w:rPr>
        <w:t>VAT cao nhất. Ngược lại, … người nộp thuế có thể chọn cấu trúc hoạt động kinh doanh của mình để hạn chế nghĩa vụ thuế của họ.</w:t>
      </w:r>
    </w:p>
    <w:p>
      <w:pPr>
        <w:spacing w:after="80"/>
      </w:pPr>
      <w:r>
        <w:rPr>
          <w:b w:val="0"/>
          <w:i w:val="0"/>
        </w:rPr>
        <w:t>74. Xuất phát từ những cân nhắc trên, … chỉ có thể xác định được một hành vi lạm dụng tồn tại khi, thứ nhất, các giao dịch liên quan, bất chấp việc áp dụng hình thức các điều kiện được quy định bởi các quy định liên quan của Chỉ thị thứ sáu và pháp luật quốc gia chuyển hóa nó, dẫn đến việc phát sinh một lợi ích thuế mà việc cấp lợi ích đó sẽ trái với mục đích của các quy định đó.</w:t>
      </w:r>
    </w:p>
    <w:p>
      <w:pPr>
        <w:spacing w:after="80"/>
      </w:pPr>
      <w:r>
        <w:rPr>
          <w:b w:val="0"/>
          <w:i w:val="0"/>
        </w:rPr>
        <w:t>75.Thứ hai, cũng phải thấy rõ từ một số yếu tố khách quan rằng mục đích thiết yếu của các giao dịch liên quan là để đạt được một lợi ích thuế.… việc cấm lạm dụng không có liên quan khi hoạt động kinh tế được thực hiện có thể có một lý giải nào đó khác ngoài việc chỉ đơn thuần đạt được các lợi ích thuế.</w:t>
      </w:r>
    </w:p>
    <w:p>
      <w:pPr>
        <w:spacing w:after="80"/>
      </w:pPr>
      <w:r>
        <w:rPr>
          <w:b w:val="0"/>
          <w:i w:val="0"/>
        </w:rPr>
        <w:t>Tòa án đã làm rõ cách diễn giải nguyên tắc này trong</w:t>
      </w:r>
      <w:r>
        <w:rPr>
          <w:b w:val="0"/>
          <w:i/>
        </w:rPr>
        <w:t xml:space="preserve"> Ministero dell’Economia edelleFinanzevPartServiceSrl</w:t>
      </w:r>
      <w:r>
        <w:rPr>
          <w:b w:val="0"/>
          <w:i w:val="0"/>
        </w:rPr>
        <w:t>161 bằng cách nhận xét rằng điều 13 của Chỉ thị VAT thứ sáu yêu cầu các Quốc gia Thành viên phải ‘ngăn chặn … mọi hành vi trốn thuế, né thuế hoặc lạm dụng có thể xảy ra’.162</w:t>
      </w:r>
    </w:p>
    <w:p>
      <w:pPr>
        <w:spacing w:after="80"/>
      </w:pPr>
      <w:r>
        <w:rPr>
          <w:b w:val="0"/>
          <w:i w:val="0"/>
        </w:rPr>
        <w:t>Về điểm này, khi giao dịch theo đuổi các mục tiêu kinh tế khác, có thể xác định được một hành vi lạm dụng khi việc phát sinh một lợi ích thuế tạo thành mục đích chính của giao dịch hoặc các giao dịch đang được xem xét.163</w:t>
      </w:r>
    </w:p>
    <w:p>
      <w:pPr>
        <w:spacing w:after="80"/>
      </w:pPr>
      <w:r>
        <w:rPr>
          <w:b w:val="0"/>
          <w:i w:val="0"/>
        </w:rPr>
        <w:t>Bất chấp lập trường cứng rắn về lạm dụng, trong</w:t>
      </w:r>
      <w:r>
        <w:rPr>
          <w:b w:val="0"/>
          <w:i/>
        </w:rPr>
        <w:t>Foggia–SociedadeGestoradeParticipacoesSociais SA v Secretário de Estado dos Assuntos Fiscais</w:t>
      </w:r>
      <w:r>
        <w:rPr>
          <w:b w:val="0"/>
          <w:i w:val="0"/>
        </w:rPr>
        <w:t>,164 tòa án đã nhắc lại rằng điều hiện nay là điều 15(1)(a) là một ngoại lệ đối với các quy tắc thuế được thiết lập bởi chỉ thị và, như vậy, phải được giải thích một cách chặt chẽ, có xét đến từ ngữ, mục đích và bối cảnh của nó.165 Trong vụ đó, theo một vụ sáp nhập giữa hai công ty cùng một tập đoàn, trong đó vào ngày sáp nhập công ty bị mua lại không thực hiện bất kỳ hoạt động nào và không có bất kỳ cổ phần tài chính nào, chỉ có những khoản lỗ thuế đáng kể có nguồn gốc không xác định được chuyển sang công ty mua lại. Tòa án nhận xét rằng hoạt động này có tác động tích cực về mặt tiết kiệm cơ cấu chi phí cho tập đoàn. Tòa án phán quyết rằng một hoạt động sáp nhập dựa trên nhiều mục tiêu, có thể bao gồm các cân nhắc về thuế, có thể tạo thành một hoạt động có lý do thương mại hợp lệ với điều kiện là, tuy nhiên, những cân nhắc về thuế đó không chiếm ưu thế trong bối cảnh của giao dịch được đề xuất. Tòa án quốc gia có trách nhiệm xác minh, dựa trên tất cả các tình huống, liệu các yếu tố cấu thành của việc tránh thuế theo nghĩa của điều 15(1)(a) có hiện diện hay không.</w:t>
      </w:r>
    </w:p>
    <w:p>
      <w:pPr>
        <w:spacing w:after="80"/>
      </w:pPr>
      <w:r>
        <w:rPr>
          <w:b w:val="0"/>
          <w:i w:val="0"/>
        </w:rPr>
        <w:t>Các quy tắc tố tụng yêu cầu phải có phán quyết trước của cơ quan thuế rằng không có hành vi tránh thuế phải đáp ứng yêu cầu về tính chắc chắn pháp lý. Trong</w:t>
      </w:r>
      <w:r>
        <w:rPr>
          <w:b w:val="0"/>
          <w:i/>
        </w:rPr>
        <w:t>EuroParkServicevMinistredesfinancesetdescomptespublics</w:t>
      </w:r>
      <w:r>
        <w:rPr>
          <w:b w:val="0"/>
          <w:i w:val="0"/>
        </w:rPr>
        <w:t>166 (C-14/16), một công ty Pháp đã bị giải thể bởi cổ đông duy nhất của nó, một công ty Luxembourg. Việc hoãn thuế theo yêu cầu của</w:t>
      </w:r>
    </w:p>
    <w:p>
      <w:pPr>
        <w:spacing w:after="80"/>
      </w:pPr>
      <w:r>
        <w:rPr>
          <w:b w:val="0"/>
          <w:i w:val="0"/>
        </w:rPr>
        <w:t>161.</w:t>
      </w:r>
      <w:r>
        <w:rPr>
          <w:b w:val="0"/>
          <w:i/>
        </w:rPr>
        <w:t>Ministerodell’EconomiaedelleFinanze,formerlyMinisterodelleFinanze,vPartServiceSrl,companyinliquidation,formerlyItalserviceSrl</w:t>
      </w:r>
      <w:r>
        <w:rPr>
          <w:b w:val="0"/>
          <w:i w:val="0"/>
        </w:rPr>
        <w:t>(CaseC-425/06)[2008]I-00897;[2010]BVC443; [2008] STC 3132, ECJ.162.Tại đoạn 41.163.Tại đoạn 45.164.</w:t>
      </w:r>
      <w:r>
        <w:rPr>
          <w:b w:val="0"/>
          <w:i/>
        </w:rPr>
        <w:t>Foggia–SociedadeGestoradeParticipac¸õesSociaisSAvSecretáriodeEstadodosAssuntosFiscais</w:t>
      </w:r>
      <w:r>
        <w:rPr>
          <w:b w:val="0"/>
          <w:i w:val="0"/>
        </w:rPr>
        <w:t xml:space="preserve"> (Case C-126/10) [2011] I-10923; [2013] BTC 339; [2012] STC 219.165.Tại đoạn 44.166.</w:t>
      </w:r>
      <w:r>
        <w:rPr>
          <w:b w:val="0"/>
          <w:i/>
        </w:rPr>
        <w:t>Euro Park Service, having assumed the rights and obligations of Cairnbulg Nanteuil v Ministredes finances et des comptes publics</w:t>
      </w:r>
      <w:r>
        <w:rPr>
          <w:b w:val="0"/>
          <w:i w:val="0"/>
        </w:rPr>
        <w:t xml:space="preserve"> (C-14/16) ECLI:EU:C:2017:177.</w:t>
      </w:r>
    </w:p>
    <w:p>
      <w:pPr>
        <w:spacing w:after="80"/>
      </w:pPr>
      <w:r>
        <w:rPr>
          <w:b w:val="0"/>
          <w:i w:val="0"/>
        </w:rPr>
        <w:t>426</w:t>
      </w:r>
    </w:p>
    <w:p>
      <w:pPr>
        <w:spacing w:after="80"/>
      </w:pPr>
      <w:r>
        <w:rPr>
          <w:b w:val="0"/>
          <w:i w:val="0"/>
        </w:rPr>
        <w:t>điều 4(1) của Chỉ thị Sáp nhập đã bị cơ quan thuế Pháp từ chối với lý do rằng sự phê duyệt cần thiết của bộ trưởng đã không được yêu cầu, và rằng sự phê duyệt đó, trong mọi trường hợp, sẽ không được đưa ra, vì hoạt động đó không được biện minh bởi các lý do thương mại mà đã được thực hiện nhằm mục đích tránh thuế. Pháp luật Pháp không quy định các quy tắc chi tiết cho việc phê duyệt của bộ trưởng và thực tiễn của cơ quan thuế không đủ chính xác, rõ ràng và có thể dự đoán được để cho phép người nộp thuế xác định được các quyền của mình, đặc biệt là vì ít nhất một số thực tiễn có thể bị thay đổi theo quyết định tùy ý của cơ quan thuế. Do đó, các quy tắc tố tụng đã không đáp ứng được yêu cầu về tính chắc chắn pháp lý và, do đó, pháp luật yêu cầu phê duyệt trước không nhất quán với nguyên tắc hiệu quả. Tòa án phán quyết rằng, ngay cả khi giả định rằng chỉ thị cho phép một yêu cầu phê duyệt, yêu cầu phê duyệt đang được xem xét không tương thích với các quyền được cấp bởi chỉ thị.</w:t>
      </w:r>
    </w:p>
    <w:p>
      <w:pPr>
        <w:spacing w:after="80"/>
      </w:pPr>
      <w:r>
        <w:rPr>
          <w:b/>
          <w:i w:val="0"/>
        </w:rPr>
        <w:t>§14.11 CÁC DOANH NGHIỆP LIÊN KẾT</w:t>
      </w:r>
    </w:p>
    <w:p>
      <w:pPr>
        <w:spacing w:after="80"/>
      </w:pPr>
      <w:r>
        <w:rPr>
          <w:b w:val="0"/>
          <w:i w:val="0"/>
        </w:rPr>
        <w:t>Kết luận của Công ước về việc loại bỏ đánh thuế hai lần liên quan đến việc điều chỉnh lợi nhuận của các doanh nghiệp liên kết có hiệu lực áp dụng thống nhất nguyên tắc giao dịch độc lập (arm's-length principle) theo Điều 9(1) của Mô hình OECD đối với các giao dịch giữa các doanh nghiệp liên kết, cũng như Điều 7(2) liên quan đến việc phân bổ lợi nhuận giữa một cơ sở thường trú (permanent establishment) và trụ sở chính. Mặc dù điều này có thể khiến các quy định tương tự trong các hiệp định song phương trở nên dư thừa ở một mức độ nào đó, nhưng nó không có địa vị của một chỉ thị (directive) hay công cụ lập pháp nào khác theo luật châu Âu. Nó đơn thuần là một hiệp ước được ký kết giữa các Quốc gia Thành viên, có thể được sửa đổi bằng thỏa thuận giữa các bên. Công ước Trọng tài (Arbitration Convention) được thảo luận chi tiết trong Chương 21.</w:t>
      </w:r>
    </w:p>
    <w:p>
      <w:pPr>
        <w:spacing w:after="80"/>
      </w:pPr>
      <w:r>
        <w:rPr>
          <w:b/>
          <w:i w:val="0"/>
        </w:rPr>
        <w:t>§14.12 TRAO ĐỔI THÔNG TIN VÀ THU HỒI THUẾ</w:t>
      </w:r>
    </w:p>
    <w:p>
      <w:pPr>
        <w:spacing w:after="80"/>
      </w:pPr>
      <w:r>
        <w:rPr>
          <w:b w:val="0"/>
          <w:i w:val="0"/>
        </w:rPr>
        <w:t>Các quy tắc chi tiết về hỗ trợ lẫn nhau giữa các cơ quan có thẩm quyền của các Quốc gia Thành viên trong lĩnh vực thuế trực thu và gián thu đã được các Quốc gia Thành viên xử lý thông qua chỉ thị từ tháng 12 năm 1977. Chỉ thị của Hội đồng 77/799/EEC chi tiết và toàn diện hơn đáng kể so với những quy định trong Điều 26 của Mô hình OECD. Từ ngày 1 tháng 1 năm 2013, một chỉ thị đã được hiện đại hóa được áp dụng.167 Một lần nữa, có thể lập luận rằng các quy định về trao đổi thông tin trong các hiệp định song phương giữa các Quốc gia Thành viên là dư thừa.168</w:t>
      </w:r>
    </w:p>
    <w:p>
      <w:pPr>
        <w:spacing w:after="80"/>
      </w:pPr>
      <w:r>
        <w:rPr>
          <w:b w:val="0"/>
          <w:i w:val="0"/>
        </w:rPr>
        <w:t>Các thỏa thuận để cơ quan có thẩm quyền của một Quốc gia Thành viên thu thuế thay cho cơ quan có thẩm quyền của quốc gia khác được quy định trong chỉ thị về hỗ trợ lẫn nhau trong việc thu hồi các khiếu nại liên quan đến một số khoản phí, thuế, thuế và các biện pháp khác đã có hiệu lực từ năm 1976.169 Chỉ thị hiện hành170 trao quyền rộng rãi cho</w:t>
      </w:r>
    </w:p>
    <w:p>
      <w:pPr>
        <w:spacing w:after="80"/>
      </w:pPr>
      <w:r>
        <w:rPr>
          <w:b w:val="0"/>
          <w:i w:val="0"/>
        </w:rPr>
        <w:t>167. Chỉ thị của Hội đồng 2011/16/EU ngày 15 tháng 2 năm 2011 về hợp tác hành chính trong lĩnh vực thuế và bãi bỏ Chỉ thị 77/799/EEC.168. Xem Chương 22.169. Chỉ thị của Hội đồng 76/308/EEC đã được sửa đổi.</w:t>
      </w:r>
    </w:p>
    <w:p>
      <w:pPr>
        <w:spacing w:after="80"/>
      </w:pPr>
      <w:r>
        <w:rPr>
          <w:b w:val="0"/>
          <w:i w:val="0"/>
        </w:rPr>
        <w:t>427</w:t>
      </w:r>
    </w:p>
    <w:p>
      <w:pPr>
        <w:spacing w:after="80"/>
      </w:pPr>
      <w:r>
        <w:rPr>
          <w:b w:val="0"/>
          <w:i w:val="0"/>
        </w:rPr>
        <w:t>việc thu thuế xuyên biên giới trong EU, bao gồm cả liên quan đến VAT và thuế đánh vào thu nhập và vốn.171 Các chỉ thị này được thảo luận chi tiết trong Chương 22.</w:t>
      </w:r>
    </w:p>
    <w:p>
      <w:pPr>
        <w:spacing w:after="80"/>
      </w:pPr>
      <w:r>
        <w:rPr>
          <w:b/>
          <w:i w:val="0"/>
        </w:rPr>
        <w:t>§14.13 CHỈ THỊ CHỐNG TRÁNH THUẾ</w:t>
      </w:r>
    </w:p>
    <w:p>
      <w:pPr>
        <w:spacing w:after="80"/>
      </w:pPr>
      <w:r>
        <w:rPr>
          <w:b w:val="0"/>
          <w:i w:val="0"/>
        </w:rPr>
        <w:t>ATAD của EU172 thực thi một số khuyến nghị của OECD/G20 về BEPS. Không giống như mục đích của pháp luật thuế trực thu EU trước đây, vốn là để ngăn chặn việc đánh thuế của Quốc gia Thành viên trong một số trường hợp nhất định, ATAD yêu cầu các Quốc gia Thành viên phải đánh thuế theo các điều khoản của nó kể từ ngày 1 tháng 1 năm 2019.173 Chỉ thị này áp dụng cho tất cả người nộp thuế phải chịu thuế doanh nghiệp tại ít nhất một Quốc gia Thành viên.174 Các cơ sở thường trú của các thực thể cư trú thuế tại một quốc gia thứ ba trong một Quốc gia Thành viên được bao gồm một cách rõ ràng. Không giống như các chỉ thị thuế trực thu trước đây, thuế doanh nghiệp không được quy định cụ thể trong ATAD. Cơ sở thường trú cũng không được định nghĩa.</w:t>
      </w:r>
    </w:p>
    <w:p>
      <w:pPr>
        <w:spacing w:after="80"/>
      </w:pPr>
      <w:r>
        <w:rPr>
          <w:b w:val="0"/>
          <w:i w:val="0"/>
        </w:rPr>
        <w:t>Mục tiêu của ATAD không phải là hài hòa hóa toàn diện các quy tắc chống tránh thuế, mà là thiết lập một tiêu chuẩn tối thiểu trong các lĩnh vực mà nó đề cập. Do đó, các Quốc gia Thành viên được tự do áp dụng các tiêu chuẩn nghiêm ngặt hơn một cách đơn phương hoặc thông qua hiệp ước.175 Mặc dù chỉ thị này nhằm thực hiện các hành động của BEPS, nhưng các tiêu chuẩn tối thiểu được đề cập trong mỗi trường hợp lại khác nhau. Trong khi cả hai đều yêu cầu một quy tắc chống tránh thuế chung, Công ước Đa phương của OECD để thực hiện các biện pháp liên quan đến hiệp định thuế nhằm ngăn chặn xói mòn cơ sở thuế và chuyển dịch lợi nhuận (MLI) lại giới hạn phạm vi áp dụng của nó đối với các hiệp định đánh thuế hai lần.176 Ngược lại, ATAD yêu cầu các Quốc gia Thành viên áp dụng các tiêu chuẩn tối thiểu trong bốn lĩnh vực khác, cụ thể là các công ty nước ngoài được kiểm soát (CFC), sự không khớp lai (hybrid mismatches), đánh thuế khi rời đi (exit taxation) và giới hạn khấu trừ lãi vay (interest deduction limitation).</w:t>
      </w:r>
    </w:p>
    <w:p>
      <w:pPr>
        <w:spacing w:after="80"/>
      </w:pPr>
      <w:r>
        <w:rPr>
          <w:b w:val="0"/>
          <w:i w:val="0"/>
        </w:rPr>
        <w:t>Tính tối cao của luật EU sẽ có nghĩa là ATAD sẽ ghi đè lên các hiệp định thuế song phương không nhất quán với các quy định của nó.</w:t>
      </w:r>
    </w:p>
    <w:p>
      <w:pPr>
        <w:spacing w:after="80"/>
      </w:pPr>
      <w:r>
        <w:rPr>
          <w:b/>
          <w:i w:val="0"/>
        </w:rPr>
        <w:t>[A]Quy tắc chống lạm dụng chung</w:t>
      </w:r>
    </w:p>
    <w:p>
      <w:pPr>
        <w:spacing w:after="80"/>
      </w:pPr>
      <w:r>
        <w:rPr>
          <w:b w:val="0"/>
          <w:i w:val="0"/>
        </w:rPr>
        <w:t>Quy tắc chống lạm dụng của EU có ý nghĩa đáng kể do tính tối cao của luật EU. Do đó, về nguyên tắc, nó sẽ được ưu tiên hơn cả các quy tắc chống lạm dụng chung trong nước và các quy tắc trong các hiệp định đánh thuế hai lần. Nó có nhiều điểm chung với GAAR trong nước của Vương quốc Anh177</w:t>
      </w:r>
    </w:p>
    <w:p>
      <w:pPr>
        <w:spacing w:after="80"/>
      </w:pPr>
      <w:r>
        <w:rPr>
          <w:b w:val="0"/>
          <w:i w:val="0"/>
        </w:rPr>
        <w:t>cũng như Bài kiểm tra Mục đích Chính (PPT) trong MLI của OECD và GAAR trong Chỉ thị Công ty Mẹ - Công ty Con.178 Nó quy định:</w:t>
      </w:r>
    </w:p>
    <w:p>
      <w:pPr>
        <w:spacing w:after="80"/>
      </w:pPr>
      <w:r>
        <w:rPr>
          <w:b w:val="0"/>
          <w:i w:val="0"/>
        </w:rPr>
        <w:t>170. Chỉ thị của Hội đồng 2010/24/EU ngày 16 tháng 3 năm 2010 về hỗ trợ lẫn nhau trong việc thu hồi các khiếu nại liên quan đến thuế, phí và các biện pháp khác.171. Điều 2.172. Chỉ thị (EU) 2016/1164 ngày 12 tháng 7 năm 2016 quy định các quy tắc chống lại các hành vi tránh thuế ảnh hưởng trực tiếp đến hoạt động của thị trường nội bộ (ATAD).173. Điều 11.174. Điều 1.175. Điều 3.176. Xem Chương 2, §2.14 và Chương 17, §17.03.177. Xem Chương 18, §18.02.178. §14.10.</w:t>
      </w:r>
    </w:p>
    <w:p>
      <w:pPr>
        <w:spacing w:after="80"/>
      </w:pPr>
      <w:r>
        <w:rPr>
          <w:b w:val="0"/>
          <w:i w:val="0"/>
        </w:rPr>
        <w:t>428</w:t>
      </w:r>
    </w:p>
    <w:p>
      <w:pPr>
        <w:spacing w:after="80"/>
      </w:pPr>
      <w:r>
        <w:rPr>
          <w:b w:val="0"/>
          <w:i w:val="0"/>
        </w:rPr>
        <w:t>(1) Nhằm mục đích tính toán nghĩa vụ thuế thu nhập doanh nghiệp, một Quốc gia Thành viên phải</w:t>
      </w:r>
    </w:p>
    <w:p>
      <w:pPr>
        <w:spacing w:after="80"/>
      </w:pPr>
      <w:r>
        <w:rPr>
          <w:b w:val="0"/>
          <w:i w:val="0"/>
        </w:rPr>
        <w:t>bỏ qua một thỏa thuận hoặc một chuỗi thỏa thuận mà, sau khi được đưa ra với mục đích chính hoặc một trong những mục đích chính là nhằm đạt được lợi ích thuế làm xâm phạm mục tiêu hoặc mục đích của luật thuế hiện hành, không phải là thực chất khi xét đến tất cả các sự kiện và hoàn cảnh liên quan. Một thỏa thuận có thể bao gồm nhiều hơn một bước hoặc một phần.(2) Nhằm mục đích của khoản 1, một thỏa thuận hoặc một chuỗi thỏa thuận như vậy sẽ được</w:t>
      </w:r>
    </w:p>
    <w:p>
      <w:pPr>
        <w:spacing w:after="80"/>
      </w:pPr>
      <w:r>
        <w:rPr>
          <w:b w:val="0"/>
          <w:i w:val="0"/>
        </w:rPr>
        <w:t>coi là không thực chất trong phạm vi chúng không được đưa ra vì những lý do thương mại hợp lệ phản ánh thực tế kinh tế.(3) Khi các thỏa thuận hoặc một chuỗi thỏa thuận như vậy bị bỏ qua theo</w:t>
      </w:r>
    </w:p>
    <w:p>
      <w:pPr>
        <w:spacing w:after="80"/>
      </w:pPr>
      <w:r>
        <w:rPr>
          <w:b w:val="0"/>
          <w:i w:val="0"/>
        </w:rPr>
        <w:t>khoản 1, nghĩa vụ thuế sẽ được tính toán theo luật quốc gia.</w:t>
      </w:r>
    </w:p>
    <w:p>
      <w:pPr>
        <w:spacing w:after="80"/>
      </w:pPr>
      <w:r>
        <w:rPr>
          <w:b w:val="0"/>
          <w:i w:val="0"/>
        </w:rPr>
        <w:t>Việc áp dụng ATAD GAAR chỉ áp dụng cho thuế thu nhập doanh nghiệp, đưa người nộp thuế vào phạm vi của chỉ thị. Phạm vi của nó có thể bị giới hạn thêm bởi mục đích của quy tắc, được thể hiện là nhằm giải quyết các thực tiễn thuế lạm dụng chưa được xử lý thông qua các quy định nhắm mục tiêu cụ thể. Do đó, chức năng của nó là lấp đầy các lỗ hổng, và không nên ảnh hưởng đến khả năng áp dụng của các quy tắc chống lạm dụng cụ thể.179 Trên cơ sở này, ATED GAAR có thể không thay thế PPT vốn nhắm mục tiêu cụ thể vào lạm dụng hiệp ước, mặc dù nói chung, khi PPT xuất hiện trong một hiệp ước đánh thuế hai lần. Các thỏa thuận phải đáp ứng ba bài kiểm tra để thuộc phạm vi của quy tắc: thứ nhất, mục đích chính, hoặc một trong những mục đích chính, của các thỏa thuận phải là đạt được lợi ích thuế. Lợi ích thuế không được giải thích nhưng ý nghĩa của nó có khả năng rộng; thứ hai, các thỏa thuận phải xâm phạm mục tiêu hoặc mục đích của luật thuế hiện hành; và thứ ba, chúng không được 'thực chất' như được định nghĩa trong điều 6(2).</w:t>
      </w:r>
    </w:p>
    <w:p>
      <w:pPr>
        <w:spacing w:after="80"/>
      </w:pPr>
      <w:r>
        <w:rPr>
          <w:b w:val="0"/>
          <w:i w:val="0"/>
        </w:rPr>
        <w:t xml:space="preserve">Khi các thỏa thuận vi phạm ba bài kiểm tra, chúng phải bị bỏ qua nhằm mục đích tính toán nghĩa vụ thuế. Điều này khác với, ví dụ, GAAR nội địa của Vương quốc Anh, nơi các thỏa thuận có thể bị vô hiệu hóa bằng các điều chỉnh 'công bằng và hợp lý' có thể bao gồm việc tái định hình các thỏa thuận, hoặc điều chỉnh bằng cách tham chiếu đến một giao dịch thay thế. Các thỏa thuận vi phạm PPT của MLI dẫn đến việc mất lợi ích hiệp ước được tìm kiếm. Điều 6(3) xác nhận rằng hậu quả của việc ATAD GAAR áp dụng cho một hiệp ước sẽ chỉ đơn giản là việc áp dụng luật thuế của Quốc gia Thành viên mà không xét đến các thỏa thuận hiệp ước vi phạm.180 Phạm vi rộng của nguyên tắc chống lạm dụng chung của luật EU được thể hiện trong </w:t>
      </w:r>
      <w:r>
        <w:rPr>
          <w:b w:val="0"/>
          <w:i/>
        </w:rPr>
        <w:t>các vụ án Đan Mạch</w:t>
      </w:r>
      <w:r>
        <w:rPr>
          <w:b w:val="0"/>
          <w:i w:val="0"/>
        </w:rPr>
        <w:t>181 có thể có nghĩa là ATAD GAAR phần lớn là sự hệ thống hóa nguyên tắc đó. Sự khác biệt chính trong bối cảnh xuyên biên giới là nguyên tắc chung đề cập đến mục đích thiết yếu của một thỏa thuận trong khi ATAD GAAR được thỏa mãn nếu chỉ một trong những mục đích chính của thỏa thuận là xâm phạm mục đích của quy tắc thuế được đề cập. GAAR của Ireland nằm trong TCA 1997, s. 811C.</w:t>
      </w:r>
    </w:p>
    <w:p>
      <w:pPr>
        <w:spacing w:after="80"/>
      </w:pPr>
      <w:r>
        <w:rPr>
          <w:b w:val="0"/>
          <w:i w:val="0"/>
        </w:rPr>
        <w:t xml:space="preserve">179. ATAD, Đoạn 11.180. Tuy nhiên, trong </w:t>
      </w:r>
      <w:r>
        <w:rPr>
          <w:b w:val="0"/>
          <w:i/>
        </w:rPr>
        <w:t>Edward Cussens, John Jennings, Vincent Kingston v T.G. Brosman</w:t>
      </w:r>
      <w:r>
        <w:rPr>
          <w:b w:val="0"/>
          <w:i w:val="0"/>
        </w:rPr>
        <w:t xml:space="preserve"> (Case C-251/16) ECLI:EU:C:2017:881, tại đoạn 46, tòa án đã phán quyết rằng các giao dịch phải được định nghĩa lại để tái lập tình huống sẽ tồn tại nếu không có các giao dịch cấu thành thực tiễn lạm dụng. Tuy nhiên, việc định nghĩa lại đó không được đi xa hơn mức cần thiết để tính thuế đúng và ngăn chặn trốn thuế.181. Xem §14.10.</w:t>
      </w:r>
    </w:p>
    <w:p>
      <w:pPr>
        <w:spacing w:after="80"/>
      </w:pPr>
      <w:r>
        <w:rPr>
          <w:b w:val="0"/>
          <w:i w:val="0"/>
        </w:rPr>
        <w:t>429</w:t>
      </w:r>
    </w:p>
    <w:p>
      <w:pPr>
        <w:spacing w:after="80"/>
      </w:pPr>
      <w:r>
        <w:rPr>
          <w:b/>
          <w:i w:val="0"/>
        </w:rPr>
        <w:t>[B]Quy tắc giới hạn lãi suất</w:t>
      </w:r>
    </w:p>
    <w:p>
      <w:pPr>
        <w:spacing w:after="80"/>
      </w:pPr>
      <w:r>
        <w:rPr>
          <w:b w:val="0"/>
          <w:i w:val="0"/>
        </w:rPr>
        <w:t>Điều 4 thực thi Báo cáo cuối cùng về Hành động 4 của OECD BEPS về Hạn chế xói mòn cơ sở liên quan đến khấu trừ lãi suất và các khoản thanh toán tài chính khác.182 Các Quốc gia Thành viên được yêu cầu hạn chế chi phí đi vay ở mức 30% thu nhập trước lãi suất, thuế, khấu hao và phân bổ của người nộp thuế.183 Các hạn chế đối với việc giảm trừ chi phí tài chính là bổ sung cho bất kỳ hạn chế nào có thể tồn tại theo điều 9 (Các doanh nghiệp liên kết) của Mô hình OECD.184</w:t>
      </w:r>
    </w:p>
    <w:p>
      <w:pPr>
        <w:spacing w:after="80"/>
      </w:pPr>
      <w:r>
        <w:rPr>
          <w:b w:val="0"/>
          <w:i w:val="0"/>
        </w:rPr>
        <w:t xml:space="preserve">Các ngoại lệ tùy chọn đối với quy tắc cơ bản bao gồm ngưỡng </w:t>
      </w:r>
      <w:r>
        <w:rPr>
          <w:b w:val="0"/>
          <w:i/>
        </w:rPr>
        <w:t>de minimis</w:t>
      </w:r>
      <w:r>
        <w:rPr>
          <w:b w:val="0"/>
          <w:i w:val="0"/>
        </w:rPr>
        <w:t xml:space="preserve"> là 3 triệu EUR chi phí đi vay ròng có thể được khấu trừ;185 loại trừ cho 'các thực thể độc lập'186 và các tổ chức tài chính.187 Việc đo lường có thể trên cơ sở nhóm188 bằng cách tham chiếu đến khoản vay bên ngoài thực tế của nhóm, hoặc khi người nộp thuế có thể chứng minh rằng tỷ lệ vốn chủ sở hữu trên tổng tài sản bằng hoặc lớn hơn tỷ lệ tương đương của nhóm.</w:t>
      </w:r>
    </w:p>
    <w:p>
      <w:pPr>
        <w:spacing w:after="80"/>
      </w:pPr>
      <w:r>
        <w:rPr>
          <w:b/>
          <w:i w:val="0"/>
        </w:rPr>
        <w:t>[C]Thuế xuất cảnh</w:t>
      </w:r>
    </w:p>
    <w:p>
      <w:pPr>
        <w:spacing w:after="80"/>
      </w:pPr>
      <w:r>
        <w:rPr>
          <w:b w:val="0"/>
          <w:i w:val="0"/>
        </w:rPr>
        <w:t>Thuế xuất cảnh189 chỉ nhận được sự chú ý khiêm tốn trong Hành động 6 của BEPS về lạm dụng hiệp ước.190 Tính tương thích của nó với các quyền tự do cơ bản của EU đã là chủ đề của các vụ kiện tụng thường xuyên.191 Ngoài việc lưu ý rằng việc coi là chuyển nhượng khi xuất cảnh thường xảy ra trước khi rời đi để điều 13 của Mô hình OECD không được áp dụng, trọng tâm chính trong báo cáo cuối cùng của Hành động 6 là những khó khăn trong việc đạt được giảm thuế hai lần cho các khoản phí khi xuất cảnh. Tuy nhiên, thuế xuất cảnh là một đặc điểm quan trọng của ATAD và hoạt động của nó được trình bày chi tiết. Điều 5(1) yêu cầu các Quốc gia Thành viên áp đặt một khoản thuế tại thời điểm xuất cảnh khi người nộp thuế chuyển:</w:t>
      </w:r>
    </w:p>
    <w:p>
      <w:pPr>
        <w:spacing w:after="80"/>
      </w:pPr>
      <w:r>
        <w:rPr>
          <w:b w:val="0"/>
          <w:i w:val="0"/>
        </w:rPr>
        <w:t xml:space="preserve">182. OECD (2015), Limiting Base Erosion Involving Interest Deductions and Other Financial Payments, Action 4 – 2015 Final Report, OECD/G20 Base Erosion and Profit Shifting Project http://dx.doi.org/10.1787/9789264241176-en.183. Điều 4(1).184. Chương 9, §9.17. Tại thời điểm viết bài, Chính phủ Ireland đang tham vấn về việc ban hành luật thực thi https://www.gov.ie/en/consultation/c071e-atad-implementation-article-4-interest-limitation-feedback-statement-december-2020/.185. Điều 4(2)(a).186. Điều 4(2)(b).187. Điều 4(7).188. Điều 4(1)(a).189. Xem Chương 12, §12.10.190. OECD (2015), Preventing the Granting of Treaty Benefits in Inappropriate Circumstances, Action 6 – 2015 Final Report, OECD/G20 Base Erosion and Profit Shifting Project, các đoạn 65-67 http://dx.doi.org/10.1787/9789264241695-en.191. Trong bối cảnh doanh nghiệp: </w:t>
      </w:r>
      <w:r>
        <w:rPr>
          <w:b w:val="0"/>
          <w:i/>
        </w:rPr>
        <w:t>Nv Inspecteur van de Belastingdienst Oos/kantoor Almelo</w:t>
      </w:r>
      <w:r>
        <w:rPr>
          <w:b w:val="0"/>
          <w:i w:val="0"/>
        </w:rPr>
        <w:t xml:space="preserve"> (Case C-470/04) [2006] ECR I-7409, [2008] STC 436; </w:t>
      </w:r>
      <w:r>
        <w:rPr>
          <w:b w:val="0"/>
          <w:i/>
        </w:rPr>
        <w:t>National Grid Indus BV v Inspecteur van de Belastingdienst Rijnmond/kantoor Rotterdam</w:t>
      </w:r>
      <w:r>
        <w:rPr>
          <w:b w:val="0"/>
          <w:i w:val="0"/>
        </w:rPr>
        <w:t xml:space="preserve"> (Case C-371/10), [2011] ECR I-12273, [2012] BTC 385, [2012] STC 114. Xem thêm </w:t>
      </w:r>
      <w:r>
        <w:rPr>
          <w:b w:val="0"/>
          <w:i/>
        </w:rPr>
        <w:t>European Commission v Portuguese Republic</w:t>
      </w:r>
      <w:r>
        <w:rPr>
          <w:b w:val="0"/>
          <w:i w:val="0"/>
        </w:rPr>
        <w:t xml:space="preserve"> (Case C-38/10) ECLI:EU:C:2012:521 (công ty và cổ đông); </w:t>
      </w:r>
      <w:r>
        <w:rPr>
          <w:b w:val="0"/>
          <w:i/>
        </w:rPr>
        <w:t>European Commission v Kingdom of Denmark</w:t>
      </w:r>
      <w:r>
        <w:rPr>
          <w:b w:val="0"/>
          <w:i w:val="0"/>
        </w:rPr>
        <w:t xml:space="preserve"> (Case C-261/11) ECLI:EU:C:2013:480 (Chuyển tài sản sang một Quốc gia Thành viên khác).</w:t>
      </w:r>
    </w:p>
    <w:p>
      <w:pPr>
        <w:spacing w:after="80"/>
      </w:pPr>
      <w:r>
        <w:rPr>
          <w:b w:val="0"/>
          <w:i w:val="0"/>
        </w:rPr>
        <w:t>430</w:t>
      </w:r>
    </w:p>
    <w:p>
      <w:pPr>
        <w:spacing w:after="80"/>
      </w:pPr>
      <w:r>
        <w:rPr>
          <w:b w:val="0"/>
          <w:i w:val="0"/>
        </w:rPr>
        <w:t>(a) tài sản từ trụ sở chính của mình đến cơ sở thường trú của mình tại một Quốc gia thành viên khác</w:t>
      </w:r>
    </w:p>
    <w:p>
      <w:pPr>
        <w:spacing w:after="80"/>
      </w:pPr>
      <w:r>
        <w:rPr>
          <w:b w:val="0"/>
          <w:i w:val="0"/>
        </w:rPr>
        <w:t>hoặc tại một quốc gia thứ ba, trong phạm vi Quốc gia thành viên của trụ sở chính không còn quyền đánh thuế đối với tài sản được chuyển giao do việc chuyển giao đó;(b) tài sản từ cơ sở thường trú của mình tại một Quốc gia thành viên đến trụ sở chính của mình</w:t>
      </w:r>
    </w:p>
    <w:p>
      <w:pPr>
        <w:spacing w:after="80"/>
      </w:pPr>
      <w:r>
        <w:rPr>
          <w:b w:val="0"/>
          <w:i w:val="0"/>
        </w:rPr>
        <w:t>hoặc một cơ sở thường trú khác tại một Quốc gia thành viên khác hoặc tại một quốc gia thứ ba, trong phạm vi Quốc gia thành viên của cơ sở thường trú không còn quyền đánh thuế đối với tài sản được chuyển giao do việc chuyển giao đó;(c) nơi cư trú thuế của mình sang một Quốc gia thành viên khác hoặc sang một quốc gia thứ ba, ngoại trừ</w:t>
      </w:r>
    </w:p>
    <w:p>
      <w:pPr>
        <w:spacing w:after="80"/>
      </w:pPr>
      <w:r>
        <w:rPr>
          <w:b w:val="0"/>
          <w:i w:val="0"/>
        </w:rPr>
        <w:t>những tài sản vẫn còn gắn kết thực sự với một cơ sở thường trú tại Quốc gia thành viên thứ nhất; hoặc (d) hoạt động kinh doanh được tiến hành bởi cơ sở thường trú của mình từ một Quốc gia thành viên</w:t>
      </w:r>
    </w:p>
    <w:p>
      <w:pPr>
        <w:spacing w:after="80"/>
      </w:pPr>
      <w:r>
        <w:rPr>
          <w:b w:val="0"/>
          <w:i w:val="0"/>
        </w:rPr>
        <w:t>sang một Quốc gia thành viên khác hoặc sang một quốc gia thứ ba, trong phạm vi Quốc gia thành viên của cơ sở thường trú không còn quyền đánh thuế đối với tài sản được chuyển giao do việc chuyển giao đó.</w:t>
      </w:r>
    </w:p>
    <w:p>
      <w:pPr>
        <w:spacing w:after="80"/>
      </w:pPr>
      <w:r>
        <w:rPr>
          <w:b w:val="0"/>
          <w:i w:val="0"/>
        </w:rPr>
        <w:t>Không áp dụng thuế xuất cảnh (exit tax) nếu tài sản được đưa trở lại Quốc gia thành viên khởi hành trong vòng mười hai tháng kể từ ngày khởi hành. Tương tự, không yêu cầu đánh thuế đối với các trường hợp chuyển giao tài sản liên quan đến việc tài trợ chứng khoán, tài sản được đưa ra làm tài sản thế chấp, hoặc khi việc chuyển giao tài sản diễn ra nhằm đáp ứng các yêu cầu về vốn an toàn (prudential capital requirements) hoặc cho mục đích quản lý thanh khoản.192</w:t>
      </w:r>
    </w:p>
    <w:p>
      <w:pPr>
        <w:spacing w:after="80"/>
      </w:pPr>
      <w:r>
        <w:rPr>
          <w:b w:val="0"/>
          <w:i w:val="0"/>
        </w:rPr>
        <w:t>Không có quy định nào về việc giảm trừ thuế đánh hai lần. Tuy nhiên, Quốc gia thành viên nơi cư trú được chuyển đến hoặc nơi tài sản hay hoạt động kinh doanh được chuyển đến được yêu cầu phải chấp nhận giá trị của tài sản được coi là đã chuyển nhượng do quốc gia khởi hành xác định (trừ khi giá trị đó không phải là giá trị thị trường).193 Đây là cách soạn thảo kỳ lạ vì việc chuyển nhượng được coi là đã xảy ra phải theo giá trị thị trường.194</w:t>
      </w:r>
    </w:p>
    <w:p>
      <w:pPr>
        <w:spacing w:after="80"/>
      </w:pPr>
      <w:r>
        <w:rPr>
          <w:b w:val="0"/>
          <w:i w:val="0"/>
        </w:rPr>
        <w:t>Giữa các Quốc gia thành viên với nhau, chỉ thị này sẽ ngăn cản việc áp dụng các hiệp định đánh thuế hai lần áp dụng Điều 13 của Mẫu OECD. Việc sự kiện chịu thuế xảy ra 'tại thời điểm xuất cảnh' thay vì ngay trước khi xuất cảnh có thể làm nảy sinh các câu hỏi về việc liệu các hiệp định với quốc gia thứ ba có ngăn cản việc áp dụng thuế xuất cảnh hay không, và liệu các Quốc gia thành viên có thể duy trì các hiệp định hiện có hoặc ký kết các hiệp định mới thay đổi quy tắc tại Điều 5(1) hay không.</w:t>
      </w:r>
    </w:p>
    <w:p>
      <w:pPr>
        <w:spacing w:after="80"/>
      </w:pPr>
      <w:r>
        <w:rPr>
          <w:b w:val="0"/>
          <w:i w:val="0"/>
        </w:rPr>
        <w:t>Người nộp thuế phải có quyền hoãn nộp thuế xuất cảnh bằng cách trả góp trong vòng năm năm kể từ ngày xuất cảnh, nếu việc xuất cảnh hoặc chuyển giao là đến một Quốc gia thành viên khác hoặc một Quốc gia thành viên EEA là bên tham gia một thỏa thuận với Quốc gia thành viên khởi hành hoặc với EU về tương trợ trong việc thu hồi các khoản nợ thuế, tương đương với tương trợ được quy định trong Chỉ thị Hội đồng 2010/24/EU.195 Chỉ thị không đề cập đến các trường hợp xuất cảnh hoặc chuyển giao ra khỏi EU và EEA về phương diện này, điều này cho thấy rằng các Quốc gia thành viên được tự do lựa chọn có hoãn hay không và các điều khoản của bất kỳ việc hoãn nào. Thuế xuất cảnh doanh nghiệp của Ireland nằm trong TCA 1997, ss 627-629C.</w:t>
      </w:r>
    </w:p>
    <w:p>
      <w:pPr>
        <w:spacing w:after="80"/>
      </w:pPr>
      <w:r>
        <w:rPr>
          <w:b w:val="0"/>
          <w:i w:val="0"/>
        </w:rPr>
        <w:t>192. Điều 5(7).193. Điều 5(5).194. Điều 5(1).195. Điều 5(2). Xem Chương 22, §22.31.</w:t>
      </w:r>
    </w:p>
    <w:p>
      <w:pPr>
        <w:spacing w:after="80"/>
      </w:pPr>
      <w:r>
        <w:rPr>
          <w:b w:val="0"/>
          <w:i w:val="0"/>
        </w:rPr>
        <w:t>431</w:t>
      </w:r>
    </w:p>
    <w:p>
      <w:pPr>
        <w:spacing w:after="80"/>
      </w:pPr>
      <w:r>
        <w:rPr>
          <w:b/>
          <w:i w:val="0"/>
        </w:rPr>
        <w:t>[D]Các công ty nước ngoài được kiểm soát</w:t>
      </w:r>
    </w:p>
    <w:p>
      <w:pPr>
        <w:spacing w:after="80"/>
      </w:pPr>
      <w:r>
        <w:rPr>
          <w:b w:val="0"/>
          <w:i w:val="0"/>
        </w:rPr>
        <w:t xml:space="preserve">Các CFC trong nội bộ EU và EEA bị ràng buộc bởi phán quyết của ECJ trong vụ </w:t>
      </w:r>
      <w:r>
        <w:rPr>
          <w:b w:val="0"/>
          <w:i/>
        </w:rPr>
        <w:t>Cadbury Schweppes Overseas Ltd v IRC</w:t>
      </w:r>
      <w:r>
        <w:rPr>
          <w:b w:val="0"/>
          <w:i w:val="0"/>
        </w:rPr>
        <w:t>196 rằng việc thành lập một công ty tại một Quốc gia thành viên nhằm mục đích hưởng lợi từ pháp luật thuận lợi hơn, bao gồm cả các ưu đãi thuế, tự nó không phải là hành vi lạm dụng quyền tự do thành lập. Để biện minh cho các quy tắc CFC bằng việc phòng chống tránh thuế, chế độ CFC phải nhắm mục tiêu cụ thể vào các thỏa thuận hoàn toàn nhân tạo không phản ánh thực tế kinh tế và có mục đích duy nhất là tránh khoản thuế thông thường phải nộp đối với lợi nhuận phát sinh từ các hoạt động được thực hiện trên lãnh thổ quốc gia.</w:t>
      </w:r>
    </w:p>
    <w:p>
      <w:pPr>
        <w:spacing w:after="80"/>
      </w:pPr>
      <w:r>
        <w:rPr>
          <w:b w:val="0"/>
          <w:i w:val="0"/>
        </w:rPr>
        <w:t>Các Quốc gia thành viên được ATAD yêu cầu phải thông qua một chế độ CFC, phù hợp với Báo cáo cuối cùng về Hành động 3 của OECD BEPS,197 cũng như các quy tắc tương tự nếu họ duy trì một hệ thống đánh thuế theo lãnh thổ miễn thuế đối với lợi nhuận của các cơ sở thường trú nước ngoài.198 Việc một chế độ CFC được luật EU yêu cầu sẽ ngăn cản việc áp dụng các hiệp định đánh thuế hai lần giữa các Quốc gia thành viên nhằm ngăn chặn hoạt động của các CFC. Nó cũng có thể ngăn cản các Quốc gia thành viên duy trì các điều khoản hiệp định hiện có hoặc ký kết các hiệp định mới không áp dụng các quy tắc CFC được ATAD điều chỉnh.199</w:t>
      </w:r>
    </w:p>
    <w:p>
      <w:pPr>
        <w:spacing w:after="80"/>
      </w:pPr>
      <w:r>
        <w:rPr>
          <w:b w:val="0"/>
          <w:i w:val="0"/>
        </w:rPr>
        <w:t>CFC là một thực thể, được kiểm soát bởi một người nộp thuế hoặc bởi một người nộp thuế cùng với các doanh nghiệp liên kết,200 nắm giữ quyền tham gia trực tiếp hoặc gián tiếp hơn 50% quyền biểu quyết, hoặc sở hữu trực tiếp hoặc gián tiếp hơn 50% vốn, hoặc được quyền nhận hơn 50% lợi nhuận của thực thể đó.201 Một cơ sở thường trú được coi là một CFC nếu thuế doanh nghiệp thực tế phải nộp trên lợi nhuận của nó thấp hơn phần chênh lệch giữa thuế doanh nghiệp lẽ ra phải được tính trên thực thể hoặc cơ sở thường trú theo hệ thống thuế doanh nghiệp hiện hành tại Quốc gia thành viên nơi cư trú của người nộp thuế, và thuế doanh nghiệp thực tế phải nộp trên lợi nhuận của nó.202</w:t>
      </w:r>
    </w:p>
    <w:p>
      <w:pPr>
        <w:spacing w:after="80"/>
      </w:pPr>
      <w:r>
        <w:rPr>
          <w:b w:val="0"/>
          <w:i w:val="0"/>
        </w:rPr>
        <w:t>Thu nhập CFC phải được đưa vào cơ sở tính thuế của bên tham gia kiểm soát được định nghĩa là:</w:t>
      </w:r>
    </w:p>
    <w:p>
      <w:pPr>
        <w:spacing w:after="80"/>
      </w:pPr>
      <w:r>
        <w:rPr>
          <w:b w:val="0"/>
          <w:i w:val="0"/>
        </w:rPr>
        <w:t>(a)lãi hoặc bất kỳ thu nhập nào khác được tạo ra từ tài sản tài chính;(b)tiền bản quyền hoặc bất kỳ thu nhập nào khác được tạo ra từ tài sản trí tuệ;(c)cổ tức và thu nhập từ việc chuyển nhượng cổ phần;(d)thu nhập từ cho thuê tài chính;(e)thu nhập từ bảo hiểm, ngân hàng và các hoạt động tài chính khác;</w:t>
      </w:r>
    </w:p>
    <w:p>
      <w:pPr>
        <w:spacing w:after="80"/>
      </w:pPr>
      <w:r>
        <w:rPr>
          <w:b w:val="0"/>
          <w:i w:val="0"/>
        </w:rPr>
        <w:t>196.</w:t>
      </w:r>
      <w:r>
        <w:rPr>
          <w:b w:val="0"/>
          <w:i/>
        </w:rPr>
        <w:t>CadburySchweppesOverseasLtdvCommissionersofInlandRevenue</w:t>
      </w:r>
      <w:r>
        <w:rPr>
          <w:b w:val="0"/>
          <w:i w:val="0"/>
        </w:rPr>
        <w:t>(CaseC-196/04)[2006]I-07995; [2006] STC 1908 ECJ, [2008] BTC 52.197.OECD(2015),DesigningEffectiveControlledForeignCompanyRules,Action3–2015FinalReport, OECD/G20 Base Erosion and Profit Shifting Project http://dx.doi.org/10.1787/9789264241152-en.198.Art. 7(1).199.Xem Chương 2, §2.07 về mối quan hệ giữa các quy tắc CFC và các hiệp định đánh thuế hai lần.200.Xem art. 1(4).201.Art. 7(1)(a).202.Art. 7(1)(b).</w:t>
      </w:r>
    </w:p>
    <w:p>
      <w:pPr>
        <w:spacing w:after="80"/>
      </w:pPr>
      <w:r>
        <w:rPr>
          <w:b w:val="0"/>
          <w:i w:val="0"/>
        </w:rPr>
        <w:t>432</w:t>
      </w:r>
    </w:p>
    <w:p>
      <w:pPr>
        <w:spacing w:after="80"/>
      </w:pPr>
      <w:r>
        <w:rPr>
          <w:b w:val="0"/>
          <w:i w:val="0"/>
        </w:rPr>
        <w:t>(f)thu nhập từ các công ty xuất hóa đơn kiếm được thu nhập từ bán hàng và dịch vụ từ</w:t>
      </w:r>
    </w:p>
    <w:p>
      <w:pPr>
        <w:spacing w:after="80"/>
      </w:pPr>
      <w:r>
        <w:rPr>
          <w:b w:val="0"/>
          <w:i w:val="0"/>
        </w:rPr>
        <w:t>hàng hóa và dịch vụ được mua từ và bán cho các doanh nghiệp liên kết, và tạo ra ít hoặc không tạo ra giá trị kinh tế.203</w:t>
      </w:r>
    </w:p>
    <w:p>
      <w:pPr>
        <w:spacing w:after="80"/>
      </w:pPr>
      <w:r>
        <w:rPr>
          <w:b w:val="0"/>
          <w:i w:val="0"/>
        </w:rPr>
        <w:t>Các Quốc gia Thành viên được tự do loại trừ thu nhập CFC khỏi việc quy kết nếu các khoản mục này chiếm chưa đến một phần ba thu nhập của CFC.204Trường hợp CFC tiến hành một hoạt động kinh tế thực chất được hỗ trợ bởi nhân viên, thiết bị, tài sản và cơ sở vật chất, như được chứng minh bởi các sự kiện và hoàn cảnh liên quan, thì việc quy kết các khoản mục thu nhập này là không bắt buộc.205Nếu CFC nằm ngoài EU hoặc EEA, thì các Quốc gia Thành viên không bắt buộc phải loại trừ hoạt động kinh tế thực chất đó.</w:t>
      </w:r>
    </w:p>
    <w:p>
      <w:pPr>
        <w:spacing w:after="80"/>
      </w:pPr>
      <w:r>
        <w:rPr>
          <w:b w:val="0"/>
          <w:i w:val="0"/>
        </w:rPr>
        <w:t>Như một giải pháp thay thế cho các hình thức thu nhập đã được xác định, các Quốc gia Thành viên có thể thay vào đó quy kết thu nhập chưa được phân phối của thực thể phát sinh từ các thỏa thuận ‘không chân thực’ được đưa ra với mục đích thiết yếu là đạt được lợi thế về thuế. Với mục đích này, một thỏa thuận hoặc một chuỗi thỏa thuận là ‘không chân thực’ trong phạm vi ‘thực thể sẽ không sở hữu các tài sản hoặc sẽ không gánh chịu các rủi ro tạo ra toàn bộ, hoặc một phần, thu nhập của mình nếu nó không được kiểm soát bởi một công ty nơi các chức năng nhân sự quan trọng, có liên quan đến những tài sản và rủi ro đó, được thực hiện và đóng vai trò thiết yếu trong việc tạo ra thu nhập của công ty được kiểm soát’.206</w:t>
      </w:r>
    </w:p>
    <w:p>
      <w:pPr>
        <w:spacing w:after="80"/>
      </w:pPr>
      <w:r>
        <w:rPr>
          <w:b w:val="0"/>
          <w:i w:val="0"/>
        </w:rPr>
        <w:t>Trường hợp chọn giải pháp thay thế ‘thỏa thuận không chân thực’, thì hai ngoại lệ có thể được áp dụng. Thứ nhất, các CFC nhỏ có thể được loại trừ. Đây là trường hợp lợi nhuận kế toán của CFC không vượt quá 750.000 EUR, và thu nhập phi kinh doanh không quá 75.000 EUR.207Thứ hai, một CFC có thể được loại trừ nếu lợi nhuận kế toán của nó không vượt quá 10% chi phí hoạt động của nó trong kỳ tính thuế. Với mục đích này, chi phí hoạt động không được bao gồm chi phí hàng hóa bán ra ngoài quốc gia cư trú của CFC và các khoản thanh toán cho các doanh nghiệp liên kết.208Các quy tắc CFC của Ireland nằm trong TCA 1997, s. 835I-835YA.</w:t>
      </w:r>
    </w:p>
    <w:p>
      <w:pPr>
        <w:spacing w:after="80"/>
      </w:pPr>
      <w:r>
        <w:rPr>
          <w:b/>
          <w:i w:val="0"/>
        </w:rPr>
        <w:t>[E]Sự không khớp lai</w:t>
      </w:r>
    </w:p>
    <w:p>
      <w:pPr>
        <w:spacing w:after="80"/>
      </w:pPr>
      <w:r>
        <w:rPr>
          <w:b w:val="0"/>
          <w:i w:val="0"/>
        </w:rPr>
        <w:t>Báo cáo cuối cùng về Hành động 2 của OECD BEPS đưa ra các khuyến nghị cho những thay đổi luật trong nước nhằm vô hiệu hóa các thỏa thuận không khớp lai cũng như các thay đổi hiệp định đánh thuế hai lần được bao gồm trong BEPS MLI.209ATAD chỉ dành sự chú ý hạn chế cho các trường hợp không khớp lai.210Một ‘sự không khớp lai’ cho các mục đích của ATAD là:</w:t>
      </w:r>
    </w:p>
    <w:p>
      <w:pPr>
        <w:spacing w:after="80"/>
      </w:pPr>
      <w:r>
        <w:rPr>
          <w:b w:val="0"/>
          <w:i w:val="0"/>
        </w:rPr>
        <w:t>203.Art. 7(2)(a).204.Art. 7(3).205.Xem</w:t>
      </w:r>
      <w:r>
        <w:rPr>
          <w:b w:val="0"/>
          <w:i/>
        </w:rPr>
        <w:t>CadburySchweppesOverseasLtdvCommissionersofInlandRevenue</w:t>
      </w:r>
      <w:r>
        <w:rPr>
          <w:b w:val="0"/>
          <w:i w:val="0"/>
        </w:rPr>
        <w:t>(CaseC-196/04)[2006] I-07995; [2006] STC 1908 ECJ, [2008] BTC 52, tại đoạn 67.206.Art. 7(2)(b).207.Art. 4(a).208.Art. 4(b).209.OECD (2015), Neutralising the Effects of Hybrid Mismatch Arrangements, Action 2 – 2015 FinalReport, OECD/G20 Base Erosion and Profit Shifting Project http://dx.doi.org/10.1787/9789264241138-en Xem Chương 18, §18.02[B] về các quy tắc chống lai trong hiệp định.210.Tuy nhiên, chỉ thị này được sửa đổi để xử lý rộng rãi các trường hợp lai, bao gồm cả những trường hợp không khớp với các quốc gia thứ ba bởi một Chỉ thị của Hội đồng sửa đổi Chỉ thị (EU) 2016/1164 liên quan đến</w:t>
      </w:r>
    </w:p>
    <w:p>
      <w:pPr>
        <w:spacing w:after="80"/>
      </w:pPr>
      <w:r>
        <w:rPr>
          <w:b w:val="0"/>
          <w:i w:val="0"/>
        </w:rPr>
        <w:t>433</w:t>
      </w:r>
    </w:p>
    <w:p>
      <w:pPr>
        <w:spacing w:after="80"/>
      </w:pPr>
      <w:r>
        <w:rPr>
          <w:b w:val="0"/>
          <w:i w:val="0"/>
        </w:rPr>
        <w:t>một tình huống giữa một người nộp thuế ở một Quốc gia Thành viên và một doanh nghiệp liên kết211ở một Quốc gia Thành viên khác hoặc một thỏa thuận có cấu trúc giữa các bên ở các Quốc gia Thành viên nơi kết quả sau đây được quy cho những khác biệt trong việc mô tả pháp lý về một công cụ tài chính hoặc thực thể:</w:t>
      </w:r>
    </w:p>
    <w:p>
      <w:pPr>
        <w:spacing w:after="80"/>
      </w:pPr>
      <w:r>
        <w:rPr>
          <w:b w:val="0"/>
          <w:i w:val="0"/>
        </w:rPr>
        <w:t>(a)một khoản khấu trừ cho cùng một khoản thanh toán, chi phí hoặc tổn thất xảy ra ở cả</w:t>
      </w:r>
    </w:p>
    <w:p>
      <w:pPr>
        <w:spacing w:after="80"/>
      </w:pPr>
      <w:r>
        <w:rPr>
          <w:b w:val="0"/>
          <w:i w:val="0"/>
        </w:rPr>
        <w:t>Quốc gia Thành viên nơi khoản thanh toán có nguồn gốc, nơi các chi phí phát sinh hoặc các tổn thất được gánh chịu và ở một Quốc gia Thành viên khác (‘khấu trừ hai lần’);hoặc(b)có một khoản khấu trừ cho một khoản thanh toán ở Quốc gia Thành viên nơi khoản thanh toán</w:t>
      </w:r>
    </w:p>
    <w:p>
      <w:pPr>
        <w:spacing w:after="80"/>
      </w:pPr>
      <w:r>
        <w:rPr>
          <w:b w:val="0"/>
          <w:i w:val="0"/>
        </w:rPr>
        <w:t>có nguồn gốc mà không có sự bao gồm tương ứng cho mục đích thuế của cùng khoản thanh toán đó ở Quốc gia Thành viên khác (‘khấu trừ mà không bao gồm’).212</w:t>
      </w:r>
    </w:p>
    <w:p>
      <w:pPr>
        <w:spacing w:after="80"/>
      </w:pPr>
      <w:r>
        <w:rPr>
          <w:b w:val="0"/>
          <w:i w:val="0"/>
        </w:rPr>
        <w:t>Điều 9(1) của ATAD quy định rằng trong phạm vi một sự không khớp thuế hybrid (hybrid mismatch) dẫn đến việc khấu trừ hai lần, thì việc khấu trừ chỉ được phép tại Quốc gia Thành viên nơi khoản thanh toán đó có nguồn gốc.</w:t>
      </w:r>
    </w:p>
    <w:p>
      <w:pPr>
        <w:spacing w:after="80"/>
      </w:pPr>
      <w:r>
        <w:rPr>
          <w:b w:val="0"/>
          <w:i w:val="0"/>
        </w:rPr>
        <w:t>Khi một sự không khớp thuế hybrid dẫn đến việc khấu trừ mà không tính vào thu nhập, Quốc gia Thành viên của người trả tiền phải không cho phép khấu trừ khoản thanh toán đó.213 Luật chống hybrid của Ireland nằm trong TCA 1997, Phần 35C. 1997.</w:t>
      </w:r>
    </w:p>
    <w:p>
      <w:pPr>
        <w:spacing w:after="80"/>
      </w:pPr>
      <w:r>
        <w:rPr>
          <w:b w:val="0"/>
          <w:i w:val="0"/>
        </w:rPr>
        <w:t>các sự không khớp thuế hybrid với các nước thứ ba (Brussels, 12 tháng 5 năm 2017). Chỉ thị sửa đổi phải được các Quốc gia Thành viên áp dụng từ ngày 1 tháng 1 năm 2022 và không được xem xét trong tác phẩm này.211. Xem điều 1(4).212. Điều 1(9).213. Điều 9(2).</w:t>
      </w:r>
    </w:p>
    <w:p>
      <w:pPr>
        <w:spacing w:after="80"/>
      </w:pPr>
      <w:r>
        <w:rPr>
          <w:b w:val="0"/>
          <w:i w:val="0"/>
        </w:rPr>
        <w:t>434</w:t>
      </w:r>
    </w:p>
    <w:p>
      <w:pPr>
        <w:spacing w:before="240" w:after="80"/>
      </w:pPr>
      <w:r>
        <w:rPr>
          <w:b/>
          <w:sz w:val="32"/>
        </w:rPr>
        <w:t>CHƯƠNG 15 Loại bỏ đánh thuế hai lần</w:t>
      </w:r>
    </w:p>
    <w:p>
      <w:pPr>
        <w:spacing w:after="80"/>
      </w:pPr>
      <w:r>
        <w:rPr>
          <w:b/>
          <w:i w:val="0"/>
        </w:rPr>
        <w:t>§15.01 GIỚI THIỆU</w:t>
      </w:r>
    </w:p>
    <w:p>
      <w:pPr>
        <w:spacing w:after="80"/>
      </w:pPr>
      <w:r>
        <w:rPr>
          <w:b w:val="0"/>
          <w:i w:val="0"/>
        </w:rPr>
        <w:t xml:space="preserve">Cơ chế chính mà Vương quốc Anh truyền thống áp dụng để tránh hoặc giảm thiểu đánh thuế hai lần đối với thu nhập là phương pháp khấu trừ (credit method). Tuy nhiên, dựa trên các phán quyết trong </w:t>
      </w:r>
      <w:r>
        <w:rPr>
          <w:b w:val="0"/>
          <w:i/>
        </w:rPr>
        <w:t>Test Claimants in the FII Group Litigation v Inland Revenue Commissioners</w:t>
      </w:r>
      <w:r>
        <w:rPr>
          <w:b w:val="0"/>
          <w:i w:val="0"/>
        </w:rPr>
        <w:t xml:space="preserve"> của Tòa án Công lý Châu Âu (ECJ)1 và của Tòa án Cấp cao,2 và để duy trì vị thế cạnh tranh của Vương quốc Anh, một hệ thống miễn trừ theo luật trong nước hiện đã được áp dụng cho các công ty cư trú tại Vương quốc Anh.</w:t>
      </w:r>
    </w:p>
    <w:p>
      <w:pPr>
        <w:spacing w:after="80"/>
      </w:pPr>
      <w:r>
        <w:rPr>
          <w:b w:val="0"/>
          <w:i w:val="0"/>
        </w:rPr>
        <w:t>Các khoản phân phối mà các công ty cư trú tại Vương quốc Anh nhận được phần lớn được miễn thuế thu nhập doanh nghiệp.3 Một hệ thống thống nhất duy nhất áp dụng cho các khoản phân phối do các công ty cư trú và không cư trú trả cho các công ty cư trú tại Vương quốc Anh. Mặc dù việc miễn trừ phân biệt giữa các khoản phân phối mà các công ty nhỏ nhận được và các khoản khác, với năm loại phân phối được miễn trừ cho các công ty khác, không có loại nào trong số này tương ứng với các quy định của hiệp ước về việc giảm nhẹ đánh thuế hai lần. Một số lượng đáng kể các hiệp ước chỉ giảm thuế khấu trừ cổ tức nếu cổ tức đó phải chịu thuế tại quốc gia cư trú.4 Hiệu quả của việc miễn trừ cổ tức trong trường hợp các hiệp ước đó có thể dẫn đến mức thuế tổng thể cao hơn so với việc giảm nhẹ đánh thuế hai lần bằng phương pháp khấu trừ khi thuế khấu trừ nước ngoài được giảm hoặc loại bỏ. Khi việc miễn trừ không áp dụng, thì khoản phân phối đó sẽ phải chịu thuế5 và cơ chế khấu trừ sẽ tiếp tục được áp dụng. Một người nhận khoản phân phối là công ty có thể chọn để khoản phân phối đó</w:t>
      </w:r>
    </w:p>
    <w:p>
      <w:pPr>
        <w:spacing w:after="80"/>
      </w:pPr>
      <w:r>
        <w:rPr>
          <w:b w:val="0"/>
          <w:i w:val="0"/>
        </w:rPr>
        <w:t>1.</w:t>
      </w:r>
      <w:r>
        <w:rPr>
          <w:b w:val="0"/>
          <w:i/>
        </w:rPr>
        <w:t>TestClaimantsintheFIIGroupLitigationvInlandRevenueCommissioners</w:t>
      </w:r>
      <w:r>
        <w:rPr>
          <w:b w:val="0"/>
          <w:i w:val="0"/>
        </w:rPr>
        <w:t>(CaseC-446/04)[2006] ECR I-11753; [2007] STC 326, [2008] BTC 222</w:t>
      </w:r>
      <w:r>
        <w:rPr>
          <w:b w:val="0"/>
          <w:i/>
        </w:rPr>
        <w:t xml:space="preserve"> Test Claimants in the FII Group Litigation vThe Commissioners for Her Majesty’s Revenue &amp; Customs</w:t>
      </w:r>
      <w:r>
        <w:rPr>
          <w:b w:val="0"/>
          <w:i w:val="0"/>
        </w:rPr>
        <w:t xml:space="preserve"> (Case C-35/11) ECLI:EU:C:2012:707 (FII2).2.</w:t>
      </w:r>
      <w:r>
        <w:rPr>
          <w:b w:val="0"/>
          <w:i/>
        </w:rPr>
        <w:t>Test Claimants in the FII Group Litigation v Revenue and Customs Commissioners</w:t>
      </w:r>
      <w:r>
        <w:rPr>
          <w:b w:val="0"/>
          <w:i w:val="0"/>
        </w:rPr>
        <w:t xml:space="preserve"> [2009] STC 254,[2009] BTC 443 [2008] EWHC 2893 (Ch).3.CTA 2009, Part 9A.4.See Chapter 17, §17.09.5.CTA 2009, s. 931A(1).</w:t>
      </w:r>
    </w:p>
    <w:p>
      <w:pPr>
        <w:spacing w:after="80"/>
      </w:pPr>
      <w:r>
        <w:rPr>
          <w:b w:val="0"/>
          <w:i w:val="0"/>
        </w:rPr>
        <w:t>435</w:t>
      </w:r>
    </w:p>
    <w:p>
      <w:pPr>
        <w:spacing w:after="80"/>
      </w:pPr>
      <w:r>
        <w:rPr>
          <w:b w:val="0"/>
          <w:i w:val="0"/>
        </w:rPr>
        <w:t>không được miễn trừ.6 Việc lựa chọn có thể được thực hiện đối với một khoản phân phối cụ thể và phải được thực hiện vào hoặc trước ngày kỷ niệm thứ hai của ngày kết thúc kỳ kế toán mà trong đó khoản phân phối được nhận.7 Những khoản phân phối như vậy sau đó, về nguyên tắc, sẽ thuộc phương pháp khấu trừ để miễn trừ.8</w:t>
      </w:r>
    </w:p>
    <w:p>
      <w:pPr>
        <w:spacing w:after="80"/>
      </w:pPr>
      <w:r>
        <w:rPr>
          <w:b w:val="0"/>
          <w:i w:val="0"/>
        </w:rPr>
        <w:t>Một sự miễn trừ song song cho lợi nhuận của các cơ sở thường trú nước ngoài nhằm mục đích xấp xỉ hóa cách đối xử đối với các hoạt động thương mại ở nước ngoài bất kể chúng được thực hiện thông qua một công ty nước ngoài hay một cơ sở thường trú nước ngoài.9 Việc miễn trừ này dành cho các công ty nhỏ chỉ đối với các cơ sở thường trú tại các quốc gia có hiệp ước đủ điều kiện.10 Trong trường hợp các công ty lớn và vừa, việc miễn trừ được áp dụng bất kể lãnh thổ của cơ sở thường trú.11</w:t>
      </w:r>
    </w:p>
    <w:p>
      <w:pPr>
        <w:spacing w:after="80"/>
      </w:pPr>
      <w:r>
        <w:rPr>
          <w:b w:val="0"/>
          <w:i w:val="0"/>
        </w:rPr>
        <w:t>Không giống như việc miễn trừ đối với các khoản phân phối, việc miễn trừ đối với các cơ sở thường trú nước ngoài là có thể lựa chọn. Do đó, vị trí mặc định là lợi nhuận của cơ sở thường trú nước ngoài phải chịu thuế, với thuế nước ngoài được giảm nhẹ bằng phương pháp khấu trừ. Ngoài ra, việc lựa chọn miễn trừ lợi nhuận của cơ sở thường trú nước ngoài là không thể hủy ngang.12</w:t>
      </w:r>
    </w:p>
    <w:p>
      <w:pPr>
        <w:spacing w:after="80"/>
      </w:pPr>
      <w:r>
        <w:rPr>
          <w:b w:val="0"/>
          <w:i w:val="0"/>
        </w:rPr>
        <w:t>Phương pháp khấu trừ để giảm nhẹ đánh thuế hai lần áp dụng cho các công ty đối với tất cả các nguồn thu nhập nước ngoài không được miễn trừ. Phương pháp khấu trừ cũng là phương pháp duy nhất theo luật trong nước để giảm nhẹ đánh thuế hai lần cho những người nộp thuế không phải là công ty. Chính sách hiệp ước thuế thu nhập lâu đời của Vương quốc Anh là quy định việc giảm nhẹ đánh thuế hai lần bằng phương pháp khấu trừ. Thường thì các hiệp ước không đối xứng ở chỗ quốc gia ký kết khác sẽ đồng ý áp dụng phương pháp miễn trừ, phản ánh thực tiễn trong nước trong lĩnh vực này.13 Một số hiệp ước gần đây, được ký kết trong thời gian áp dụng việc miễn trừ thuế doanh nghiệp, bao gồm quy định về việc Vương quốc Anh giảm nhẹ đánh thuế hai lần bằng phương pháp miễn trừ.14</w:t>
      </w:r>
    </w:p>
    <w:p>
      <w:pPr>
        <w:spacing w:after="80"/>
      </w:pPr>
      <w:r>
        <w:rPr>
          <w:b/>
          <w:i w:val="0"/>
        </w:rPr>
        <w:t>§15.02 KHẤU TRỪ THUẾ NƯỚC NGOÀI</w:t>
      </w:r>
    </w:p>
    <w:p>
      <w:pPr>
        <w:spacing w:after="80"/>
      </w:pPr>
      <w:r>
        <w:rPr>
          <w:b w:val="0"/>
          <w:i w:val="0"/>
        </w:rPr>
        <w:t>Đặc biệt, phương pháp khấu trừ ngầm hiểu rằng lợi nhuận hoặc lợi tức từ thu nhập phải chịu thuế hai lần, một lần tại quốc gia nguồn và sau đó một lần nữa tại quốc gia cư trú. Về phương diện này, các quy định của hiệp ước liên quan đến việc khấu trừ thuế nước ngoài đã nộp nên được xem như một cơ chế để loại bỏ đánh thuế hai lần còn sót lại sau</w:t>
      </w:r>
    </w:p>
    <w:p>
      <w:pPr>
        <w:spacing w:after="80"/>
      </w:pPr>
      <w:r>
        <w:rPr>
          <w:b w:val="0"/>
          <w:i w:val="0"/>
        </w:rPr>
        <w:t>6.CTA 2009, s. 931R.7.CTA 2009, s. 931R(3).8.TIOPA 2010, Phần 2.9.CTA 2009, Phần 2 Chương 3 được giới thiệu bởi FA 2011.10.CTA 2009, s. 18C(1).11.CTA 2009, s. 18A(1).12.CTA 2009, s. 18A(2) và 18B(1).13.Xem, ví dụ, Hiệp định Thuế Bỉ-Anh (1987), điều 23(2)-(4), Hiệp định Thuế Đức-Anh (2010), điều 23(1), Hiệp định Thuế Hungary-Anh (2011), điều 22(1).14.Xem §15.13. Hiệp định Thuế Barbados-Anh (2012), điều 21(2)(b) và (c), Hiệp định Thuế Trung Quốc-Anh (2011), điều 22(2)(b), Công ước giữa Chính phủ Vương quốc Liên hiệp Anh và Bắc Ireland và Chính phủ Cộng hòa Dân chủ Liên bang Ethiopia về Việc Tránh Đánh Thuế Hai Lần và Ngăn Ngừa Trốn Thuế Tài chính đối với Thuế Thu nhập và Thuế Lợi tức Vốn ngày 9 tháng 6 năm 2011 (SI2011/2725), điều 22(1)(b), Hiệp định Thuế Hồng Kông-Anh (2010), điều 21(2)(b), Hiệp định Thuế Liechtenstein-Anh (2012), điều 22(1)(b) và (c), Hiệp định Thuế Albania-Anh (2013), điều 21(1)(b), Hiệp định Thuế Tây Ban Nha-Anh (2013), điều 22(2)(b) và (c), Hiệp định Thuế Na Uy-Anh (2013), điều 25(2)(b) và (c).</w:t>
      </w:r>
    </w:p>
    <w:p>
      <w:pPr>
        <w:spacing w:after="80"/>
      </w:pPr>
      <w:r>
        <w:rPr>
          <w:b w:val="0"/>
          <w:i w:val="0"/>
        </w:rPr>
        <w:t>436</w:t>
      </w:r>
    </w:p>
    <w:p>
      <w:pPr>
        <w:spacing w:after="80"/>
      </w:pPr>
      <w:r>
        <w:rPr>
          <w:b w:val="0"/>
          <w:i w:val="0"/>
        </w:rPr>
        <w:t>việc áp dụng các điều khoản phân phối của hiệp định.15 Các điều khoản phân phối của hiệp định sẽ xác định mức độ mà quốc gia nguồn được phép đánh thuế đối với khoản mục liên quan. Nếu, do đó, khoản mục này phải chịu thuế tại một quốc gia nguồn nước ngoài, thì, nói chung, các hiệp định của Anh sẽ cấp tín dụng cho thuế nước ngoài đã nộp để khấu trừ vào nghĩa vụ thuế của Anh đối với cùng khoản mục đó tại quốc gia cư trú. Mặc dù cách tiếp cận này nói chung phù hợp với chính sách cơ bản của OECD Model Treaty, điều 23B, nhưng cách diễn đạt được áp dụng trong các hiệp định của Anh không theo OECD Model. Hình thức diễn đạt, vốn đã thay đổi rất ít qua nhiều năm, thường được áp dụng được điển hình hóa bởi hiệp định thuế hai lần Uganda-Anh, trong đó viết:</w:t>
      </w:r>
    </w:p>
    <w:p>
      <w:pPr>
        <w:spacing w:after="80"/>
      </w:pPr>
      <w:r>
        <w:rPr>
          <w:b w:val="0"/>
          <w:i w:val="0"/>
        </w:rPr>
        <w:t>23(1) Tùy thuộc vào các quy định của luật Vương quốc Liên hiệp Anh liên quan đến việc cho phép khấu trừ thuế phải nộp tại một lãnh thổ ngoài Vương quốc Liên hiệp Anh như một khoản tín dụng đối với thuế của Vương quốc Liên hiệp Anh (điều này sẽ không ảnh hưởng đến nguyên tắc chung ở đây):</w:t>
      </w:r>
    </w:p>
    <w:p>
      <w:pPr>
        <w:spacing w:after="80"/>
      </w:pPr>
      <w:r>
        <w:rPr>
          <w:b w:val="0"/>
          <w:i w:val="0"/>
        </w:rPr>
        <w:t>(a) Thuế Uganda phải nộp theo luật của Uganda và phù hợp với</w:t>
      </w:r>
    </w:p>
    <w:p>
      <w:pPr>
        <w:spacing w:after="80"/>
      </w:pPr>
      <w:r>
        <w:rPr>
          <w:b w:val="0"/>
          <w:i w:val="0"/>
        </w:rPr>
        <w:t>Công ước này, dù trực tiếp hay qua khấu trừ, đối với lợi nhuận, thu nhập hoặc lợi tức chịu thuế từ các nguồn trong lãnh thổ Uganda (ngoại trừ trong trường hợp cổ tức, thuế phải nộp đối với lợi nhuận mà từ đó cổ tức được trả) sẽ được cho phép như một khoản tín dụng để khấu trừ vào bất kỳ thuế nào của Vương quốc Liên hiệp Anh được tính dựa trên cùng lợi nhuận, thu nhập hoặc lợi tức chịu thuế mà thuế Uganda được tính dựa trên đó.</w:t>
      </w:r>
    </w:p>
    <w:p>
      <w:pPr>
        <w:spacing w:after="80"/>
      </w:pPr>
      <w:r>
        <w:rPr>
          <w:b w:val="0"/>
          <w:i w:val="0"/>
        </w:rPr>
        <w:t>Có một số khác biệt quan trọng giữa cách tiếp cận của Anh và cách tiếp cận của OECD Model. Thực tiễn của Anh là đặt ra các quy tắc của Anh liên quan đến tín dụng cho thuế nước ngoài trong các điều khoản riêng biệt với cơ chế giảm trừ tương đương được quốc gia ký kết khác áp dụng, thay vì sử dụng ngôn ngữ song phương của OECD. Điều này tạo điều kiện cho các cách tiếp cận khác nhau đối với việc loại bỏ đánh thuế hai lần bởi các đối tác hiệp định, đặc biệt liên quan đến những quốc gia áp dụng phương pháp miễn thuế. Như sẽ thấy, các nguyên tắc chính được áp dụng trong OECD Model, mặc dù không xuất hiện trong văn bản của điều khoản, thường được thực thi trong luật nội địa. Tín dụng được cấp 'tùy thuộc vào các quy định của luật Vương quốc Liên hiệp Anh'. Điều này có nghĩa là, trong trường hợp thuế thu nhập và thuế doanh nghiệp, phù hợp với các quy định của 'Credit Code'16 và trong trường hợp lợi tức vốn, Credit Code được đưa vào bằng cách tham chiếu.17 Việc xem xét chi tiết các quy tắc của Credit Code nằm ngoài phạm vi của tác phẩm này. Mối quan hệ tương hỗ giữa các hiệp định và luật nội địa được xem xét trong chương này vì chỉ riêng các điều khoản hiệp định là không đầy đủ và phải được hiểu cùng với Credit Code. Mặc dù tín dụng được nêu là 'tùy thuộc vào các quy định của luật Vương quốc Liên hiệp Anh', cách diễn đạt chắc chắn chỉ ra rằng điều này 'sẽ không ảnh hưởng đến nguyên tắc chung ở đây'. Sau FA 2000, con đường để có được tín dụng cho thuế nước ngoài đã nộp trở nên phức tạp hơn đáng kể. Mức độ mà luật nội địa có thể được sửa đổi để giảm tính khả dụng của tín dụng, từ đó ảnh hưởng đến nguyên tắc chung, vẫn chưa được xác định.</w:t>
      </w:r>
    </w:p>
    <w:p>
      <w:pPr>
        <w:spacing w:after="80"/>
      </w:pPr>
      <w:r>
        <w:rPr>
          <w:b w:val="0"/>
          <w:i w:val="0"/>
        </w:rPr>
        <w:t xml:space="preserve">Sự khác biệt về giảm trừ có sẵn theo điều 23B của OECD Model và ngôn ngữ điển hình được tìm thấy trong các hiệp định của Anh đã được làm nổi bật trong </w:t>
      </w:r>
      <w:r>
        <w:rPr>
          <w:b w:val="0"/>
          <w:i/>
        </w:rPr>
        <w:t>Legal&amp;GeneralAssurance</w:t>
      </w:r>
    </w:p>
    <w:p>
      <w:pPr>
        <w:spacing w:after="80"/>
      </w:pPr>
      <w:r>
        <w:rPr>
          <w:b w:val="0"/>
          <w:i w:val="0"/>
        </w:rPr>
        <w:t>15.Xem Chương 8.16.TIOPA 2010, Phần 2, Chương 2, 'Giảm trừ đánh thuế hai lần bằng cách khấu trừ'.17.TIOPA 2010, ss 105 và 106.</w:t>
      </w:r>
    </w:p>
    <w:p>
      <w:pPr>
        <w:spacing w:after="80"/>
      </w:pPr>
      <w:r>
        <w:rPr>
          <w:b w:val="0"/>
          <w:i w:val="0"/>
        </w:rPr>
        <w:t>437</w:t>
      </w:r>
    </w:p>
    <w:p>
      <w:pPr>
        <w:spacing w:after="80"/>
      </w:pPr>
      <w:r>
        <w:rPr>
          <w:b w:val="0"/>
          <w:i/>
        </w:rPr>
        <w:t>SocietyLtdvHMRevenueandCustomsCommissioners.</w:t>
      </w:r>
      <w:r>
        <w:rPr>
          <w:b w:val="0"/>
          <w:i w:val="0"/>
        </w:rPr>
        <w:t>18 Trong trường hợp đó, vấn đề chính là mức độ mà thuế nước ngoài được khấu trừ tại nguồn, đối với các phần thu nhập đầu tư của công ty từ các nguồn ở những quốc gia đó và được giữ như một phần của quỹ bảo hiểm dài hạn của công ty, được khấu trừ vào thuế doanh nghiệp của Anh. Người ta đã phán quyết rằng người nộp thuế được quyền khấu trừ thuế nước ngoài vào số thuế doanh nghiệp phải nộp đối với bất kỳ năm đánh giá nào đối với lợi nhuận từ hoạt động kinh doanh lương hưu của mình nói chung. Cơ quan Thuế đã lập luận rằng tín dụng được giới hạn trong phạm vi thuế doanh nghiệp phải nộp đối với tỷ lệ lợi nhuận tổng thể của hoạt động kinh doanh lương hưu mà thu nhập nước ngoài, trước thuế nước ngoài, chiếm so với tổng thu nhập.19 Evans-Lombe J lưu ý20 rằng điều 23B của OECD Model Convention là một ví dụ về cách kết quả của Cơ quan Thuế có thể đã đạt được. Tuy nhiên, các từ ngữ được sử dụng trong thực tiễn Hiệp định của Anh được cho là có hiệu lực khác. Ông nói rằng:</w:t>
      </w:r>
    </w:p>
    <w:p>
      <w:pPr>
        <w:spacing w:after="80"/>
      </w:pPr>
      <w:r>
        <w:rPr>
          <w:b w:val="0"/>
          <w:i w:val="0"/>
        </w:rPr>
        <w:t>Điều … quan trọng là điều 24: 'Thuế Pháp phải nộp theo luật của Pháp và phù hợp với Công ước này, dù trực tiếp hay qua khấu trừ, đối với lợi nhuận, thu nhập hoặc lợi tức chịu thuế từ các nguồn trong lãnh thổ Pháp (ngoại trừ trong trường hợp cổ tức, thuế phải nộp đối với lợi nhuận mà từ đó cổ tức được trả) sẽ được cho phép như một khoản tín dụng …' Đến đây câu này không chỉ ra bất kỳ giới hạn dự định nào về số thuế Pháp được khấu trừ. Sau đó là những từ quan trọng 'sẽ được cho phép như một khoản tín dụng để khấu trừ vào bất kỳ [không phải "số"] thuế nào của Vương quốc Liên hiệp Anh được tính dựa trên cùng lợi nhuận, thu nhập hoặc lợi tức chịu thuế mà thuế Pháp được tính dựa trên đó …' Do đó, một lần nữa, không thể mong đợi rằng trong những từ kết thúc của câu này lại có một hạn chế về số thuế nước ngoài được khấu trừ.</w:t>
      </w:r>
    </w:p>
    <w:p>
      <w:pPr>
        <w:spacing w:after="80"/>
      </w:pPr>
      <w:r>
        <w:rPr>
          <w:b w:val="0"/>
          <w:i w:val="0"/>
        </w:rPr>
        <w:t>Kết luận của ông cũng dựa trên mục đích của điều khoản mà ông giải thích như sau:</w:t>
      </w:r>
    </w:p>
    <w:p>
      <w:pPr>
        <w:spacing w:after="80"/>
      </w:pPr>
      <w:r>
        <w:rPr>
          <w:b w:val="0"/>
          <w:i w:val="0"/>
        </w:rPr>
        <w:t xml:space="preserve">Khi mục đích đó là rõ ràng, trong những trường hợp mà vấn đề đang bàn không phải là mục đích của việc giảm trừ đối với thuế nước ngoài, mà là giữa hai cách khả thi để trao giảm trừ đó, cách nào được các nhà đàm phán hoặc Nghị viện dự định, thì khó có thể chỉ ra một cách chắc chắn mục tiêu dự định. Người ta chấp nhận rằng cách giải thích của Cơ quan Thuế đối với các điều khoản liên quan dẫn đến một phần đáng kể thu nhập nước ngoài của LGAS không đủ điều kiện để được giảm trừ tín dụng. Kết quả này phải được đối chiếu với Điều 24 của chính hiệp định mẫu, có tiêu đề 'loại bỏ đánh thuế hai lần' và bắt đầu bằng những từ 'đánh thuế hai lần đối với thu nhập sẽ được tránh như sau'. Tôi đọc những từ của Hoffmann J trong vụ </w:t>
      </w:r>
      <w:r>
        <w:rPr>
          <w:b w:val="0"/>
          <w:i/>
        </w:rPr>
        <w:t>Wimpey</w:t>
      </w:r>
      <w:r>
        <w:rPr>
          <w:b w:val="0"/>
          <w:i w:val="0"/>
        </w:rPr>
        <w:t xml:space="preserve"> 'theo quan điểm của tôi, giảm trừ đánh thuế hai lần nhằm đảm bảo rằng người nộp thuế không phải chịu thuế hai lần đối với cùng một khoản thu nhập' theo cùng một nghĩa. Nếu đánh thuế hai lần phải được loại bỏ trong những trường hợp tương tự như ví dụ, thì phải theo đó rằng người nộp thuế nên được quyền khấu trừ, vào thuế doanh nghiệp của Anh phát sinh từ tính toán của mình, đối với thuế nước ngoài đã nộp trong kỳ đánh giá liên quan, khoản khấu trừ như vậy chỉ bị giới hạn để thuế nước ngoài không thể vượt quá thuế của Anh lẽ ra phải chịu đối với thu nhập đó.</w:t>
      </w:r>
    </w:p>
    <w:p>
      <w:pPr>
        <w:spacing w:after="80"/>
      </w:pPr>
      <w:r>
        <w:rPr>
          <w:b w:val="0"/>
          <w:i w:val="0"/>
        </w:rPr>
        <w:t>18.</w:t>
      </w:r>
      <w:r>
        <w:rPr>
          <w:b w:val="0"/>
          <w:i/>
        </w:rPr>
        <w:t>Legal&amp;GeneralAssuranceSocietyLtdvHMRevenueandCustomsCommissioners</w:t>
      </w:r>
      <w:r>
        <w:rPr>
          <w:b w:val="0"/>
          <w:i w:val="0"/>
        </w:rPr>
        <w:t>[2006]STC1763, [2006] BTC 713; [2006] EWHC 1770 (Ch).19.Các câu hỏi khác về tín dụng cho thuế nước ngoài chỉ được các công ty bảo hiểm nhân thọ quan tâm không được thảo luận ở đây.20.Tại đoạn 32.</w:t>
      </w:r>
    </w:p>
    <w:p>
      <w:pPr>
        <w:spacing w:after="80"/>
      </w:pPr>
      <w:r>
        <w:rPr>
          <w:b w:val="0"/>
          <w:i w:val="0"/>
        </w:rPr>
        <w:t>438</w:t>
      </w:r>
    </w:p>
    <w:p>
      <w:pPr>
        <w:spacing w:after="80"/>
      </w:pPr>
      <w:r>
        <w:rPr>
          <w:b w:val="0"/>
          <w:i w:val="0"/>
        </w:rPr>
        <w:t>Theo quyết định của các Ủy viên Đặc biệt (Special Commissioners), những người cũng đã giữ vững kết luận này, 21FA2005 đã ban hành điều hiện nay là TIOPA 2010, s.44, cùng các quy định liên quan, ghi đè lên ngôn ngữ hiệp ước để yêu cầu khoản tín dụng phải được tính toán phù hợp với các lập luận của HMRC.</w:t>
      </w:r>
    </w:p>
    <w:p>
      <w:pPr>
        <w:spacing w:after="80"/>
      </w:pPr>
      <w:r>
        <w:rPr>
          <w:b/>
          <w:i w:val="0"/>
        </w:rPr>
        <w:t>§15.03 HIỆP ƯỚC SO VỚI CỨU TRỢ ĐƠN PHƯƠNG</w:t>
      </w:r>
    </w:p>
    <w:p>
      <w:pPr>
        <w:spacing w:after="80"/>
      </w:pPr>
      <w:r>
        <w:rPr>
          <w:b w:val="0"/>
          <w:i w:val="0"/>
        </w:rPr>
        <w:t xml:space="preserve">Tín dụng cho thuế nước ngoài được cung cấp một cách đơn phương trong các trường hợp tương tự như những trường hợp được quy định bởi hiệp ước, chỉ khi không có hiệp ước nào quy định việc cứu trợ đó. Cứu trợ đơn phương theo luật trong nước do đó là cứu trợ dự phòng chứ không phải là cứu trợ bổ sung.22 Sự tương tác diễn ra như sau: Thứ nhất, tín dụng cho thuế nước ngoài đã nộp đối với thu nhập hoặc lợi nhuận cũng không được cung cấp cho cứu trợ đơn phương nếu bất kỳ tín dụng nào cho khoản thuế đó được hiệp ước cho phép đối với thu nhập hoặc lợi nhuận đó.23 Thứ hai, tín dụng theo hình thức cứu trợ đơn phương không phải là sự thay thế cho việc không yêu cầu cứu trợ theo hiệp ước đang có sẵn. Khi một hiệp ước quy định rằng một khoản cứu trợ có thể được cho phép đối với thuế nước ngoài, Vương quốc Anh sẽ không cấp cứu trợ đơn phương dù khoản cứu trợ có sẵn đó có được yêu cầu hay không.24 Kết quả là, người nộp thuế Vương quốc Anh muốn yêu cầu tín dụng cho thuế nước ngoài đã nộp, trước tiên phải có được cứu trợ có sẵn ở quốc gia ký kết kia hoặc theo hiệp ước. Thứ ba, khi một hiệp ước có các quy định rõ ràng với ý nghĩa rằng tín dụng sẽ không được cấp trong các trường hợp hoặc hoàn cảnh cụ thể, thì cứu trợ đơn phương cũng không có sẵn trong những hoàn cảnh đó.25 Trong </w:t>
      </w:r>
      <w:r>
        <w:rPr>
          <w:b w:val="0"/>
          <w:i/>
        </w:rPr>
        <w:t>Aozora GMAC Investment Ltd, R (On the Application of) v HMRC</w:t>
      </w:r>
      <w:r>
        <w:rPr>
          <w:b w:val="0"/>
          <w:i w:val="0"/>
        </w:rPr>
        <w:t>,26 người nộp thuế, một công ty cư trú tại Vương quốc Anh, là công ty con thuộc sở hữu hoàn toàn của một công ty cư trú tại Nhật Bản. Như vậy, người nộp thuế không phải là người đủ điều kiện theo điều khoản giới hạn quyền lợi (limitation on benefits) của Hiệp ước Thuế Thu nhập giữa Vương quốc Anh và Hoa Kỳ.27</w:t>
      </w:r>
    </w:p>
    <w:p>
      <w:pPr>
        <w:spacing w:after="80"/>
      </w:pPr>
      <w:r>
        <w:rPr>
          <w:b w:val="0"/>
          <w:i w:val="0"/>
        </w:rPr>
        <w:t>Do đó, thuế khấu trừ toàn phần của Hoa Kỳ được áp dụng đối với tiền lãi có nguồn gốc từ Hoa Kỳ nhận được từ công ty con tại Hoa Kỳ. Điều 24(4)(c) đã đặc biệt từ chối cứu trợ tín dụng tại Vương quốc Anh khi một khoản cổ tức trả cho một người cư trú tại Vương quốc Anh được người trả tại Hoa Kỳ khấu trừ. Ngài Kenneth Parker tại Tòa án Cấp cao (High Court) kết luận rằng mục đích của giới hạn này là một 'công cụ chênh lệch giá (arbitrage) rất cụ thể nhằm tạo ra một khoản tín dụng thuế đối với thuế doanh nghiệp Vương quốc Anh mà được coi là không chính đáng'.28 Ông cũng kết luận rằng điều khoản giới hạn quyền lợi cũng có nghĩa là người nộp thuế không đủ điều kiện để được cứu trợ tín dụng theo điều 24(4). Tòa án giả định rằng</w:t>
      </w:r>
    </w:p>
    <w:p>
      <w:pPr>
        <w:spacing w:after="80"/>
      </w:pPr>
      <w:r>
        <w:rPr>
          <w:b w:val="0"/>
          <w:i w:val="0"/>
        </w:rPr>
        <w:t>21.</w:t>
      </w:r>
      <w:r>
        <w:rPr>
          <w:b w:val="0"/>
          <w:i/>
        </w:rPr>
        <w:t>Legal &amp; General Assurance Society Ltd v Thomas (HMIT)</w:t>
      </w:r>
      <w:r>
        <w:rPr>
          <w:b w:val="0"/>
          <w:i w:val="0"/>
        </w:rPr>
        <w:t xml:space="preserve"> [2005] UKSPC SPC461 (2005) Sp C 461.22.Quan điểm của tác giả là kết luận của Tòa án Phúc thẩm trong </w:t>
      </w:r>
      <w:r>
        <w:rPr>
          <w:b w:val="0"/>
          <w:i/>
        </w:rPr>
        <w:t>Bayfine UK v Revenue and Customs Commissioners</w:t>
      </w:r>
      <w:r>
        <w:rPr>
          <w:b w:val="0"/>
          <w:i w:val="0"/>
        </w:rPr>
        <w:t xml:space="preserve"> [2011]BTC242[2011]EWCACiv304 tại đoạn 67 rằng, theo luật trước TIOPA, nếu cứu trợ theo hiệp ước không có sẵn (ngoài điều hiện nay là TIOPA 2010, s.11(3)) tại Vương quốc Anh, thì cứu trợ đơn phương không thể áp dụng, là sai lầm. Sự bối rối chưa được giải quyết của Ngài Thẩm phán Tomlinson (xem đoạn 67 và 81) xuất phát từ việc thiếu phân tích về mối quan hệ giữa luật trong nước và các hiệp ước. Liệu cứu trợ đơn phương có sẵn trong những hoàn cảnh đó hay không lẽ ra phải được kiểm chứng bằng cách tham chiếu đến luật trong nước.23.TIOPA 2010, s. 11(1).24.TIOPA 2010, s. 11(2).25.TIOPA2010,s.11(3).Điều này chỉ áp dụng liên quan đến các hiệp ước được ký kết vào hoặc sau ngày 21 tháng 3 năm 2000 (TIOPA 2010, Sch. 9, para. 13).26.</w:t>
      </w:r>
      <w:r>
        <w:rPr>
          <w:b w:val="0"/>
          <w:i/>
        </w:rPr>
        <w:t>Aozora GMAC Investment Ltd, R (On the Application of) v Revenue and Customs</w:t>
      </w:r>
      <w:r>
        <w:rPr>
          <w:b w:val="0"/>
          <w:i w:val="0"/>
        </w:rPr>
        <w:t xml:space="preserve"> [2019] EWCACiv 1643, [2019] STC 2486, [2019] BTC 26.27.Điều 23. Xem Chương 17, §17.15.28.</w:t>
      </w:r>
      <w:r>
        <w:rPr>
          <w:b w:val="0"/>
          <w:i/>
        </w:rPr>
        <w:t>Aozora GMAC Investment Ltd, R (On the Application of) v Revenue and Customs</w:t>
      </w:r>
      <w:r>
        <w:rPr>
          <w:b w:val="0"/>
          <w:i w:val="0"/>
        </w:rPr>
        <w:t xml:space="preserve"> [2017] EWHC2881 (Admin), [2018] STC 11, [2017] BTC 36 tại đoạn 28.</w:t>
      </w:r>
    </w:p>
    <w:p>
      <w:pPr>
        <w:spacing w:after="80"/>
      </w:pPr>
      <w:r>
        <w:rPr>
          <w:b w:val="0"/>
          <w:i w:val="0"/>
        </w:rPr>
        <w:t>439</w:t>
      </w:r>
    </w:p>
    <w:p>
      <w:pPr>
        <w:spacing w:after="80"/>
      </w:pPr>
      <w:r>
        <w:rPr>
          <w:b w:val="0"/>
          <w:i w:val="0"/>
        </w:rPr>
        <w:t>điều khoản giới hạn quyền lợi là một 'quy định rõ ràng với ý nghĩa rằng cứu trợ bằng hình thức tín dụng sẽ không được cấp' theo hiệp ước trong các trường hợp được quy định cụ thể trong hiệp ước.29 Tòa án Phúc thẩm30 cũng vậy, đã không xác định được vấn đề. Kết quả của việc đánh thuế đầy đủ ở cả hai quốc gia mà không có cứu trợ nào cho việc đánh thuế hai lần dường như vừa không nhất quán với mục đích chính của hiệp ước vừa không được lịch sử lập pháp được nêu trong quyết định ủng hộ.31</w:t>
      </w:r>
    </w:p>
    <w:p>
      <w:pPr>
        <w:spacing w:after="80"/>
      </w:pPr>
      <w:r>
        <w:rPr>
          <w:b w:val="0"/>
          <w:i w:val="0"/>
        </w:rPr>
        <w:t>Mặc dù Bộ luật Tín dụng (Credit Code) nói chung áp dụng như nhau cho cả cứu trợ theo hiệp ước và cứu trợ đơn phương,32 có những khác biệt quan trọng giữa tín dụng cho thuế nước ngoài theo hiệp ước và cứu trợ tín dụng thuế đơn phương. Tín dụng cho thuế nước ngoài theo các hiệp ước được giới hạn ở các loại thuế tạo thành đối tượng của hiệp ước. Nguồn khó khăn lớn nhất duy nhất liên quan đến tín dụng đối với các quốc gia có hiệp ước nằm ở các hệ thống liên bang, chẳng hạn như Hoa Kỳ và Canada, nơi các hiệp ước được đàm phán với Chính phủ Liên bang, nhưng không có cơ chế hiến pháp nào ràng buộc các bang hoặc tỉnh bang bởi hiệp ước. Ngoài ra, các bang hoặc tỉnh bang có thể không có quyền hiến pháp để ký kết hiệp ước, khiến cứu trợ đơn phương trở thành lựa chọn duy nhất. Cùng một khoản thu nhập hoặc lợi nhuận do đó có thể đủ điều kiện cho cứu trợ theo hiệp ước liên quan đến thuế liên bang trong khi cứu trợ đơn phương áp dụng cho thuế bang hoặc tỉnh bang.33</w:t>
      </w:r>
    </w:p>
    <w:p>
      <w:pPr>
        <w:spacing w:after="80"/>
      </w:pPr>
      <w:r>
        <w:rPr>
          <w:b/>
          <w:i w:val="0"/>
        </w:rPr>
        <w:t>§15.04 CÙNG THU NHẬP, KHÁC NGƯỜI</w:t>
      </w:r>
    </w:p>
    <w:p>
      <w:pPr>
        <w:spacing w:after="80"/>
      </w:pPr>
      <w:r>
        <w:rPr>
          <w:b w:val="0"/>
          <w:i w:val="0"/>
        </w:rPr>
        <w:t xml:space="preserve">Mô hình OECD (OECD Model) áp dụng cụ thể cho việc đánh thuế hai lần pháp lý (juridical double taxation), tức là việc đánh thuế hai lần khi cùng một người phải chịu thuế bất kể cùng một khoản mục ở cả hai quốc gia ký kết. Cách tiếp cận hiệp ước của Vương quốc Anh rộng hơn, về nguyên tắc bao gồm cả việc đánh thuế hai lần kinh tế (economic double taxation) khi cùng một khoản thu nhập hoặc lợi nhuận phải chịu thuế ở cả hai khu vực tài phán. Việc xác định lợi nhuận hoặc thu nhập không phải lúc nào cũng đơn giản. Liên quan đến lợi nhuận vốn (capital gains), </w:t>
      </w:r>
      <w:r>
        <w:rPr>
          <w:b w:val="0"/>
          <w:i/>
        </w:rPr>
        <w:t>International Manual</w:t>
      </w:r>
      <w:r>
        <w:rPr>
          <w:b w:val="0"/>
          <w:i w:val="0"/>
        </w:rPr>
        <w:t xml:space="preserve"> của HMRC nhận xét rằng không nhất thiết các nghĩa vụ thuế nước ngoài và Vương quốc Anh phải phát sinh cùng một thời điểm hoặc phải được đánh vào cùng một người.34 Điều này cho phép khả năng rằng khoản mục có thể bị đánh thuế vào tay một người ở một khu vực tài phán, nhưng vào tay một người khác ở khu vực thứ hai, và vẫn đủ điều kiện để được tín dụng. Điều này xuất phát từ yêu cầu cấp tín dụng khi thuế Vương quốc Anh được 'tính toán bằng cách tham chiếu đến cùng lợi nhuận hoặc thu nhập mà [thuế nước ngoài] được tính toán'. Việc áp dụng nguyên tắc này có thể gây ra khó khăn trong thực tế khi có nhiều hơn một người tham gia. Việc người cư trú Vương quốc Anh tham gia vào hoạt động thương mại hoặc đầu tư thông qua các thực thể không tồn tại theo luật Anh hoặc Scotland là một nguồn khó khăn.</w:t>
      </w:r>
    </w:p>
    <w:p>
      <w:pPr>
        <w:spacing w:after="80"/>
      </w:pPr>
      <w:r>
        <w:rPr>
          <w:b w:val="0"/>
          <w:i w:val="0"/>
        </w:rPr>
        <w:t xml:space="preserve">29.Tại đoạn 30. Đây là yêu cầu của tiền thân của TIOPA 2010, s. 11(3), Vụ án xoay quanh các nguyên tắc luật hành chính liên quan đến hiệu lực của các sổ tay HMRC được thảo luận trong Chương 20, §20.02. Tòa án Phúc thẩm xem chú thích 26 chỉ xem xét câu hỏi luật hành chính.30.Chú thích 26. Người nộp thuế đã nộp một kháng cáo riêng lên Tòa án Sơ thẩm (First-tier Tribunal) về vấn đề thực chất (xem Tòa án Phúc thẩm, đoạn 15). Không lâu sau thời điểm viết bài, Tòa án Sơ thẩm đã giữ vững quyền được hưởng tín dụng đơn phương khi cứu trợ theo hiệp ước không có sẵn trong </w:t>
      </w:r>
      <w:r>
        <w:rPr>
          <w:b w:val="0"/>
          <w:i/>
        </w:rPr>
        <w:t>Aozora GMAC Investments Limited v HMRC</w:t>
      </w:r>
      <w:r>
        <w:rPr>
          <w:b w:val="0"/>
          <w:i w:val="0"/>
        </w:rPr>
        <w:t xml:space="preserve"> [2021] UKFTT 99 (TC).31.Xem §15.09 về các hạn chế của hiệp ước đối với tín dụng.32.TIOPA 2010, s. 18.33.Xem, nói chung, Chương 6.34.HMRC, International Manual, INTM169040. Xem thêm SP 6/88.</w:t>
      </w:r>
    </w:p>
    <w:p>
      <w:pPr>
        <w:spacing w:after="80"/>
      </w:pPr>
      <w:r>
        <w:rPr>
          <w:b w:val="0"/>
          <w:i w:val="0"/>
        </w:rPr>
        <w:t>440</w:t>
      </w:r>
    </w:p>
    <w:p>
      <w:pPr>
        <w:spacing w:after="80"/>
      </w:pPr>
      <w:r>
        <w:rPr>
          <w:b w:val="0"/>
          <w:i w:val="0"/>
        </w:rPr>
        <w:t xml:space="preserve">Trong </w:t>
      </w:r>
      <w:r>
        <w:rPr>
          <w:b w:val="0"/>
          <w:i/>
        </w:rPr>
        <w:t>Anson v Commissioners for Her Majesty's Revenue and Customs</w:t>
      </w:r>
      <w:r>
        <w:rPr>
          <w:b w:val="0"/>
          <w:i w:val="0"/>
        </w:rPr>
        <w:t>,35 một cá nhân cư trú tại Vương quốc Anh là thành viên của một công ty trách nhiệm hữu hạn (LLC) Delaware có hoạt động kinh doanh quản lý quỹ đầu tư mạo hiểm được tiến hành tại Hoa Kỳ. LLC được phân loại là một công ty hợp danh (partnership) cho mục đích thuế Hoa Kỳ và do đó, cá nhân này phải chịu thuế liên bang và tiểu bang của Hoa Kỳ đối với phần lợi nhuận của mình. Ông phải chịu thuế thu nhập Vương quốc Anh đối với các khoản tiền được chuyển về Vương quốc Anh. Tòa án Tối cao đã áp dụng cách tiếp cận ba bước: thứ nhất, cần xác định lợi nhuận hoặc thu nhập mà nghĩa vụ thuế Vương quốc Anh của người nộp thuế được tính toán bằng cách tham chiếu đến. Đây chủ yếu là một câu hỏi của luật thuế Vương quốc Anh; thứ hai, lợi nhuận hoặc thu nhập từ các nguồn trong Hoa Kỳ mà thuế Hoa Kỳ phải nộp theo luật Hoa Kỳ và phù hợp với hiệp ước phải được xác định. Đó chủ yếu là một câu hỏi của luật thuế Hoa Kỳ; thứ ba, cần so sánh lợi nhuận hoặc thu nhập trong mỗi trường hợp và quyết định xem chúng có giống nhau không.36 Tòa án Tối cao phán quyết rằng điều này xuất phát từ ý nghĩa thông thường của các từ trong hiệp ước.</w:t>
      </w:r>
    </w:p>
    <w:p>
      <w:pPr>
        <w:spacing w:after="80"/>
      </w:pPr>
      <w:r>
        <w:rPr>
          <w:b w:val="0"/>
          <w:i/>
        </w:rPr>
        <w:t>International Manual</w:t>
      </w:r>
      <w:r>
        <w:rPr>
          <w:b w:val="0"/>
          <w:i w:val="0"/>
        </w:rPr>
        <w:t xml:space="preserve"> của HMRC đưa ra các ví dụ khác về việc áp dụng nguyên tắc này. Như vậy, việc đánh thuế thu nhập vào tay một người định cư (settlor) ở một khu vực tài phán và thuế vào tay một người thụ hưởng (beneficiary), chẳng hạn, ở Vương quốc Anh, sẽ cho phép người thụ hưởng có được tín dụng cho thuế đã nộp bởi người định cư. Tương tự, khi thù lao giám đốc được coi là thu nhập của một công ty hợp danh hoặc một công ty theo Nhượng bộ Ngoài Luật định A (Extra-Statutory Concession A)37, cứu trợ tín dụng thuế có sẵn cho công ty hợp danh hoặc công ty bất chấp thực tế rằng thuế nước ngoài có thể được đánh vào giám đốc.37</w:t>
      </w:r>
    </w:p>
    <w:p>
      <w:pPr>
        <w:spacing w:after="80"/>
      </w:pPr>
      <w:r>
        <w:rPr>
          <w:b w:val="0"/>
          <w:i w:val="0"/>
        </w:rPr>
        <w:t xml:space="preserve">HMRC trước đây đã bày tỏ quan điểm rằng, khi khoản thu Vương quốc Anh được thực hiện trên thu nhập hoặc lợi nhuận được coi là (deemed income or gains), thì thu nhập hoặc lợi nhuận đó không phải là cùng thu nhập hoặc lợi nhuận như được đánh thuế ở nước ngoài và, trên cơ sở này, họ không chấp nhận rằng thu nhập chịu thuế vào tay một người cư trú Vương quốc Anh theo ITA 2007, Phần 13, Chương 2 (Chuyển tài sản ra nước ngoài), sẽ nằm trong quy tắc tín dụng, bởi vì người cư trú không thể được đồng nhất với bất kỳ phần cụ thể nào của thu nhập mà người không cư trú đã nhận được hoặc bởi vì người cư trú bị đánh thuế bằng cách tham chiếu đến một lợi ích nhận được từ tài sản chứ không phải bản thân thu nhập.38 Những bình luận này, ít nhất là liên quan đến người chuyển nhượng, không nhất quán với các quan điểm khác của HMRC về thu nhập được quy gán và theo quan điểm của tác giả là không chính xác. Lập trường của HMRC đã được Tòa án Cấp trên (Upper Tribunal) giữ vững trong </w:t>
      </w:r>
      <w:r>
        <w:rPr>
          <w:b w:val="0"/>
          <w:i/>
        </w:rPr>
        <w:t>Revenue and Customs Commissioners v Anson (No 2)</w:t>
      </w:r>
      <w:r>
        <w:rPr>
          <w:b w:val="0"/>
          <w:i w:val="0"/>
        </w:rPr>
        <w:t>,39 một vụ án được thẩm phán mô tả là một 'chuyến đi vào Xứ Thần Tiên (Wonderland)'. Ở đây người nộp thuế tìm cách viện dẫn luật chuyển tài sản ra nước ngoài như một căn cứ bổ sung để coi lợi nhuận của LLC là của mình. Ông lập luận rằng các cơ sở thực tế đã hiện diện – ông đã tham gia vào các giao dịch đã đưa tài sản ra khỏi khu vực tài phán mà do đó thu nhập đã trở thành phải trả cho một</w:t>
      </w:r>
    </w:p>
    <w:p>
      <w:pPr>
        <w:spacing w:after="80"/>
      </w:pPr>
      <w:r>
        <w:rPr>
          <w:b w:val="0"/>
          <w:i w:val="0"/>
        </w:rPr>
        <w:t>35.</w:t>
      </w:r>
      <w:r>
        <w:rPr>
          <w:b w:val="0"/>
          <w:i/>
        </w:rPr>
        <w:t>Anson v Revenue and Customs Commissioners</w:t>
      </w:r>
      <w:r>
        <w:rPr>
          <w:b w:val="0"/>
          <w:i w:val="0"/>
        </w:rPr>
        <w:t xml:space="preserve"> [2015] STC 1777, [2015] BTC 21, [2015] UKSC 44.36.Tại đoạn 113.37.HMRC, International Manual, INTM161040.38.HMRC, International Tax Handbook, ITH620. Sổ tay nội bộ này đã được rút lại vào tháng 10 năm 2008. Lập luận này đã được HMRC đưa ra trong </w:t>
      </w:r>
      <w:r>
        <w:rPr>
          <w:b w:val="0"/>
          <w:i/>
        </w:rPr>
        <w:t>Swift v Revenue &amp; Customs</w:t>
      </w:r>
      <w:r>
        <w:rPr>
          <w:b w:val="0"/>
          <w:i w:val="0"/>
        </w:rPr>
        <w:t xml:space="preserve"> [2010] SFTD553[2010]TC00399[2010]UKFTT88(TC). Tòa án Sơ thẩm quyết định rằng điều đó là không cần thiết cho quyết định của họ nhưng đồng ý, </w:t>
      </w:r>
      <w:r>
        <w:rPr>
          <w:b w:val="0"/>
          <w:i/>
        </w:rPr>
        <w:t>obiter</w:t>
      </w:r>
      <w:r>
        <w:rPr>
          <w:b w:val="0"/>
          <w:i w:val="0"/>
        </w:rPr>
        <w:t xml:space="preserve">, với lập luận của HMRC. Kháng cáo về điểm này trong </w:t>
      </w:r>
      <w:r>
        <w:rPr>
          <w:b w:val="0"/>
          <w:i/>
        </w:rPr>
        <w:t>Revenue and Customs Commissioners v Anson (No 2)</w:t>
      </w:r>
      <w:r>
        <w:rPr>
          <w:b w:val="0"/>
          <w:i w:val="0"/>
        </w:rPr>
        <w:t xml:space="preserve"> [2012] BTC 1552 [2012] UKUT 59(TCC); [2012] STC 1014, được thảo luận dưới đây.39.</w:t>
      </w:r>
      <w:r>
        <w:rPr>
          <w:b w:val="0"/>
          <w:i/>
        </w:rPr>
        <w:t>Revenue and Customs Commissioners v Anson (No 2)</w:t>
      </w:r>
      <w:r>
        <w:rPr>
          <w:b w:val="0"/>
          <w:i w:val="0"/>
        </w:rPr>
        <w:t xml:space="preserve"> [2012] BTC 1552[2012] UKUT 59 (TCC);[2012] STC 1014.</w:t>
      </w:r>
    </w:p>
    <w:p>
      <w:pPr>
        <w:spacing w:after="80"/>
      </w:pPr>
      <w:r>
        <w:rPr>
          <w:b w:val="0"/>
          <w:i w:val="0"/>
        </w:rPr>
        <w:t>441</w:t>
      </w:r>
    </w:p>
    <w:p>
      <w:pPr>
        <w:spacing w:after="80"/>
      </w:pPr>
      <w:r>
        <w:rPr>
          <w:b w:val="0"/>
          <w:i w:val="0"/>
        </w:rPr>
        <w:t>người ngoài Vương quốc Anh (thực thể Delaware). Do đó, thu nhập từ thực thể đó được coi là thu nhập của ông. Cơ quan Thuế (Revenue) cũng tham gia cuộc chơi, chấp nhận cơ sở thực tế của việc áp dụng luật mà ông Anson đã đưa ra, nhưng tìm cách tránh hậu quả bằng cách viện dẫn biện pháp bảo vệ hiện nằm trong ITA 2007, ss 737-742, bằng cách tuyên bố rằng mình hoàn toàn hài lòng rằng mục đích của các giao dịch mà ông Anson thực hiện không phải, và không bao gồm, mục đích tránh nghĩa vụ thuế. Do đó, cơ quan này tìm cách tránh việc áp dụng cưỡng chế cơ chế chống tránh thuế của mình bằng cách triển khai một lối thoát mà thông thường sẽ dành cho người nộp thuế, mặc dù người nộp thuế đã không (có thể hiểu được dựa trên các tình tiết của vụ án này) tự mình viện dẫn nó. Thẩm phán Mann, mặc dù miễn cưỡng bắt đầu từ tiền đề dường như được các bên chia sẻ, đã đồng ý rằng biện pháp bảo vệ không tránh thuế đã được thỏa mãn.</w:t>
      </w:r>
    </w:p>
    <w:p>
      <w:pPr>
        <w:spacing w:after="80"/>
      </w:pPr>
      <w:r>
        <w:rPr>
          <w:b w:val="0"/>
          <w:i w:val="0"/>
        </w:rPr>
        <w:t xml:space="preserve">Dù ranh giới được vạch ở đâu, rõ ràng rằng việc giảm trừ cho đánh thuế trùng kinh tế (economic double taxation) không mở rộng đến việc đánh thuế lợi nhuận của một công ty và việc phân phối lợi nhuận đó bị đánh thuế trong tay cổ đông của nó. Trong </w:t>
      </w:r>
      <w:r>
        <w:rPr>
          <w:b w:val="0"/>
          <w:i/>
        </w:rPr>
        <w:t xml:space="preserve"> Canadian Eagle Oil Co Ltd v The King </w:t>
      </w:r>
      <w:r>
        <w:rPr>
          <w:b w:val="0"/>
          <w:i w:val="0"/>
        </w:rPr>
        <w:t>,40 Lord Macmillan đã nói rõ ràng rằng 'vì mục đích Thuế Thu nhập (Income Tax), thu nhập của một công ty nước ngoài và thu nhập nhận được từ nó dưới dạng cổ tức bởi các cổ đông người Anh của nó không phải ở bất kỳ mức độ hay hiệu lực nào là một và cùng một thu nhập, mà là hai thu nhập riêng biệt'.41 Việc giảm trừ cho đánh thuế trùng kinh tế này bằng cách khấu trừ thuế cơ sở (underlying tax) được thảo luận trong §15.11.</w:t>
      </w:r>
    </w:p>
    <w:p>
      <w:pPr>
        <w:spacing w:after="80"/>
      </w:pPr>
      <w:r>
        <w:rPr>
          <w:b w:val="0"/>
          <w:i w:val="0"/>
        </w:rPr>
        <w:t xml:space="preserve">Vấn đề được nêu ra trong </w:t>
      </w:r>
      <w:r>
        <w:rPr>
          <w:b w:val="0"/>
          <w:i/>
        </w:rPr>
        <w:t xml:space="preserve"> Anson </w:t>
      </w:r>
      <w:r>
        <w:rPr>
          <w:b w:val="0"/>
          <w:i w:val="0"/>
        </w:rPr>
        <w:t xml:space="preserve"> được giải quyết cụ thể trong việc trao đổi công hàm ngày 24 tháng 7 năm 2001 cho Hiệp ước Anh-Mỹ trong bối cảnh các thực thể minh bạch về thuế (fiscally transparent entities) và các quỹ tín thác (trusts). Việc trao đổi công hàm đã không được nêu ra tại Tòa án Sơ thẩm (First-tier) hoặc Tòa án Cấp cao (Upper Tribunal) và muộn tại Tòa Phúc thẩm (Court of Appeal). Đơn xin phép kháng cáo lên Tòa án Tối cao (Supreme Court) về điểm này đã bị từ chối.42 Trong việc trao đổi công hàm đó (liên quan đến điều 24), các bên ký kết đã công nhận rằng trong trường hợp một thực thể minh bạch về thuế theo luật của một trong hai quốc gia ký kết, có thể có sự không khớp giữa những người bị đánh thuế ở hai quốc gia. Trong những trường hợp như vậy, thu nhập thường được coi là phát sinh cho một cư dân của một quốc gia ký kết vì mục đích tín dụng thuế (tax credit), ngay cả khi một người khác bị đánh thuế ở quốc gia ký kết kia. Các quy tắc tương tự được áp dụng liên quan đến các quỹ tín thác, nơi có thể có sự không khớp giữa các quốc gia ký kết với thuế có thể được áp đặt lên người lập quỹ (settlor), người được ủy thác (trustees) hoặc người thụ hưởng (beneficiaries).</w:t>
      </w:r>
    </w:p>
    <w:p>
      <w:pPr>
        <w:spacing w:after="80"/>
      </w:pPr>
      <w:r>
        <w:rPr>
          <w:b/>
          <w:i w:val="0"/>
        </w:rPr>
        <w:t>§15.05 KHỚP THU NHẬP VÀ THUẾ NƯỚC NGOÀI VỚI NGHĨA VỤ THUẾ CỦA VƯƠNG QUỐC ANH</w:t>
      </w:r>
    </w:p>
    <w:p>
      <w:pPr>
        <w:spacing w:after="80"/>
      </w:pPr>
      <w:r>
        <w:rPr>
          <w:b w:val="0"/>
          <w:i w:val="0"/>
        </w:rPr>
        <w:t xml:space="preserve">Cách diễn đạt được tìm thấy trong hầu hết các hiệp ước của Vương quốc Anh, đề cập đến việc khấu trừ thuế Vương quốc Anh được tính bằng cách tham chiếu đến 'cùng lợi nhuận hoặc thu nhập mà [thuế nước ngoài] được tính', đã được thông qua sau phán quyết trong </w:t>
      </w:r>
      <w:r>
        <w:rPr>
          <w:b w:val="0"/>
          <w:i/>
        </w:rPr>
        <w:t xml:space="preserve"> Duckering v Gollan,</w:t>
      </w:r>
      <w:r>
        <w:rPr>
          <w:b w:val="0"/>
          <w:i w:val="0"/>
        </w:rPr>
        <w:t>43</w:t>
      </w:r>
    </w:p>
    <w:p>
      <w:pPr>
        <w:spacing w:after="80"/>
      </w:pPr>
      <w:r>
        <w:rPr>
          <w:b w:val="0"/>
          <w:i w:val="0"/>
        </w:rPr>
        <w:t>liên quan đến hiệp ước đánh thuế hai lần New Zealand-Vương quốc Anh năm 1947. Trong hiệp ước đó, tín dụng thuế được cấp 'liên quan đến thu nhập từ các nguồn trong New Zealand' và tín dụng được cho phép 'đối với bất kỳ thuế Vương quốc Anh nào phải nộp liên quan đến thu nhập đó'. Vụ án phát sinh từ một sự thay đổi</w:t>
      </w:r>
    </w:p>
    <w:p>
      <w:pPr>
        <w:spacing w:after="80"/>
      </w:pPr>
      <w:r>
        <w:rPr>
          <w:b w:val="0"/>
          <w:i w:val="0"/>
        </w:rPr>
        <w:t>40.</w:t>
      </w:r>
      <w:r>
        <w:rPr>
          <w:b w:val="0"/>
          <w:i/>
        </w:rPr>
        <w:t>Canadian Eagle Oil Co Ltd v The King</w:t>
      </w:r>
      <w:r>
        <w:rPr>
          <w:b w:val="0"/>
          <w:i w:val="0"/>
        </w:rPr>
        <w:t xml:space="preserve"> 27 TC 205.41.Tại tr. 257.42.Tại đoạn 49.43.</w:t>
      </w:r>
      <w:r>
        <w:rPr>
          <w:b w:val="0"/>
          <w:i/>
        </w:rPr>
        <w:t>Duckering v Gollan</w:t>
      </w:r>
      <w:r>
        <w:rPr>
          <w:b w:val="0"/>
          <w:i w:val="0"/>
        </w:rPr>
        <w:t xml:space="preserve"> (1965) 42 TC 333, HL.</w:t>
      </w:r>
    </w:p>
    <w:p>
      <w:pPr>
        <w:spacing w:after="80"/>
      </w:pPr>
      <w:r>
        <w:rPr>
          <w:b w:val="0"/>
          <w:i w:val="0"/>
        </w:rPr>
        <w:t>442</w:t>
      </w:r>
    </w:p>
    <w:p>
      <w:pPr>
        <w:spacing w:after="80"/>
      </w:pPr>
      <w:r>
        <w:rPr>
          <w:b w:val="0"/>
          <w:i w:val="0"/>
        </w:rPr>
        <w:t>ở New Zealand từ đánh thuế trên cơ sở năm trước sang cơ sở năm hiện tại. Vương quốc Anh đã áp dụng cơ sở năm trước trong suốt những năm được đề cập. Người nộp thuế đã nộp thuế New Zealand trên thu nhập của mình mỗi năm, mặc dù trong năm chuyển tiếp nó được đo lường theo một cách khác. Cách diễn đạt này được gọi là 'cơ sở luật định' (statutory basis) cho tín dụng thuế hiện chỉ được tìm thấy trong rất ít hiệp ước cũ.44 Theo ngôn ngữ hiện hành, tín dụng thuế được áp dụng trên 'cơ sở thu nhập gốc' (root income basis), nghĩa là nó được cho phép trên thuế nước ngoài đối với bất kỳ thuế Vương quốc Anh nào được tính bằng cách tham chiếu đến cùng thu nhập mà thuế nước ngoài được tính.45 HMRC cho phép sử dụng cơ sở gốc ngay cả đối với những hiệp ước mà cơ sở luật định được áp dụng.46</w:t>
      </w:r>
    </w:p>
    <w:p>
      <w:pPr>
        <w:spacing w:after="80"/>
      </w:pPr>
      <w:r>
        <w:rPr>
          <w:b w:val="0"/>
          <w:i w:val="0"/>
        </w:rPr>
        <w:t xml:space="preserve">Một số vấn đề khó khăn hơn phát sinh từ cơ sở luật định đã được giải quyết bằng việc bãi bỏ cơ sở đánh thuế năm trước. Khi thuế nước ngoài được đánh bằng cách khấu trừ, thường có ít khó khăn trong việc khớp thuế nước ngoài đã nộp với nghĩa vụ thuế Vương quốc Anh. Khi thuế được đánh giá trên lợi nhuận theo cơ sở hàng năm, các vấn đề có thể phát sinh do các năm thuế khác nhau đòi hỏi phải phân bổ. Trong </w:t>
      </w:r>
      <w:r>
        <w:rPr>
          <w:b w:val="0"/>
          <w:i/>
        </w:rPr>
        <w:t xml:space="preserve"> Imperial Chemical Industries Ltd v Caro </w:t>
      </w:r>
      <w:r>
        <w:rPr>
          <w:b w:val="0"/>
          <w:i w:val="0"/>
        </w:rPr>
        <w:t>,47 việc áp dụng các quy tắc của Vương quốc Anh cho các nguồn thu nhập mới dẫn đến thu nhập từ nguồn Úc có liên quan đến nghĩa vụ thuế Vương quốc Anh trong hơn một năm. Bất chấp điều này, người ta đã phán quyết rằng tín dụng thuế chỉ có thể được yêu cầu một lần. Các vấn đề liên quan đến giảm trừ đối với thu nhập phát sinh trong những năm bắt đầu hiện được giải quyết bởi TIOPA 2010, ss 22-24.</w:t>
      </w:r>
    </w:p>
    <w:p>
      <w:pPr>
        <w:spacing w:after="80"/>
      </w:pPr>
      <w:r>
        <w:rPr>
          <w:b/>
          <w:i w:val="0"/>
        </w:rPr>
        <w:t>§15.06 QUY TẮC NGUỒN</w:t>
      </w:r>
    </w:p>
    <w:p>
      <w:pPr>
        <w:spacing w:after="80"/>
      </w:pPr>
      <w:r>
        <w:rPr>
          <w:b w:val="0"/>
          <w:i w:val="0"/>
        </w:rPr>
        <w:t>Các quy tắc nguồn có thể khác nhau theo một hiệp ước và luật trong nước. Điều này có thể liên quan đến các yếu tố kết nối phù hợp là gì, cũng như vị trí của nguồn. Tùy thuộc vào các ngoại lệ được phép48 và các nhượng bộ của HMRC,49 tín dụng thuế sẽ không được cấp cho thuế nước ngoài liên quan đến thu nhập từ nguồn Vương quốc Anh. Ngoài các quy tắc nguồn cá nhân trong các điều khoản phân phối của hiệp ước, hầu hết các hiệp ước của Vương quốc Anh áp dụng cách tiếp cận của OECD trong việc coi thu nhập có thể bị đánh thuế ngoài quốc gia cư trú là phát sinh ở quốc gia kia. Ví dụ, hiệp ước đánh thuế hai lần Nam Tư-Vương quốc Anh viết:</w:t>
      </w:r>
    </w:p>
    <w:p>
      <w:pPr>
        <w:spacing w:after="80"/>
      </w:pPr>
      <w:r>
        <w:rPr>
          <w:b w:val="0"/>
          <w:i w:val="0"/>
        </w:rPr>
        <w:t>22(5) Vì mục đích của các đoạn trước của Điều này, lợi nhuận, thu nhập và lợi nhuận vốn (capital gains) thuộc sở hữu của một cư dân của một Quốc gia Ký kết mà có thể bị đánh thuế ở Quốc gia Ký kết kia theo Công ước này sẽ được coi là phát sinh từ các nguồn ở Quốc gia Ký kết kia đó.</w:t>
      </w:r>
    </w:p>
    <w:p>
      <w:pPr>
        <w:spacing w:after="80"/>
      </w:pPr>
      <w:r>
        <w:rPr>
          <w:b w:val="0"/>
          <w:i w:val="0"/>
        </w:rPr>
        <w:t>44.Xem, ví dụ, Hiệp ước Myanmar-Vương quốc Anh (Thỏa thuận giữa Chính phủ Vương quốc Liên hiệp Anh và Bắc Ireland và Chính phủ Liên bang Miến Điện về Việc Tránh Đánh Thuế Hai Lần và Ngăn Ngừa Trốn Thuế Tài chính Liên quan đến Thuế Thu nhập, Thỏa thuận ngày 13 tháng 3 năm 1950 (SI 1952/751)), điều 14(1).45.HMRC, Sổ tay Giảm trừ Đánh thuế Hai lần (Double Taxation Relief Manual), DT600.46.HMRC, Sổ tay Giảm trừ Đánh thuế Hai lần, DT6033.47.</w:t>
      </w:r>
      <w:r>
        <w:rPr>
          <w:b w:val="0"/>
          <w:i/>
        </w:rPr>
        <w:t>Imperial Chemical Industries Ltd v Caro</w:t>
      </w:r>
      <w:r>
        <w:rPr>
          <w:b w:val="0"/>
          <w:i w:val="0"/>
        </w:rPr>
        <w:t xml:space="preserve"> (1959) 35 TC 374, CA.48.Ví dụ, TIOPA 2010, ss 9(7) và 14(3)(b).49.Nhượng bộ ngoài luật định B8.</w:t>
      </w:r>
    </w:p>
    <w:p>
      <w:pPr>
        <w:spacing w:after="80"/>
      </w:pPr>
      <w:r>
        <w:rPr>
          <w:b w:val="0"/>
          <w:i w:val="0"/>
        </w:rPr>
        <w:t>443</w:t>
      </w:r>
    </w:p>
    <w:p>
      <w:pPr>
        <w:spacing w:after="80"/>
      </w:pPr>
      <w:r>
        <w:rPr>
          <w:b w:val="0"/>
          <w:i w:val="0"/>
        </w:rPr>
        <w:t>Hiệu lực của ngôn ngữ này đã được xem xét trong</w:t>
      </w:r>
      <w:r>
        <w:rPr>
          <w:b w:val="0"/>
          <w:i/>
        </w:rPr>
        <w:t xml:space="preserve"> Bayfine UK v HMRC</w:t>
      </w:r>
      <w:r>
        <w:rPr>
          <w:b w:val="0"/>
          <w:i w:val="0"/>
        </w:rPr>
        <w:t>.50 Tại Tòa án Phúc thẩm (Court of Appeal), Nữ Thẩm phán Arden (Lady Justice Arden) đã phán quyết rằng ngôn ngữ này không bị giới hạn trong các trường hợp đánh thuế hai lần theo pháp lý (juridical double taxation) hoặc chỉ áp dụng khi có xung đột giữa hai quốc gia về nguồn thu nhập. Đối với cư dân Vương quốc Anh, mục đích của ngôn ngữ này là để căn chỉnh khoản tín dụng thuế nước ngoài (credit for foreign tax) với khoản tín dụng đơn phương (unilateral credit) trong TIOPA 2010, s. 9, trong đó yêu cầu nguồn thu nhập hoặc lợi nhuận mà khoản tín dụng được yêu cầu phải nằm trong lãnh thổ nơi thuế được nộp. Do đó, trong bối cảnh hiệp ước này, nguồn thu nhập sẽ luôn nằm ở quốc gia ký kết còn lại, bất kể các quy tắc nguồn trong nước của một trong hai quốc gia.51</w:t>
      </w:r>
    </w:p>
    <w:p>
      <w:pPr>
        <w:spacing w:after="80"/>
      </w:pPr>
      <w:r>
        <w:rPr>
          <w:b w:val="0"/>
          <w:i w:val="0"/>
        </w:rPr>
        <w:t>Tòa án Tối cao (Supreme Court) trong</w:t>
      </w:r>
      <w:r>
        <w:rPr>
          <w:b w:val="0"/>
          <w:i/>
        </w:rPr>
        <w:t xml:space="preserve"> Anson</w:t>
      </w:r>
      <w:r>
        <w:rPr>
          <w:b w:val="0"/>
          <w:i w:val="0"/>
        </w:rPr>
        <w:t>, khi tán thành quan điểm này, đã nhấn mạnh rằng thuật ngữ 'nguồn' (source) ở đây là một thuật ngữ hiệp ước tự trị (autonomous treaty term), áp dụng cho mọi mục đích của điều khoản này, không liên quan đến học thuyết nguồn của luật thuế Vương quốc Anh.52 Điều này đặc biệt quan trọng liên quan đến lợi nhuận thương mại hoặc lợi nhuận hành nghề chuyên môn bị đánh thuế theo ITTOIA 2005, Phần 2, đối với các chi nhánh nước ngoài hoặc trong trường hợp, như ở một số quốc gia liên quan đến phí kỹ thuật hoặc phí quản lý, thuế được khấu trừ tại quốc gia thanh toán.53 Sổ tay Hướng dẫn Giảm thuế Hai lần (Double Taxation Relief Manual) của HMRC, DT581, đưa ra các quy định nới lỏng ưu đãi đối với các quy tắc nghiêm ngặt.</w:t>
      </w:r>
    </w:p>
    <w:p>
      <w:pPr>
        <w:spacing w:after="80"/>
      </w:pPr>
      <w:r>
        <w:rPr>
          <w:b/>
          <w:i w:val="0"/>
        </w:rPr>
        <w:t>§15.07 CƯ TRÚ</w:t>
      </w:r>
    </w:p>
    <w:p>
      <w:pPr>
        <w:spacing w:after="80"/>
      </w:pPr>
      <w:r>
        <w:rPr>
          <w:b w:val="0"/>
          <w:i w:val="0"/>
        </w:rPr>
        <w:t>Khác với Mô hình OECD (OECD Model), ngôn ngữ tín dụng chung của điều khoản này không đề cập đến việc cư trú tại Vương quốc Anh như một yêu cầu. TIOPA 2010, s. 26 giới hạn các khoản tín dụng thuế nước ngoài được hiệp ước cho phép chỉ dành cho cư dân Vương quốc Anh. Ngược lại, khoản giảm thuế đơn phương (unilateral relief) được cung cấp trong các trường hợp hạn chế cho người không cư trú. Khoản này có sẵn cho cư dân Đảo Man (Isle of Man) hoặc Quần đảo Channel (Channel Islands) đối với thuế đã nộp tại Đảo Man hoặc Quần đảo Channel, ngoài cư dân Vương quốc Anh.54 Khoản này cũng có sẵn cho thuế nước ngoài được tính dựa trên thu nhập từ việc làm khi các nhiệm vụ được thực hiện hoàn toàn hoặc chủ yếu tại cùng một quốc gia nước ngoài, đối với thuế thu nhập bị đánh theo ITEPA 2003 và được tính dựa trên thu nhập đó nếu người đó cư trú tại Vương quốc Anh hoặc tại lãnh thổ khác đó.55 TIOPA 2010, s. 30 cấp khoản giảm thuế đơn phương cho chi nhánh hoặc đại lý tại Vương quốc Anh trong một số trường hợp nhất định. Các quy định này được ban hành để thực thi phán quyết của ECJ trong</w:t>
      </w:r>
      <w:r>
        <w:rPr>
          <w:b w:val="0"/>
          <w:i/>
        </w:rPr>
        <w:t xml:space="preserve"> Compagnie de Saint-Gobain, Zweigniederlassung Deutschland v Finanzamt Aachen-Innenstadt</w:t>
      </w:r>
      <w:r>
        <w:rPr>
          <w:b w:val="0"/>
          <w:i w:val="0"/>
        </w:rPr>
        <w:t>.56 Tuy nhiên, trong phạm vi các hiệp ước cung cấp sự đối xử ưu đãi hơn so với khoản giảm thuế đơn phương, Vương quốc Anh trong thời gian là thành viên Liên minh Châu Âu có thể đã không tuân thủ đầy đủ phán quyết đó.</w:t>
      </w:r>
    </w:p>
    <w:p>
      <w:pPr>
        <w:spacing w:after="80"/>
      </w:pPr>
      <w:r>
        <w:rPr>
          <w:b w:val="0"/>
          <w:i w:val="0"/>
        </w:rPr>
        <w:t>50.</w:t>
      </w:r>
      <w:r>
        <w:rPr>
          <w:b w:val="0"/>
          <w:i/>
        </w:rPr>
        <w:t>Bayfine UK v Revenue and Customs Commissioners</w:t>
      </w:r>
      <w:r>
        <w:rPr>
          <w:b w:val="0"/>
          <w:i w:val="0"/>
        </w:rPr>
        <w:t xml:space="preserve"> [2011] STC 717, [2011] BTC 242, [2011] EWCA Civ 304 tại các đoạn 37 và 53. 51.</w:t>
      </w:r>
      <w:r>
        <w:rPr>
          <w:b w:val="0"/>
          <w:i/>
        </w:rPr>
        <w:t>Bayfine UK v Revenue and Customs Commissioners</w:t>
      </w:r>
      <w:r>
        <w:rPr>
          <w:b w:val="0"/>
          <w:i w:val="0"/>
        </w:rPr>
        <w:t xml:space="preserve"> [2011] STC 717, [2011] BTC 242, [2011] EWCA Civ 304 tại đoạn 24. 52.</w:t>
      </w:r>
      <w:r>
        <w:rPr>
          <w:b w:val="0"/>
          <w:i/>
        </w:rPr>
        <w:t>Anson v Revenue and Customs Commissioners</w:t>
      </w:r>
      <w:r>
        <w:rPr>
          <w:b w:val="0"/>
          <w:i w:val="0"/>
        </w:rPr>
        <w:t xml:space="preserve"> [2015] STC 1777, [2015] BTC 21, [2015] UKSC 44 tại đoạn 100. 53.Xem</w:t>
      </w:r>
      <w:r>
        <w:rPr>
          <w:b w:val="0"/>
          <w:i/>
        </w:rPr>
        <w:t xml:space="preserve"> Yates v GCA International Ltd</w:t>
      </w:r>
      <w:r>
        <w:rPr>
          <w:b w:val="0"/>
          <w:i w:val="0"/>
        </w:rPr>
        <w:t xml:space="preserve"> [1991] BTC 107, [1991] STC 157, Ch. D. 54.TIOPA 2010, ss 9(7) và 28. 55.TIOPA 2010, s. 29. 56.</w:t>
      </w:r>
      <w:r>
        <w:rPr>
          <w:b w:val="0"/>
          <w:i/>
        </w:rPr>
        <w:t>Compagnie de Saint-Gobain, Zweigniederlassung Deutschland v Finanzamt Aachen-Innenstadt</w:t>
      </w:r>
      <w:r>
        <w:rPr>
          <w:b w:val="0"/>
          <w:i w:val="0"/>
        </w:rPr>
        <w:t xml:space="preserve"> (Case C-307/97) [1999] ECR I-06161, [2000] STC 854.</w:t>
      </w:r>
    </w:p>
    <w:p>
      <w:pPr>
        <w:spacing w:after="80"/>
      </w:pPr>
      <w:r>
        <w:rPr>
          <w:b w:val="0"/>
          <w:i w:val="0"/>
        </w:rPr>
        <w:t>444</w:t>
      </w:r>
    </w:p>
    <w:p>
      <w:pPr>
        <w:spacing w:after="80"/>
      </w:pPr>
      <w:r>
        <w:rPr>
          <w:b/>
          <w:i w:val="0"/>
        </w:rPr>
        <w:t>§15.08 THUẾ NƯỚC NGOÀI PHẢI NỘP</w:t>
      </w:r>
    </w:p>
    <w:p>
      <w:pPr>
        <w:spacing w:after="80"/>
      </w:pPr>
      <w:r>
        <w:rPr>
          <w:b w:val="0"/>
          <w:i w:val="0"/>
        </w:rPr>
        <w:t>Ngôn ngữ hiệp ước thường nói về tín dụng đối với 'thuế phải nộp' (tax payable) tại một lãnh thổ ngoài Vương quốc Anh. Điều này tương ứng với luật trong nước tại TIOPA 2010, s. 18(3) nhưng có thể được đối chiếu với khoản giảm thuế đơn phương tại s. 9, trong đó đề cập đến thuế nước ngoài 'đã nộp' (paid). Thuế trở thành phải nộp khi sự tồn tại và số tiền của một nghĩa vụ thuế được xác lập. Thông thường đó sẽ là thời điểm đánh giá thuế (assessment). Khó khăn có thể phát sinh khi nghĩa vụ thuế nước ngoài bị tranh chấp. Việc thuế có phải nộp hay không có thể phụ thuộc vào luật quản lý thuế nước ngoài.57 Trong</w:t>
      </w:r>
      <w:r>
        <w:rPr>
          <w:b w:val="0"/>
          <w:i/>
        </w:rPr>
        <w:t xml:space="preserve"> Greig (Inspector of Taxes) v Ashton</w:t>
      </w:r>
      <w:r>
        <w:rPr>
          <w:b w:val="0"/>
          <w:i w:val="0"/>
        </w:rPr>
        <w:t>,58 Thẩm phán Harman nhận xét 'rằng "phải nộp" theo một nghĩa nào đó phải có nghĩa là "đã nộp"; nói cách khác, không thể cấp tín dụng … cho thuế chưa được nộp…'. Việc xác định thuế phải nộp có thể không đơn giản, ví dụ, do biến động tiền tệ và thời điểm nộp thuế nước ngoài. Trong</w:t>
      </w:r>
      <w:r>
        <w:rPr>
          <w:b w:val="0"/>
          <w:i/>
        </w:rPr>
        <w:t xml:space="preserve"> Greig v Ashton</w:t>
      </w:r>
      <w:r>
        <w:rPr>
          <w:b w:val="0"/>
          <w:i w:val="0"/>
        </w:rPr>
        <w:t>, người nộp thuế, tác giả Clemence Dane, kiếm thu nhập hành nghề chuyên môn tại Hoa Kỳ vào năm 1946 và 1948. Thu nhập đó được bao gồm trong lợi nhuận của bà được đánh thuế thu nhập tại Vương quốc Anh cho các năm 1947-1948 và 1949-1950. Số tiền thuế Hoa Kỳ ròng mà bà phải chịu là $ 11,614 cho năm 1946 và $ 16,438 cho năm 1948. Năm 1946, $ 21,250 đã được khấu trừ trên các khoản thanh toán liên quan đến thuế Hoa Kỳ và bà đã nộp thêm $ 3,226 thuế Hoa Kỳ vào tháng 10 năm 1946, tổng cộng $ 24,476 đã nộp hoặc phải chịu. Năm 1948, $ 23,699 đã được khấu trừ liên quan đến thuế. Năm 1950, người nộp thuế nhận được khoản hoàn thuế $ 12,862 cộng lãi cho năm 1946 và khoản hoàn thuế $ 7,261 cộng lãi cho năm 1948. Đồng bảng Anh tăng giá đáng kể giữa những năm mà nghĩa vụ thuế Hoa Kỳ phát sinh và thời điểm khoản nộp thừa được hoàn lại. Thẩm phán Harman đã phán quyết, mà không đưa ra lý do chi tiết, rằng tín dụng theo art. XIII của Hiệp ước Thuế Thu nhập Hoa Kỳ - Vương quốc Anh (1946) nên được cấp theo tỷ giá hối đoái có hiệu lực cho năm 1946 và 1948 khi thu nhập được kiếm.</w:t>
      </w:r>
    </w:p>
    <w:p>
      <w:pPr>
        <w:spacing w:after="80"/>
      </w:pPr>
      <w:r>
        <w:rPr>
          <w:b w:val="0"/>
          <w:i w:val="0"/>
        </w:rPr>
        <w:t>Tòa án Liên bang Canada, Phòng Xét xử (Federal Court, Trial Division) trong</w:t>
      </w:r>
      <w:r>
        <w:rPr>
          <w:b w:val="0"/>
          <w:i/>
        </w:rPr>
        <w:t xml:space="preserve"> Bank of Nova Scotia v The Queen</w:t>
      </w:r>
      <w:r>
        <w:rPr>
          <w:b w:val="0"/>
          <w:i w:val="0"/>
        </w:rPr>
        <w:t>59</w:t>
      </w:r>
    </w:p>
    <w:p>
      <w:pPr>
        <w:spacing w:after="80"/>
      </w:pPr>
      <w:r>
        <w:rPr>
          <w:b w:val="0"/>
          <w:i w:val="0"/>
        </w:rPr>
        <w:t>đã cung cấp một phân tích chi tiết hơn về một mô hình sự kiện tương tự. Tòa án nhận xét liên quan đến art. 21(2) của Hiệp ước Thuế Thu nhập Canada - Vương quốc Anh (1966), rằng trạng thái 'phải nộp' luôn đi trước trạng thái 'đã nộp' về mặt thời gian.60 Ở đó, một ngân hàng cư trú tại Canada kinh doanh tại Vương quốc Anh thông qua một cơ sở thường trú (permanent establishment). Thuế doanh nghiệp Vương quốc Anh được nộp mười bốn tháng sau khi kết thúc năm thuế liên quan. Tòa án phán quyết rằng khi xác định thuế nước ngoài phải nộp bằng đô la Canada, ngân hàng được quyền chuyển đổi thuế phải nộp bằng đồng bảng Anh bằng cách sử dụng tỷ giá hối đoái trung bình gia quyền (weighted average rate of exchange) thịnh hành trong năm thuế liên quan thay vì tỷ giá vào ngày thuế thực sự được nộp.</w:t>
      </w:r>
    </w:p>
    <w:p>
      <w:pPr>
        <w:spacing w:after="80"/>
      </w:pPr>
      <w:r>
        <w:rPr>
          <w:b w:val="0"/>
          <w:i w:val="0"/>
        </w:rPr>
        <w:t>Trong</w:t>
      </w:r>
      <w:r>
        <w:rPr>
          <w:b w:val="0"/>
          <w:i/>
        </w:rPr>
        <w:t xml:space="preserve"> Sportsman v IRC</w:t>
      </w:r>
      <w:r>
        <w:rPr>
          <w:b w:val="0"/>
          <w:i w:val="0"/>
        </w:rPr>
        <w:t>,61 người nộp thuế cố gắng lập luận rằng ông được quyền nhận tín dụng cho thuế Pháp liên quan đến một năm thuế mà không có đánh giá thuế nào được đưa ra tại Pháp,</w:t>
      </w:r>
    </w:p>
    <w:p>
      <w:pPr>
        <w:spacing w:after="80"/>
      </w:pPr>
      <w:r>
        <w:rPr>
          <w:b w:val="0"/>
          <w:i w:val="0"/>
        </w:rPr>
        <w:t>57.Trong</w:t>
      </w:r>
      <w:r>
        <w:rPr>
          <w:b w:val="0"/>
          <w:i/>
        </w:rPr>
        <w:t xml:space="preserve"> Minera Las Bambas SA &amp; Anor v Glencore Queensland Ltd &amp; Ors</w:t>
      </w:r>
      <w:r>
        <w:rPr>
          <w:b w:val="0"/>
          <w:i w:val="0"/>
        </w:rPr>
        <w:t xml:space="preserve"> [2019] EWCA Civ 972, [2019] STC 1642, nghĩa vụ thực sự nộp thuế tại Peru, khi một kháng cáo lên tòa án thuế đã được thực hiện, là khi tòa án đã quyết định. Bối cảnh của vụ án đó rất khác biệt - một khoản bồi thường trong một thỏa thuận mua bán cổ phần. Tòa án ở đó lưu ý tại đoạn 28, rằng từ 'phải nộp' không phải là một thuật ngữ pháp lý chuyên môn: nó là một từ có khả năng mang các nghĩa khác nhau trong các bối cảnh khác nhau. 58.</w:t>
      </w:r>
      <w:r>
        <w:rPr>
          <w:b w:val="0"/>
          <w:i/>
        </w:rPr>
        <w:t>Greig (Inspector of Taxes) v Ashton</w:t>
      </w:r>
      <w:r>
        <w:rPr>
          <w:b w:val="0"/>
          <w:i w:val="0"/>
        </w:rPr>
        <w:t xml:space="preserve"> [1956] 36 TC 581; [1956] 3 All ER 123; [1956] 1 WLR 1056. 59.</w:t>
      </w:r>
      <w:r>
        <w:rPr>
          <w:b w:val="0"/>
          <w:i/>
        </w:rPr>
        <w:t>Bank of Nova Scotia v The Queen</w:t>
      </w:r>
      <w:r>
        <w:rPr>
          <w:b w:val="0"/>
          <w:i w:val="0"/>
        </w:rPr>
        <w:t xml:space="preserve"> [1980] CTC 57. 60.Tại tr. 60. 61.</w:t>
      </w:r>
      <w:r>
        <w:rPr>
          <w:b w:val="0"/>
          <w:i/>
        </w:rPr>
        <w:t>Sportsman v IRC</w:t>
      </w:r>
      <w:r>
        <w:rPr>
          <w:b w:val="0"/>
          <w:i w:val="0"/>
        </w:rPr>
        <w:t xml:space="preserve"> (1998) Sp C 174; [1998] STC SCD 289.</w:t>
      </w:r>
    </w:p>
    <w:p>
      <w:pPr>
        <w:spacing w:after="80"/>
      </w:pPr>
      <w:r>
        <w:rPr>
          <w:b w:val="0"/>
          <w:i w:val="0"/>
        </w:rPr>
        <w:t>445</w:t>
      </w:r>
    </w:p>
    <w:p>
      <w:pPr>
        <w:spacing w:after="80"/>
      </w:pPr>
      <w:r>
        <w:rPr>
          <w:b w:val="0"/>
          <w:i w:val="0"/>
        </w:rPr>
        <w:t>không có thuế thu nhập nào được ông nộp, và không có bên nào khác thực hiện bất kỳ khoản thanh toán nào như bằng cách khấu trừ thay cho ông. Ông lập luận rằng khoản tín dụng không chỉ giới hạn ở thuế đã được nộp, mà còn áp dụng cho thuế có thể hoặc nên được nộp. Inland Revenue cố gắng lập luận rằng 'đã nộp' và 'phải nộp' có thể hoán đổi cho nhau trong bối cảnh này, nhưng cuối cùng các Ủy viên (Commissioners) dường như quyết định rằng không có nghĩa vụ thuế nào tại Pháp. Các Ủy viên chấp nhận bằng chứng rằng trong hoàn cảnh đó, ông không thể bị đánh giá thuế, cũng như không có nghĩa vụ nào đối với chủ lao động Pháp của ông phải khấu trừ thuế. Các Ủy viên hình thành quan điểm rằng không chỉ thuế chưa được nộp, mà còn không có cơ sở nào để nó có thể được nộp, và do đó không có tín dụng nào được cho phép. Yêu cầu này được làm rõ bởi TIOPA 2010, s. 21(1), trong đó định nghĩa 'thuế nước ngoài' có nghĩa là 'thuế có thể bị đánh theo luật của lãnh thổ ngoài Vương quốc Anh … mà tín dụng có thể được cho phép …'</w:t>
      </w:r>
    </w:p>
    <w:p>
      <w:pPr>
        <w:spacing w:after="80"/>
      </w:pPr>
      <w:r>
        <w:rPr>
          <w:b w:val="0"/>
          <w:i w:val="0"/>
        </w:rPr>
        <w:t>Việc loại bỏ đánh thuế hai lần bởi Pháp đối với thu nhập đã bị đánh thuế tại Vương quốc Anh yêu cầu rõ ràng rằng 'thuế Vương quốc Anh thực sự và cuối cùng phải chịu đối với thu nhập liên quan' trong art. 23(3)(c) của Hiệp ước Thuế Thu nhập Pháp - Vương quốc Anh (2008). Hội đồng Nhà nước Pháp (Conseil d'État - Tòa án Hành chính Tối cao) đã phán quyết rằng điều này có nghĩa là được bao gồm trong cơ sở của một trong các loại thuế được liệt kê theo art. 2(1)(a). Trong trường hợp đó, một cá nhân cư trú tại Pháp đã chuyển nhượng bất động sản tại Vương quốc Anh mà Vương quốc Anh được phép đánh thuế theo Hiệp ước. Không có thuế Vương quốc Anh nào thực sự được nộp vì lợi nhuận thấp hơn mức miễn thuế hàng năm. Tuy nhiên, tòa án kết luận rằng tín dụng nên được cấp bằng với số thuế Pháp quy cho thu nhập đó theo yêu cầu của cách đọc thông thường art. 24(3)(a)(i) của Hiệp ước. Mục đích của quy định này là cung cấp một khoản miễn thuế cho thu nhập đó. Ngoài ra, tòa án phán quyết rằng không cần thiết Vương quốc Anh phải có các loại thuế tương tự như contribution sociale généralisée và contribution pour le remboursement de la dette sociale (CRDS) được đề cập trong art. 2(1)(b) mà tín dụng được yêu cầu đối với chúng.62</w:t>
      </w:r>
    </w:p>
    <w:p>
      <w:pPr>
        <w:spacing w:after="80"/>
      </w:pPr>
      <w:r>
        <w:rPr>
          <w:b w:val="0"/>
          <w:i w:val="0"/>
        </w:rPr>
        <w:t>Mặt khác, trong</w:t>
      </w:r>
      <w:r>
        <w:rPr>
          <w:b w:val="0"/>
          <w:i/>
        </w:rPr>
        <w:t xml:space="preserve"> Lehman Brothers Holdings Inc v United States,</w:t>
      </w:r>
      <w:r>
        <w:rPr>
          <w:b w:val="0"/>
          <w:i w:val="0"/>
        </w:rPr>
        <w:t>63 Tòa án Quận Hoa Kỳ (US District Court) từ chối cho phép tín dụng theo art. 23(1) của Hiệp ước Thuế Thu nhập Vương quốc Anh - Hoa Kỳ (1975) liên quan đến thuế danh nghĩa (notional tax) theo art. 10(2)(a)(ii) đối với các khoản thanh toán cổ tức thay thế mà một công ty Hoa Kỳ nhận được từ một công ty con cư trú tại Vương quốc Anh theo các giao dịch cho vay cổ phiếu song song (back-to-back stock loan transactions). Tín dụng không được phép theo luật trong nước Hoa Kỳ và art. 23(1) rõ ràng phải tuân theo các giới hạn của luật Hoa Kỳ. Liệu điều này có thể được giải thích là ảnh hưởng đến nguyên tắc chung của khoản giảm thuế tín dụng hay không vẫn chưa được khám phá.64</w:t>
      </w:r>
    </w:p>
    <w:p>
      <w:pPr>
        <w:spacing w:after="80"/>
      </w:pPr>
      <w:r>
        <w:rPr>
          <w:b/>
          <w:i w:val="0"/>
        </w:rPr>
        <w:t>§15.09HẠN CHẾ TÍN DỤNG THEO HIỆP ĐỊNH</w:t>
      </w:r>
    </w:p>
    <w:p>
      <w:pPr>
        <w:spacing w:after="80"/>
      </w:pPr>
      <w:r>
        <w:rPr>
          <w:b w:val="0"/>
          <w:i w:val="0"/>
        </w:rPr>
        <w:t>Nếu một hiệp định có điều khoản quy định rõ ràng rằng tín dụng thuế nước ngoài sẽ không được cấp theo hiệp định trong các trường hợp hoặc tình huống cụ thể, thì tín dụng không được cấp theo hiệp định hoặc theo biện pháp giảm trừ đơn phương trong những trường hợp đó.65 Quy tắc này có hiệu lực đối với các hiệp định được ký kết vào hoặc sau ngày 21 tháng 3 năm 2000.</w:t>
      </w:r>
    </w:p>
    <w:p>
      <w:pPr>
        <w:spacing w:after="80"/>
      </w:pPr>
      <w:r>
        <w:rPr>
          <w:b w:val="0"/>
          <w:i w:val="0"/>
        </w:rPr>
        <w:t>62.Conseil d’État (Tòa án Hành chính Tối cao Pháp), avis No. 435907 (ngày 12 tháng 2 năm 2020).63.</w:t>
      </w:r>
      <w:r>
        <w:rPr>
          <w:b w:val="0"/>
          <w:i/>
        </w:rPr>
        <w:t>Lehman Brothers Holdings Inc v United States</w:t>
      </w:r>
      <w:r>
        <w:rPr>
          <w:b w:val="0"/>
          <w:i w:val="0"/>
        </w:rPr>
        <w:t>, 2015-1 USTC ¶50,323 (DC NY, 05/08/2015).64.Xem §15.02.65.TIOPA 2010, s. 11(3).</w:t>
      </w:r>
    </w:p>
    <w:p>
      <w:pPr>
        <w:spacing w:after="80"/>
      </w:pPr>
      <w:r>
        <w:rPr>
          <w:b w:val="0"/>
          <w:i w:val="0"/>
        </w:rPr>
        <w:t>446</w:t>
      </w:r>
    </w:p>
    <w:p>
      <w:pPr>
        <w:spacing w:after="80"/>
      </w:pPr>
      <w:r>
        <w:rPr>
          <w:b w:val="0"/>
          <w:i w:val="0"/>
        </w:rPr>
        <w:t>Quy tắc này sẽ có tác động đặc biệt đối với các công ty Anh yêu cầu tín dụng thuế cho thuế đã nộp tại Hoa Kỳ. Điều 24 của Hiệp định Anh-Mỹ, được ký ngày 24 tháng 7 năm 2001, chứa một số hạn chế đối với khả năng được cấp tín dụng cho thuế Hoa Kỳ so với thuế Anh. Điều 24(4)(c) từ chối quyền lợi tín dụng thuế đối với thuế cơ bản (underlying tax) trên cổ tức do một công ty cư trú tại Hoa Kỳ chi trả, và khi Vương quốc Anh coi cổ tức đó thuộc sở hữu hưởng lợi của một cư dân Vương quốc Anh, Hoa Kỳ coi cổ tức đó thuộc sở hữu hưởng lợi của một cư dân Hoa Kỳ và Hoa Kỳ đã cho phép một cư dân Hoa Kỳ được khấu trừ đối với một khoản tiền được xác định dựa trên cổ tức đó. Điều này nhằm vào một số thỏa thuận tài trợ lai (hybrid financing arrangements) nhất định, theo đó các khoản thanh toán có thể được coi là lãi ở Hoa Kỳ và là cổ tức ở Vương quốc Anh. Một hạn chế thứ hai đối với tín dụng thuế được áp đặt bởi điều 24(6) liên quan đến công dân Hoa Kỳ hoặc cựu công dân Hoa Kỳ, hoặc cư dân dài hạn là cư dân của Vương quốc Anh. Trong trường hợp như vậy, Vương quốc Anh không ‘bị ràng buộc’ phải cấp tín dụng cho những cư dân đó đối với thuế Hoa Kỳ trên lợi nhuận, thu nhập hoặc lợi tức từ các nguồn ngoài Hoa Kỳ theo quy định của pháp luật Vương quốc Anh. Đối với các khoản mục như vậy từ các nguồn Hoa Kỳ, Vương quốc Anh sẽ chỉ tính đến, khi xác định tín dụng được cấp, khoản thuế mà Hoa Kỳ có thể áp đặt theo hiệp định đối với một cư dân Vương quốc Anh không phải là công dân Hoa Kỳ. Khả năng hạn chế tín dụng thuế trong những trường hợp như vậy, theo TIOPA 2010, s. 11(3), được củng cố bởi điều 24(4)(d) của Hiệp định Anh-Mỹ, điều này loại trừ điều 1(2) (bảo lưu quyền lợi) khỏi điều 24(4).66</w:t>
      </w:r>
    </w:p>
    <w:p>
      <w:pPr>
        <w:spacing w:after="80"/>
      </w:pPr>
      <w:r>
        <w:rPr>
          <w:b/>
          <w:i w:val="0"/>
        </w:rPr>
        <w:t>§15.10CÁC TRƯỜNG HỢP VÒNG TRÒN</w:t>
      </w:r>
    </w:p>
    <w:p>
      <w:pPr>
        <w:spacing w:after="80"/>
      </w:pPr>
      <w:r>
        <w:rPr>
          <w:b w:val="0"/>
          <w:i/>
        </w:rPr>
        <w:t>Bayfine UK Products và Bayfine UK v HMRC</w:t>
      </w:r>
      <w:r>
        <w:rPr>
          <w:b w:val="0"/>
          <w:i w:val="0"/>
        </w:rPr>
        <w:t>67 phải xem xét khả năng được cấp tín dụng khi cả hai quốc gia ký kết đều đánh thuế một người với tư cách là cư dân do cách đối xử về cơ bản khác nhau ở mỗi quốc gia. Quốc gia nào nên được quyền đánh thuế và quốc gia nào sau đó phải có nghĩa vụ cấp tín dụng cho khoản thuế đó? Người nộp thuế là một công ty vô hạn (unlimited company) được thành lập tại Anh và là thành viên cư trú tại Vương quốc Anh của tập đoàn Morgan Stanley. Người nộp thuế đã tạo ra lợi nhuận mà về nguyên tắc phải chịu thuế tại Vương quốc Anh nhưng lại yêu cầu tín dụng cho thuế Hoa Kỳ trên cùng khoản lợi nhuận đó do công ty mẹ của mình, một công ty Hoa Kỳ, đã nộp, để bù trừ nghĩa vụ thuế tại Vương quốc Anh. Đối với mục đích thuế Hoa Kỳ, lợi nhuận của công ty Anh được coi là lợi nhuận của công ty mẹ Hoa Kỳ vì công ty Anh được phân loại là ‘thực thể bị bỏ qua’ (disregarded entity).</w:t>
      </w:r>
    </w:p>
    <w:p>
      <w:pPr>
        <w:spacing w:after="80"/>
      </w:pPr>
      <w:r>
        <w:rPr>
          <w:b w:val="0"/>
          <w:i w:val="0"/>
        </w:rPr>
        <w:t xml:space="preserve">Nếu cùng một người nộp thuế là cư dân ở cả hai quốc gia, thì các quy định về cư trú kép của hiệp định sẽ giải quyết vấn đề cư trú theo hướng có lợi cho một trong hai quốc gia nhằm mục đích áp dụng hiệp định. Trong tình huống </w:t>
      </w:r>
      <w:r>
        <w:rPr>
          <w:b w:val="0"/>
          <w:i/>
        </w:rPr>
        <w:t>Bayfine</w:t>
      </w:r>
      <w:r>
        <w:rPr>
          <w:b w:val="0"/>
          <w:i w:val="0"/>
        </w:rPr>
        <w:t>, mỗi quốc gia coi một thực thể khác nhau là cư dân của mình. Các quy tắc phá vỡ thế bế tắc về cư trú kép trong các hiệp định không đề cập đến việc phải làm gì khi họ là những người khác nhau. Trong những trường hợp như vậy, cả hai quốc gia đều đánh thuế cư dân của mình và vấn đề là: ai sẽ cấp tín dụng cho thuế của quốc gia kia? Vấn đề tương tự có thể phát sinh liên quan đến pháp luật kiểu CFC (công ty nước ngoài được kiểm soát) khi thu nhập được quy cho một cổ đông. Một</w:t>
      </w:r>
    </w:p>
    <w:p>
      <w:pPr>
        <w:spacing w:after="80"/>
      </w:pPr>
      <w:r>
        <w:rPr>
          <w:b w:val="0"/>
          <w:i w:val="0"/>
        </w:rPr>
        <w:t>66.Xem thêm §15.03 về sự tương tác giữa các quy định của hiệp định và pháp luật trong nước này.67.</w:t>
      </w:r>
      <w:r>
        <w:rPr>
          <w:b w:val="0"/>
          <w:i/>
        </w:rPr>
        <w:t>BayfineUKProductsandBayfineUKvRevenue&amp;CustomsCommissioners</w:t>
      </w:r>
      <w:r>
        <w:rPr>
          <w:b w:val="0"/>
          <w:i w:val="0"/>
        </w:rPr>
        <w:t>[2008]UKSPCSPC719(2008)SpC719(SpecialCommissioners);CourtofAppeal[2011]EWCACiv304,[2011]STC 717, [2011] BTC 242.</w:t>
      </w:r>
    </w:p>
    <w:p>
      <w:pPr>
        <w:spacing w:after="80"/>
      </w:pPr>
      <w:r>
        <w:rPr>
          <w:b w:val="0"/>
          <w:i w:val="0"/>
        </w:rPr>
        <w:t>447</w:t>
      </w:r>
    </w:p>
    <w:p>
      <w:pPr>
        <w:spacing w:after="80"/>
      </w:pPr>
      <w:r>
        <w:rPr>
          <w:b w:val="0"/>
          <w:i w:val="0"/>
        </w:rPr>
        <w:t>Cách đọc theo nghĩa đen các quy định về tín dụng thuế trong điều 23 của Hiệp định Mỹ-Anh (1975) tự nó không đưa ra câu trả lời rõ ràng.68</w:t>
      </w:r>
    </w:p>
    <w:p>
      <w:pPr>
        <w:spacing w:after="80"/>
      </w:pPr>
      <w:r>
        <w:rPr>
          <w:b w:val="0"/>
          <w:i w:val="0"/>
        </w:rPr>
        <w:t>Các Ủy viên Đặc biệt Avery Jones và Sadler cho rằng cách thoát khỏi vòng tròn, trong đó cả hai quốc gia đều đánh thuế trên cơ sở cư trú và theo cách đọc theo nghĩa đen của hiệp định thì cả hai đều cấp tín dụng, là xem xét quốc gia nào có quyền đánh thuế mạnh hơn.69</w:t>
      </w:r>
    </w:p>
    <w:p>
      <w:pPr>
        <w:spacing w:after="80"/>
      </w:pPr>
      <w:r>
        <w:rPr>
          <w:b w:val="0"/>
          <w:i w:val="0"/>
        </w:rPr>
        <w:t>Họ nói rằng điều này được xác định bằng cách nhìn vào toàn bộ hiệp định. Vương quốc Anh đang đánh thuế một cư dân Vương quốc Anh đối với thu nhập có nguồn gốc từ Vương quốc Anh, tức là đánh thuế trên cơ sở cư trú cộng với nguồn. Trong trường hợp này, quyền đánh thuế của Hoa Kỳ đối với công ty mẹ là do điều khoản bảo lưu (saving clause) trong điều 1(3) của Hiệp định Anh-Mỹ (1975), điều này cho phép cư dân bị đánh thuế bất chấp hiệp định. Hoa Kỳ, khi bỏ qua người nộp thuế Vương quốc Anh bằng cách coi họ là minh bạch, đã ngầm thừa nhận rằng Vương quốc Anh có quyền đánh thuế tốt hơn bằng cách nói rằng việc Hoa Kỳ đánh thuế cư dân của mình là nhờ điều khoản bảo lưu.70 Theo đó, quyền đánh thuế đầu tiên thuộc về Vương quốc Anh. Không có tín dụng nào được cấp vì ở giai đoạn đó không có thuế Hoa Kỳ vì điều khoản bảo lưu chỉ có hiệu lực nếu hiệp định (không tính điều khoản bảo lưu) ngăn Hoa Kỳ đánh thuế.</w:t>
      </w:r>
    </w:p>
    <w:p>
      <w:pPr>
        <w:spacing w:after="80"/>
      </w:pPr>
      <w:r>
        <w:rPr>
          <w:b w:val="0"/>
          <w:i w:val="0"/>
        </w:rPr>
        <w:t>Các Ủy viên Đặc biệt cho rằng việc điều 1(4) quy định rằng điều 23 (tín dụng thuế nước ngoài) được áp dụng ngay cả khi điều 1(3), điều khoản bảo lưu, cho phép đánh thuế như thể hiệp định chưa có hiệu lực, đã chứng minh tính chất thứ cấp của việc đánh thuế theo điều khoản bảo lưu với tư cách là quốc gia cư trú ‘thứ cấp’. Nếu Hoa Kỳ đánh thuế theo điều khoản bảo lưu, thì người ta không thể quay lại điểm đầu của vòng tròn để lập luận rằng Vương quốc Anh nên cấp tín dụng trước.71 Điều khoản bảo lưu trao một quyền đánh thuế còn lại, sau khi đã giảm trừ cho thuế của quốc gia cư trú đầu tiên. Do đó, quốc gia của công ty con với tư cách là quốc gia nguồn cộng với cư trú rõ ràng có quyền đánh thuế mạnh hơn và quốc gia của công ty mẹ đánh thuế nhờ điều khoản bảo lưu sẽ cấp giảm trừ.72</w:t>
      </w:r>
    </w:p>
    <w:p>
      <w:pPr>
        <w:spacing w:after="80"/>
      </w:pPr>
      <w:r>
        <w:rPr>
          <w:b w:val="0"/>
          <w:i w:val="0"/>
        </w:rPr>
        <w:t>Khi kháng cáo lên Tòa án Cấp cao,73 Peter Smith J đã bác bỏ quan điểm về một ‘quyền đánh thuế mạnh hơn’. Ông nói:</w:t>
      </w:r>
    </w:p>
    <w:p>
      <w:pPr>
        <w:spacing w:after="80"/>
      </w:pPr>
      <w:r>
        <w:rPr>
          <w:b w:val="0"/>
          <w:i w:val="0"/>
        </w:rPr>
        <w:t>Đó là một khái niệm xa lạ với pháp luật Anh, với Hiệp định và với bình luận của OECD về công ước mẫu OECD về thuế kép mà Hiệp định dựa trên đó.74</w:t>
      </w:r>
    </w:p>
    <w:p>
      <w:pPr>
        <w:spacing w:after="80"/>
      </w:pPr>
      <w:r>
        <w:rPr>
          <w:b w:val="0"/>
          <w:i w:val="0"/>
        </w:rPr>
        <w:t xml:space="preserve">Ông nhận xét rằng Điều 7 (lợi nhuận kinh doanh) trao cho Vương quốc Anh quyền </w:t>
      </w:r>
      <w:r>
        <w:rPr>
          <w:b w:val="0"/>
          <w:i/>
        </w:rPr>
        <w:t>primafacie</w:t>
      </w:r>
      <w:r>
        <w:rPr>
          <w:b w:val="0"/>
          <w:i w:val="0"/>
        </w:rPr>
        <w:t xml:space="preserve"> độc quyền đánh thuế lợi nhuận kinh doanh của một doanh nghiệp tại Vương quốc Anh, trong khi Điều 1(3) (điều khoản bảo lưu) bảo toàn quyền của Hoa Kỳ trong việc đánh thuế lợi nhuận trong tay một người Hoa Kỳ. Ông giải quyết vấn đề hóc búa này như sau:</w:t>
      </w:r>
    </w:p>
    <w:p>
      <w:pPr>
        <w:spacing w:after="80"/>
      </w:pPr>
      <w:r>
        <w:rPr>
          <w:b w:val="0"/>
          <w:i w:val="0"/>
        </w:rPr>
        <w:t>Khi có nhiều hơn một quốc gia đánh thuế, câu hỏi về việc quốc gia nào phải cấp tín dụng thuế cần được giải quyết theo cách thông thường, cụ thể là quốc gia nguồn có</w:t>
      </w:r>
    </w:p>
    <w:p>
      <w:pPr>
        <w:spacing w:after="80"/>
      </w:pPr>
      <w:r>
        <w:rPr>
          <w:b w:val="0"/>
          <w:i w:val="0"/>
        </w:rPr>
        <w:t xml:space="preserve">68. Vấn đề này được bổ sung liên quan đến việc đánh thuế của Hoa Kỳ theo điều khoản bảo lưu trong Hiệp định Thuế Hoa Kỳ - Vương quốc Anh (2001), Điều 24(6). 69. (2008) Sp C 719 tại đoạn 64. 70. Hiệp định Thuế Hoa Kỳ - Vương quốc Anh (1975), Điều 1(4). 71. </w:t>
      </w:r>
      <w:r>
        <w:rPr>
          <w:b w:val="0"/>
          <w:i/>
        </w:rPr>
        <w:t>Bayfine UK v Revenue and Customs Commissioners</w:t>
      </w:r>
      <w:r>
        <w:rPr>
          <w:b w:val="0"/>
          <w:i w:val="0"/>
        </w:rPr>
        <w:t xml:space="preserve"> (2008) Sp C 719 tại đoạn 65. 72. </w:t>
      </w:r>
      <w:r>
        <w:rPr>
          <w:b w:val="0"/>
          <w:i/>
        </w:rPr>
        <w:t>Bayfine UK v Revenue and Customs Commissioners</w:t>
      </w:r>
      <w:r>
        <w:rPr>
          <w:b w:val="0"/>
          <w:i w:val="0"/>
        </w:rPr>
        <w:t xml:space="preserve"> (2008) Sp C 719 tại đoạn 66. 73. </w:t>
      </w:r>
      <w:r>
        <w:rPr>
          <w:b w:val="0"/>
          <w:i/>
        </w:rPr>
        <w:t>Bayfine UK v Revenue and Customs Commissioners</w:t>
      </w:r>
      <w:r>
        <w:rPr>
          <w:b w:val="0"/>
          <w:i w:val="0"/>
        </w:rPr>
        <w:t xml:space="preserve"> [2010] STC 1379, [2010] BTC 467 [2010] EWHC 609 (Ch). 74. </w:t>
      </w:r>
      <w:r>
        <w:rPr>
          <w:b w:val="0"/>
          <w:i/>
        </w:rPr>
        <w:t>Bayfine UK v Revenue and Customs Commissioners</w:t>
      </w:r>
      <w:r>
        <w:rPr>
          <w:b w:val="0"/>
          <w:i w:val="0"/>
        </w:rPr>
        <w:t xml:space="preserve"> [2010] STC 1379, [2010] BTC 467 [2010] EWHC 609 (Ch), tại đoạn 61.</w:t>
      </w:r>
    </w:p>
    <w:p>
      <w:pPr>
        <w:spacing w:after="80"/>
      </w:pPr>
      <w:r>
        <w:rPr>
          <w:b w:val="0"/>
          <w:i w:val="0"/>
        </w:rPr>
        <w:t>448</w:t>
      </w:r>
    </w:p>
    <w:p>
      <w:pPr>
        <w:spacing w:after="80"/>
      </w:pPr>
      <w:r>
        <w:rPr>
          <w:b w:val="0"/>
          <w:i w:val="0"/>
        </w:rPr>
        <w:t>quyền đánh thuế chính và quốc gia cư trú đánh thuế đối với cư dân của mình nhưng phải cấp tín dụng cho thuế tại nguồn. Trong trường hợp này, do đó, nguồn như tôi đã xác định là Hoa Kỳ. Do đó, Hoa Kỳ có quyền đánh thuế chính và tín dụng phải được cấp cho khoản thuế đó tại Vương quốc Anh theo Điều 23. Nếu vì lý do nào đó thuế được nộp trước tại Vương quốc Anh, thì khi thuế được đánh tại Hoa Kỳ, Hoa Kỳ sẽ phải công nhận một khoản tín dụng cho thuế đã nộp tại Vương quốc Anh.</w:t>
      </w:r>
    </w:p>
    <w:p>
      <w:pPr>
        <w:spacing w:after="80"/>
      </w:pPr>
      <w:r>
        <w:rPr>
          <w:b w:val="0"/>
          <w:i w:val="0"/>
        </w:rPr>
        <w:t>Câu hỏi đơn giản là được quyết định trên cơ sở quốc gia nào đánh thuế trước. Nếu Hoa Kỳ đánh thuế trước, thì tín dụng phải được cấp tại Vương quốc Anh. Nếu ngược lại, thì điều ngược lại cũng được áp dụng. Làm khác đi dường như đối với tôi là một sự bóp méo những từ ngữ rõ ràng và hiển nhiên của Điều 23 và Điều 1(3). Điều đó cũng có thể dẫn đến việc giảm thuế hai lần hoặc (nếu kháng cáo này không được chấp nhận) đánh thuế hai lần.75</w:t>
      </w:r>
    </w:p>
    <w:p>
      <w:pPr>
        <w:spacing w:after="80"/>
      </w:pPr>
      <w:r>
        <w:rPr>
          <w:b w:val="0"/>
          <w:i w:val="0"/>
        </w:rPr>
        <w:t>Cách tiếp cận này đã bị Tòa án Phúc thẩm76 bác bỏ, tòa đồng ý với kết luận của các Ủy viên Đặc biệt nhưng không hoàn toàn đồng ý với lý lẽ của họ. Họ kết luận rằng theo cách giải thích có mục đích, nghĩa vụ cấp tín dụng thuế chỉ phát sinh một lần và sau đó chấm dứt. Do đó, không có quyền được hưởng tín dụng thuế ở cả hai quốc gia thông qua một quá trình lặp đi lặp lại việc cấp tín dụng liên quan đến một loạt các lần áp dụng điều khoản cho mỗi Quốc gia Ký kết.77 Bà Justice Arden quyết định rằng cấu trúc của Điều 1(4) - điều mở rộng các quy định về tín dụng thuế trong Điều 23 cho các trường hợp, khi thuế được đánh tại quốc gia thực thi quyền của mình theo điều khoản bảo lưu, thì quốc gia đó phải nhường bước và cấp tín dụng cho thuế đã nộp tại quốc gia kia.78 Bằng chứng chuyên gia về luật Hoa Kỳ ủng hộ quan điểm rằng Hoa Kỳ sẽ cấp tín dụng,79 và, mặc dù Tòa án Phúc thẩm không đưa ra bình luận nào về bằng chứng đó, nó dường như đã đóng góp vào kết luận của họ. Lập luận - không phải không thể tranh cãi - rằng người nộp thuế có thể chọn quốc gia nào để yêu cầu tín dụng thuế đã bị bác bỏ.80</w:t>
      </w:r>
    </w:p>
    <w:p>
      <w:pPr>
        <w:spacing w:after="80"/>
      </w:pPr>
      <w:r>
        <w:rPr>
          <w:b/>
          <w:i w:val="0"/>
        </w:rPr>
        <w:t>§15.11 TÍN DỤNG THUẾ ĐỐI VỚI THUẾ CƠ SỞ</w:t>
      </w:r>
    </w:p>
    <w:p>
      <w:pPr>
        <w:spacing w:after="80"/>
      </w:pPr>
      <w:r>
        <w:rPr>
          <w:b w:val="0"/>
          <w:i w:val="0"/>
        </w:rPr>
        <w:t>Chính sách chung của Vương quốc Anh, cả theo luật trong nước và hiệp định, là cấp tín dụng thuế đối với thuế cơ sở đã nộp, khi công ty Vương quốc Anh kiểm soát trực tiếp hoặc gián tiếp ít nhất 10% quyền biểu quyết trong công ty trả cổ tức. Hiệp định thuế hai lần Uganda - Vương quốc Anh, một lần nữa, là một ví dụ điển hình:</w:t>
      </w:r>
    </w:p>
    <w:p>
      <w:pPr>
        <w:spacing w:after="80"/>
      </w:pPr>
      <w:r>
        <w:rPr>
          <w:b w:val="0"/>
          <w:i w:val="0"/>
        </w:rPr>
        <w:t>(b) Trong trường hợp cổ tức được trả bởi một công ty cư trú tại Uganda cho một công ty cư trú tại Vương quốc Anh và công ty này kiểm soát trực tiếp hoặc gián tiếp ít nhất 10% quyền biểu quyết trong công ty trả cổ tức, tín dụng thuế phải tính đến (ngoài bất kỳ khoản thuế Uganda nào được phép cấp tín dụng theo các quy định của điểm (a) của khoản này) khoản thuế Uganda mà công ty phải nộp đối với lợi nhuận mà từ đó cổ tức đó được trả.</w:t>
      </w:r>
    </w:p>
    <w:p>
      <w:pPr>
        <w:spacing w:after="80"/>
      </w:pPr>
      <w:r>
        <w:rPr>
          <w:b w:val="0"/>
          <w:i w:val="0"/>
        </w:rPr>
        <w:t xml:space="preserve">75. Tại các đoạn 70 và 71. 76. </w:t>
      </w:r>
      <w:r>
        <w:rPr>
          <w:b w:val="0"/>
          <w:i/>
        </w:rPr>
        <w:t>Bayfine UK v Revenue and Customs Commissioners</w:t>
      </w:r>
      <w:r>
        <w:rPr>
          <w:b w:val="0"/>
          <w:i w:val="0"/>
        </w:rPr>
        <w:t xml:space="preserve"> [2011] STC 717, [2011] BTC 242 [2011] EWCA Civ. 304. 77. Tại đoạn 51. 78. Tại đoạn 52. 79. Tại đoạn 56. 80. Tại đoạn 58.</w:t>
      </w:r>
    </w:p>
    <w:p>
      <w:pPr>
        <w:spacing w:after="80"/>
      </w:pPr>
      <w:r>
        <w:rPr>
          <w:b w:val="0"/>
          <w:i w:val="0"/>
        </w:rPr>
        <w:t>449</w:t>
      </w:r>
    </w:p>
    <w:p>
      <w:pPr>
        <w:spacing w:after="80"/>
      </w:pPr>
      <w:r>
        <w:rPr>
          <w:b w:val="0"/>
          <w:i w:val="0"/>
        </w:rPr>
        <w:t xml:space="preserve">Các quy tắc hiệp định cho phép tín dụng thuế đối với thuế cơ sở thì cụ thể hơn. Tín dụng thuế chỉ khả dụng cho các công ty cư trú tại Vương quốc Anh và nguồn chỉ là cổ tức từ các công ty cư trú tại quốc gia ký kết kia, khi có tỷ lệ sở hữu cổ phần cần thiết. Đại đa số các hiệp định áp dụng bài kiểm tra 10% quyền biểu quyết để đủ điều kiện hưởng tín dụng thuế đối với thuế cơ sở. Một số81 yêu cầu 25% quyền biểu quyết. Luật trong nước liên quan đến tín dụng thuế đối với thuế cơ sở nói chung được quy định trong TIOPA 2010, ss 57-71. Thuế cơ sở được loại trừ khỏi các quy định chung về tín dụng thuế, nhưng có thể được cung cấp cụ thể. Hình thức từ ngữ thông thường đã được xem xét trong </w:t>
      </w:r>
      <w:r>
        <w:rPr>
          <w:b w:val="0"/>
          <w:i/>
        </w:rPr>
        <w:t>Memec plc v IRC</w:t>
      </w:r>
      <w:r>
        <w:rPr>
          <w:b w:val="0"/>
          <w:i w:val="0"/>
        </w:rPr>
        <w:t>.82</w:t>
      </w:r>
    </w:p>
    <w:p>
      <w:pPr>
        <w:spacing w:after="80"/>
      </w:pPr>
      <w:r>
        <w:rPr>
          <w:b w:val="0"/>
          <w:i w:val="0"/>
        </w:rPr>
        <w:t>Tín dụng thuế đối với thuế cơ sở đã bị từ chối trên cơ sở rằng các khoản phân phối mà một đối tác thầm lặng của Vương quốc Anh nhận được từ việc tham gia vào một quan hệ đối tác thầm lặng của Đức không phải là 'cổ tức' cho các mục đích của quy định tín dụng thuế của hiệp định thuế hai lần Đức - Vương quốc Anh năm 1967 (Điều 18) hoặc cho các mục đích của Bộ luật Tín dụng. Điều này bất chấp thực tế rằng trong điều khoản về cổ tức của hiệp định, thuật ngữ 'cổ tức' bao gồm thu nhập của một đối tác thầm lặng từ việc tham gia với tư cách đó. Peter Gibson LJ cho đa số có quan điểm rằng trong hiệp định, nghĩa thông thường của cổ tức nên được áp dụng, cụ thể là, đó là một khoản thanh toán một phần lợi nhuận cho một khoảng thời gian liên quan đến cổ phần trong một công ty.83</w:t>
      </w:r>
    </w:p>
    <w:p>
      <w:pPr>
        <w:spacing w:after="80"/>
      </w:pPr>
      <w:r>
        <w:rPr>
          <w:b w:val="0"/>
          <w:i w:val="0"/>
        </w:rPr>
        <w:t>Ngụ ý trong quyết định là cổ tức theo điều khoản tín dụng thuế của hiệp định cũng là cổ tức theo Bộ luật Tín dụng.</w:t>
      </w:r>
    </w:p>
    <w:p>
      <w:pPr>
        <w:spacing w:after="80"/>
      </w:pPr>
      <w:r>
        <w:rPr>
          <w:b/>
          <w:i w:val="0"/>
        </w:rPr>
        <w:t>§15.12 MIỄN THUẾ ĐỐI ỨNG</w:t>
      </w:r>
    </w:p>
    <w:p>
      <w:pPr>
        <w:spacing w:after="80"/>
      </w:pPr>
      <w:r>
        <w:rPr>
          <w:b w:val="0"/>
          <w:i w:val="0"/>
        </w:rPr>
        <w:t>Nhiều quốc gia dành nhiều loại ưu đãi thuế khác nhau để thu hút đầu tư, bao gồm đặc biệt là miễn thuế hoặc ưu đãi thuế (tax holiday) khi không phải nộp thuế trong một khoảng thời gian nhất định. Những lợi ích của các ưu đãi này có thể bị triệt tiêu đối với các doanh nghiệp Anh đầu tư vào những quốc gia như vậy, bởi vì lợi nhuận từ hoạt động chi nhánh tại các quốc gia đó vẫn sẽ tiếp tục chịu thuế tại Anh. Tương tự, cổ tức từ các công ty con có thể bị đánh thuế đầy đủ tại Anh, vì sẽ không có thuế cơ sở (underlying tax) để có thể yêu cầu khấu trừ. Do đó, Anh đã thỏa thuận với một số quốc gia đang phát triển để coi thuế được miễn giảm (tức là thực tế không nộp) như là thuế được coi như đã nộp (deemed paid) nhằm cho phép các công ty Anh được khấu trừ, qua đó duy trì hiệu quả của ưu đãi nước ngoài. Mục 4 và 20 của TIOPA 2010 quy định thẩm quyền cụ thể để đưa các điều khoản miễn giảm thuế (tax-sparing) vào các hiệp định. Hiệp định thuế song phương Indonesia-Anh đưa ra một phiên bản hiện đại của các điều khoản như vậy:</w:t>
      </w:r>
    </w:p>
    <w:p>
      <w:pPr>
        <w:spacing w:after="80"/>
      </w:pPr>
      <w:r>
        <w:rPr>
          <w:b w:val="0"/>
          <w:i w:val="0"/>
        </w:rPr>
        <w:t>21(3) Nhằm mục đích của khoản (1) Điều này, thuật ngữ 'thuế Indonesia phải nộp' được coi là bao gồm bất kỳ khoản tiền nào lẽ ra phải nộp như thuế Indonesia cho bất kỳ năm nào, nếu không vì sự miễn thuế hoặc giảm thuế được cấp cho năm đó hoặc bất kỳ phần nào của năm đó theo Điều 15(5) và Điều 16(1) và (2) của Luật số 1 năm 1967 của Indonesia, trong phạm vi các quy định này tiếp tục có hiệu lực theo Điều 33(2)(a) của Luật số 7 năm 1983 của Indonesia.</w:t>
      </w:r>
    </w:p>
    <w:p>
      <w:pPr>
        <w:spacing w:after="80"/>
      </w:pPr>
      <w:r>
        <w:rPr>
          <w:b w:val="0"/>
          <w:i w:val="0"/>
        </w:rPr>
        <w:t>81. Xem, ví dụ, Hiệp định Nam Tư-Anh (nay áp dụng cho Bosnia-Herzegovina, Montenegro và Serbia) (Công ước giữa Vương quốc Liên hiệp Anh và Bắc Ireland và Cộng hòa Liên bang Xã hội chủ nghĩa Nam Tư về Tránh đánh thuế hai lần đối với Thuế thu nhập, Công ước ngày 6 tháng 11 năm 1981 (SI 1981/1815), điều 10(2)(a)). 82.</w:t>
      </w:r>
      <w:r>
        <w:rPr>
          <w:b w:val="0"/>
          <w:i/>
        </w:rPr>
        <w:t>Memec plc v IRC</w:t>
      </w:r>
      <w:r>
        <w:rPr>
          <w:b w:val="0"/>
          <w:i w:val="0"/>
        </w:rPr>
        <w:t xml:space="preserve"> [1998] BTC 251; [1998] STC 754, CA. 83. Tại 768.</w:t>
      </w:r>
    </w:p>
    <w:p>
      <w:pPr>
        <w:spacing w:after="80"/>
      </w:pPr>
      <w:r>
        <w:rPr>
          <w:b w:val="0"/>
          <w:i w:val="0"/>
        </w:rPr>
        <w:t>450</w:t>
      </w:r>
    </w:p>
    <w:p>
      <w:pPr>
        <w:spacing w:after="80"/>
      </w:pPr>
      <w:r>
        <w:rPr>
          <w:b w:val="0"/>
          <w:i w:val="0"/>
        </w:rPr>
        <w:t>Với điều kiện là việc giảm thuế Vương quốc Anh sẽ không được áp dụng theo khoản này đối với thu nhập từ bất kỳ nguồn nào nếu thu nhập phát sinh trong một khoảng thời gian bắt đầu hơn 10 năm sau khi việc miễn thuế hoặc giảm thuế Indonesia lần đầu tiên được cấp đối với nguồn đó.</w:t>
      </w:r>
    </w:p>
    <w:p>
      <w:pPr>
        <w:spacing w:after="80"/>
      </w:pPr>
      <w:r>
        <w:rPr>
          <w:b w:val="0"/>
          <w:i w:val="0"/>
        </w:rPr>
        <w:t>Phù hợp với sự thay đổi chính sách nói chung của OECD,84 chính sách của Anh là tìm cách loại bỏ miễn giảm thuế khỏi các hiệp định, ngoại trừ trên cơ sở có chọn lọc, nhắm mục tiêu hẹp và trong giới hạn thời gian cụ thể. Ngoài ra, khấu trừ miễn giảm thuế nói chung sẽ không áp dụng đối với cổ tức giữa các công ty liên kết nhưng ở các khu vực tài phán khác nhau theo TIOPA 2010, s. 63, trừ khi hiệp định liên quan có quy định rõ ràng cho việc giảm thuế này.85</w:t>
      </w:r>
    </w:p>
    <w:p>
      <w:pPr>
        <w:spacing w:after="80"/>
      </w:pPr>
      <w:r>
        <w:rPr>
          <w:b/>
          <w:i w:val="0"/>
        </w:rPr>
        <w:t>§15.13 MIỄN THUẾ ĐỐI VỚI THU NHẬP NƯỚC NGOÀI</w:t>
      </w:r>
    </w:p>
    <w:p>
      <w:pPr>
        <w:spacing w:after="80"/>
      </w:pPr>
      <w:r>
        <w:rPr>
          <w:b w:val="0"/>
          <w:i w:val="0"/>
        </w:rPr>
        <w:t>Các hiệp định mà Anh đồng ý loại bỏ đánh thuế hai lần bằng phương pháp miễn thuế không tuân theo ngôn ngữ được quy định tại điều 23A của Mẫu OECD. Thay vào đó, Anh đã áp dụng ngôn ngữ riêng của mình. Một số hiệp định chỉ quy định miễn thuế đối với các khoản phân phối.86 Phạm vi rộng nhất được thể hiện trong điều 22(1)(b) và (c) của Hiệp định Liechtenstein-Anh như sau:</w:t>
      </w:r>
    </w:p>
    <w:p>
      <w:pPr>
        <w:spacing w:after="80"/>
      </w:pPr>
      <w:r>
        <w:rPr>
          <w:b w:val="0"/>
          <w:i w:val="0"/>
        </w:rPr>
        <w:t>Tùy thuộc vào các quy định của pháp luật Vương quốc Anh liên quan đến… việc miễn thuế Vương quốc Anh đối với cổ tức phát sinh tại một lãnh thổ ngoài Vương quốc Anh hoặc đối với lợi nhuận của một cơ sở thường trú nằm tại một lãnh thổ ngoài Vương quốc Anh (điều này sẽ không ảnh hưởng đến nguyên tắc chung của điều này):</w:t>
      </w:r>
    </w:p>
    <w:p>
      <w:pPr>
        <w:spacing w:after="80"/>
      </w:pPr>
      <w:r>
        <w:rPr>
          <w:b w:val="0"/>
          <w:i w:val="0"/>
        </w:rPr>
        <w:t>…(b) cổ tức được trả bởi một công ty cư trú tại Liechtenstein cho</w:t>
      </w:r>
    </w:p>
    <w:p>
      <w:pPr>
        <w:spacing w:after="80"/>
      </w:pPr>
      <w:r>
        <w:rPr>
          <w:b w:val="0"/>
          <w:i w:val="0"/>
        </w:rPr>
        <w:t>một công ty cư trú tại Vương quốc Anh sẽ được miễn thuế Vương quốc Anh khi việc miễn thuế được áp dụng và các điều kiện để miễn thuế theo pháp luật Vương quốc Anh được đáp ứng; (c) lợi nhuận của một cơ sở thường trú tại Liechtenstein của một công ty</w:t>
      </w:r>
    </w:p>
    <w:p>
      <w:pPr>
        <w:spacing w:after="80"/>
      </w:pPr>
      <w:r>
        <w:rPr>
          <w:b w:val="0"/>
          <w:i w:val="0"/>
        </w:rPr>
        <w:t>cư trú tại Vương quốc Anh sẽ được miễn thuế Vương quốc Anh khi việc miễn thuế được áp dụng và các điều kiện để miễn thuế theo pháp luật Vương quốc Anh được đáp ứng</w:t>
      </w:r>
    </w:p>
    <w:p>
      <w:pPr>
        <w:spacing w:after="80"/>
      </w:pPr>
      <w:r>
        <w:rPr>
          <w:b w:val="0"/>
          <w:i w:val="0"/>
        </w:rPr>
        <w:t>Ngôn ngữ này yêu cầu Anh miễn thuế đối với cổ tức được trả bởi một công ty cư trú tại quốc gia ký kết kia cho một công ty cư trú tại Anh 'khi việc miễn thuế được áp dụng và các điều kiện để miễn thuế theo pháp luật Vương quốc Anh được đáp ứng'.87 Nếu hiểu theo nghĩa đen, điều này sẽ không cho phép miễn thuế trừ khi pháp luật nội địa của Anh được áp dụng. Nếu đúng như vậy, Anh không đưa ra cam kết ràng buộc nào về việc duy trì việc miễn thuế. Một minh họa cho khó khăn của cách tiếp cận đó có thể thấy trong mối liên hệ với Hiệp định Thuế thu nhập Hồng Kông-Anh. Hồng Kông không có</w:t>
      </w:r>
    </w:p>
    <w:p>
      <w:pPr>
        <w:spacing w:after="80"/>
      </w:pPr>
      <w:r>
        <w:rPr>
          <w:b w:val="0"/>
          <w:i w:val="0"/>
        </w:rPr>
        <w:t>84. Xem tài liệu OECD, 'Tax sparing: a reconsideration' (1998). 85. TIOPA 2010, s. 20(6). 86. Hiệp định Thuế Trung Quốc-Anh (2011), điều 22(2)(b), Hiệp định Thuế Ethiopia-Anh (2011), điều 22(1)(b), Hiệp định Thuế Hồng Kông-Anh (2010), điều 21(2)(b), Hiệp định Thuế Albania-Anh (2013), điều 21(1)(b). 87. CTA 2009, Phần 2, Chương 3A quy định các yêu cầu của pháp luật nội địa đối với việc miễn thuế đối với lợi nhuận cơ sở thường trú nước ngoài và Phần 9A, Chương 2, 4 và 4 quy định các yêu cầu của pháp luật nội địa đối với việc miễn thuế đối với các khoản phân phối.</w:t>
      </w:r>
    </w:p>
    <w:p>
      <w:pPr>
        <w:spacing w:after="80"/>
      </w:pPr>
      <w:r>
        <w:rPr>
          <w:b w:val="0"/>
          <w:i w:val="0"/>
        </w:rPr>
        <w:t>451</w:t>
      </w:r>
    </w:p>
    <w:p>
      <w:pPr>
        <w:spacing w:after="80"/>
      </w:pPr>
      <w:r>
        <w:rPr>
          <w:b w:val="0"/>
          <w:i w:val="0"/>
        </w:rPr>
        <w:t>khái niệm cư trú theo pháp luật thuế nội địa. Theo đó, liên quan đến các công ty nhỏ nhận được khoản phân phối từ một công ty Hồng Kông, yêu cầu về cư trú tại CTA 2009, s. U31B(a), không thể được đáp ứng.88 Tuy nhiên, cư trú Hồng Kông được đưa ra một ý nghĩa cụ thể cho mục đích của hiệp định theo điều 4. Trong trường hợp một công ty được thành lập tại Hồng Kông hoặc được quản lý và kiểm soát tập trung tại Hồng Kông, công ty đó sẽ là cư dân Hồng Kông cho mục đích của hiệp định. Quan điểm hợp lý hơn là theo cách giải thích có mục đích đối với quy định này, việc miễn thuế được mở rộng cho cổ tức được trả bởi các công ty Hồng Kông đáp ứng định nghĩa cư trú của hiệp định cho các công ty nhỏ của Anh.</w:t>
      </w:r>
    </w:p>
    <w:p>
      <w:pPr>
        <w:spacing w:after="80"/>
      </w:pPr>
      <w:r>
        <w:rPr>
          <w:b w:val="0"/>
          <w:i w:val="0"/>
        </w:rPr>
        <w:t>88. Một công ty được coi là cư dân của một vùng lãnh thổ nếu theo luật pháp của vùng lãnh thổ đó, công ty phải chịu thuế tại đó vì lý do nơi cư trú, nơi ở hoặc nơi quản lý, nhưng không chỉ vì thu nhập từ các nguồn trong vùng lãnh thổ đó hoặc vốn nằm tại đó. (CTA 2009, s. 931C(3)).</w:t>
      </w:r>
    </w:p>
    <w:p>
      <w:pPr>
        <w:spacing w:after="80"/>
      </w:pPr>
      <w:r>
        <w:rPr>
          <w:b w:val="0"/>
          <w:i w:val="0"/>
        </w:rPr>
        <w:t>452</w:t>
      </w:r>
    </w:p>
    <w:p>
      <w:pPr>
        <w:spacing w:before="240" w:after="80"/>
      </w:pPr>
      <w:r>
        <w:rPr>
          <w:b/>
          <w:sz w:val="32"/>
        </w:rPr>
        <w:t>CHƯƠNG 16 Không phân biệt đối xử</w:t>
      </w:r>
    </w:p>
    <w:p>
      <w:pPr>
        <w:spacing w:after="80"/>
      </w:pPr>
      <w:r>
        <w:rPr>
          <w:b/>
          <w:i w:val="0"/>
        </w:rPr>
        <w:t>§16.01 GIỚI THIỆU</w:t>
      </w:r>
    </w:p>
    <w:p>
      <w:pPr>
        <w:spacing w:after="80"/>
      </w:pPr>
      <w:r>
        <w:rPr>
          <w:b w:val="0"/>
          <w:i w:val="0"/>
        </w:rPr>
        <w:t xml:space="preserve">Trong tác phẩm có ảnh hưởng lớn của mình </w:t>
      </w:r>
      <w:r>
        <w:rPr>
          <w:b w:val="0"/>
          <w:i/>
        </w:rPr>
        <w:t>An International Bill of the Rights of Man</w:t>
      </w:r>
      <w:r>
        <w:rPr>
          <w:b w:val="0"/>
          <w:i w:val="0"/>
        </w:rPr>
        <w:t>,1 Giáo sư Hersch Lauterpacht đã viết:</w:t>
      </w:r>
    </w:p>
    <w:p>
      <w:pPr>
        <w:spacing w:after="80"/>
      </w:pPr>
      <w:r>
        <w:rPr>
          <w:b w:val="0"/>
          <w:i w:val="0"/>
        </w:rPr>
        <w:t>Yêu cầu về bình đẳng trước pháp luật, xét về bản chất, là quyền cơ bản nhất của con người.</w:t>
      </w:r>
    </w:p>
    <w:p>
      <w:pPr>
        <w:spacing w:after="80"/>
      </w:pPr>
      <w:r>
        <w:rPr>
          <w:b w:val="0"/>
          <w:i w:val="0"/>
        </w:rPr>
        <w:t xml:space="preserve">Lord Bingham, khi tán thành phát biểu này trong </w:t>
      </w:r>
      <w:r>
        <w:rPr>
          <w:b w:val="0"/>
          <w:i/>
        </w:rPr>
        <w:t>A (FC) and others (FC) v Secretary of State for the Home Department</w:t>
      </w:r>
      <w:r>
        <w:rPr>
          <w:b w:val="0"/>
          <w:i w:val="0"/>
        </w:rPr>
        <w:t>,2 đã nhận xét rằng:</w:t>
      </w:r>
    </w:p>
    <w:p>
      <w:pPr>
        <w:spacing w:after="80"/>
      </w:pPr>
      <w:r>
        <w:rPr>
          <w:b w:val="0"/>
          <w:i w:val="0"/>
        </w:rPr>
        <w:t>Tuyên ngôn Quốc tế Nhân quyền 1948 đã khẳng định, trong các điều 1 và 2, các nguyên tắc chung về bình đẳng và không phân biệt đối xử.</w:t>
      </w:r>
    </w:p>
    <w:p>
      <w:pPr>
        <w:spacing w:after="80"/>
      </w:pPr>
      <w:r>
        <w:rPr>
          <w:b w:val="0"/>
          <w:i w:val="0"/>
        </w:rPr>
        <w:t>Không hiếm khi các hệ thống thuế trong nước đối xử với người nước ngoài kém thuận lợi hơn so với người bản địa. Tương tự, cũng không lạ khi các khoản đầu tư ra nước ngoài bị đánh thuế nặng hơn so với các khoản đầu tư trong nước. Các quy định trong hiệp ước chống lại sự phân biệt đối xử như vậy cần được nhìn nhận trong bối cảnh cả mong muốn của các quốc gia rằng công dân hoặc người nộp thuế của họ không bị đối xử bất bình đẳng, lẫn bối cảnh rộng lớn hơn của các chuẩn mực pháp lý quốc tế cấm phân biệt đối xử, vốn xuất hiện sau Thế chiến thứ hai nhằm giải quyết các hành vi lạm dụng quyền lực nhà nước của các chế độ độc tài và phân biệt chủng tộc. Tầm quan trọng của những quy định như vậy không thể xem nhẹ. Việc đưa chúng vào các hiệp định thuế không nhằm giải quyết đánh thuế hai lần mà để ngăn chặn việc đánh thuế bất công.</w:t>
      </w:r>
    </w:p>
    <w:p>
      <w:pPr>
        <w:spacing w:after="80"/>
      </w:pPr>
      <w:r>
        <w:rPr>
          <w:b w:val="0"/>
          <w:i w:val="0"/>
        </w:rPr>
        <w:t xml:space="preserve">1. Lauterpacht, H. </w:t>
      </w:r>
      <w:r>
        <w:rPr>
          <w:b w:val="0"/>
          <w:i/>
        </w:rPr>
        <w:t>An International Bill of the Rights of Man</w:t>
      </w:r>
      <w:r>
        <w:rPr>
          <w:b w:val="0"/>
          <w:i w:val="0"/>
        </w:rPr>
        <w:t xml:space="preserve"> (1945), tr. 115. 2. </w:t>
      </w:r>
      <w:r>
        <w:rPr>
          <w:b w:val="0"/>
          <w:i/>
        </w:rPr>
        <w:t>A (FC) and others (FC) v Secretary of State for the Home Department</w:t>
      </w:r>
      <w:r>
        <w:rPr>
          <w:b w:val="0"/>
          <w:i w:val="0"/>
        </w:rPr>
        <w:t xml:space="preserve"> [2004] UKHL 56, [2005] 2 WLR 087, [2005] 2 AC 68, tại đoạn 58.</w:t>
      </w:r>
    </w:p>
    <w:p>
      <w:pPr>
        <w:spacing w:after="80"/>
      </w:pPr>
      <w:r>
        <w:rPr>
          <w:b w:val="0"/>
          <w:i w:val="0"/>
        </w:rPr>
        <w:t>453</w:t>
      </w:r>
    </w:p>
    <w:p>
      <w:pPr>
        <w:spacing w:after="80"/>
      </w:pPr>
      <w:r>
        <w:rPr>
          <w:b/>
          <w:i w:val="0"/>
        </w:rPr>
        <w:t>§16.02 KHÔNG PHÂN BIỆT ĐỐI XỬ TRONG HIỆP ĐỊNH THUẾ</w:t>
      </w:r>
    </w:p>
    <w:p>
      <w:pPr>
        <w:spacing w:after="80"/>
      </w:pPr>
      <w:r>
        <w:rPr>
          <w:b w:val="0"/>
          <w:i w:val="0"/>
        </w:rPr>
        <w:t>Các quy định cấm phân biệt đối xử về thuế phổ biến nhất trong các hiệp định song phương xuất hiện tại điều 24 của OECD Model, bao gồm sáu nguyên tắc cơ bản riêng biệt:</w:t>
      </w:r>
    </w:p>
    <w:p>
      <w:pPr>
        <w:spacing w:after="80"/>
      </w:pPr>
      <w:r>
        <w:rPr>
          <w:b w:val="0"/>
          <w:i w:val="0"/>
        </w:rPr>
        <w:t>(1) Công dân của một quốc gia ký kết không được bị áp đặt bất kỳ loại thuế nào hoặc bất kỳ</w:t>
      </w:r>
    </w:p>
    <w:p>
      <w:pPr>
        <w:spacing w:after="80"/>
      </w:pPr>
      <w:r>
        <w:rPr>
          <w:b w:val="0"/>
          <w:i w:val="0"/>
        </w:rPr>
        <w:t>yêu cầu nào liên quan đến thuế đó nặng nề hơn so với những gì quốc gia ký kết kia áp đặt lên công dân của chính mình trong cùng hoàn cảnh. Quy định cấm này được áp dụng bất kể thực tế rằng những người đó không phải là cư dân của một hoặc cả hai quốc gia ký kết. (2) Người không quốc tịch là cư dân của một quốc gia ký kết cũng được</w:t>
      </w:r>
    </w:p>
    <w:p>
      <w:pPr>
        <w:spacing w:after="80"/>
      </w:pPr>
      <w:r>
        <w:rPr>
          <w:b w:val="0"/>
          <w:i w:val="0"/>
        </w:rPr>
        <w:t>bảo vệ tương tự khỏi sự phân biệt đối xử về thuế. (3) Một cơ sở thường trú tại một quốc gia ký kết không được bị đánh thuế theo cách</w:t>
      </w:r>
    </w:p>
    <w:p>
      <w:pPr>
        <w:spacing w:after="80"/>
      </w:pPr>
      <w:r>
        <w:rPr>
          <w:b w:val="0"/>
          <w:i w:val="0"/>
        </w:rPr>
        <w:t>ít thuận lợi hơn so với các doanh nghiệp địa phương của quốc gia đó.(4)Nhìn chung, các khoản khấu trừ cho chi tiêu được thực hiện bởi một cư dân của một quốc gia cho một</w:t>
      </w:r>
    </w:p>
    <w:p>
      <w:pPr>
        <w:spacing w:after="80"/>
      </w:pPr>
      <w:r>
        <w:rPr>
          <w:b w:val="0"/>
          <w:i w:val="0"/>
        </w:rPr>
        <w:t>cư dân của quốc gia kia được khấu trừ theo cùng điều kiện như thể chúng đã được trả cho một cư dân của quốc gia nơi việc thanh toán diễn ra (tùy thuộc vào các quy định về giao dịch độc lập).(5)Các doanh nghiệp thuộc sở hữu của cư dân của một quốc gia ký kết có thể không</w:t>
      </w:r>
    </w:p>
    <w:p>
      <w:pPr>
        <w:spacing w:after="80"/>
      </w:pPr>
      <w:r>
        <w:rPr>
          <w:b w:val="0"/>
          <w:i w:val="0"/>
        </w:rPr>
        <w:t>bị đánh thuế hoặc các yêu cầu liên quan mang tính gánh nặng hơn so với các doanh nghiệp tương tự ở quốc gia ký kết kia.(6)Các quy định về không phân biệt đối xử áp dụng cho tất cả các loại thuế và không giới hạn ở</w:t>
      </w:r>
    </w:p>
    <w:p>
      <w:pPr>
        <w:spacing w:after="80"/>
      </w:pPr>
      <w:r>
        <w:rPr>
          <w:b w:val="0"/>
          <w:i w:val="0"/>
        </w:rPr>
        <w:t>những loại thuế được liệt kê cụ thể trong hiệp định.</w:t>
      </w:r>
    </w:p>
    <w:p>
      <w:pPr>
        <w:spacing w:after="80"/>
      </w:pPr>
      <w:r>
        <w:rPr>
          <w:b w:val="0"/>
          <w:i w:val="0"/>
        </w:rPr>
        <w:t>Những quy tắc này nằm ở trung tâm của một sự đồng thuận quốc tế chống lại sự phân biệt đối xử liên quan đến thuế. Tuy nhiên, mức độ mà điều khoản này được đưa vào các hiệp định, cũng như cách giải thích và áp dụng nó, lại có sự khác biệt. Các điều khoản khác của hiệp định cũng có thể đề cập đến việc đối xử bình đẳng. Các điều khoản về không phân biệt đối xử hoạt động tách biệt với các quy định về phân bổ thẩm quyền đánh thuế và giảm trừ thuế hai lần của hiệp định. Những hạn chế mà các điều khoản về không phân biệt đối xử đặt ra đối với quyền đánh thuế là dựa trên sự bình đẳng trong đối xử thay vì nguồn thu nhập và lợi nhuận. Chúng không phải là một lệnh cấm toàn diện đối với mọi hình thức phân biệt đối xử về thuế mà chỉ là một loạt các lệnh cấm cụ thể được kết nối lỏng lẻo và không hoàn toàn nhất quán với nhau. Đặc biệt, không có lệnh cấm nào đối với sự phân biệt đối xử chống lại đầu tư ra nước ngoài. Chỉ có các quốc gia tiếp nhận mới bị cấm phân biệt đối xử với người nước ngoài trong một số khía cạnh nhất định. Việc đối xử không bình đẳng được quy định trong chính hiệp định sẽ không làm phát sinh sự phân biệt đối xử bị điều khoản này cấm.3</w:t>
      </w:r>
    </w:p>
    <w:p>
      <w:pPr>
        <w:spacing w:after="80"/>
      </w:pPr>
      <w:r>
        <w:rPr>
          <w:b w:val="0"/>
          <w:i w:val="0"/>
        </w:rPr>
        <w:t xml:space="preserve">3.Trong </w:t>
      </w:r>
      <w:r>
        <w:rPr>
          <w:b w:val="0"/>
          <w:i/>
        </w:rPr>
        <w:t xml:space="preserve"> Percival v Revenue &amp; Customs </w:t>
      </w:r>
      <w:r>
        <w:rPr>
          <w:b w:val="0"/>
          <w:i w:val="0"/>
        </w:rPr>
        <w:t xml:space="preserve"> [2013] TC 02654 [2013] UKFTT 240 (TC), Tòa án Sơ thẩm (First-tier Tribunal) kết luận rằng sự khác biệt giữa cách đối xử với lương hưu liên quan đến dịch vụ công và các loại lương hưu khác trong điều 18 của Hiệp định Thuế Thu nhập Ireland-UK không vi phạm lệnh cấm phân biệt đối xử trên cơ sở quốc tịch trong điều 23. Ông Percival lẽ ra được miễn thuế ở UK theo điều 18 của Hiệp định Thuế Thu nhập Ireland-UK nếu ông là công dân Ireland nhưng lại không được miễn vì ông là người Anh.</w:t>
      </w:r>
    </w:p>
    <w:p>
      <w:pPr>
        <w:spacing w:after="80"/>
      </w:pPr>
      <w:r>
        <w:rPr>
          <w:b w:val="0"/>
          <w:i w:val="0"/>
        </w:rPr>
        <w:t>454</w:t>
      </w:r>
    </w:p>
    <w:p>
      <w:pPr>
        <w:spacing w:after="80"/>
      </w:pPr>
      <w:r>
        <w:rPr>
          <w:b/>
          <w:i w:val="0"/>
        </w:rPr>
        <w:t>§16.03 KHÔNG PHÂN BIỆT ĐỐI XỬ TRONG HIỆP ĐỊNH THUẾ VÀ LUẬT EU</w:t>
      </w:r>
    </w:p>
    <w:p>
      <w:pPr>
        <w:spacing w:after="80"/>
      </w:pPr>
      <w:r>
        <w:rPr>
          <w:b w:val="0"/>
          <w:i w:val="0"/>
        </w:rPr>
        <w:t xml:space="preserve">Mặc dù các quyền tự do cơ bản của luật Liên minh Châu Âu (EU) về cơ bản là chống phân biệt đối xử, chúng có thể không hoàn toàn giống với các lệnh cấm trong hiệp định thuế. Lord Hoffman trong </w:t>
      </w:r>
      <w:r>
        <w:rPr>
          <w:b w:val="0"/>
          <w:i/>
        </w:rPr>
        <w:t xml:space="preserve"> Boake Allen Ltd &amp; Ors (bao gồm NEC Semi-Conductors Ltd) v Revenue and Customs Commissioners </w:t>
      </w:r>
      <w:r>
        <w:rPr>
          <w:b w:val="0"/>
          <w:i w:val="0"/>
        </w:rPr>
        <w:t>4 coi lệnh cấm phân biệt đối xử được ngụ ý trong điều 49 của TFEU5 là nhằm mục đích ngăn chặn sự hạn chế đối với quyền tự do thành lập. Các hiệp định thuế không trao những quyền tự do như vậy mà chỉ đơn thuần cấm sự phân biệt đối xử.6</w:t>
      </w:r>
    </w:p>
    <w:p>
      <w:pPr>
        <w:spacing w:after="80"/>
      </w:pPr>
      <w:r>
        <w:rPr>
          <w:b w:val="0"/>
          <w:i w:val="0"/>
        </w:rPr>
        <w:t>Tuy nhiên, khi sự phân biệt đối xử được phát hiện theo các quy định của hiệp định thuế, nó cũng có khả năng làm phát sinh vi phạm luật Liên minh.7 Khái niệm bình đẳng là một khái niệm phổ quát. Nói đơn giản, những trường hợp giống nhau nên được đối xử giống nhau và những trường hợp khác nhau nên được đối xử khác nhau. Trong bối cảnh này, án lệ của Tòa án Công lý Châu Âu (ECJ) cung cấp một phân tích hữu ích về thời điểm người nộp thuế ở trong hoàn cảnh tương đương và những hệ quả thuế nên phát sinh từ đó, mặc dù thực tế là chúng có thể được áp dụng trong các hoàn cảnh khác nhau. Trên thực tế, việc loại bỏ các quy tắc thuế phân biệt đối xử trong luật nội địa UK xuất phát từ các phán quyết của ECJ do đó đã làm giảm các trường hợp mà sự phân biệt đối xử như vậy có thể được áp dụng cho những người nộp thuế nước ngoài không thuộc EU.</w:t>
      </w:r>
    </w:p>
    <w:p>
      <w:pPr>
        <w:spacing w:after="80"/>
      </w:pPr>
      <w:r>
        <w:rPr>
          <w:b w:val="0"/>
          <w:i w:val="0"/>
        </w:rPr>
        <w:t xml:space="preserve">Tuy nhiên, điều khoản không phân biệt đối xử tiêu chuẩn trong hiệp định là một lệnh cấm chung chống lại các hình thức phân biệt đối xử được chỉ định thay vì nhắm vào các quy tắc nội địa cụ thể. Trong </w:t>
      </w:r>
      <w:r>
        <w:rPr>
          <w:b w:val="0"/>
          <w:i/>
        </w:rPr>
        <w:t xml:space="preserve"> NEC Semi-Conductors Ltd &amp; các vụ án thử nghiệm khác v IRC</w:t>
      </w:r>
      <w:r>
        <w:rPr>
          <w:b w:val="0"/>
          <w:i w:val="0"/>
        </w:rPr>
        <w:t>,8 Park J, tại Tòa án Cấp cao, nhấn mạnh tính chất 'phòng ngừa' chung của các điều khoản không phân biệt đối xử:</w:t>
      </w:r>
    </w:p>
    <w:p>
      <w:pPr>
        <w:spacing w:after="80"/>
      </w:pPr>
      <w:r>
        <w:rPr>
          <w:b w:val="0"/>
          <w:i w:val="0"/>
        </w:rPr>
        <w:t>Một điều khoản không phân biệt đối xử về bản chất khó có thể nhắm vào một hoặc một số quy định cụ thể trong luật thuế của một quốc gia ký kết mà đối với chúng sự phân biệt đối xử đã có sẵn trong tâm trí của các nhà đàm phán. Thay vào đó, nó mang tính chất của một quy định phòng ngừa chung, nghĩa là nếu … nổi lên rằng một số quy định trong luật thuế của một trong các quốc gia ký kết … là phân biệt đối xử trong phạm vi các điều khoản của điều này, thì sự phân biệt đối xử đó không nên được cho phép.9</w:t>
      </w:r>
    </w:p>
    <w:p>
      <w:pPr>
        <w:spacing w:after="80"/>
      </w:pPr>
      <w:r>
        <w:rPr>
          <w:b w:val="0"/>
          <w:i w:val="0"/>
        </w:rPr>
        <w:t>Như chương này cho thấy, các tòa án ở UK đã ủng hộ một số khiếu nại về phân biệt đối xử thuế đối với người nước ngoài. Tuy nhiên, người nộp thuế đã không đạt được sự khắc phục cho những vi phạm này vì HMRC đã liên tục và thành công viện dẫn việc không đưa các quy định không phân biệt đối xử vào luật nội địa để bảo vệ trước các khiếu nại về phân biệt đối xử.10 Mức độ mà quyền của người nộp thuế được lên tiếng trong luật nội địa đòi hỏi sự chú ý cẩn thận. Trong một số trường hợp, các vi phạm song song luật EU bởi</w:t>
      </w:r>
    </w:p>
    <w:p>
      <w:pPr>
        <w:spacing w:after="80"/>
      </w:pPr>
      <w:r>
        <w:rPr>
          <w:b w:val="0"/>
          <w:i w:val="0"/>
        </w:rPr>
        <w:t>4.</w:t>
      </w:r>
      <w:r>
        <w:rPr>
          <w:b w:val="0"/>
          <w:i/>
        </w:rPr>
        <w:t>BoakeAllenLtd&amp;Ors(bao gồm NECSemi-ConductorsLtd)vRevenueandCustomsCommis-sioners</w:t>
      </w:r>
      <w:r>
        <w:rPr>
          <w:b w:val="0"/>
          <w:i w:val="0"/>
        </w:rPr>
        <w:t xml:space="preserve"> [2007] STC 1265, [2007] BTC 414 [2007] UKHL 25 tại đoạn 20.5.Xem Chương 3, §3.01.6.Tại đoạn 22.7.Ví dụ,</w:t>
      </w:r>
      <w:r>
        <w:rPr>
          <w:b w:val="0"/>
          <w:i/>
        </w:rPr>
        <w:t>RvInlandRevenueCommissioners, exparte CommerzbankAG</w:t>
      </w:r>
      <w:r>
        <w:rPr>
          <w:b w:val="0"/>
          <w:i w:val="0"/>
        </w:rPr>
        <w:t>[1991]BTC161;1991 STC 271, QBD.8.</w:t>
      </w:r>
      <w:r>
        <w:rPr>
          <w:b w:val="0"/>
          <w:i/>
        </w:rPr>
        <w:t>NECSemi-ConductorsLtd&amp;cácvụánthửnghiệmkhácvInlandRevenueCommissioners</w:t>
      </w:r>
      <w:r>
        <w:rPr>
          <w:b w:val="0"/>
          <w:i w:val="0"/>
        </w:rPr>
        <w:t xml:space="preserve">[2004]STC489,[2004] BTC 208; [2003] EWHC 2813 (Ch).9.Tại đoạn 25.10.Xem Chương 2, §2.07. Trong </w:t>
      </w:r>
      <w:r>
        <w:rPr>
          <w:b w:val="0"/>
          <w:i/>
        </w:rPr>
        <w:t xml:space="preserve"> Boake Allen Ltd &amp; Ors (bao gồm NEC Semi-Conductors Ltd) v Revenue and Customs Commissioners </w:t>
      </w:r>
      <w:r>
        <w:rPr>
          <w:b w:val="0"/>
          <w:i w:val="0"/>
        </w:rPr>
        <w:t xml:space="preserve"> [2007] STC 1265, [2007] BTC 414; [2007] UKHL 25, hai trong số năm thẩm phán ủy viên tư pháp dựa trên cơ sở này.</w:t>
      </w:r>
    </w:p>
    <w:p>
      <w:pPr>
        <w:spacing w:after="80"/>
      </w:pPr>
      <w:r>
        <w:rPr>
          <w:b w:val="0"/>
          <w:i w:val="0"/>
        </w:rPr>
        <w:t>455</w:t>
      </w:r>
    </w:p>
    <w:p>
      <w:pPr>
        <w:spacing w:after="80"/>
      </w:pPr>
      <w:r>
        <w:rPr>
          <w:b w:val="0"/>
          <w:i w:val="0"/>
        </w:rPr>
        <w:t xml:space="preserve">UK đã cung cấp phương thuốc thực tiễn duy nhất. Thực tiễn hành chính của HMRC có công nhận những hàm ý của các điều khoản không phân biệt đối xử trong một số trường hợp hạn chế. HMRC yêu cầu tất cả các trường hợp mà người nộp thuế cáo buộc phân biệt đối xử nhưng không được HMRC chấp nhận cụ thể trong các sổ tay hướng dẫn của mình phải được chuyển đến CT &amp; Thuế giá trị gia tăng, International CT.11 Năm 2008, OECD đã thông qua một sửa đổi gây tranh cãi đối với Bình luận về điều khoản này12 được phản ánh trong dự thảo thảo luận công khai về 'Áp dụng và giải thích Điều 24'13 trái ngược với nhiều án lệ của ECJ và của các tòa án quốc gia khi giải thích các điều khoản không phân biệt đối xử trong hiệp định thuế. Trong </w:t>
      </w:r>
      <w:r>
        <w:rPr>
          <w:b w:val="0"/>
          <w:i/>
        </w:rPr>
        <w:t>FCEBankPlcvHMRC</w:t>
      </w:r>
      <w:r>
        <w:rPr>
          <w:b w:val="0"/>
          <w:i w:val="0"/>
        </w:rPr>
        <w:t>,14 Tòa án Sơ thẩm đã bác bỏ một lập luận dựa trên các đoạn trích từ Bình luận của OECD mà tất cả đều được thêm vào trong bản cập nhật năm 2008, lưu ý các phán quyết trái ngược của các tòa án cấp cao nhất của Hà Lan, Phần Lan và Thụy Điển. Bình luận của OECD đã bị bỏ qua khi vụ án được xét xử tại Tòa án Cấp trên và Tòa án Phúc thẩm. Các vụ án liên quan đến hệ thống quy kết cũ đầy rắc rối của UK và những hàm ý xuyên biên giới không lường trước của nó chắc chắn đã kích hoạt một phản ứng phòng thủ từ phía cơ quan quản lý và nhiều suy nghĩ của các thẩm phán về cách giải quyết thích đáng. Cũng như việc giải thích tiền thân của TIOPA 2010, s. 6,15 mức độ mà các hoàn cảnh đặc biệt mà những vụ án này đặt ra có thể thông báo cho vấn đề giải thích các nguyên tắc không phân biệt đối xử nói chung là một vấn đề phỏng đoán.</w:t>
      </w:r>
    </w:p>
    <w:p>
      <w:pPr>
        <w:spacing w:after="80"/>
      </w:pPr>
      <w:r>
        <w:rPr>
          <w:b/>
          <w:i w:val="0"/>
        </w:rPr>
        <w:t>§16.04 PHÂN BIỆT ĐỐI XỬ VỚI NGƯỜI NƯỚC NGOÀI VÀ NGƯỜI KHÔNG QUỐC TỊCH</w:t>
      </w:r>
    </w:p>
    <w:p>
      <w:pPr>
        <w:spacing w:after="80"/>
      </w:pPr>
      <w:r>
        <w:rPr>
          <w:b w:val="0"/>
          <w:i w:val="0"/>
        </w:rPr>
        <w:t>Yêu cầu đối xử bình đẳng với công dân của các quốc gia ký kết trong các vấn đề thuế được quy định tại Điều 24(1) của OECD Model, được minh họa trong hình thức hiện tại của nó bởi Điều 25(1) của Hiệp định Australia-UK, với nội dung như sau:</w:t>
      </w:r>
    </w:p>
    <w:p>
      <w:pPr>
        <w:spacing w:after="80"/>
      </w:pPr>
      <w:r>
        <w:rPr>
          <w:b w:val="0"/>
          <w:i w:val="0"/>
        </w:rPr>
        <w:t>25(1) Công dân của một Quốc gia Ký kết sẽ không bị áp đặt tại Quốc gia Ký kết kia bất kỳ khoản thuế nào hoặc bất kỳ yêu cầu nào liên quan đến thuế, mà khác biệt hoặc nặng nề hơn so với khoản thuế và các yêu cầu liên quan mà công dân của Quốc gia kia trong cùng hoàn cảnh, đặc biệt là liên quan đến nơi cư trú, đang hoặc có thể phải chịu.</w:t>
      </w:r>
    </w:p>
    <w:p>
      <w:pPr>
        <w:spacing w:after="80"/>
      </w:pPr>
      <w:r>
        <w:rPr>
          <w:b w:val="0"/>
          <w:i w:val="0"/>
        </w:rPr>
        <w:t xml:space="preserve">Việc áp dụng quy định này đối với 'thuế backpacker' tại Australia đã được Tòa án Liên bang Australia xem xét trong </w:t>
      </w:r>
      <w:r>
        <w:rPr>
          <w:b w:val="0"/>
          <w:i/>
        </w:rPr>
        <w:t>Commissioner of Taxation v Addy.</w:t>
      </w:r>
      <w:r>
        <w:rPr>
          <w:b w:val="0"/>
          <w:i w:val="0"/>
        </w:rPr>
        <w:t>16 Bà Addy, một công dân Anh 23 tuổi, đã ở Australia khoảng hai năm theo thị thực working holiday, nơi bà đi du lịch và làm việc như một nữ phục vụ. Trước và sau đó bà sống ở Anh nhưng là cư dân Australia trong năm tính thuế liên quan. Thuế thu nhập Australia được áp đặt lên thu nhập từ việc làm của cư dân Australia theo biểu thuế lũy tiến. Cư dân Australia cũng được hưởng ngưỡng miễn thuế là 18.200 AUD. Ngược lại, một cư dân Australia kiếm được 'thu nhập của người làm việc theo thị thực working holiday'</w:t>
      </w:r>
    </w:p>
    <w:p>
      <w:pPr>
        <w:spacing w:after="80"/>
      </w:pPr>
      <w:r>
        <w:rPr>
          <w:b w:val="0"/>
          <w:i w:val="0"/>
        </w:rPr>
        <w:t xml:space="preserve">11. HMRC, Double Taxation Relief Manual, DT1950. 12. OECD Commentary to art. 24 (2008) revision. 13. OECD, 3 May 2007. 14. </w:t>
      </w:r>
      <w:r>
        <w:rPr>
          <w:b w:val="0"/>
          <w:i/>
        </w:rPr>
        <w:t>FCE Bank Plc v Revenue &amp; Customs</w:t>
      </w:r>
      <w:r>
        <w:rPr>
          <w:b w:val="0"/>
          <w:i w:val="0"/>
        </w:rPr>
        <w:t xml:space="preserve"> [2010] TC 00445 [2010] UKFTT 136 (TC). 15. Xem Chương 2, §2.07. 16. </w:t>
      </w:r>
      <w:r>
        <w:rPr>
          <w:b w:val="0"/>
          <w:i/>
        </w:rPr>
        <w:t>Commissioner of Taxation v Addy</w:t>
      </w:r>
      <w:r>
        <w:rPr>
          <w:b w:val="0"/>
          <w:i w:val="0"/>
        </w:rPr>
        <w:t xml:space="preserve"> [2020] FCAFC 135.</w:t>
      </w:r>
    </w:p>
    <w:p>
      <w:pPr>
        <w:spacing w:after="80"/>
      </w:pPr>
      <w:r>
        <w:rPr>
          <w:b w:val="0"/>
          <w:i w:val="0"/>
        </w:rPr>
        <w:t>456</w:t>
      </w:r>
    </w:p>
    <w:p>
      <w:pPr>
        <w:spacing w:after="80"/>
      </w:pPr>
      <w:r>
        <w:rPr>
          <w:b w:val="0"/>
          <w:i w:val="0"/>
        </w:rPr>
        <w:t>bị đánh thuế theo mức thuế cố định 15% (thường được gọi là 'thuế backpacker'). Thu nhập từ việc làm của bất kỳ ai làm việc tại Australia đều là 'thu nhập của người làm việc theo thị thực working holiday'. Tác động chung của thuế backpacker là cư dân Australia phải chịu thuế backpacker có thu nhập thấp phải trả nhiều thuế hơn các cư dân khác. Thu nhập của bà Addy từ công việc này là 20.600 AUD. Tòa án Liên bang Australia17 lưu ý rằng thị thực rõ ràng chỉ có thể áp dụng cho người không phải công dân Australia và với tư cách là công dân Anh, bà Addy phải chịu thuế backpacker chỉ vì thị thực của mình. Điều này có nghĩa là sự phân biệt đối xử dựa trên quốc tịch. Tòa án bác bỏ quan điểm cho rằng chỉ những đề cập rõ ràng về quốc tịch trong luật thuế mới có thể mang tính phân biệt đối xử. Khi kháng cáo lên Tòa án Toàn phần, Thẩm phán Davies đồng ý.18 Tuy nhiên, đa số không đồng ý. Các Thẩm phán Derrington và Stuart cho rằng chỉ những đề cập rõ ràng đến người nước ngoài mới đủ điều kiện và chỉ sự phân biệt đối xử nhắm vào tất cả người nước ngoài làm việc tại Australia mới đủ điều kiện, chứ không chỉ nhóm người có thị thực này.19</w:t>
      </w:r>
    </w:p>
    <w:p>
      <w:pPr>
        <w:spacing w:after="80"/>
      </w:pPr>
      <w:r>
        <w:rPr>
          <w:b w:val="0"/>
          <w:i w:val="0"/>
        </w:rPr>
        <w:t xml:space="preserve">Sự phân biệt đối xử với người nước ngoài đã được khiếu nại trong </w:t>
      </w:r>
      <w:r>
        <w:rPr>
          <w:b w:val="0"/>
          <w:i/>
        </w:rPr>
        <w:t>R v IRC ex parte Commerzbank AG.</w:t>
      </w:r>
      <w:r>
        <w:rPr>
          <w:b w:val="0"/>
          <w:i w:val="0"/>
        </w:rPr>
        <w:t>20 Commerzbank được thành lập và cư trú tại Đức. Nó đủ điều kiện là công dân Đức theo định nghĩa tại Điều 20(2).21 Nó hoạt động thông qua một cơ sở thường trú tại Anh. Yêu cầu của nó về khoản bổ sung hoàn thuế, quyền theo luật định để thu hồi lãi hoặc tương đương khi hoàn trả thuế doanh nghiệp đã nộp vượt quá nghĩa vụ pháp lý, đã bị từ chối với lý do rằng Income and Corporation Taxes Act, s.825, như được đọc vào thời điểm đó, chỉ cho phép khoản bổ sung hoàn thuế được trả cho cư dân Anh. Ngược lại, lãi được tính trên các khoản thanh toán thuế quá hạn mà không có sự phân biệt như vậy.</w:t>
      </w:r>
    </w:p>
    <w:p>
      <w:pPr>
        <w:spacing w:after="80"/>
      </w:pPr>
      <w:r>
        <w:rPr>
          <w:b w:val="0"/>
          <w:i w:val="0"/>
        </w:rPr>
        <w:t>Lệnh cấm áp dụng cho cả 'thuế' khác biệt hoặc nặng nề hơn, và đối với 'các yêu cầu liên quan' khác biệt hoặc nặng nề hơn. Thẩm phán Nolan đồng ý rằng Commerzbank, giống như một công dân (hoặc cư dân) Anh, phải nộp thuế theo yêu cầu, nhưng không giống công dân Anh, bị từ chối khoản bổ sung hoàn thuế khi chứng minh rằng nó đã nộp thừa. Do đó, nó phải chịu một yêu cầu liên quan đến thuế nặng nề hơn so với yêu cầu áp đặt lên công dân Anh. Tuy nhiên, sự so sánh mà Điều 20(1) yêu cầu là so sánh giữa công dân Đức và công dân Anh trong cùng hoàn cảnh. Ngân hàng với tư cách là công dân Đức phải được so sánh với một công ty là công dân Anh, tức là một công ty có tư cách pháp nhân theo luật có hiệu lực tại Anh. Nhưng sự so sánh được cho là vô nghĩa, bởi vì luật thuế Anh nói chung và thuế doanh nghiệp nói riêng, không</w:t>
      </w:r>
    </w:p>
    <w:p>
      <w:pPr>
        <w:spacing w:after="80"/>
      </w:pPr>
      <w:r>
        <w:rPr>
          <w:b w:val="0"/>
          <w:i w:val="0"/>
        </w:rPr>
        <w:t xml:space="preserve">17. </w:t>
      </w:r>
      <w:r>
        <w:rPr>
          <w:b w:val="0"/>
          <w:i/>
        </w:rPr>
        <w:t>Addy v Commissioner of Taxation</w:t>
      </w:r>
      <w:r>
        <w:rPr>
          <w:b w:val="0"/>
          <w:i w:val="0"/>
        </w:rPr>
        <w:t xml:space="preserve"> [2019] FCA 1768. 18. </w:t>
      </w:r>
      <w:r>
        <w:rPr>
          <w:b w:val="0"/>
          <w:i/>
        </w:rPr>
        <w:t>Commissioner of Taxation v Addy</w:t>
      </w:r>
      <w:r>
        <w:rPr>
          <w:b w:val="0"/>
          <w:i w:val="0"/>
        </w:rPr>
        <w:t xml:space="preserve"> [2020] FCAFC 135, tại các đoạn 12-16. 19. </w:t>
      </w:r>
      <w:r>
        <w:rPr>
          <w:b w:val="0"/>
          <w:i/>
        </w:rPr>
        <w:t>Commissioner of Taxation v Addy</w:t>
      </w:r>
      <w:r>
        <w:rPr>
          <w:b w:val="0"/>
          <w:i w:val="0"/>
        </w:rPr>
        <w:t xml:space="preserve"> [2020] FCAFC 135 đặc biệt tại các đoạn 222-230 và 343. Các lập luận khác của đa số, theo quan điểm của tác giả, là không liên quan. Đơn xin phép kháng cáo lên Tòa án Tối cao đã được chấp thuận. Theo quan điểm của tác giả, đây là một trường hợp phân biệt đối xử hiển nhiên và thật đáng ngạc nhiên khi điều này đã bị tranh chấp lên tòa án cao nhất của Australia. 20. </w:t>
      </w:r>
      <w:r>
        <w:rPr>
          <w:b w:val="0"/>
          <w:i/>
        </w:rPr>
        <w:t>R v Inland Revenue Commissioners, ex parte Commerzbank AG</w:t>
      </w:r>
      <w:r>
        <w:rPr>
          <w:b w:val="0"/>
          <w:i w:val="0"/>
        </w:rPr>
        <w:t xml:space="preserve"> [1991] STC 271 [1991] BTC 161; (1991) 68 TC 252. 21. Quốc tịch theo Điều 3(1)(g) có nghĩa là bất kỳ cá nhân nào có quốc tịch hoặc quyền công dân của quốc gia ký kết đó; và bất kỳ pháp nhân, công ty hợp danh hoặc hiệp hội nào có tư cách đó theo luật có hiệu lực tại một quốc gia ký kết. Xem Chương 6, §6.02. Theo thông luật, quốc tịch của một công ty được xác định bởi nơi thành lập: </w:t>
      </w:r>
      <w:r>
        <w:rPr>
          <w:b w:val="0"/>
          <w:i/>
        </w:rPr>
        <w:t>Janson v Driefontein Consolidated Mines Ltd</w:t>
      </w:r>
      <w:r>
        <w:rPr>
          <w:b w:val="0"/>
          <w:i w:val="0"/>
        </w:rPr>
        <w:t xml:space="preserve"> [1902] AC 484 (HL), tại tr. 501; </w:t>
      </w:r>
      <w:r>
        <w:rPr>
          <w:b w:val="0"/>
          <w:i/>
        </w:rPr>
        <w:t>Daimler Co v Continental Tyre and Rubber Co. (Great Britain) Ltd</w:t>
      </w:r>
      <w:r>
        <w:rPr>
          <w:b w:val="0"/>
          <w:i w:val="0"/>
        </w:rPr>
        <w:t xml:space="preserve"> [1916] 2 AC 307 (HL).</w:t>
      </w:r>
    </w:p>
    <w:p>
      <w:pPr>
        <w:spacing w:after="80"/>
      </w:pPr>
      <w:r>
        <w:rPr>
          <w:b w:val="0"/>
          <w:i w:val="0"/>
        </w:rPr>
        <w:t>457</w:t>
      </w:r>
    </w:p>
    <w:p>
      <w:pPr>
        <w:spacing w:after="80"/>
      </w:pPr>
      <w:r>
        <w:rPr>
          <w:b w:val="0"/>
          <w:i w:val="0"/>
        </w:rPr>
        <w:t>phụ thuộc vào quốc tịch, cũng không phụ thuộc vào luật mà từ đó một pháp nhân có được tư cách của mình: nó phụ thuộc vào nơi cư trú. Do đó, một công ty có tư cách từ luật của Anh, cư trú tại Cộng hòa Liên bang, và giao dịch thông qua một chi nhánh tại Anh, sẽ được đối xử vì mục đích thuế theo cách hoàn toàn giống như ngân hàng.</w:t>
      </w:r>
    </w:p>
    <w:p>
      <w:pPr>
        <w:spacing w:after="80"/>
      </w:pPr>
      <w:r>
        <w:rPr>
          <w:b w:val="0"/>
          <w:i w:val="0"/>
        </w:rPr>
        <w:t xml:space="preserve">Lập luận này có thể phù hợp hơn trước FA1988, s.66, điều đã áp dụng việc thành lập, và do đó quốc tịch, như một tiêu chí đánh thuế bằng cách đánh đồng việc thành lập tại Anh với cư trú tại Anh đối với các công ty. Trong </w:t>
      </w:r>
      <w:r>
        <w:rPr>
          <w:b w:val="0"/>
          <w:i/>
        </w:rPr>
        <w:t>Saipem UK Limited v The Queen,</w:t>
      </w:r>
      <w:r>
        <w:rPr>
          <w:b w:val="0"/>
          <w:i w:val="0"/>
        </w:rPr>
        <w:t>22</w:t>
      </w:r>
    </w:p>
    <w:p>
      <w:pPr>
        <w:spacing w:after="80"/>
      </w:pPr>
      <w:r>
        <w:rPr>
          <w:b w:val="0"/>
          <w:i w:val="0"/>
        </w:rPr>
        <w:t xml:space="preserve">người nộp thuế được thành lập và cư trú tại Anh và không cư trú tại Canada theo luật nội địa Canada và Hiệp định Thuế Thu nhập Canada-UK (1978). Nó kinh doanh tại Canada thông qua một cơ sở thường trú. Các khoản khấu trừ mà nó yêu cầu đã bị từ chối với lý do rằng nó không phải là 'công ty Canada', tức là được thành lập và cư trú hoặc chỉ cư trú tại Canada. Nó lập luận rằng các khoản khấu trừ nên được cho phép với lý do rằng yêu cầu về công ty Canada của Đạo luật tạo thành sự phân biệt đối xử. Điều này được cho là không tạo thành sự phân biệt đối xử bị cấm bởi Điều 22(1) của hiệp định đó. Các công ty được thành lập ngoài Canada có thể đủ điều kiện là cư dân Canada theo tiêu chí quản lý và kiểm soát, và do đó sự khác biệt trong đối xử dựa trên nơi cư trú, chứ không phải quốc tịch. Liên quan đến thực tế rằng các công ty được thành lập tại Canada được coi là cư dân Canada, Thẩm phán Angers, tại Tòa án Thuế Canada, nhận xét rằng có một ngoại lệ liên quan đến các công ty cư trú tại một quốc gia ký kết khác do quy tắc phá vỡ thế cân bằng về nơi cư trú trong hiệp định. Nhận xét này, ít nhất một phần, là sai lầm liên quan đến Hiệp định Thuế Thu nhập Canada-UK (1978), nơi việc cư trú kép được giải quyết bằng thỏa thuận giữa các cơ quan có thẩm quyền. Do đó, trong trường hợp không có thỏa thuận như vậy, một công ty được thành lập tại Canada được quản lý và kiểm soát tại Anh vẫn là cư dân Canada. Tòa án đã tham chiếu đến quyết định của Tòa án Phúc thẩm New Zealand trong </w:t>
      </w:r>
      <w:r>
        <w:rPr>
          <w:b w:val="0"/>
          <w:i/>
        </w:rPr>
        <w:t>CIR v United Dominions Trust Ltd</w:t>
      </w:r>
      <w:r>
        <w:rPr>
          <w:b w:val="0"/>
          <w:i w:val="0"/>
        </w:rPr>
        <w:t>23 về Điều XIX(1) của Hiệp định New Zealand-UK (1966). New Zealand cũng đã áp dụng việc thành lập như một tiêu chí về nơi cư trú. Trong trường hợp đó, một công ty Anh kinh doanh tại Anh phải nộp thuế thu nhập ở mức cao hơn đối với lãi mà nó nhận được từ công ty con tại New Zealand so với nếu nó là cư dân New Zealand, và tương tự phải nộp thuế ở mức cao hơn đối với phần chia sẻ tương ứng của thu nhập độc quyền từ công ty con New Zealand mà nó bị đánh giá. Tòa án cho biết:</w:t>
      </w:r>
    </w:p>
    <w:p>
      <w:pPr>
        <w:spacing w:after="80"/>
      </w:pPr>
      <w:r>
        <w:rPr>
          <w:b w:val="0"/>
          <w:i w:val="0"/>
        </w:rPr>
        <w:t>những từ quan trọng trong việc quyết định vấn đề đầu tiên là 'trong cùng hoàn cảnh'. Từ 'cùng' mang ý nghĩa về tính đồng nhất, về sự chính xác trong so sánh. Cụm từ này thông thường không có nghĩa là trong hoàn cảnh gần như tương tự: nó có nghĩa là trong hoàn cảnh về cơ bản giống hệt nhau ở tất cả các lĩnh vực ngoại trừ quốc tịch.24</w:t>
      </w:r>
    </w:p>
    <w:p>
      <w:pPr>
        <w:spacing w:after="80"/>
      </w:pPr>
      <w:r>
        <w:rPr>
          <w:b w:val="0"/>
          <w:i w:val="0"/>
        </w:rPr>
        <w:t>Khó khăn trong việc phân biệt nơi cư trú với quốc tịch, khi cả hai đều dựa trên việc thành lập, đã được Thẩm phán McCarthy công nhận, tại Tòa án Phúc thẩm New Zealand khi ông nói:</w:t>
      </w:r>
    </w:p>
    <w:p>
      <w:pPr>
        <w:spacing w:after="80"/>
      </w:pPr>
      <w:r>
        <w:rPr>
          <w:b w:val="0"/>
          <w:i w:val="0"/>
        </w:rPr>
        <w:t>22.</w:t>
      </w:r>
      <w:r>
        <w:rPr>
          <w:b w:val="0"/>
          <w:i/>
        </w:rPr>
        <w:t>Saipem UK Limited v The Queen</w:t>
      </w:r>
      <w:r>
        <w:rPr>
          <w:b w:val="0"/>
          <w:i w:val="0"/>
        </w:rPr>
        <w:t xml:space="preserve"> [2011] TCC 25 (CanLII); được giữ nguyên khi kháng cáo mà không có bình luận gì thêm bởi Tòa án Liên bang Cấp phúc thẩm, [2011] FCA 243 (CanLII).23.</w:t>
      </w:r>
      <w:r>
        <w:rPr>
          <w:b w:val="0"/>
          <w:i/>
        </w:rPr>
        <w:t>CIR v United Dominions Trust Ltd</w:t>
      </w:r>
      <w:r>
        <w:rPr>
          <w:b w:val="0"/>
          <w:i w:val="0"/>
        </w:rPr>
        <w:t xml:space="preserve"> [1973] 2 NZLR 555.24.Tại các tr. 561-562.</w:t>
      </w:r>
    </w:p>
    <w:p>
      <w:pPr>
        <w:spacing w:after="80"/>
      </w:pPr>
      <w:r>
        <w:rPr>
          <w:b w:val="0"/>
          <w:i w:val="0"/>
        </w:rPr>
        <w:t>458</w:t>
      </w:r>
    </w:p>
    <w:p>
      <w:pPr>
        <w:spacing w:after="80"/>
      </w:pPr>
      <w:r>
        <w:rPr>
          <w:b w:val="0"/>
          <w:i w:val="0"/>
        </w:rPr>
        <w:t>Tôi lưu tâm rằng hai thuật ngữ này, cư trú và quốc tịch, và đặc biệt là thuật ngữ sau, là những từ ngữ hiểm hóc vì chúng có phần nào đó khiên cưỡng khi áp dụng cho các thực thể doanh nghiệp.25</w:t>
      </w:r>
    </w:p>
    <w:p>
      <w:pPr>
        <w:spacing w:after="80"/>
      </w:pPr>
      <w:r>
        <w:rPr>
          <w:b w:val="0"/>
          <w:i w:val="0"/>
        </w:rPr>
        <w:t>Suy cho cùng, bất chấp kết luận không thỏa đáng về mặt phân tích, các tòa án này dường như đã thông qua, trên cơ sở chính sách, kết luận rằng khi việc thành lập công ty được áp dụng như một tiêu chí xác định cư trú, thì những khác biệt trong đối xử có khả năng được xem là do lý do cư trú và do đó không mang tính phân biệt đối xử.26</w:t>
      </w:r>
    </w:p>
    <w:p>
      <w:pPr>
        <w:spacing w:after="80"/>
      </w:pPr>
      <w:r>
        <w:rPr>
          <w:b w:val="0"/>
          <w:i w:val="0"/>
        </w:rPr>
        <w:t xml:space="preserve">Đây là một kết quả kỳ lạ, có lẽ cho thấy sự thiếu mạch lạc và thiếu kết nối giữa các tiểu điều khoản khác nhau, rằng nếu đối tượng so sánh được phân tích đúng như trong </w:t>
      </w:r>
      <w:r>
        <w:rPr>
          <w:b w:val="0"/>
          <w:i/>
        </w:rPr>
        <w:t>Commerzbank</w:t>
      </w:r>
      <w:r>
        <w:rPr>
          <w:b w:val="0"/>
          <w:i w:val="0"/>
        </w:rPr>
        <w:t>, thì một người không quốc tịch, với tư cách là cư dân của một quốc gia ký kết, có thể được hưởng sự bảo vệ tốt hơn cả công dân. Người không quốc tịch là cư dân của một Quốc gia ký kết sẽ không bị đánh thuế hoặc bị áp đặt bất kỳ yêu cầu nào liên quan đến thuế ở cả hai Quốc gia ký kết, nếu khoản thuế đó hoặc các yêu cầu liên quan đó khác biệt hoặc nặng nề hơn so với khoản thuế và các yêu cầu liên quan mà công dân của Quốc gia liên quan trong cùng hoàn cảnh, đặc biệt là về cư trú, đang phải chịu hoặc có thể phải chịu.27Công ước năm 1951 về vị thế của người tị nạn28 và Công ước năm 1954 về vị thế của người không quốc tịch29 đều có những đề cập cụ thể đến thuế. Những điều này được phản ánh trong Điều 24(2) của OECD Model.</w:t>
      </w:r>
    </w:p>
    <w:p>
      <w:pPr>
        <w:spacing w:after="80"/>
      </w:pPr>
      <w:r>
        <w:rPr>
          <w:b w:val="0"/>
          <w:i w:val="0"/>
        </w:rPr>
        <w:t xml:space="preserve">'Thuế khác' nghĩa là khoản thuế khác biệt. Trong </w:t>
      </w:r>
      <w:r>
        <w:rPr>
          <w:b w:val="0"/>
          <w:i/>
        </w:rPr>
        <w:t>Woodend Rubber v CIR</w:t>
      </w:r>
      <w:r>
        <w:rPr>
          <w:b w:val="0"/>
          <w:i w:val="0"/>
        </w:rPr>
        <w:t>,30 Hội đồng Cơ mật đã phán quyết trong bối cảnh một Hiệp ước giữa Anh và Ceylon có trước OECD Model rằng thuế thu nhập khác với khoản thuế mà các công ty cư trú phải chịu là 'thuế khác'. Trong cùng vụ án đó, Hội đồng Cơ mật đã giữ nguyên quan điểm của Tòa án Tối cao Ceylon rằng thuế nặng nề hơn nghĩa là số tiền thuế cao hơn của cùng một loại thuế. Việc so sánh được thực hiện bằng cách xem xét số tiền thuế mà đối tượng không cư trú lẽ ra phải nộp, nếu người đó là cư dân.</w:t>
      </w:r>
    </w:p>
    <w:p>
      <w:pPr>
        <w:spacing w:after="80"/>
      </w:pPr>
      <w:r>
        <w:rPr>
          <w:b w:val="0"/>
          <w:i w:val="0"/>
        </w:rPr>
        <w:t>Một quốc gia không thể bị coi là phân biệt đối xử theo các quy định này nếu quốc gia đó áp đặt khoản thuế nặng nề hơn lên chính công dân của mình.31</w:t>
      </w:r>
    </w:p>
    <w:p>
      <w:pPr>
        <w:spacing w:after="80"/>
      </w:pPr>
      <w:r>
        <w:rPr>
          <w:b w:val="0"/>
          <w:i w:val="0"/>
        </w:rPr>
        <w:t>Sự đối xử tương tự cũng được dành cho người không quốc tịch theo Điều 24(2) của OECD Model như được tái hiện trong Hiệp ước Đức-Anh. Điều 25(2) quy định:</w:t>
      </w:r>
    </w:p>
    <w:p>
      <w:pPr>
        <w:spacing w:after="80"/>
      </w:pPr>
      <w:r>
        <w:rPr>
          <w:b w:val="0"/>
          <w:i w:val="0"/>
        </w:rPr>
        <w:t xml:space="preserve">25.Tại tr. 561.26.Tòa án Phúc thẩm Liên bang Hoa Kỳ đã không phân biệt giữa cư trú và quốc tịch theo Điều 24(1) của Hiệp ước Thuế Thu nhập Hoa Kỳ-Anh (1975) trong </w:t>
      </w:r>
      <w:r>
        <w:rPr>
          <w:b w:val="0"/>
          <w:i/>
        </w:rPr>
        <w:t>Unionbancal Corporation, f.k.a. Union Bank, Successor in Interest to Standard Chartered Holdings, Inc. and Includable Subsidiaries v Commissioner of Internal Revenue</w:t>
      </w:r>
      <w:r>
        <w:rPr>
          <w:b w:val="0"/>
          <w:i w:val="0"/>
        </w:rPr>
        <w:t>, Tòa án Phúc thẩm Hoa Kỳ, Vòng 9 (18 tháng 9 năm 2002) 305 F.3d 976. Ở đó, đối tượng nộp thuế, một ngân hàng Hoa Kỳ, thuộc một tập đoàn bao gồm các công ty Anh và Hoa Kỳ. Đối tượng nộp thuế đã bán một danh mục cho vay bị lỗ cho một thành viên người Anh của tập đoàn rồi rời khỏi tập đoàn. Khoản giảm trừ cho khoản lỗ chỉ được các quy định tạm thời cho phép nếu người mua là một công ty Hoa Kỳ. Tòa án đã bác bỏ lập luận của đối tượng nộp thuế về việc đối xử bất bình đẳng trong mọi trường hợp mà không đi sâu vào vấn đề này.27.OECD Model, Điều 24(2).28.</w:t>
      </w:r>
      <w:r>
        <w:rPr>
          <w:b w:val="0"/>
          <w:i/>
        </w:rPr>
        <w:t>Công ước về vị thế của người tị nạn</w:t>
      </w:r>
      <w:r>
        <w:rPr>
          <w:b w:val="0"/>
          <w:i w:val="0"/>
        </w:rPr>
        <w:t xml:space="preserve"> (kèm phụ lục). Ký tại Geneva, ngày 28 tháng 7 năm 1951, UNTS số 2545.29.</w:t>
      </w:r>
      <w:r>
        <w:rPr>
          <w:b w:val="0"/>
          <w:i/>
        </w:rPr>
        <w:t>Công ước về vị thế của người không quốc tịch</w:t>
      </w:r>
      <w:r>
        <w:rPr>
          <w:b w:val="0"/>
          <w:i w:val="0"/>
        </w:rPr>
        <w:t>. Ký tại New York ngày 28 tháng 9 năm 1954, UNTS số 5158.30.</w:t>
      </w:r>
      <w:r>
        <w:rPr>
          <w:b w:val="0"/>
          <w:i/>
        </w:rPr>
        <w:t>Woodend Rubber v Commissioner for Inland Revenue</w:t>
      </w:r>
      <w:r>
        <w:rPr>
          <w:b w:val="0"/>
          <w:i w:val="0"/>
        </w:rPr>
        <w:t xml:space="preserve"> [1971] AC 321 (PC).31.</w:t>
      </w:r>
      <w:r>
        <w:rPr>
          <w:b w:val="0"/>
          <w:i/>
        </w:rPr>
        <w:t>Percival v Revenue &amp; Customs</w:t>
      </w:r>
      <w:r>
        <w:rPr>
          <w:b w:val="0"/>
          <w:i w:val="0"/>
        </w:rPr>
        <w:t xml:space="preserve"> [2013] TC 02654 [2013] UKFTT 240 (TC).</w:t>
      </w:r>
    </w:p>
    <w:p>
      <w:pPr>
        <w:spacing w:after="80"/>
      </w:pPr>
      <w:r>
        <w:rPr>
          <w:b w:val="0"/>
          <w:i w:val="0"/>
        </w:rPr>
        <w:t>459</w:t>
      </w:r>
    </w:p>
    <w:p>
      <w:pPr>
        <w:spacing w:after="80"/>
      </w:pPr>
      <w:r>
        <w:rPr>
          <w:b w:val="0"/>
          <w:i w:val="0"/>
        </w:rPr>
        <w:t>25(2)Người không quốc tịch là cư dân của một Quốc gia ký kết sẽ không bị đánh thuế hoặc bị áp đặt bất kỳ yêu cầu nào liên quan đến thuế ở cả hai Quốc gia ký kết, nếu khoản thuế đó hoặc các yêu cầu liên quan đó khác biệt hoặc nặng nề hơn so với khoản thuế và các yêu cầu liên quan mà công dân của Quốc gia liên quan trong cùng hoàn cảnh đang phải chịu hoặc có thể phải chịu.</w:t>
      </w:r>
    </w:p>
    <w:p>
      <w:pPr>
        <w:spacing w:after="80"/>
      </w:pPr>
      <w:r>
        <w:rPr>
          <w:b w:val="0"/>
          <w:i w:val="0"/>
        </w:rPr>
        <w:t>Không giống như sự phân biệt đối xử dựa trên quốc tịch bị Điều 24(1) của OECD Model cấm, sự phân biệt đối xử bị cấm ở cả hai quốc gia miễn là người đó là cư dân của một quốc gia. Quy định này còn thiếu trong một số hiệp ước mà Vương quốc Anh đã ký kết.32</w:t>
      </w:r>
    </w:p>
    <w:p>
      <w:pPr>
        <w:spacing w:after="80"/>
      </w:pPr>
      <w:r>
        <w:rPr>
          <w:b/>
          <w:i w:val="0"/>
        </w:rPr>
        <w:t>§16.05PHÂN BIỆT ĐỐI XỬ VỚI CƠ SỞ THƯỜNG TRÚ</w:t>
      </w:r>
    </w:p>
    <w:p>
      <w:pPr>
        <w:spacing w:after="80"/>
      </w:pPr>
      <w:r>
        <w:rPr>
          <w:b w:val="0"/>
          <w:i w:val="0"/>
        </w:rPr>
        <w:t>Việc cấm phân biệt đối xử với cơ sở thường trú nhắm vào thuế kinh doanh. Điều 23(2) của Hiệp ước Anh-Thụy Sĩ, theo sát Điều 24(3) của OECD Model, quy định:</w:t>
      </w:r>
    </w:p>
    <w:p>
      <w:pPr>
        <w:spacing w:after="80"/>
      </w:pPr>
      <w:r>
        <w:rPr>
          <w:b w:val="0"/>
          <w:i w:val="0"/>
        </w:rPr>
        <w:t>Việc đánh thuế đối với một cơ sở thường trú mà một doanh nghiệp của một Quốc gia ký kết có tại Quốc gia ký kết kia sẽ không được áp đặt kém thuận lợi hơn tại Quốc gia kia so với việc đánh thuế đối với các doanh nghiệp của Quốc gia kia đang thực hiện cùng các hoạt động đó.</w:t>
      </w:r>
    </w:p>
    <w:p>
      <w:pPr>
        <w:spacing w:after="80"/>
      </w:pPr>
      <w:r>
        <w:rPr>
          <w:b w:val="0"/>
          <w:i w:val="0"/>
        </w:rPr>
        <w:t>Mục đích của quy định này là chấm dứt mọi sự phân biệt đối xử trong việc đối xử với các cơ sở thường trú so với các doanh nghiệp cư trú thuộc cùng lĩnh vực hoạt động. Hình thức của một quy định cụ thể có thể được xem xét để xác định liệu nó có cấu thành sự phân biệt đối xử hay không. Cũng được phép xem xét các kết quả, nhưng gánh nặng thuế cao hơn trong một năm nhất định so với mức lẽ ra phải chịu đối với chi nhánh nếu nó là một doanh nghiệp cư trú tại Vương quốc Anh, không nhất thiết là sự vi phạm nguyên tắc này nếu các quy tắc trong nước phù hợp với các nguyên tắc trong Điều 7.33</w:t>
      </w:r>
    </w:p>
    <w:p>
      <w:pPr>
        <w:spacing w:after="80"/>
      </w:pPr>
      <w:r>
        <w:rPr>
          <w:b w:val="0"/>
          <w:i w:val="0"/>
        </w:rPr>
        <w:t xml:space="preserve">Tiêu chí phân biệt liên quan đến cơ sở thường trú (permanent establishment) là việc đánh thuế không được áp đặt kém thuận lợi hơn. Trong </w:t>
      </w:r>
      <w:r>
        <w:rPr>
          <w:b w:val="0"/>
          <w:i/>
        </w:rPr>
        <w:t>Commerzbank</w:t>
      </w:r>
      <w:r>
        <w:rPr>
          <w:b w:val="0"/>
          <w:i w:val="0"/>
        </w:rPr>
        <w:t>, lập luận rằng bất kể quốc tịch và nơi cư trú, ngân hàng được quyền nhận khoản bổ sung hoàn trả (repayment supplement) vì nếu không, việc đánh thuế sẽ được "áp đặt kém thuận lợi hơn" đối với cơ sở thường trú tại Vương quốc Anh của ngân hàng so với một doanh nghiệp Vương quốc Anh thực hiện cùng hoạt động,34</w:t>
      </w:r>
    </w:p>
    <w:p>
      <w:pPr>
        <w:spacing w:after="80"/>
      </w:pPr>
      <w:r>
        <w:rPr>
          <w:b w:val="0"/>
          <w:i w:val="0"/>
        </w:rPr>
        <w:t>đã bị bác bỏ vì khoản bổ sung hoàn trả, dù có liên quan đến việc áp thuế, không ảnh hưởng đến số tiền thuế đó. Quan điểm hẹp này về "thuế" và việc thiếu lệnh cấm phân biệt đối xử liên quan đến "các yêu cầu có liên quan" mang lại phạm vi bảo vệ hạn chế hơn cho cơ sở thường trú so với công dân của quốc gia ký kết kia.</w:t>
      </w:r>
    </w:p>
    <w:p>
      <w:pPr>
        <w:spacing w:after="80"/>
      </w:pPr>
      <w:r>
        <w:rPr>
          <w:b w:val="0"/>
          <w:i w:val="0"/>
        </w:rPr>
        <w:t xml:space="preserve">Trong </w:t>
      </w:r>
      <w:r>
        <w:rPr>
          <w:b w:val="0"/>
          <w:i/>
        </w:rPr>
        <w:t>UBS AG v Revenue and Customs Commissioners</w:t>
      </w:r>
      <w:r>
        <w:rPr>
          <w:b w:val="0"/>
          <w:i w:val="0"/>
        </w:rPr>
        <w:t>,35 một ngân hàng cư trú tại Thụy Sĩ tiến hành hoạt động ngân hàng thông qua một chi nhánh tại London. Ngân hàng này hoạt động như một nhà</w:t>
      </w:r>
    </w:p>
    <w:p>
      <w:pPr>
        <w:spacing w:after="80"/>
      </w:pPr>
      <w:r>
        <w:rPr>
          <w:b w:val="0"/>
          <w:i w:val="0"/>
        </w:rPr>
        <w:t>32. Xem, ví dụ, Bangladesh-UK, điều 23; China-UK, điều 24; India-UK, điều 26; Jordan-UK, điều 24; Russia-UK, điều 24 (Quy định này là một phần của UN Model).33.</w:t>
      </w:r>
      <w:r>
        <w:rPr>
          <w:b w:val="0"/>
          <w:i/>
        </w:rPr>
        <w:t>SunLifeAssuranceCompanyofCanadavPearson(HMInspectorofTaxes)</w:t>
      </w:r>
      <w:r>
        <w:rPr>
          <w:b w:val="0"/>
          <w:i w:val="0"/>
        </w:rPr>
        <w:t>[1984]STC461(ChD); (1984) 59 TC 250; [1984] BTC 223 tại tr. 277. Xem Chương 9 để phân tích điều 7.34.Hiệp định thuế Germany-UK (2010), điều 20(3).35.</w:t>
      </w:r>
      <w:r>
        <w:rPr>
          <w:b w:val="0"/>
          <w:i/>
        </w:rPr>
        <w:t>UBS AG v Revenue and Customs Commissioners</w:t>
      </w:r>
      <w:r>
        <w:rPr>
          <w:b w:val="0"/>
          <w:i w:val="0"/>
        </w:rPr>
        <w:t xml:space="preserve"> [2006] STC 716, [2006] BTC 232; [2006] EWHC117 (Ch).</w:t>
      </w:r>
    </w:p>
    <w:p>
      <w:pPr>
        <w:spacing w:after="80"/>
      </w:pPr>
      <w:r>
        <w:rPr>
          <w:b w:val="0"/>
          <w:i w:val="0"/>
        </w:rPr>
        <w:t>460</w:t>
      </w:r>
    </w:p>
    <w:p>
      <w:pPr>
        <w:spacing w:after="80"/>
      </w:pPr>
      <w:r>
        <w:rPr>
          <w:b w:val="0"/>
          <w:i w:val="0"/>
        </w:rPr>
        <w:t>tạo lập thị trường (market maker) trên Sở giao dịch chứng khoán London, mua và bán chứng khoán trong quá trình giao dịch. Trong quá trình hoạt động với tư cách nhà tạo lập thị trường, ngân hàng nhận cổ tức từ các công ty cư trú tại Vương quốc Anh và nhận cũng như trả "cổ tức giả định" (manufactured dividends).36 Chi nhánh có lỗ giao dịch đáng kể nhưng có thặng dư cổ tức Vương quốc Anh (và cổ tức giả định) mà bên kháng cáo nhận được so với cổ tức giả định đã trả. Nếu bên kháng cáo là một công ty cư trú tại Vương quốc Anh, các khoản phân phối sẽ đi kèm với tín dụng thuế (tax credits).37</w:t>
      </w:r>
    </w:p>
    <w:p>
      <w:pPr>
        <w:spacing w:after="80"/>
      </w:pPr>
      <w:r>
        <w:rPr>
          <w:b w:val="0"/>
          <w:i w:val="0"/>
        </w:rPr>
        <w:t>HMRC lập luận rằng việc thanh toán tín dụng thuế không phải là một phần của quá trình áp thuế trong phạm vi điều khoản hiệp định. Lập luận này đã bị bác bỏ bởi các Ủy viên Đặc biệt (Special Commissioners),38 Tòa án Cấp cao39 và bởi Moses LJ tại Tòa Phúc thẩm.40 Tại Tòa án Cấp cao, Etherton J nói:</w:t>
      </w:r>
    </w:p>
    <w:p>
      <w:pPr>
        <w:spacing w:after="80"/>
      </w:pPr>
      <w:r>
        <w:rPr>
          <w:b w:val="0"/>
          <w:i w:val="0"/>
        </w:rPr>
        <w:t>Tôi bác bỏ lập luận [của cơ quan thuế] về ý nghĩa của "được áp đặt lên" trong Điều 23(2) của Hiệp định. Việc áp thuế là một khái niệm rộng. Như định nghĩa từ điển cho thấy, theo nghĩa thông thường, nó bao hàm việc đánh một loại thuế. Việc đánh một loại thuế không có nghĩa là người nộp thuế thực sự sẽ phải trả một số tiền thuế sau khi, ví dụ, đã trừ các khoản miễn trừ và giảm trừ. Thuế được đánh, hay "áp đặt", nhưng theo các quy định về thuế, có thể không có gì phải trả bởi một người nộp thuế cụ thể nào đó. Không có gì trong Điều 23(2) giới hạn nó vào một nghĩa hẹp hơn. Tín dụng thuế phải trả do viện dẫn s. 243 là một phần của việc áp thuế thu nhập doanh nghiệp, bất chấp việc s.243 chỉ hoạt động trong các trường hợp mà lỗ của công ty đến mức không bao giờ có thể có bất kỳ câu hỏi nào về trách nhiệm phải thanh toán thực tế một khoản thuế.</w:t>
      </w:r>
    </w:p>
    <w:p>
      <w:pPr>
        <w:spacing w:after="80"/>
      </w:pPr>
      <w:r>
        <w:rPr>
          <w:b w:val="0"/>
          <w:i w:val="0"/>
        </w:rPr>
        <w:t>Tại Tòa Phúc thẩm, Moses LJ lưu ý rằng việc đánh một loại thuế bao gồm việc tuyên bố trách nhiệm, tức là phần của luật xác định những người nào liên quan đến tài sản nào phải chịu trách nhiệm. Cơ sở tính toán phải tạo thành giai đoạn đầu tiên của việc áp đặt trách nhiệm. Chỉ khi cơ sở đó được xác định thì mới có thể có bất kỳ trách nhiệm nào. Quá trình tính toán thuế thu nhập doanh nghiệp và nộp tờ khai cho HMRC tuân theo cơ sở tính toán được quy định trong các phần liên quan của luật thuế. Việc xác định quyền được hưởng tín dụng thuế của một công ty cư trú tại Vương quốc Anh là một phần của quá trình tính toán trách nhiệm của công ty đó. Mặc dù một công ty chỉ nhận được tín dụng thuế khi đưa ra yêu cầu, cơ sở của quyền được hưởng về mặt logic có trước và tạo thành một phần của hệ thống mà theo đó thuế được áp đặt.41</w:t>
      </w:r>
    </w:p>
    <w:p>
      <w:pPr>
        <w:spacing w:after="80"/>
      </w:pPr>
      <w:r>
        <w:rPr>
          <w:b w:val="0"/>
          <w:i w:val="0"/>
        </w:rPr>
        <w:t>Quan điểm bất đồng duy nhất được đưa ra bởi Arden LJ (Sedley LJ không đưa ra quan điểm) tại Tòa Phúc thẩm. Bà lưu ý rằng các từ mở đầu "việc đánh thuế" không được định nghĩa trong hiệp định hay luật trong nước mà phải được giới hạn vào thuế Vương quốc Anh như được định nghĩa trong hiệp định. Bà còn quan sát thêm rằng:</w:t>
      </w:r>
    </w:p>
    <w:p>
      <w:pPr>
        <w:spacing w:after="80"/>
      </w:pPr>
      <w:r>
        <w:rPr>
          <w:b w:val="0"/>
          <w:i w:val="0"/>
        </w:rPr>
        <w:t>36. Xem ICTA 1988, s. 737 và Sch. 23A (nay là CTA 2010, ss 783 và 784).37.Như được quy định lúc đó bởi ICTA 1988, s. 231.38.</w:t>
      </w:r>
      <w:r>
        <w:rPr>
          <w:b w:val="0"/>
          <w:i/>
        </w:rPr>
        <w:t>UBS AG v Revenue and Customs Commissioners</w:t>
      </w:r>
      <w:r>
        <w:rPr>
          <w:b w:val="0"/>
          <w:i w:val="0"/>
        </w:rPr>
        <w:t xml:space="preserve"> [2005] UKSPC 480; (2005) Sp C 480, đoạn 25.39.</w:t>
      </w:r>
      <w:r>
        <w:rPr>
          <w:b w:val="0"/>
          <w:i/>
        </w:rPr>
        <w:t>UBS AG v Revenue and Customs Commissioners</w:t>
      </w:r>
      <w:r>
        <w:rPr>
          <w:b w:val="0"/>
          <w:i w:val="0"/>
        </w:rPr>
        <w:t xml:space="preserve"> [2006] STC 716, [2006] BTC 232; [2006] EWHC117 (Ch), đoạn 20.40.</w:t>
      </w:r>
      <w:r>
        <w:rPr>
          <w:b w:val="0"/>
          <w:i/>
        </w:rPr>
        <w:t>UBS AG v Revenue and Customs Commissioners</w:t>
      </w:r>
      <w:r>
        <w:rPr>
          <w:b w:val="0"/>
          <w:i w:val="0"/>
        </w:rPr>
        <w:t xml:space="preserve"> [2007] STC 588, [2007] BTC 285; [2007] EWCA119 (Ch).41.Tại các đoạn 21-27.</w:t>
      </w:r>
    </w:p>
    <w:p>
      <w:pPr>
        <w:spacing w:after="80"/>
      </w:pPr>
      <w:r>
        <w:rPr>
          <w:b w:val="0"/>
          <w:i w:val="0"/>
        </w:rPr>
        <w:t>461</w:t>
      </w:r>
    </w:p>
    <w:p>
      <w:pPr>
        <w:spacing w:after="80"/>
      </w:pPr>
      <w:r>
        <w:rPr>
          <w:b w:val="0"/>
          <w:i w:val="0"/>
        </w:rPr>
        <w:t>Hơn nữa, các đoạn (1) và (5)42 đều cũng đề cập đến "bất kỳ yêu cầu nào có liên quan đến đó", nhưng cụm từ đó không có trong đoạn (2). Sự hiện diện của các từ "bất kỳ yêu cầu nào có liên quan đến đó" trong các phần khác của các điều khoản là một dấu hiệu cho thấy cụm từ "việc đánh thuế" không bao gồm tất cả các khía cạnh của trách nhiệm thuế. Do đó nó có thể được giới hạn vào các quy định áp đặt thuế, khác với các nghĩa vụ kèm theo của người nộp thuế, chẳng hạn như nghĩa vụ nộp tờ khai. Cách tiếp cận này được hỗ trợ bởi ý nghĩa của từ "levied" mà theo nghĩa thông thường có nghĩa là "raised" (được thu). Nếu đúng như vậy, điều 23(2) có phạm vi hoạt động hạn chế hơn so với điều 23(1).43</w:t>
      </w:r>
    </w:p>
    <w:p>
      <w:pPr>
        <w:spacing w:after="80"/>
      </w:pPr>
      <w:r>
        <w:rPr>
          <w:b w:val="0"/>
          <w:i w:val="0"/>
        </w:rPr>
        <w:t>Theo quan điểm của bà, từ đó suy ra rằng các tín dụng mà một công ty cư trú tại Vương quốc Anh nhận được đối với các khoản phân phối đủ điều kiện là các tín dụng khấu trừ vào thuế thu nhập doanh nghiệp chính của công ty trả cổ tức chứ không phải là một khoản giảm trừ vào thu nhập của người nhận cổ tức và không làm giảm trách nhiệm của cơ sở thường trú phải hạch toán ACT vì dù sao nó cũng không làm như vậy.44 Việc không hoàn trả tín dụng thuế trong bất kỳ năm nào mà cơ sở thường trú không có trách nhiệm phải trả bất kỳ loại thuế nào không phải là việc đánh thuế kém thuận lợi hơn trên cơ sở này. Mặc dù phạm vi của lệnh cấm liên quan đến công dân khác với phạm vi liên quan đến cơ sở thường trú, sự khác biệt này, theo quan điểm được đưa ra, không hỗ trợ kết luận của Arden LJ trong việc loại trừ tín dụng thuế khỏi cụm từ "thuế".</w:t>
      </w:r>
    </w:p>
    <w:p>
      <w:pPr>
        <w:spacing w:after="80"/>
      </w:pPr>
      <w:r>
        <w:rPr>
          <w:b w:val="0"/>
          <w:i w:val="0"/>
        </w:rPr>
        <w:t xml:space="preserve">Đối tượng so sánh liên quan đến cơ sở thường trú không phải là "hoàn cảnh tương tự" chung chung hơn như áp dụng cho công dân mà là liên quan đến "các doanh nghiệp... thực hiện cùng hoạt động" tại địa phương. Các Ủy viên Đặc biệt đã xem xét khía cạnh này trong </w:t>
      </w:r>
      <w:r>
        <w:rPr>
          <w:b w:val="0"/>
          <w:i/>
        </w:rPr>
        <w:t>UBS</w:t>
      </w:r>
      <w:r>
        <w:rPr>
          <w:b w:val="0"/>
          <w:i w:val="0"/>
        </w:rPr>
        <w:t>. Họ kết luận rằng yêu cầu về cùng hoạt động có nghĩa là công ty giả định cư trú tại Vương quốc Anh có một nhà tạo lập thị trường. Các bên đồng ý rằng nó phải có chính xác cùng khoản lỗ thuế và nhận cùng cổ tức và cổ tức giả định như bên kháng cáo và phải trả cùng loại thuế trên cổ tức giả định. Cơ quan thuế lập luận rằng việc phân phối lợi nhuận cũng nên được xem xét. Các Ủy viên Đặc biệt kết luận rằng bất kỳ so sánh nào giữa một cơ sở thường trú và một công ty cư trú đều đương nhiên phải bỏ qua việc phân phối lợi nhuận. Hai bên khác nhau ở khía cạnh này.45</w:t>
      </w:r>
    </w:p>
    <w:p>
      <w:pPr>
        <w:spacing w:after="80"/>
      </w:pPr>
      <w:r>
        <w:rPr>
          <w:b w:val="0"/>
          <w:i w:val="0"/>
        </w:rPr>
        <w:t xml:space="preserve">Trong </w:t>
      </w:r>
      <w:r>
        <w:rPr>
          <w:b w:val="0"/>
          <w:i/>
        </w:rPr>
        <w:t>SaipemUKLimitedvTheQueen,</w:t>
      </w:r>
      <w:r>
        <w:rPr>
          <w:b w:val="0"/>
          <w:i w:val="0"/>
        </w:rPr>
        <w:t>46 việc khấu trừ lỗ của cơ sở thường trú tại Canada của một công ty con Vương quốc Anh đã bị giải thể đã bị từ chối trong tay cơ sở thường trú tại Canada của công ty mẹ Vương quốc Anh. Nếu hai công ty là "các công ty Canada" thì khoản lỗ sẽ được khấu trừ bởi công ty mẹ. Mặc dù Angers J nhận thấy các lập luận của người nộp thuế là hợp lý rằng sự khác biệt đó là phân biệt đối xử, trái với điều 22(2) của Hiệp định Canada-UK (1978) và phù hợp với tinh thần của luật trong nước Canada về những gì được phép khấu trừ cho các khoản lỗ, ông kết luận rằng điều 7 của Hiệp định. Hơn nữa, Bình luận của OECD gợi ý rằng nguyên tắc đối xử bình đẳng chỉ áp dụng cho việc đánh thuế các hoạt động của chính cơ sở thường trú và do đó không</w:t>
      </w:r>
    </w:p>
    <w:p>
      <w:pPr>
        <w:spacing w:after="80"/>
      </w:pPr>
      <w:r>
        <w:rPr>
          <w:b w:val="0"/>
          <w:i w:val="0"/>
        </w:rPr>
        <w:t>42.Điều 24(1) và 24(5) của Mẫu OECD.43.Tại đoạn 72.44.Xem các đoạn 70-80.45.Tại các đoạn 12 và 13.46.</w:t>
      </w:r>
      <w:r>
        <w:rPr>
          <w:b w:val="0"/>
          <w:i/>
        </w:rPr>
        <w:t>Saipem UK Limited v The Queen</w:t>
      </w:r>
      <w:r>
        <w:rPr>
          <w:b w:val="0"/>
          <w:i w:val="0"/>
        </w:rPr>
        <w:t xml:space="preserve"> [2011] TCC 25 (CanLII); Được giữ nguyên khi kháng cáo mà không có bình luận bởi Tòa án Liên bang Canada, [2011] FCA 243 (CanLII). Xem §16.03 để biết các sự kiện.</w:t>
      </w:r>
    </w:p>
    <w:p>
      <w:pPr>
        <w:spacing w:after="80"/>
      </w:pPr>
      <w:r>
        <w:rPr>
          <w:b w:val="0"/>
          <w:i w:val="0"/>
        </w:rPr>
        <w:t>462</w:t>
      </w:r>
    </w:p>
    <w:p>
      <w:pPr>
        <w:spacing w:after="80"/>
      </w:pPr>
      <w:r>
        <w:rPr>
          <w:b w:val="0"/>
          <w:i w:val="0"/>
        </w:rPr>
        <w:t>mở rộng đến các quy định có tính đến mối quan hệ giữa một doanh nghiệp và các doanh nghiệp khác và cho phép chuyển lỗ.47 Mặt khác, Centro de Arbitragem Administrativa của Bồ Đào Nha (Hội đồng Trung tâm Trọng tài Hành chính) đã phán quyết rằng cơ sở thường trú tại Bồ Đào Nha của một tổ chức tài chính cư trú tại Vương quốc Anh được hưởng cùng một khoản giảm trừ đối với chi phí đi vay như một tổ chức tài chính cư trú tại Bồ Đào Nha theo Điều 23(3) của Hiệp định Bồ Đào Nha-Vương quốc Anh.48</w:t>
      </w:r>
    </w:p>
    <w:p>
      <w:pPr>
        <w:spacing w:after="80"/>
      </w:pPr>
      <w:r>
        <w:rPr>
          <w:b w:val="0"/>
          <w:i w:val="0"/>
        </w:rPr>
        <w:t>Vương quốc Anh đã nhượng bộ trong lĩnh vực này đối với các quốc gia áp đặt thuế lợi nhuận chi nhánh.49 Do đó, trong Hiệp định Thuế Thu nhập Nam Phi-Vương quốc Anh, điều khoản không phân biệt đối xử không ngăn cản Nam Phi áp đặt lên lợi nhuận quy cho một cơ sở thường trú tại Nam Phi của một công ty cư trú tại Vương quốc Anh một mức thuế không vượt quá mức thuế thông thường đối với các công ty quá năm điểm phần trăm.50 Tương tự, điều khoản không phân biệt đối xử của Hiệp định Vương quốc Anh-Hoa Kỳ không ngăn cản bất kỳ quốc gia ký kết nào áp đặt thuế lợi nhuận chi nhánh như được mô tả trong Điều 10(7).51</w:t>
      </w:r>
    </w:p>
    <w:p>
      <w:pPr>
        <w:spacing w:after="80"/>
      </w:pPr>
      <w:r>
        <w:rPr>
          <w:b w:val="0"/>
          <w:i w:val="0"/>
        </w:rPr>
        <w:t>HMRC chấp nhận rằng một cơ sở thường trú sẽ chỉ được hưởng mức thuế lợi nhuận dành cho công ty nhỏ theo luật trong nước dành cho các công ty cư trú tại Vương quốc Anh.52</w:t>
      </w:r>
    </w:p>
    <w:p>
      <w:pPr>
        <w:spacing w:after="80"/>
      </w:pPr>
      <w:r>
        <w:rPr>
          <w:b w:val="0"/>
          <w:i w:val="0"/>
        </w:rPr>
        <w:t>Khi xác định khoản giảm trừ nào được hưởng, thu nhập và lợi nhuận của toàn bộ công ty, chứ không chỉ thu nhập và lợi nhuận của cơ sở thường trú, phải được tính vào. Số lượng các công ty liên kết, dù cư trú ở đâu, cũng phải được tính đến.53 HMRC không cho rằng các quy định này cho phép TCGA 1992, s. 139, áp dụng cho việc chuyển nhượng tài sản giữa các cơ sở thường trú tại Vương quốc Anh của các công ty không cư trú. TCGA 1992, s. 139 yêu cầu cả hai công ty phải cư trú tại Vương quốc Anh để đủ điều kiện không có lãi hoặc lỗ khi chuyển nhượng và mua lại.54</w:t>
      </w:r>
    </w:p>
    <w:p>
      <w:pPr>
        <w:spacing w:after="80"/>
      </w:pPr>
      <w:r>
        <w:rPr>
          <w:b/>
          <w:i w:val="0"/>
        </w:rPr>
        <w:t>§16.06 PHÂN BIỆT ĐỐI XỬ DỰA TRÊN NƠI CƯ TRÚ CỦA NGƯỜI NHẬN THANH TOÁN</w:t>
      </w:r>
    </w:p>
    <w:p>
      <w:pPr>
        <w:spacing w:after="80"/>
      </w:pPr>
      <w:r>
        <w:rPr>
          <w:b w:val="0"/>
          <w:i w:val="0"/>
        </w:rPr>
        <w:t>Trong một số trường hợp, sự khác biệt trong cách đối xử với các khoản thanh toán có thể phát sinh do nơi cư trú của người nhận thanh toán. Sự khác biệt trong cách đối xử như vậy được giải quyết bởi các hiệp định áp dụng Điều 24(4) của mẫu OECD, như trường hợp trong hiệp định thuế hai lần Bỉ-Vương quốc Anh, trong đó quy định:</w:t>
      </w:r>
    </w:p>
    <w:p>
      <w:pPr>
        <w:spacing w:after="80"/>
      </w:pPr>
      <w:r>
        <w:rPr>
          <w:b w:val="0"/>
          <w:i w:val="0"/>
        </w:rPr>
        <w:t>24(5) Trừ trường hợp các quy định tại khoản (1) Điều 9, khoản (6) Điều 11, hoặc khoản (4) Điều 12 của Công ước này được áp dụng, tiền lãi, tiền bản quyền và các khoản chi trả khác do một doanh nghiệp của một Quốc gia ký kết trả cho một người cư trú của Quốc gia ký kết kia, nhằm mục đích xác định</w:t>
      </w:r>
    </w:p>
    <w:p>
      <w:pPr>
        <w:spacing w:after="80"/>
      </w:pPr>
      <w:r>
        <w:rPr>
          <w:b w:val="0"/>
          <w:i w:val="0"/>
        </w:rPr>
        <w:t xml:space="preserve">47.Tại các đoạn 68 và 69.48.Centro de Arbitragem Administrativa (Hội đồng Trọng tài Hành chính Bồ Đào Nha) CAAD: Arbitragem Tributária Processo (9 tháng 11 năm 2020) n.º: 882/2019-T.49.Xem </w:t>
      </w:r>
      <w:r>
        <w:rPr>
          <w:b w:val="0"/>
          <w:i/>
        </w:rPr>
        <w:t>UBS AG v Revenue and Customs Commissioners</w:t>
      </w:r>
      <w:r>
        <w:rPr>
          <w:b w:val="0"/>
          <w:i w:val="0"/>
        </w:rPr>
        <w:t xml:space="preserve"> [2005] UKSPC 480; (2005) SpC 480, theo Ủy viên Đặc biệt Avery Jones tại đoạn 13.50.Hiệp định Thuế Nam Phi-Vương quốc Anh (2002), Điều 23(6).51.Hiệp định Thuế Hoa Kỳ-Vương quốc Anh (2001), Điều 23(6). Xem thêm bảo lưu cụ thể của Hoa Kỳ về vấn đề này trong phần bình luận về Mẫu Công ước OECD, Điều 24, đoạn 65.52.CTA 2010, Phần 3, bị bãi bỏ bởi FA 2014, Sch. 1 từ năm tài chính 2015.53.HMRC, Sổ tay Giảm trừ Thuế Hai lần, DT1954.54.HMRC, Sổ tay Giảm trừ Thuế Hai lần, DT1953.</w:t>
      </w:r>
    </w:p>
    <w:p>
      <w:pPr>
        <w:spacing w:after="80"/>
      </w:pPr>
      <w:r>
        <w:rPr>
          <w:b w:val="0"/>
          <w:i w:val="0"/>
        </w:rPr>
        <w:t>463</w:t>
      </w:r>
    </w:p>
    <w:p>
      <w:pPr>
        <w:spacing w:after="80"/>
      </w:pPr>
      <w:r>
        <w:rPr>
          <w:b w:val="0"/>
          <w:i w:val="0"/>
        </w:rPr>
        <w:t>lợi nhuận chịu thuế của doanh nghiệp đó, được khấu trừ theo các điều kiện giống như thể chúng đã được trả cho một người cư trú của Quốc gia được đề cập đầu tiên.</w:t>
      </w:r>
    </w:p>
    <w:p>
      <w:pPr>
        <w:spacing w:after="80"/>
      </w:pPr>
      <w:r>
        <w:rPr>
          <w:b w:val="0"/>
          <w:i w:val="0"/>
        </w:rPr>
        <w:t>Lệnh cấm ở đây liên quan đến việc khấu trừ các khoản mục như vậy được trả cho người không cư trú trên cơ sở không bình đẳng so với các khoản thanh toán tương tự được thực hiện cho người cư trú. Phạm vi của lệnh cấm bị giới hạn trong trường hợp tiền lãi và tiền bản quyền ở mức không bị ngăn cản hưởng lợi từ thuế suất giảm do sự tồn tại của một mối quan hệ đặc biệt55 và, nói chung, khi số tiền nằm trong các quy định về giá thị trường của Điều 9.56 Sự đối xử bất bình đẳng bị doanh nghiệp tại một quốc gia ký kết thực hiện thanh toán gánh chịu, nhưng sự đối xử bất bình đẳng phát sinh do tình trạng cư trú của người nhận ở quốc gia ký kết kia.</w:t>
      </w:r>
    </w:p>
    <w:p>
      <w:pPr>
        <w:spacing w:after="80"/>
      </w:pPr>
      <w:r>
        <w:rPr>
          <w:b w:val="0"/>
          <w:i w:val="0"/>
        </w:rPr>
        <w:t>Cơ quan Thuế Quốc gia Colombia đã phán quyết rằng yêu cầu đăng ký các thỏa thuận nhập khẩu công nghệ giữa cư dân Colombia và cư dân của một quốc gia đã ký kết hiệp định thuế với Colombia không vi phạm Điều 24 của hiệp định Colombia-Vương quốc Anh.57 Bộ luật Thuế Colombia cho phép khấu trừ các khoản thanh toán cho người không cư trú theo các thỏa thuận nhập khẩu công nghệ, bằng sáng chế và nhãn hiệu chỉ khi người trả đã đăng ký thỏa thuận. Theo quan điểm của tác giả, việc vi phạm Điều 24(4) không phải do bản thân việc đăng ký, mà vì khả năng khấu trừ phụ thuộc vào việc đăng ký và chỉ áp dụng cho các thỏa thuận với người không cư trú.</w:t>
      </w:r>
    </w:p>
    <w:p>
      <w:pPr>
        <w:spacing w:after="80"/>
      </w:pPr>
      <w:r>
        <w:rPr>
          <w:b/>
          <w:i w:val="0"/>
        </w:rPr>
        <w:t>§16.07 PHÂN BIỆT ĐỐI XỬ DỰA TRÊN QUYỀN SỞ HỮU DOANH NGHIỆP</w:t>
      </w:r>
    </w:p>
    <w:p>
      <w:pPr>
        <w:spacing w:after="80"/>
      </w:pPr>
      <w:r>
        <w:rPr>
          <w:b w:val="0"/>
          <w:i w:val="0"/>
        </w:rPr>
        <w:t>Hầu như tất cả các điều khoản không phân biệt đối xử đều trao cho các doanh nghiệp thuộc sở hữu của người không cư trú các quyền tương tự như những quyền được trao cho công dân. Điều 24(4) của hiệp định thuế hai lần Nhật Bản-Vương quốc Anh là ví dụ điển hình cho quy tắc này:</w:t>
      </w:r>
    </w:p>
    <w:p>
      <w:pPr>
        <w:spacing w:after="80"/>
      </w:pPr>
      <w:r>
        <w:rPr>
          <w:b w:val="0"/>
          <w:i w:val="0"/>
        </w:rPr>
        <w:t>Các doanh nghiệp của một Quốc gia ký kết mà vốn của chúng thuộc sở hữu hoặc kiểm soát toàn bộ hoặc một phần, trực tiếp hoặc gián tiếp, bởi một hoặc nhiều cư dân của Quốc gia ký kết kia sẽ không bị áp đặt bất kỳ khoản thuế nào hoặc bất kỳ yêu cầu nào liên quan đến đó khác hoặc nặng nề hơn so với thuế và các yêu cầu liên quan mà các doanh nghiệp tương tự khác của Quốc gia thứ nhất có thể phải chịu.</w:t>
      </w:r>
    </w:p>
    <w:p>
      <w:pPr>
        <w:spacing w:after="80"/>
      </w:pPr>
      <w:r>
        <w:rPr>
          <w:b w:val="0"/>
          <w:i w:val="0"/>
        </w:rPr>
        <w:t>Cũng như trường hợp của các công dân, điều bị cấm là bất kỳ khoản thuế nào hoặc bất kỳ yêu cầu nào liên quan đến đó khác hoặc nặng nề hơn. Đối tượng được bảo vệ là một doanh nghiệp của một Quốc gia mà vốn của nó thuộc sở hữu hoặc kiểm soát toàn bộ hoặc một phần, trực tiếp hoặc gián tiếp, bởi cư dân của Quốc gia kia. Việc so sánh phải được thực hiện với cách đối xử dành cho các doanh nghiệp tương tự khác của Quốc gia sở tại.</w:t>
      </w:r>
    </w:p>
    <w:p>
      <w:pPr>
        <w:spacing w:after="80"/>
      </w:pPr>
      <w:r>
        <w:rPr>
          <w:b w:val="0"/>
          <w:i w:val="0"/>
        </w:rPr>
        <w:t xml:space="preserve">Trong </w:t>
      </w:r>
      <w:r>
        <w:rPr>
          <w:b w:val="0"/>
          <w:i/>
        </w:rPr>
        <w:t>BoakeAllenLtd&amp;Ors(bao gồm NECSemi-ConductorsLtd)vHMRC</w:t>
      </w:r>
      <w:r>
        <w:rPr>
          <w:b w:val="0"/>
          <w:i w:val="0"/>
        </w:rPr>
        <w:t>,58 các tòa án đã xem xét liệu việc cấm một công ty Vương quốc Anh và công ty mẹ Nhật Bản của nó lựa chọn không áp dụng cơ chế ACT đối với cổ tức trong nội bộ tập đoàn có trái với các quy định về không phân biệt đối xử của Hiệp ước Vương quốc Anh - Nhật Bản và các hiệp ước tương tự khác hay không</w:t>
      </w:r>
    </w:p>
    <w:p>
      <w:pPr>
        <w:spacing w:after="80"/>
      </w:pPr>
      <w:r>
        <w:rPr>
          <w:b w:val="0"/>
          <w:i w:val="0"/>
        </w:rPr>
        <w:t>55.Xem Chương 10, §10.04.56.Xem Chương 9, §9.17.57.Phán quyết 907489 ngày 25 tháng 11 năm 2020 của Cơ quan Thuế Quốc gia Colombia.58.</w:t>
      </w:r>
      <w:r>
        <w:rPr>
          <w:b w:val="0"/>
          <w:i/>
        </w:rPr>
        <w:t>BoakeAllenLtd&amp;Ors(bao gồm NECSemi-ConductorsLtd)vRevenueandCustomsCommis-sioners</w:t>
      </w:r>
      <w:r>
        <w:rPr>
          <w:b w:val="0"/>
          <w:i w:val="0"/>
        </w:rPr>
        <w:t xml:space="preserve"> [2007] STC 1265, [2007] BTC 414; [2007] UKHL 25.</w:t>
      </w:r>
    </w:p>
    <w:p>
      <w:pPr>
        <w:spacing w:after="80"/>
      </w:pPr>
      <w:r>
        <w:rPr>
          <w:b w:val="0"/>
          <w:i w:val="0"/>
        </w:rPr>
        <w:t>464</w:t>
      </w:r>
    </w:p>
    <w:p>
      <w:pPr>
        <w:spacing w:after="80"/>
      </w:pPr>
      <w:r>
        <w:rPr>
          <w:b w:val="0"/>
          <w:i w:val="0"/>
        </w:rPr>
        <w:t xml:space="preserve">được trả bởi một công ty con cho công ty mẹ của nó khi việc lựa chọn như vậy có thể được thực hiện giữa một công ty con Vương quốc Anh và một công ty mẹ Vương quốc Anh. Vụ án này được lấy cảm hứng từ phán quyết của ECJ trong </w:t>
      </w:r>
      <w:r>
        <w:rPr>
          <w:b w:val="0"/>
          <w:i/>
        </w:rPr>
        <w:t>MetallgesellschaftvIRC</w:t>
      </w:r>
      <w:r>
        <w:rPr>
          <w:b w:val="0"/>
          <w:i w:val="0"/>
        </w:rPr>
        <w:t>,59 nơi ECJ kết luận rằng việc một công ty mẹ châu Âu không thể thực hiện lựa chọn như vậy với công ty con Vương quốc Anh của mình là trái với quyền tự do thành lập trong luật EC.</w:t>
      </w:r>
    </w:p>
    <w:p>
      <w:pPr>
        <w:spacing w:after="80"/>
      </w:pPr>
      <w:r>
        <w:rPr>
          <w:b w:val="0"/>
          <w:i w:val="0"/>
        </w:rPr>
        <w:t>Tại Tòa án Cấp cao,60 Thẩm phán Park đã xem xét bốn ứng viên giả định cho đối tượng so sánh 'các doanh nghiệp tương tự khác':</w:t>
      </w:r>
    </w:p>
    <w:p>
      <w:pPr>
        <w:spacing w:after="80"/>
      </w:pPr>
      <w:r>
        <w:rPr>
          <w:b w:val="0"/>
          <w:i w:val="0"/>
        </w:rPr>
        <w:t>(1)</w:t>
      </w:r>
      <w:r>
        <w:rPr>
          <w:b w:val="0"/>
          <w:i/>
        </w:rPr>
        <w:t>Các công ty con Vương quốc Anh của các công ty khác cư trú tại Quốc gia ký kết kia.</w:t>
      </w:r>
      <w:r>
        <w:rPr>
          <w:b w:val="0"/>
          <w:i w:val="0"/>
        </w:rPr>
        <w:t xml:space="preserve"> Điều này</w:t>
      </w:r>
    </w:p>
    <w:p>
      <w:pPr>
        <w:spacing w:after="80"/>
      </w:pPr>
      <w:r>
        <w:rPr>
          <w:b w:val="0"/>
          <w:i w:val="0"/>
        </w:rPr>
        <w:t>rõ ràng không phải là điều được dự định, và không bên nào lập luận ủng hộ nó trong vụ án này.(2)</w:t>
      </w:r>
      <w:r>
        <w:rPr>
          <w:b w:val="0"/>
          <w:i/>
        </w:rPr>
        <w:t>Các công ty con Vương quốc Anh của các công ty khác cư trú tại các quốc gia thứ ba.</w:t>
      </w:r>
      <w:r>
        <w:rPr>
          <w:b w:val="0"/>
          <w:i w:val="0"/>
        </w:rPr>
        <w:t>Đây là</w:t>
      </w:r>
    </w:p>
    <w:p>
      <w:pPr>
        <w:spacing w:after="80"/>
      </w:pPr>
      <w:r>
        <w:rPr>
          <w:b w:val="0"/>
          <w:i w:val="0"/>
        </w:rPr>
        <w:t>cách giải thích của Cơ quan Thuế cho đến phiên điều trần nhưng đã bị từ bỏ tại phiên xét xử. Theo quan điểm của thẩm phán, cực kỳ khó để ép buộc cách giải thích này ra khỏi ngôn ngữ của đoạn văn. Thực chất, đó là một cách tiếp cận 'tối huệ quốc' hơn là không phân biệt đối xử.(3)</w:t>
      </w:r>
      <w:r>
        <w:rPr>
          <w:b w:val="0"/>
          <w:i/>
        </w:rPr>
        <w:t>Không có 'các doanh nghiệp tương tự khác'.</w:t>
      </w:r>
      <w:r>
        <w:rPr>
          <w:b w:val="0"/>
          <w:i w:val="0"/>
        </w:rPr>
        <w:t xml:space="preserve"> Cuối cùng đây đã trở thành lập trường của Cơ quan Thuế</w:t>
      </w:r>
    </w:p>
    <w:p>
      <w:pPr>
        <w:spacing w:after="80"/>
      </w:pPr>
      <w:r>
        <w:rPr>
          <w:b w:val="0"/>
          <w:i w:val="0"/>
        </w:rPr>
        <w:t>tại phiên xét xử. Cơ quan Thuế lập luận rằng nếu công ty mẹ cư trú tại Vương quốc Anh giả định sẽ nhận được (về mặt cổ tức) cách đối xử thuế thông thường áp dụng cho các công ty cư trú tại Vương quốc Anh, thì công ty con Vương quốc Anh của nó, dù là một doanh nghiệp của Vương quốc Anh, sẽ không phải là một doanh nghiệp 'tương tự' với doanh nghiệp thực tế đang được xem xét. bởi vì cách đối xử thuế của Vương quốc Anh đối với cổ tức nhận được và chi trả, không phải bởi chính các 'doanh nghiệp' (NEC và một công ty con Vương quốc Anh giả định khác), mà bởi các công ty mẹ của chúng (công ty mẹ Nhật Bản của NEC và công ty mẹ cư trú tại Vương quốc Anh giả định của công ty con Vương quốc Anh giả định). Công ty mẹ Nhật Bản của NEC không phải chịu trách nhiệm trả ACT nếu nó tự trả cổ tức; công ty mẹ Vương quốc Anh giả định của một công ty con Vương quốc Anh so sánh sẽ phải chịu trách nhiệm trả ACT nếu nó tự trả cổ tức. Công ty mẹ Nhật Bản không được hưởng tín dụng thuế Vương quốc Anh nếu nó nhận cổ tức từ các nguồn Vương quốc Anh; công ty mẹ Vương quốc Anh giả định sẽ được hưởng như vậy. Do đó, vì cách đối xử thuế của các công ty mẹ sẽ khác nhau, hai công ty con tự chúng sẽ không phải là 'các doanh nghiệp tương tự'. Thẩm phán Park đã bác bỏ lập luận của Cơ quan Thuế.61 Trong phân tích của ông, việc so sánh liên quan đến việc liệu công ty thực tế thuộc sở hữu Nhật Bản và một công ty Vương quốc Anh giả định khác có 'tương tự' hay không. Để làm điều này, cần phải giả định rằng nếu công ty thực tế là công ty con của một công ty khác, thì công ty so sánh giả định cũng vậy; nhưng điều đó không mở rộng đến việc liệu công ty mẹ cư trú tại Vương quốc Anh giả định có cùng cách đối xử thuế đối với cổ tức hay không</w:t>
      </w:r>
    </w:p>
    <w:p>
      <w:pPr>
        <w:spacing w:after="80"/>
      </w:pPr>
      <w:r>
        <w:rPr>
          <w:b w:val="0"/>
          <w:i w:val="0"/>
        </w:rPr>
        <w:t>59.</w:t>
      </w:r>
      <w:r>
        <w:rPr>
          <w:b w:val="0"/>
          <w:i/>
        </w:rPr>
        <w:t>MetallgesellschaftLtdvIRCommrs</w:t>
      </w:r>
      <w:r>
        <w:rPr>
          <w:b w:val="0"/>
          <w:i w:val="0"/>
        </w:rPr>
        <w:t>;</w:t>
      </w:r>
      <w:r>
        <w:rPr>
          <w:b w:val="0"/>
          <w:i/>
        </w:rPr>
        <w:t>HoechstAGvIRCommrs</w:t>
      </w:r>
      <w:r>
        <w:rPr>
          <w:b w:val="0"/>
          <w:i w:val="0"/>
        </w:rPr>
        <w:t xml:space="preserve">(Các vụ án hợp nhất C-397/98 và C-410/98) [2001] BTC 99; [2001] ECR I-1727; [2001] STC 452.60.Dưới tên </w:t>
      </w:r>
      <w:r>
        <w:rPr>
          <w:b w:val="0"/>
          <w:i/>
        </w:rPr>
        <w:t>NEC Semi-Conductors Ltd v IRC</w:t>
      </w:r>
      <w:r>
        <w:rPr>
          <w:b w:val="0"/>
          <w:i w:val="0"/>
        </w:rPr>
        <w:t xml:space="preserve"> [2004] STC 489, [2004] BTC 208; [2003] EWHC2813 (Ch).61.Tại đoạn 28.</w:t>
      </w:r>
    </w:p>
    <w:p>
      <w:pPr>
        <w:spacing w:after="80"/>
      </w:pPr>
      <w:r>
        <w:rPr>
          <w:b w:val="0"/>
          <w:i w:val="0"/>
        </w:rPr>
        <w:t>465</w:t>
      </w:r>
    </w:p>
    <w:p>
      <w:pPr>
        <w:spacing w:after="80"/>
      </w:pPr>
      <w:r>
        <w:rPr>
          <w:b w:val="0"/>
          <w:i w:val="0"/>
        </w:rPr>
        <w:t>nhận được và chi trả như thể nó không cư trú tại Vương quốc Anh. Công ty thực tế và một công ty con cư trú tại Vương quốc Anh giả định khác khá có thể so sánh với nhau trong bối cảnh này. Chúng không ngừng có thể so sánh được chỉ vì sẽ có sự khác biệt giữa cách đối xử thuế của Vương quốc Anh đối với các công ty mẹ thực tế và giả định tương ứng của chúng. Điều ngược lại sẽ khó hòa giải với Bình luận của OECD,62 trong đó nêu rằng quy định này 'chỉ liên quan đến việc đánh thuế các doanh nghiệp và không liên quan đến những người sở hữu hoặc kiểm soát vốn của chúng'.(4)</w:t>
      </w:r>
      <w:r>
        <w:rPr>
          <w:b w:val="0"/>
          <w:i/>
        </w:rPr>
        <w:t>Các công ty con Vương quốc Anh của các công ty cư trú tại Vương quốc Anh.</w:t>
      </w:r>
      <w:r>
        <w:rPr>
          <w:b w:val="0"/>
          <w:i w:val="0"/>
        </w:rPr>
        <w:t xml:space="preserve"> Đây được coi là đối tượng so sánh đúng</w:t>
      </w:r>
    </w:p>
    <w:p>
      <w:pPr>
        <w:spacing w:after="80"/>
      </w:pPr>
      <w:r>
        <w:rPr>
          <w:b w:val="0"/>
          <w:i w:val="0"/>
        </w:rPr>
        <w:t>bởi Thẩm phán Park, người đã kết luận rằng:</w:t>
      </w:r>
    </w:p>
    <w:p>
      <w:pPr>
        <w:spacing w:after="80"/>
      </w:pPr>
      <w:r>
        <w:rPr>
          <w:b w:val="0"/>
          <w:i w:val="0"/>
        </w:rPr>
        <w:t>Bối cảnh là một công ty con Vương quốc Anh được kiểm soát bởi một công ty mẹ cư trú tại Quốc gia ký kết kia (ví dụ: Nhật Bản) mà trả cổ tức cho công ty mẹ của nó. Trong bối cảnh đó … 'các doanh nghiệp tương tự khác của [Vương quốc Anh]' có nghĩa là các công ty con Vương quốc Anh khác được kiểm soát bởi các công ty mẹ cư trú, không phải tại Quốc gia ký kết kia, mà tại cùng Quốc gia ký kết (tức là tại Vương quốc Anh) mà trả cổ tức cho công ty mẹ của chúng. Theo quan điểm của tôi, rõ ràng từ toàn bộ cấu trúc và mục đích của điều khoản không phân biệt đối xử rằng đó chính là điều mà tiểu điều khoản cụ thể này đang nhắm tới.</w:t>
      </w:r>
    </w:p>
    <w:p>
      <w:pPr>
        <w:spacing w:after="80"/>
      </w:pPr>
      <w:r>
        <w:rPr>
          <w:b w:val="0"/>
          <w:i w:val="0"/>
        </w:rPr>
        <w:t>Kết luận này đã được Tòa phúc thẩm (Court of Appeal) nhất trí giữ nguyên.63 Park J cũng kết luận rằng ACT được trả do hệ quả của việc chi trả cổ tức, và việc không thể thực hiện bầu chọn thu nhập nhóm (group income election) với công ty mẹ để loại bỏ nghĩa vụ ACT là ‘thuế hoặc bất kỳ yêu cầu nào liên quan đến đó’. Ông lưu ý rằng:</w:t>
      </w:r>
    </w:p>
    <w:p>
      <w:pPr>
        <w:spacing w:after="80"/>
      </w:pPr>
      <w:r>
        <w:rPr>
          <w:b w:val="0"/>
          <w:i w:val="0"/>
        </w:rPr>
        <w:t>Có thể coi đó là ‘thuế’ vì kết quả là ACT (mà chắc chắn là một loại thuế nào đó) phải được trả. Có thể coi đó là một yêu cầu liên quan đến thuế theo nghĩa rằng, để thực hiện bầu chọn thu nhập nhóm, công ty con tại Anh cần phải có một công ty mẹ tại Anh – một yêu cầu mà công ty này không thể đáp ứng.64</w:t>
      </w:r>
    </w:p>
    <w:p>
      <w:pPr>
        <w:spacing w:after="80"/>
      </w:pPr>
      <w:r>
        <w:rPr>
          <w:b w:val="0"/>
          <w:i w:val="0"/>
        </w:rPr>
        <w:t>Kết luận này và rằng những điều đó là ‘các yêu cầu khác hoặc nặng nề hơn’ so với thuế hoặc các yêu cầu liên quan mà công ty so sánh giả định tại Anh sẽ phải chịu đã bị kháng cáo. Cơ quan Thuế (Revenue) lập luận khi kháng cáo rằng chế độ bầu chọn thu nhập nhóm không phải là một yêu cầu về thuế hay yêu cầu khác đối với công ty con vì nó liên quan đến thuế của cả nhóm, chứ không phải của công ty con. Tuy nhiên, Lloyd LJ, với sự đồng thuận của Sedley và Mummery LJJ, đã giữ nguyên phán quyết của Tòa án cấp cao (High Court), lưu ý rằng chế độ ACT rõ ràng đã tạo ra các yêu cầu khác nhau về thuế đối với công ty con của công ty mẹ nước ngoài so với những yêu cầu áp dụng cho công ty con của công ty mẹ tại Anh. Vì lý do tương tự, ông nói rằng các quy định liên quan đến ACT nặng nề hơn đối với công ty con của công ty mẹ nước ngoài so với</w:t>
      </w:r>
    </w:p>
    <w:p>
      <w:pPr>
        <w:spacing w:after="80"/>
      </w:pPr>
      <w:r>
        <w:rPr>
          <w:b w:val="0"/>
          <w:i w:val="0"/>
        </w:rPr>
        <w:t>62. Điều 24 của Mẫu OECD 1977, đoạn 6.63.</w:t>
      </w:r>
      <w:r>
        <w:rPr>
          <w:b w:val="0"/>
          <w:i/>
        </w:rPr>
        <w:t>BoakeAllenLtd&amp;Ors(bao gồm NECSemi-ConductorsLtd)vRevenueandCustomsCommis-sioners</w:t>
      </w:r>
      <w:r>
        <w:rPr>
          <w:b w:val="0"/>
          <w:i w:val="0"/>
        </w:rPr>
        <w:t xml:space="preserve"> [2006] STC 606, [2006] BTC 266; [2006] EWCA Civ 25.64. Tại đoạn 31.</w:t>
      </w:r>
    </w:p>
    <w:p>
      <w:pPr>
        <w:spacing w:after="80"/>
      </w:pPr>
      <w:r>
        <w:rPr>
          <w:b w:val="0"/>
          <w:i w:val="0"/>
        </w:rPr>
        <w:t>466</w:t>
      </w:r>
    </w:p>
    <w:p>
      <w:pPr>
        <w:spacing w:after="80"/>
      </w:pPr>
      <w:r>
        <w:rPr>
          <w:b w:val="0"/>
          <w:i w:val="0"/>
        </w:rPr>
        <w:t>một thành viên của nhóm tại Anh vì công ty trước không có cơ hội tránh phải trả ACT bằng bầu chọn thu nhập nhóm.65</w:t>
      </w:r>
    </w:p>
    <w:p>
      <w:pPr>
        <w:spacing w:after="80"/>
      </w:pPr>
      <w:r>
        <w:rPr>
          <w:b w:val="0"/>
          <w:i w:val="0"/>
        </w:rPr>
        <w:t>Thượng viện (House of Lords) đã lật ngược phán quyết của Tòa phúc thẩm.66 Phát biểu thay mặt cho cả năm thẩm phán, Lord Hoffmann, thay vì xem xét ngôn ngữ của hiệp ước, đã diễn đạt lại câu hỏi thành ‘liệu [chế độ ACT] có phân biệt đối xử với một công ty Anh trên cơ sở rằng vốn của nó “hoàn toàn hoặc một phần thuộc sở hữu hoặc kiểm soát trực tiếp hoặc gián tiếp” bởi cư dân của [quốc gia ký kết kia] hay không’.67 Ông so sánh giữa công ty Anh thuộc sở hữu của một cá nhân cư trú nước ngoài, mà giống như một cá nhân cư trú tại Anh, không thể thực hiện bầu chọn thu nhập nhóm với công ty Anh vì cả hai đều không thuộc phạm vi chịu thuế thu nhập doanh nghiệp. Vì công ty mẹ không cư trú cũng tương tự nằm ngoài phạm vi chịu thuế thu nhập doanh nghiệp, nên nó không bị đối xử bất bình đẳng vì lý do không thể thực hiện bầu chọn thu nhập nhóm.68</w:t>
      </w:r>
    </w:p>
    <w:p>
      <w:pPr>
        <w:spacing w:after="80"/>
      </w:pPr>
      <w:r>
        <w:rPr>
          <w:b w:val="0"/>
          <w:i w:val="0"/>
        </w:rPr>
        <w:t>Ông cũng lưu ý rằng vì bầu chọn này là bầu chọn nhóm, nên không thể tách rời vị thế của công ty mẹ và công ty con. Ông kết luận rằng việc từ chối quyền bầu chọn không phải vì lý do công ty bị kiểm soát bởi nước ngoài mà vì lý do các quy định không thể áp dụng cho trường hợp công ty mẹ không có nghĩa vụ ACT.69 Cách giải thích điều khoản của Tòa án cấp cao và Tòa phúc thẩm là đáng được ưu tiên hơn. Chính việc doanh nghiệp Anh thuộc sở hữu hoặc kiểm soát bởi cư dân của quốc gia ký kết kia, chứ không phải cách những cư dân đó bị đánh thuế, mới là nguyên nhân dẫn đến sự khác biệt trong đối xử.</w:t>
      </w:r>
    </w:p>
    <w:p>
      <w:pPr>
        <w:spacing w:after="80"/>
      </w:pPr>
      <w:r>
        <w:rPr>
          <w:b w:val="0"/>
          <w:i w:val="0"/>
        </w:rPr>
        <w:t xml:space="preserve">Một trong những vụ án thử nghiệm trong </w:t>
      </w:r>
      <w:r>
        <w:rPr>
          <w:b w:val="0"/>
          <w:i/>
        </w:rPr>
        <w:t>ThinCapGroupLitigation</w:t>
      </w:r>
      <w:r>
        <w:rPr>
          <w:b w:val="0"/>
          <w:i w:val="0"/>
        </w:rPr>
        <w:t>70 liên quan đến tính tương thích của luật mỏng vốn (thin-capitalisation) của Anh với Điều 24(5) của hiệp ước thuế đôi (double tax treaty) Mỹ-Anh (1975). Trong vụ án thử nghiệm IBM, một công ty con tại Anh thuộc sở hữu của công ty mẹ tối cao tại Mỹ đã nhận các khoản vay từ công ty tài chính Hà Lan của tập đoàn. Người ta chấp nhận rằng doanh nghiệp Anh tương tự có thể so sánh trong bối cảnh này sẽ là một doanh nghiệp hoàn toàn thuộc sở hữu hoặc kiểm soát bởi một hoặc nhiều cư dân Anh (‘chủ sở hữu Anh’), và trong đó chủ sở hữu Anh cũng sở hữu hoặc kiểm soát công ty cho vay Hà Lan. Tòa án đã bác bỏ lập luận của HMRC rằng Điều 11(5) (mối quan hệ đặc biệt ảnh hưởng đến số tiền lãi đủ điều kiện được hưởng cứu trợ theo hiệp ước) có thể được hiểu là ngầm giới hạn phạm vi hoặc việc áp dụng Điều 24(5). Mục đích của điều khoản sau là đặt các doanh nghiệp Anh thuộc sở hữu hoặc kiểm soát của Mỹ (như UK Holdco) vào vị thế thuế không khác biệt hoặc nặng nề hơn so với khi chúng thuộc sở hữu hoặc kiểm soát của Anh. Tuy nhiên, tòa án cho rằng không có sự phân biệt đối xử trên cơ sở rằng:</w:t>
      </w:r>
    </w:p>
    <w:p>
      <w:pPr>
        <w:spacing w:after="80"/>
      </w:pPr>
      <w:r>
        <w:rPr>
          <w:b w:val="0"/>
          <w:i w:val="0"/>
        </w:rPr>
        <w:t>các quy tắc mỏng vốn của Anh phân biệt đối xử giữa các tập đoàn mà quyền sở hữu và kiểm soát tối cao nằm ở một quốc gia thành viên và các tập đoàn mà quyền đó nằm ở một quốc gia thứ ba, bởi vì nhóm trước có thể viện dẫn Điều 43 còn nhóm sau thì không.</w:t>
      </w:r>
    </w:p>
    <w:p>
      <w:pPr>
        <w:spacing w:after="80"/>
      </w:pPr>
      <w:r>
        <w:rPr>
          <w:b w:val="0"/>
          <w:i w:val="0"/>
        </w:rPr>
        <w:t>65.</w:t>
      </w:r>
      <w:r>
        <w:rPr>
          <w:b w:val="0"/>
          <w:i/>
        </w:rPr>
        <w:t>BoakeAllenLtd&amp;Ors(bao gồm NECSemi-ConductorsLtd)vRevenueandCustomsCommis-sioners</w:t>
      </w:r>
      <w:r>
        <w:rPr>
          <w:b w:val="0"/>
          <w:i w:val="0"/>
        </w:rPr>
        <w:t xml:space="preserve"> [2006] STC 606, [2006] BTC 266; [2006] EWCA Civ 25 tại đoạn 43.66.</w:t>
      </w:r>
      <w:r>
        <w:rPr>
          <w:b w:val="0"/>
          <w:i/>
        </w:rPr>
        <w:t>BoakeAllenLtd&amp;Ors(bao gồm NECSemi-ConductorsLtd)vRevenueandCustomsCommis-sioners</w:t>
      </w:r>
      <w:r>
        <w:rPr>
          <w:b w:val="0"/>
          <w:i w:val="0"/>
        </w:rPr>
        <w:t xml:space="preserve"> [2007] STC 1265, [2007] BTC 4144; [2007] UKHL 25.67. Tại đoạn 16.68. Tại đoạn 17.69. Tại đoạn 22.70.</w:t>
      </w:r>
      <w:r>
        <w:rPr>
          <w:b w:val="0"/>
          <w:i/>
        </w:rPr>
        <w:t>Test Claimants in the Thin Cap Group Litigation v Revenue and Customs Commissioners</w:t>
      </w:r>
      <w:r>
        <w:rPr>
          <w:b w:val="0"/>
          <w:i w:val="0"/>
        </w:rPr>
        <w:t xml:space="preserve"> [2010]STC 301</w:t>
      </w:r>
      <w:r>
        <w:rPr>
          <w:b w:val="0"/>
          <w:i/>
        </w:rPr>
        <w:t>,</w:t>
      </w:r>
      <w:r>
        <w:rPr>
          <w:b w:val="0"/>
          <w:i w:val="0"/>
        </w:rPr>
        <w:t xml:space="preserve"> [2009] BTC 754 [2009] EWHC 2908 (Ch).</w:t>
      </w:r>
    </w:p>
    <w:p>
      <w:pPr>
        <w:spacing w:after="80"/>
      </w:pPr>
      <w:r>
        <w:rPr>
          <w:b w:val="0"/>
          <w:i w:val="0"/>
        </w:rPr>
        <w:t>467</w:t>
      </w:r>
    </w:p>
    <w:p>
      <w:pPr>
        <w:spacing w:after="80"/>
      </w:pPr>
      <w:r>
        <w:rPr>
          <w:b w:val="0"/>
          <w:i w:val="0"/>
        </w:rPr>
        <w:t>Vì Anh là một quốc gia thành viên, còn Mỹ thì không, nên tôi thấy rằng sự phân biệt đối xử cần thiết cho mục đích của Điều 24(5) của Hiệp ước Mỹ đã được xác lập. Tuy nhiên, như tôi đã nói, tôi cho rằng khiếu nại của IBM phải thất bại, bởi vì giả định mà Điều 24(5) yêu cầu không liên quan một cách thích đáng đến Điều 43 EC.71</w:t>
      </w:r>
    </w:p>
    <w:p>
      <w:pPr>
        <w:spacing w:after="80"/>
      </w:pPr>
      <w:r>
        <w:rPr>
          <w:b w:val="0"/>
          <w:i w:val="0"/>
        </w:rPr>
        <w:t>Theo quan điểm của tác giả, không có mối liên hệ nào giữa quyền tự do thành lập theo luật EU và sự phân biệt đối xử trong trường hợp này. Điều đó sẽ tương đương với đối xử tối huệ quốc (most-favoured-nation) chứ không phải đối xử quốc gia (national treatment).72</w:t>
      </w:r>
    </w:p>
    <w:p>
      <w:pPr>
        <w:spacing w:after="80"/>
      </w:pPr>
      <w:r>
        <w:rPr>
          <w:b w:val="0"/>
          <w:i w:val="0"/>
        </w:rPr>
        <w:t xml:space="preserve">Cứu trợ nhóm (group relief) cũng được đặt ra trong </w:t>
      </w:r>
      <w:r>
        <w:rPr>
          <w:b w:val="0"/>
          <w:i/>
        </w:rPr>
        <w:t>FCE Bank Plc v HMRC</w:t>
      </w:r>
      <w:r>
        <w:rPr>
          <w:b w:val="0"/>
          <w:i w:val="0"/>
        </w:rPr>
        <w:t xml:space="preserve">.73 Ở đó HMRC đã từ chối yêu cầu cứu trợ nhóm của FCE đối với các khoản lỗ được chuyển giao, với lý do rằng người nộp thuế, một công ty cư trú tại Anh và công ty chuyển giao, cũng là một công ty cư trú tại Anh, không phải là thành viên của cùng một nhóm. Lý do duy nhất mà HMRC từ chối yêu cầu là vì cổ phần được viện dẫn để xác lập các công ty đó là công ty trong nhóm lại do Ford Motor Company, một công ty không cư trú tại Anh mà cư trú tại Mỹ, nắm giữ. Người ta đồng thuận rằng sự so sánh là giữa một doanh nghiệp Anh ‘mà vốn của nó hoàn toàn hoặc một phần thuộc sở hữu hoặc kiểm soát, trực tiếp hoặc gián tiếp, bởi một hoặc nhiều cư dân Mỹ, và các… doanh nghiệp khác’ của Anh, nghĩa là (hoặc ít nhất bao gồm) một doanh nghiệp Anh mà vốn của nó thuộc sở hữu của cư dân Anh. Tòa án sơ thẩm (First-tier Tribunal), Tòa án cấp trên (Upper Tribunal) và Tòa phúc thẩm đều kết luận rằng sự khác biệt trong đối xử hoàn toàn là vì công ty nắm giữ trực tiếp là cư dân Mỹ chứ không phải cư dân Anh. Do đó, đó là sự phân biệt đối xử bị ngăn cấm bởi ngôn từ rõ ràng của Điều 24(5) của Hiệp ước Thuế Thu nhập Mỹ-Anh (1975). </w:t>
      </w:r>
      <w:r>
        <w:rPr>
          <w:b w:val="0"/>
          <w:i/>
        </w:rPr>
        <w:t>Boake Allen</w:t>
      </w:r>
      <w:r>
        <w:rPr>
          <w:b w:val="0"/>
          <w:i w:val="0"/>
        </w:rPr>
        <w:t>, nơi cổ tức được trả cho công ty mẹ, được phân biệt với trường hợp yêu cầu cứu trợ nhóm và việc chuyển giao được thực hiện bởi hai công ty con và công ty mẹ không tham gia.</w:t>
      </w:r>
    </w:p>
    <w:p>
      <w:pPr>
        <w:spacing w:after="80"/>
      </w:pPr>
      <w:r>
        <w:rPr>
          <w:b w:val="0"/>
          <w:i w:val="0"/>
        </w:rPr>
        <w:t xml:space="preserve">Trong </w:t>
      </w:r>
      <w:r>
        <w:rPr>
          <w:b w:val="0"/>
          <w:i/>
        </w:rPr>
        <w:t>EssoExplorationandProductionUKLtdandOthersvHMRC</w:t>
      </w:r>
      <w:r>
        <w:rPr>
          <w:b w:val="0"/>
          <w:i w:val="0"/>
        </w:rPr>
        <w:t xml:space="preserve">,74 một công ty mẹ tại Mỹ sở hữu, thông qua các công ty nắm giữ tại Luxembourg, một công ty cư trú tại Đan Mạch đã phát sinh lỗ và các công ty cư trú tại Anh có lợi nhuận. Người nộp thuế lập luận rằng Điều 25(4) của Hiệp ước Thuế Thu nhập Anh-Mỹ cho phép các công ty cư trú tại Anh bù trừ lỗ của công ty Đan Mạch vào lợi nhuận của các công ty Anh vì việc bù trừ như vậy sẽ có thể thực hiện được theo luật Anh – luật đã thực thi phán quyết của ECJ trong </w:t>
      </w:r>
      <w:r>
        <w:rPr>
          <w:b w:val="0"/>
          <w:i/>
        </w:rPr>
        <w:t>Marks &amp; Spencer plc v Halsey (HM Inspector of Taxes)</w:t>
      </w:r>
      <w:r>
        <w:rPr>
          <w:b w:val="0"/>
          <w:i w:val="0"/>
        </w:rPr>
        <w:t>,75 – nếu không vì thực tế rằng</w:t>
      </w:r>
    </w:p>
    <w:p>
      <w:pPr>
        <w:spacing w:after="80"/>
      </w:pPr>
      <w:r>
        <w:rPr>
          <w:b w:val="0"/>
          <w:i w:val="0"/>
        </w:rPr>
        <w:t>71. Tại đoạn 361.72. Xem §16.11.73.</w:t>
      </w:r>
      <w:r>
        <w:rPr>
          <w:b w:val="0"/>
          <w:i/>
        </w:rPr>
        <w:t>FCE Bank Plc</w:t>
      </w:r>
      <w:r>
        <w:rPr>
          <w:b w:val="0"/>
          <w:i w:val="0"/>
        </w:rPr>
        <w:t xml:space="preserve"> [2010] TC 00445 [2010] UKFTT 136 (TC).</w:t>
      </w:r>
      <w:r>
        <w:rPr>
          <w:b w:val="0"/>
          <w:i/>
        </w:rPr>
        <w:t xml:space="preserve"> Revenue and Customs Commissioners vFCE Bank plc v Revenue &amp; Customs</w:t>
      </w:r>
      <w:r>
        <w:rPr>
          <w:b w:val="0"/>
          <w:i w:val="0"/>
        </w:rPr>
        <w:t xml:space="preserve"> [2011] STC 2366, [2011] BTC 1,885; [2011] UKUT 420 (TCC);</w:t>
      </w:r>
      <w:r>
        <w:rPr>
          <w:b w:val="0"/>
          <w:i/>
        </w:rPr>
        <w:t>RevenueandCustomsCommissionersvFCEBankplc</w:t>
      </w:r>
      <w:r>
        <w:rPr>
          <w:b w:val="0"/>
          <w:i w:val="0"/>
        </w:rPr>
        <w:t xml:space="preserve">[2013]STC14[2012]BTC462;[2012]EWCACiv1290. Tòa án sơ thẩm (First-tier Tribunal) đã đi đến kết luận tương tự về điều 26(4) của Hiệp định Thuế Thu nhập Luxembourg-Vương quốc Anh (1967) trong </w:t>
      </w:r>
      <w:r>
        <w:rPr>
          <w:b w:val="0"/>
          <w:i/>
        </w:rPr>
        <w:t>Felixstowe Dock and Railway Co Ltd &amp; Ors v Revenue &amp; Customs</w:t>
      </w:r>
      <w:r>
        <w:rPr>
          <w:b w:val="0"/>
          <w:i w:val="0"/>
        </w:rPr>
        <w:t xml:space="preserve"> [2011] TC 01674 [2011] UKFTT 838 (TC). Dựa một phần vào </w:t>
      </w:r>
      <w:r>
        <w:rPr>
          <w:b w:val="0"/>
          <w:i/>
        </w:rPr>
        <w:t>FCE Bank,</w:t>
      </w:r>
      <w:r>
        <w:rPr>
          <w:b w:val="0"/>
          <w:i w:val="0"/>
        </w:rPr>
        <w:t xml:space="preserve"> Tòa án Tài chính Liên bang Đức (Bundesfinanzhof - Federal Fiscal Court) đã phán quyết rằng một công ty cư trú tại Vương quốc Anh có thể thành lập một đơn vị thuế thống nhất về thuế thương mại (gewerbesteuerliche Organschaft) với các công ty con tại Đức của mình theo điều XX(4) của Hiệp định Đức-Vương quốc Anh (1954), (</w:t>
      </w:r>
      <w:r>
        <w:rPr>
          <w:b w:val="0"/>
          <w:i/>
        </w:rPr>
        <w:t>Bundesfinanzhof</w:t>
      </w:r>
      <w:r>
        <w:rPr>
          <w:b w:val="0"/>
          <w:i w:val="0"/>
        </w:rPr>
        <w:t xml:space="preserve"> (Tòa án Tài chính Liên bang), IR 54, 55/10. 9 tháng 2 năm 2011, 13 ITLR 839).74.</w:t>
      </w:r>
      <w:r>
        <w:rPr>
          <w:b w:val="0"/>
          <w:i/>
        </w:rPr>
        <w:t>EssoExplorationandProductionUKLtdandOthersvRevenue&amp;Customs</w:t>
      </w:r>
      <w:r>
        <w:rPr>
          <w:b w:val="0"/>
          <w:i w:val="0"/>
        </w:rPr>
        <w:t>[2020]UKFTT139,[2020] TC 07620.75.</w:t>
      </w:r>
      <w:r>
        <w:rPr>
          <w:b w:val="0"/>
          <w:i/>
        </w:rPr>
        <w:t>Marks&amp;SpencerplcvHalsey(HMInspectorofTaxes)</w:t>
      </w:r>
      <w:r>
        <w:rPr>
          <w:b w:val="0"/>
          <w:i w:val="0"/>
        </w:rPr>
        <w:t>(CaseC-446/03)ECLI:EU:C:2005:763[2006] STC 237 [2006] BTC 318.</w:t>
      </w:r>
    </w:p>
    <w:p>
      <w:pPr>
        <w:spacing w:after="80"/>
      </w:pPr>
      <w:r>
        <w:rPr>
          <w:b w:val="0"/>
          <w:i w:val="0"/>
        </w:rPr>
        <w:t>468</w:t>
      </w:r>
    </w:p>
    <w:p>
      <w:pPr>
        <w:spacing w:after="80"/>
      </w:pPr>
      <w:r>
        <w:rPr>
          <w:b w:val="0"/>
          <w:i w:val="0"/>
        </w:rPr>
        <w:t>công ty mẹ tối cao là một cư dân Hoa Kỳ. Tòa án sơ thẩm (First-tier Tribunal) đồng ý rằng trong trường hợp như vậy, đối tượng so sánh phù hợp sẽ là một công ty mẹ tại Vương quốc Anh được hưởng các quyền theo EU.76</w:t>
      </w:r>
    </w:p>
    <w:p>
      <w:pPr>
        <w:spacing w:after="80"/>
      </w:pPr>
      <w:r>
        <w:rPr>
          <w:b/>
          <w:i w:val="0"/>
        </w:rPr>
        <w:t>§16.08 CÁC LOẠI THUẾ ĐƯỢC ĐIỀU CHỈNH</w:t>
      </w:r>
    </w:p>
    <w:p>
      <w:pPr>
        <w:spacing w:after="80"/>
      </w:pPr>
      <w:r>
        <w:rPr>
          <w:b w:val="0"/>
          <w:i w:val="0"/>
        </w:rPr>
        <w:t>Hiệp định Mẫu của OECD (OECD Model Convention) quy định rằng các quy định của điều khoản không phân biệt đối xử, bất chấp các quy định của điều 2 (Các loại thuế được điều chỉnh), sẽ áp dụng cho mọi loại và mọi hình thức thuế. Theo một bảo lưu cụ thể đối với đoạn này,77 Vương quốc Anh bảo lưu quyền hạn chế việc áp dụng điều khoản này đối với các loại thuế được điều chỉnh bởi hiệp định. Điều này không phải là trường hợp trong các hiệp định trước đây. Các hiệp định gần đây cho thấy có sự thiếu nhất quán trong cách tiếp cận. Ví dụ, Hiệp định Hoa Kỳ-Vương quốc Anh áp dụng cách tiếp cận tương tự như trong Hiệp định Mẫu của OECD, trong khi các hiệp định của Vương quốc Anh với Úc và Nam Phi lại nhất quán với bảo lưu của Vương quốc Anh. Việc không đưa vào luật trong nước là một vấn đề trọng tâm trong lĩnh vực này. Sự phân biệt đối xử dựa trên quốc tịch liên quan đến việc tái cấu trúc thuế tem (stamp duty reconstruction) và các khoản giảm trừ khi mua lại trong FA 1986, các mục 75-77, cho đến khi bị bãi bỏ bởi FA 2006 là một ví dụ điển hình.</w:t>
      </w:r>
    </w:p>
    <w:p>
      <w:pPr>
        <w:spacing w:after="80"/>
      </w:pPr>
      <w:r>
        <w:rPr>
          <w:b/>
          <w:i w:val="0"/>
        </w:rPr>
        <w:t>§16.09 CHO PHÉP PHÂN BIỆT ĐỐI XỬ</w:t>
      </w:r>
    </w:p>
    <w:p>
      <w:pPr>
        <w:spacing w:after="80"/>
      </w:pPr>
      <w:r>
        <w:rPr>
          <w:b w:val="0"/>
          <w:i w:val="0"/>
        </w:rPr>
        <w:t>Hiệp định Mẫu của OECD đề xuất một ngoại lệ đối với quy tắc đối xử bình đẳng liên quan đến các khoản trợ cấp và giảm trừ cá nhân. Ngôn ngữ điển hình về vấn đề này được tìm thấy trong hiệp định thuế hai lần Nga-Vương quốc Anh:</w:t>
      </w:r>
    </w:p>
    <w:p>
      <w:pPr>
        <w:spacing w:after="80"/>
      </w:pPr>
      <w:r>
        <w:rPr>
          <w:b w:val="0"/>
          <w:i w:val="0"/>
        </w:rPr>
        <w:t>24(5) Không có nội dung nào trong Điều này được giải thích là buộc bất kỳ Quốc gia Ký kết nào phải cấp cho các cá nhân không cư trú tại Quốc gia đó bất kỳ khoản trợ cấp cá nhân, giảm trừ và ưu đãi thuế nào được cấp cho các cá nhân cư trú tại đó.</w:t>
      </w:r>
    </w:p>
    <w:p>
      <w:pPr>
        <w:spacing w:after="80"/>
      </w:pPr>
      <w:r>
        <w:rPr>
          <w:b w:val="0"/>
          <w:i w:val="0"/>
        </w:rPr>
        <w:t>Do đó, các quốc gia ký kết không có nghĩa vụ cấp cho cư dân của quốc gia ký kết kia bất kỳ khoản trợ cấp cá nhân, giảm trừ và ưu đãi nào cho mục đích thuế dựa trên tình trạng hôn nhân hoặc trách nhiệm gia đình mà quốc gia đó cấp cho cư dân của mình.</w:t>
      </w:r>
    </w:p>
    <w:p>
      <w:pPr>
        <w:spacing w:after="80"/>
      </w:pPr>
      <w:r>
        <w:rPr>
          <w:b w:val="0"/>
          <w:i w:val="0"/>
        </w:rPr>
        <w:t>Hiệp định thuế hai lần Úc-Vương quốc Anh,78 mặc dù là hiệp định đầu tiên mà Úc chấp nhận một điều khoản không phân biệt đối xử đầy đủ,79 lại loại trừ lợi ích của các quy định không phân biệt đối xử liên quan đến bất kỳ luật nào của một quốc gia ký kết mà:</w:t>
      </w:r>
    </w:p>
    <w:p>
      <w:pPr>
        <w:spacing w:after="80"/>
      </w:pPr>
      <w:r>
        <w:rPr>
          <w:b w:val="0"/>
          <w:i w:val="0"/>
        </w:rPr>
        <w:t>– được thiết kế để ngăn chặn việc tránh hoặc trốn thuế;– không cho phép hoãn thuế phát sinh từ việc chuyển nhượng tài sản khi</w:t>
      </w:r>
    </w:p>
    <w:p>
      <w:pPr>
        <w:spacing w:after="80"/>
      </w:pPr>
      <w:r>
        <w:rPr>
          <w:b w:val="0"/>
          <w:i w:val="0"/>
        </w:rPr>
        <w:t>việc chuyển nhượng tài sản tiếp theo bởi người nhận chuyển nhượng sẽ nằm ngoài thẩm quyền đánh thuế của quốc gia ký kết theo luật của quốc gia đó;</w:t>
      </w:r>
    </w:p>
    <w:p>
      <w:pPr>
        <w:spacing w:after="80"/>
      </w:pPr>
      <w:r>
        <w:rPr>
          <w:b w:val="0"/>
          <w:i w:val="0"/>
        </w:rPr>
        <w:t xml:space="preserve">76. Tại đoạn 220. Kháng cáo đã thất bại vì </w:t>
      </w:r>
      <w:r>
        <w:rPr>
          <w:b w:val="0"/>
          <w:i/>
        </w:rPr>
        <w:t>bài kiểm tra Marks &amp; Spencer</w:t>
      </w:r>
      <w:r>
        <w:rPr>
          <w:b w:val="0"/>
          <w:i w:val="0"/>
        </w:rPr>
        <w:t xml:space="preserve"> không được thỏa mãn.77. Đoạn 72 của Bình luận về Hiệp định Mẫu của OECD về điều 24.78. 21 tháng 8 năm 2003.79. Paymaster General trước Ủy ban Thường trực thứ tám về Lập pháp Ủy quyền, ngày 13 tháng 11 năm 2003, cột 005.</w:t>
      </w:r>
    </w:p>
    <w:p>
      <w:pPr>
        <w:spacing w:after="80"/>
      </w:pPr>
      <w:r>
        <w:rPr>
          <w:b w:val="0"/>
          <w:i w:val="0"/>
        </w:rPr>
        <w:t>469</w:t>
      </w:r>
    </w:p>
    <w:p>
      <w:pPr>
        <w:spacing w:after="80"/>
      </w:pPr>
      <w:r>
        <w:rPr>
          <w:b w:val="0"/>
          <w:i w:val="0"/>
        </w:rPr>
        <w:t>– quy định việc hợp nhất các thực thể trong tập đoàn để được đối xử như một thực thể duy nhất cho</w:t>
      </w:r>
    </w:p>
    <w:p>
      <w:pPr>
        <w:spacing w:after="80"/>
      </w:pPr>
      <w:r>
        <w:rPr>
          <w:b w:val="0"/>
          <w:i w:val="0"/>
        </w:rPr>
        <w:t xml:space="preserve">mục đích thuế </w:t>
      </w:r>
      <w:r>
        <w:rPr>
          <w:b w:val="0"/>
          <w:i/>
        </w:rPr>
        <w:t>với điều kiện là</w:t>
      </w:r>
      <w:r>
        <w:rPr>
          <w:b w:val="0"/>
          <w:i w:val="0"/>
        </w:rPr>
        <w:t xml:space="preserve"> các công ty cư trú tại Úc được sở hữu trực tiếp hoặc gián tiếp bởi cư dân Vương quốc Anh có thể tiếp cận việc đối xử hợp nhất đó với các điều khoản và điều kiện giống như các công ty cư trú tại Úc khác;– cung cấp các khoản khấu trừ cho người nộp thuế đủ điều kiện đối với chi phí cho nghiên cứu và</w:t>
      </w:r>
    </w:p>
    <w:p>
      <w:pPr>
        <w:spacing w:after="80"/>
      </w:pPr>
      <w:r>
        <w:rPr>
          <w:b w:val="0"/>
          <w:i w:val="0"/>
        </w:rPr>
        <w:t>phát triển; hoặc–nếu không thì được đồng ý là không bị ảnh hưởng bởi điều khoản này trong một cuộc trao đổi công hàm</w:t>
      </w:r>
    </w:p>
    <w:p>
      <w:pPr>
        <w:spacing w:after="80"/>
      </w:pPr>
      <w:r>
        <w:rPr>
          <w:b w:val="0"/>
          <w:i w:val="0"/>
        </w:rPr>
        <w:t>giữa Chính phủ Australia và Chính phủ Vương quốc Anh.80 Cuộc trao đổi công hàm nêu rõ rằng điều khoản không phân biệt đối xử không bắt buộc một quốc gia ký kết phải cho phép giảm thuế và tín dụng thuế liên quan đến cổ tức mà một người cư trú của quốc gia ký kết kia nhận được.81</w:t>
      </w:r>
    </w:p>
    <w:p>
      <w:pPr>
        <w:spacing w:after="80"/>
      </w:pPr>
      <w:r>
        <w:rPr>
          <w:b w:val="0"/>
          <w:i w:val="0"/>
        </w:rPr>
        <w:t>Ngược lại, Hiệp định Hoa Kỳ - Vương quốc Anh vẫn bảo toàn các lợi ích của điều khoản không phân biệt đối xử bất chấp quyền hạn được trao cho các quốc gia ký kết để đánh thuế cư dân của mình như thể hiệp định chưa có hiệu lực.82 Điều 1(5) yêu cầu rằng 'các quy định của (điều 1(4)) sẽ không ảnh hưởng đến… các lợi ích được một quốc gia ký kết trao theo… điều 25 (Không phân biệt đối xử)'.83</w:t>
      </w:r>
    </w:p>
    <w:p>
      <w:pPr>
        <w:spacing w:after="80"/>
      </w:pPr>
      <w:r>
        <w:rPr>
          <w:b w:val="0"/>
          <w:i w:val="0"/>
        </w:rPr>
        <w:t>Một số hiệp định với các nước đang phát triển bao gồm các ngoại lệ đối với các quy tắc không phân biệt đối xử để cho phép họ đưa ra các ưu đãi thuế mà không cần trao quyền tiếp cận bình đẳng các ưu đãi này cho cư dân Vương quốc Anh.84</w:t>
      </w:r>
    </w:p>
    <w:p>
      <w:pPr>
        <w:spacing w:after="80"/>
      </w:pPr>
      <w:r>
        <w:rPr>
          <w:b/>
          <w:i w:val="0"/>
        </w:rPr>
        <w:t>§16.10 CÁC DẪN CHIẾU ĐẾN QUY ĐỊNH KHÔNG PHÂN BIỆT ĐỐI XỬ TRONG HIỆP ĐỊNH THUẾ THEO LUẬT TRONG NƯỚC</w:t>
      </w:r>
    </w:p>
    <w:p>
      <w:pPr>
        <w:spacing w:after="80"/>
      </w:pPr>
      <w:r>
        <w:rPr>
          <w:b w:val="0"/>
          <w:i w:val="0"/>
        </w:rPr>
        <w:t>Sự hiện diện của một điều khoản không phân biệt đối xử trong một hiệp định thuế đã mang một ý nghĩa thứ cấp trong luật thuế trong nước của Vương quốc Anh. Các biện pháp được thực hiện dựa trên các phán quyết của ECJ về đối xử thuế phân biệt đối xử mở rộng cho một số giao dịch xuyên biên giới sự đối xử tương tự như áp dụng cho các giao dịch trong nước. Đây là những đối xử đặc biệt dành cho doanh nghiệp vừa và nhỏ liên quan đến định giá chuyển nhượng,85 miễn thuế cổ tức cho các công ty nhỏ,86 lãi chậm trả đối với các quan hệ cho vay giữa các bên liên kết,87 và tín dụng thuế đối với các khoản phân phối của các công ty không cư trú tại Vương quốc Anh mà</w:t>
      </w:r>
    </w:p>
    <w:p>
      <w:pPr>
        <w:spacing w:after="80"/>
      </w:pPr>
      <w:r>
        <w:rPr>
          <w:b w:val="0"/>
          <w:i w:val="0"/>
        </w:rPr>
        <w:t>80. Điều 25(6).81. Trao đổi công hàm ngày 21 tháng 8 năm 2003.82. Điều 1(4).83.</w:t>
      </w:r>
      <w:r>
        <w:rPr>
          <w:b w:val="0"/>
          <w:i/>
        </w:rPr>
        <w:t>Tax Bulletin</w:t>
      </w:r>
      <w:r>
        <w:rPr>
          <w:b w:val="0"/>
          <w:i w:val="0"/>
        </w:rPr>
        <w:t>, ấn bản đặc biệt về Hiệp định Vương quốc Anh - Hoa Kỳ (tháng 4 năm 2003), tr. 3.84. Xem, ví dụ, Công ước giữa Chính phủ Vương quốc Liên hiệp Anh và Bắc Ireland và Chính phủ Cộng hòa Ả Rập Ai Cập về Tránh đánh thuế hai lần và Ngăn ngừa trốn thuế tài chính đối với Thuế thu nhập và Thuế lợi tức vốn ngày 25 tháng 4 năm 1977 (SI 1980/1091), điều 23(4)(b) và (c); Hiệp định thuế Philippines - Vương quốc Anh (1976), điều 22(6).85. TIOPA 2010, ss 166 và 167.86. CTA 2009, s. 931B.87. CTA 2009, Phần 5, Chương 8.</w:t>
      </w:r>
    </w:p>
    <w:p>
      <w:pPr>
        <w:spacing w:after="80"/>
      </w:pPr>
      <w:r>
        <w:rPr>
          <w:b w:val="0"/>
          <w:i w:val="0"/>
        </w:rPr>
        <w:t>470</w:t>
      </w:r>
    </w:p>
    <w:p>
      <w:pPr>
        <w:spacing w:after="80"/>
      </w:pPr>
      <w:r>
        <w:rPr>
          <w:b w:val="0"/>
          <w:i w:val="0"/>
        </w:rPr>
        <w:t>các cá nhân nhận được.88 Vì các mục đích này, TIOPA 2010, s. 17389 định nghĩa 'lãnh thổ đủ điều kiện' bao gồm:</w:t>
      </w:r>
    </w:p>
    <w:p>
      <w:pPr>
        <w:spacing w:after="80"/>
      </w:pPr>
      <w:r>
        <w:rPr>
          <w:b w:val="0"/>
          <w:i w:val="0"/>
        </w:rPr>
        <w:t>(1)…(b) bất kỳ lãnh thổ nào mà điều kiện A hoặc điều kiện B được đáp ứng.173(2) Điều kiện A là – (a) các thỏa thuận đánh thuế hai lần đã được thực hiện liên quan đến</w:t>
      </w:r>
    </w:p>
    <w:p>
      <w:pPr>
        <w:spacing w:after="80"/>
      </w:pPr>
      <w:r>
        <w:rPr>
          <w:b w:val="0"/>
          <w:i w:val="0"/>
        </w:rPr>
        <w:t>lãnh thổ đó, (b) các thỏa thuận bao gồm một điều khoản không phân biệt đối xử, và</w:t>
      </w:r>
    </w:p>
    <w:p>
      <w:pPr>
        <w:spacing w:after="80"/>
      </w:pPr>
      <w:r>
        <w:rPr>
          <w:b w:val="0"/>
          <w:i w:val="0"/>
        </w:rPr>
        <w:t>(c) lãnh thổ đó không được chỉ định là lãnh thổ không đủ điều kiện cho</w:t>
      </w:r>
    </w:p>
    <w:p>
      <w:pPr>
        <w:spacing w:after="80"/>
      </w:pPr>
      <w:r>
        <w:rPr>
          <w:b w:val="0"/>
          <w:i w:val="0"/>
        </w:rPr>
        <w:t>các mục đích của tiểu mục này trong các quy định do Ngân khố ban hành.…173(4) Vì các mục đích của tiểu mục (2)(b), một 'điều khoản không phân biệt đối xử', liên quan đến bất kỳ thỏa thuận đánh thuế hai lần nào, là một điều khoản có hiệu lực rằng công dân của một quốc gia là một bên của các thỏa thuận đó ('quốc gia ký kết') sẽ không bị đặt vào bất kỳ quốc gia ký kết nào khác đối với – (a) bất kỳ việc đánh thuế nào, hoặc (b) bất kỳ yêu cầu nào liên quan đến việc đánh thuế,</w:t>
      </w:r>
    </w:p>
    <w:p>
      <w:pPr>
        <w:spacing w:after="80"/>
      </w:pPr>
      <w:r>
        <w:rPr>
          <w:b w:val="0"/>
          <w:i w:val="0"/>
        </w:rPr>
        <w:t>mà khác hoặc nặng nề hơn so với việc đánh thuế và các yêu cầu liên quan mà công dân của quốc gia khác đó trong cùng hoàn cảnh (đặc biệt là liên quan đến cư trú) đang hoặc có thể phải chịu.173(5) Trong tiểu mục (4), 'công dân', liên quan đến một quốc gia, bao gồm – (c) bất kỳ cá nhân nào sở hữu quốc tịch hoặc quyền công dân của quốc gia đó, và (d) bất kỳ pháp nhân, quan hệ đối tác hoặc hiệp hội nào có được tư cách đó</w:t>
      </w:r>
    </w:p>
    <w:p>
      <w:pPr>
        <w:spacing w:after="80"/>
      </w:pPr>
      <w:r>
        <w:rPr>
          <w:b w:val="0"/>
          <w:i w:val="0"/>
        </w:rPr>
        <w:t>từ luật đang có hiệu lực tại quốc gia đó.173(6) Trong điều này, 'các thỏa thuận đánh thuế hai lần' có nghĩa là các thỏa thuận có hiệu lực theo mục 2(1) (giảm thuế hai lần theo thỏa thuận với các lãnh thổ bên ngoài Vương quốc Anh).</w:t>
      </w:r>
    </w:p>
    <w:p>
      <w:pPr>
        <w:spacing w:after="80"/>
      </w:pPr>
      <w:r>
        <w:rPr>
          <w:b w:val="0"/>
          <w:i w:val="0"/>
        </w:rPr>
        <w:t>Do đó, việc đối xử thuế trong mỗi trường hợp được cung cấp khi có một hiệp định chứa một điều khoản cấm phân biệt đối xử dựa trên quốc tịch tương tự như điều 24(1) của Mẫu OECD. Ý nghĩa của quốc tịch cho mục đích này được mô phỏng theo định nghĩa trong điều 3(1) của Mẫu OECD.90</w:t>
      </w:r>
    </w:p>
    <w:p>
      <w:pPr>
        <w:spacing w:after="80"/>
      </w:pPr>
      <w:r>
        <w:rPr>
          <w:b/>
          <w:i w:val="0"/>
        </w:rPr>
        <w:t>§16.11 Đối xử tối huệ quốc</w:t>
      </w:r>
    </w:p>
    <w:p>
      <w:pPr>
        <w:spacing w:after="80"/>
      </w:pPr>
      <w:r>
        <w:rPr>
          <w:b w:val="0"/>
          <w:i w:val="0"/>
        </w:rPr>
        <w:t>Đối xử tối huệ quốc không phải là một đặc điểm phổ biến trong các hiệp ước của Vương quốc Anh, mặc dù nó không hoàn toàn xa lạ. Đối xử tối huệ quốc cần được phân biệt với phân biệt đối xử. Cách tiếp cận này tương tự như cách được tìm thấy trong nhiều hiệp ước thương mại và đầu tư91 cũng như Tổ chức Thương mại Thế giới.92 Các quy định về không phân biệt đối xử yêu cầu đối xử bình đẳng tại quốc gia tiếp nhận giữa người nộp thuế nước ngoài từ quốc gia ký kết kia với người nộp thuế bản địa. Đối xử tối huệ quốc yêu cầu</w:t>
      </w:r>
    </w:p>
    <w:p>
      <w:pPr>
        <w:spacing w:after="80"/>
      </w:pPr>
      <w:r>
        <w:rPr>
          <w:b w:val="0"/>
          <w:i w:val="0"/>
        </w:rPr>
        <w:t>88. ITTOIA 2005, s. 397A. 89. CTA 2009, s. 931C chứa một định nghĩa tương tự cho mục đích miễn trừ cổ tức và ITTOIA 2005, s. 173 chứa một định nghĩa tương tự cho mục đích tín dụng thuế đối với cá nhân. 90. Xem Chương 6, §6.06. 91. Xem, ví dụ, Hiệp định Vương quốc Anh-Singapore về Khuyến khích và Bảo hộ Đầu tư, ngày 22 tháng 7 năm 1975, điều 3. 92. Xem Hiệp định chung về Thương mại Dịch vụ, Phần II, điều II.</w:t>
      </w:r>
    </w:p>
    <w:p>
      <w:pPr>
        <w:spacing w:after="80"/>
      </w:pPr>
      <w:r>
        <w:rPr>
          <w:b w:val="0"/>
          <w:i w:val="0"/>
        </w:rPr>
        <w:t>471</w:t>
      </w:r>
    </w:p>
    <w:p>
      <w:pPr>
        <w:spacing w:after="80"/>
      </w:pPr>
      <w:r>
        <w:rPr>
          <w:b w:val="0"/>
          <w:i w:val="0"/>
        </w:rPr>
        <w:t>đối xử bình đẳng tại quốc gia tiếp nhận giữa người nộp thuế nước ngoài từ quốc gia ký kết kia với người nộp thuế nước ngoài từ quốc gia thứ ba. Cách đối xử sau này không được tìm thấy trong các điều khoản không phân biệt đối xử của các hiệp ước Vương quốc Anh, vốn thường chỉ áp dụng nguyên tắc này cho các loại thu nhập cụ thể.93</w:t>
      </w:r>
    </w:p>
    <w:p>
      <w:pPr>
        <w:spacing w:after="80"/>
      </w:pPr>
      <w:r>
        <w:rPr>
          <w:b w:val="0"/>
          <w:i w:val="0"/>
        </w:rPr>
        <w:t>Một ví dụ về điều khoản tối huệ quốc được nhắm mục tiêu hẹp có thể được tìm thấy trong hiệp ước đánh thuế hai lần Ấn Độ-Vương quốc Anh liên quan đến việc khấu trừ chi phí của một cơ sở thường trú:</w:t>
      </w:r>
    </w:p>
    <w:p>
      <w:pPr>
        <w:spacing w:after="80"/>
      </w:pPr>
      <w:r>
        <w:rPr>
          <w:b w:val="0"/>
          <w:i w:val="0"/>
        </w:rPr>
        <w:t>7(6) Khi luật pháp của Quốc gia ký kết nơi cơ sở thường trú tọa lạc áp đặt một hạn chế đối với số tiền chi phí hành chính và điều hành chung được phép khấu trừ, và hạn chế đó được nới lỏng hoặc bị ghi đè bởi bất kỳ Công ước nào giữa Quốc gia ký kết đó và một quốc gia thứ ba là thành viên của Tổ chức Hợp tác và Phát triển Kinh tế hoặc một Quốc gia ở giai đoạn phát triển tương đương, và Công ước đó có hiệu lực sau ngày Công ước này có hiệu lực, thì cơ quan có thẩm quyền của Quốc gia ký kết đó phải thông báo cho cơ quan có thẩm quyền của Quốc gia ký kết kia về các điều khoản của đoạn liên quan trong Công ước với quốc gia thứ ba đó ngay sau khi Công ước đó có hiệu lực và, nếu cơ quan có thẩm quyền của Quốc gia ký kết kia yêu cầu, các quy định của Công ước này sẽ được sửa đổi bằng nghị định thư để phản ánh các điều khoản đó.</w:t>
      </w:r>
    </w:p>
    <w:p>
      <w:pPr>
        <w:spacing w:after="80"/>
      </w:pPr>
      <w:r>
        <w:rPr>
          <w:b w:val="0"/>
          <w:i w:val="0"/>
        </w:rPr>
        <w:t>Theo phiên bản này, hiệp ước không được điều chỉnh tự động, mà mỗi quốc gia ký kết được trao quyền yêu cầu quốc gia kia điều chỉnh hiệp ước nếu quốc gia kia ký kết một thỏa thuận thuận lợi hơn với một quốc gia thứ ba. Một cuộc trao đổi công hàm giữa Canada và Vương quốc Anh ngày 7 tháng 5 năm 2003 cam kết các bên tham vấn lẫn nhau về việc giảm thuế suất đối với cổ tức, lãi và tiền bản quyền nếu Canada đồng ý mức thuế suất thấp hơn với một quốc gia thành viên OECD khác.</w:t>
      </w:r>
    </w:p>
    <w:p>
      <w:pPr>
        <w:spacing w:after="80"/>
      </w:pPr>
      <w:r>
        <w:rPr>
          <w:b w:val="0"/>
          <w:i/>
        </w:rPr>
        <w:t>Steria India Ltd v Commissioner of Income Tax</w:t>
      </w:r>
      <w:r>
        <w:rPr>
          <w:b w:val="0"/>
          <w:i w:val="0"/>
        </w:rPr>
        <w:t>94 đã xem xét việc áp dụng đối xử tối huệ quốc liên quan đến dịch vụ kỹ thuật. Định nghĩa về phí dịch vụ kỹ thuật trong điều 13(4) của hiệp ước đánh thuế hai lần Ấn Độ-Vương quốc Anh có phạm vi hạn chế hơn so với định nghĩa trong điều 13(4) của Hiệp ước Pháp-Ấn Độ, ở chỗ Hiệp ước Ấn Độ-Vương quốc Anh yêu cầu kiến thức kỹ thuật, kinh nghiệm, kỹ năng, bí quyết hoặc quy trình phải được 'cung cấp' cho người nhận.95 Mặt khác, điều 13(1) của hiệp ước Pháp-Ấn Độ quy định mức thuế suất thấp hơn đối với các khoản thanh toán cho phí dịch vụ kỹ thuật. Điều khoản tối huệ quốc trong Nghị định thư của Hiệp ước Pháp-Ấn Độ được kích hoạt nếu Ấn Độ đồng ý một 'mức thuế suất thấp hơn hoặc phạm vi hạn chế hơn' trong một hiệp ước với một quốc gia OECD khác. Tòa án Tối cao Delhi đã phán quyết rằng phạm vi hạn chế hơn của quy định về dịch vụ kỹ thuật trong hiệp ước Vương quốc Anh-Ấn Độ được tự động đưa vào</w:t>
      </w:r>
    </w:p>
    <w:p>
      <w:pPr>
        <w:spacing w:after="80"/>
      </w:pPr>
      <w:r>
        <w:rPr>
          <w:b w:val="0"/>
          <w:i w:val="0"/>
        </w:rPr>
        <w:t xml:space="preserve">93. Xem Trao đổi Công hàm Chile-Vương quốc Anh ngày 12 tháng 7 năm 2003 với tham chiếu đến đoạn (2) của Điều 11 (Lãi) và đoạn (2) của Điều 12 (Tiền bản quyền). Các điều kiện đã được đáp ứng khi hiệp ước Chile-Nhật Bản có hiệu lực (2016) (Cơ quan Thuế Chile, Thông tư 22/2018 ngày 19 tháng 4 năm 2018). Hiệp ước Canada-Nam Phi, điều 23(4), dưới đây, là một ví dụ về quy định tối huệ quốc chung: 'Việc đánh thuế không được nặng nề hơn hoặc phiền hà hơn so với việc đánh thuế và các yêu cầu liên quan mà các doanh nghiệp tương tự khác của quốc gia thứ nhất có thể phải chịu, mà vốn của chúng được sở hữu toàn bộ hoặc một phần hoặc kiểm soát, trực tiếp hoặc gián tiếp bởi một hoặc nhiều cư dân của một Quốc gia thứ ba.' 94. </w:t>
      </w:r>
      <w:r>
        <w:rPr>
          <w:b w:val="0"/>
          <w:i/>
        </w:rPr>
        <w:t>Steria India Ltd v Commissioner of Income Tax</w:t>
      </w:r>
      <w:r>
        <w:rPr>
          <w:b w:val="0"/>
          <w:i w:val="0"/>
        </w:rPr>
        <w:t xml:space="preserve"> (Tòa án Tối cao Delhi) W.P.(C) 4793/2014 &amp; CMAppl. 9551/2014. 95. Xem Chương 9, §9.14.</w:t>
      </w:r>
    </w:p>
    <w:p>
      <w:pPr>
        <w:spacing w:after="80"/>
      </w:pPr>
      <w:r>
        <w:rPr>
          <w:b w:val="0"/>
          <w:i w:val="0"/>
        </w:rPr>
        <w:t>472</w:t>
      </w:r>
    </w:p>
    <w:p>
      <w:pPr>
        <w:spacing w:after="80"/>
      </w:pPr>
      <w:r>
        <w:rPr>
          <w:b w:val="0"/>
          <w:i w:val="0"/>
        </w:rPr>
        <w:t>hiệp ước giữa Pháp và Ấn Độ khi nghị định thư có hiệu lực và không cần thêm hành động nào. Tòa án cũng bác bỏ lập luận rằng phải có sự kết hợp của cả mức thuế suất thấp hơn và phạm vi hạn chế hơn để đối xử tối huệ quốc được áp dụng.</w:t>
      </w:r>
    </w:p>
    <w:p>
      <w:pPr>
        <w:spacing w:after="80"/>
      </w:pPr>
      <w:r>
        <w:rPr>
          <w:b w:val="0"/>
          <w:i w:val="0"/>
        </w:rPr>
        <w:t>Tương tự, mức thuế suất đối với tiền bản quyền theo điều 12 của hiệp ước đánh thuế hai lần Estonia-Vương quốc Anh96 đã được tự động giảm xuống bằng không kể từ ngày 16 tháng 10 năm 2015 nhờ hoạt động của đối xử tối huệ quốc được thỏa thuận trong một Trao đổi Công hàm ngày 12 tháng 5 năm 1994 liên quan đến hiệp ước đó. Việc giảm này diễn ra sau khi ký kết một nghị định thư của hiệp ước đánh thuế hai lần Estonia-Thụy Sĩ (2002) có hiệu lực vào ngày 16 tháng 10 năm 2015.97</w:t>
      </w:r>
    </w:p>
    <w:p>
      <w:pPr>
        <w:spacing w:after="80"/>
      </w:pPr>
      <w:r>
        <w:rPr>
          <w:b w:val="0"/>
          <w:i w:val="0"/>
        </w:rPr>
        <w:t>Hiệp ước đánh thuế hai lần Vương quốc Anh-Philippines chứa một quy định bất thường loại trừ, một mặt, đối xử quốc gia, nhưng mặt khác, cung cấp đối xử tối huệ quốc liên quan đến việc tiếp cận các ưu đãi đầu tư:</w:t>
      </w:r>
    </w:p>
    <w:p>
      <w:pPr>
        <w:spacing w:after="80"/>
      </w:pPr>
      <w:r>
        <w:rPr>
          <w:b w:val="0"/>
          <w:i w:val="0"/>
        </w:rPr>
        <w:t>22(6) Không có gì trong Điều này được giải thích theo cách ngăn cản Philippines giới hạn việc hưởng các ưu đãi thuế được cấp bởi luật pháp cho công dân của mình. Tuy nhiên, những ưu đãi đó nếu có sẵn cho công dân của bất kỳ Quốc gia thứ ba nào cũng phải có sẵn tương tự cho công dân của Vương quốc Anh.</w:t>
      </w:r>
    </w:p>
    <w:p>
      <w:pPr>
        <w:spacing w:after="80"/>
      </w:pPr>
      <w:r>
        <w:rPr>
          <w:b w:val="0"/>
          <w:i w:val="0"/>
        </w:rPr>
        <w:t xml:space="preserve">Vương quốc Anh đã đảm bảo đối xử tối huệ quốc trong hiệp ước để thực thi </w:t>
      </w:r>
      <w:r>
        <w:rPr>
          <w:b w:val="0"/>
          <w:i/>
        </w:rPr>
        <w:t>Đạo luật Tuân thủ Thuế Tài khoản Nước ngoài</w:t>
      </w:r>
      <w:r>
        <w:rPr>
          <w:b w:val="0"/>
          <w:i w:val="0"/>
        </w:rPr>
        <w:t xml:space="preserve"> (FATCA) và để 'cải thiện việc tuân thủ thuế quốc tế'.98 Nếu Hoa Kỳ đưa ra bất kỳ điều khoản thuận lợi hơn nào cho một quốc gia khác trong một thỏa thuận song phương, thì những điều khoản đó được tự động đưa vào thỏa thuận Hoa Kỳ-Vương quốc Anh.99</w:t>
      </w:r>
    </w:p>
    <w:p>
      <w:pPr>
        <w:spacing w:after="80"/>
      </w:pPr>
      <w:r>
        <w:rPr>
          <w:b w:val="0"/>
          <w:i w:val="0"/>
        </w:rPr>
        <w:t>96. Công ước giữa Chính phủ Vương quốc Liên hiệp Anh và Bắc Ireland và Chính phủ Cộng hòa Estonia về việc Tránh đánh thuế hai lần và Ngăn chặn việc trốn thuế đối với Thuế Thu nhập và Thuế Lợi tức vốn ngày 12 tháng 5 năm 1994 (SI 1994/3207).97. Nghị định thư ngày 25 tháng 8 năm 2014 bổ sung cho hiệp định thuế hai lần Estonia-Thụy Sĩ (2002). Xem thêm Hiệp định Ireland-Litva, Nghị định thư ngày 18 tháng 11 năm 1997, khoản 6 được sửa đổi sau khi hiệp định Litva-Nhật Bản có hiệu lực vào ngày 1 tháng 1 năm 2019 (Cơ quan Thuế Ireland: Sổ tay Thuế và Nghĩa vụ Phần 35-01-12).98. Hiệp định giữa Chính phủ Vương quốc Liên hiệp Anh và Chính phủ Hợp chúng quốc Hoa Kỳ nhằm cải thiện việc tuân thủ thuế quốc tế và thực hiện FATCA ngày 12 tháng 9 năm 2012. Xem Chương 22, §22.28.99. Điều 7.</w:t>
      </w:r>
    </w:p>
    <w:p>
      <w:pPr>
        <w:spacing w:after="80"/>
      </w:pPr>
      <w:r>
        <w:rPr>
          <w:b w:val="0"/>
          <w:i w:val="0"/>
        </w:rPr>
        <w:t>473</w:t>
      </w:r>
    </w:p>
    <w:p>
      <w:pPr>
        <w:spacing w:before="240" w:after="80"/>
      </w:pPr>
      <w:r>
        <w:rPr>
          <w:b/>
          <w:sz w:val="32"/>
        </w:rPr>
        <w:t>CHƯƠNG 17Mua bán hiệp định và các hành vi tránh thuế khác</w:t>
      </w:r>
    </w:p>
    <w:p>
      <w:pPr>
        <w:spacing w:after="80"/>
      </w:pPr>
      <w:r>
        <w:rPr>
          <w:b/>
          <w:i w:val="0"/>
        </w:rPr>
        <w:t>§17.01GIỚI THIỆU</w:t>
      </w:r>
    </w:p>
    <w:p>
      <w:pPr>
        <w:spacing w:after="80"/>
      </w:pPr>
      <w:r>
        <w:rPr>
          <w:b w:val="0"/>
          <w:i w:val="0"/>
        </w:rPr>
        <w:t>Các quy định của hiệp định thuế, cũng như các quy định tương ứng trong pháp luật thuế nội địa, đang trải qua một sự thay đổi căn bản về quan điểm. Trước đây, các hiệp định được ký kết nhằm tránh đánh thuế hai lần. Mục tiêu thứ hai là ngăn chặn hành vi trốn thuế thông qua việc trao đổi thông tin giữa các cơ quan thuế. Tuy nhiên, trong thời gian gần đây, đặc biệt khi mạng lưới hiệp định ngày càng phát triển, sự chú ý đối với việc tránh thuế đã lan rộng từ lĩnh vực nội địa sang lĩnh vực hiệp định. Trước đây, một số điểm khác biệt lớn của Vương quốc Anh so với Mẫu OECD về lập trường đàm phán của mình hầu như đều xoay quanh các vấn đề tránh thuế. Những điểm này bao gồm bài kiểm tra dựa trên mục đích đối với các lợi ích liên quan đến thu nhập đầu tư và các quy định liên quan đến thuế đối tác.</w:t>
      </w:r>
    </w:p>
    <w:p>
      <w:pPr>
        <w:spacing w:after="80"/>
      </w:pPr>
      <w:r>
        <w:rPr>
          <w:b w:val="0"/>
          <w:i w:val="0"/>
        </w:rPr>
        <w:t xml:space="preserve">Kế hoạch Hành động gồm mười lăm điểm của OECD cùng với các nước G20 nhằm giải quyết vấn đề Xói mòn Cơ sở Tính thuế và Chuyển dịch Lợi nhuận (BEPS)1 có trọng tâm đáng kể vào việc lạm dụng hiệp định. Hành động 6 của Kế hoạch Hành động BEPS1 đã xác định việc lạm dụng hiệp định, và đặc biệt là mua bán hiệp định, là một trong những nguồn lo ngại quan trọng nhất của BEPS. Kế hoạch Hành động BEPS nhằm mục đích phân tích sâu các lĩnh vực chịu áp lực đã được xác định với mục tiêu đưa ra các giải pháp cụ thể để điều chỉnh các tiêu chuẩn quốc tế phù hợp với môi trường kinh doanh toàn cầu hiện tại. Đây do đó là một dự án cải cách luật pháp. Điều này xuất phát từ quan điểm mà dự án dựa trên đó, rằng xói mòn cơ sở tính thuế tạo thành một rủi ro nghiêm trọng đối với nguồn thu thuế, chủ quyền thuế và tính công bằng về thuế. Hành động 6 </w:t>
      </w:r>
      <w:r>
        <w:rPr>
          <w:b w:val="0"/>
          <w:i/>
        </w:rPr>
        <w:t>Ngăn chặn việc Cấp các Lợi ích Hiệp định trong các Trường hợp Không phù hợp</w:t>
      </w:r>
      <w:r>
        <w:rPr>
          <w:b w:val="0"/>
          <w:i w:val="0"/>
        </w:rPr>
        <w:t>2 đòi hỏi việc phát triển các quy định hiệp định mẫu và các khuyến nghị liên quan đến việc thiết kế các quy tắc nội địa để ngăn chặn việc cấp các lợi ích hiệp định trong các trường hợp không phù hợp, làm rõ rằng các hiệp định thuế không nhằm mục đích được sử dụng để tạo ra việc không đánh thuế hai lần và xác định các cân nhắc về chính sách thuế mà nói chung, các quốc gia nên xem xét trước khi quyết định ký kết</w:t>
      </w:r>
    </w:p>
    <w:p>
      <w:pPr>
        <w:spacing w:after="80"/>
      </w:pPr>
      <w:r>
        <w:rPr>
          <w:b w:val="0"/>
          <w:i w:val="0"/>
        </w:rPr>
        <w:t>1.OECD (2013), Kế hoạch Hành động về Xói mòn Cơ sở Tính thuế và Chuyển dịch Lợi nhuận, OECD Publishing.2.OECD (2014), Ngăn chặn việc Cấp các Lợi ích Hiệp định trong các Trường hợp Không phù hợp, Dự án Xói mòn Cơ sở Tính thuế và Chuyển dịch Lợi nhuận của OECD/G20, OECD Publishing.</w:t>
      </w:r>
    </w:p>
    <w:p>
      <w:pPr>
        <w:spacing w:after="80"/>
      </w:pPr>
      <w:r>
        <w:rPr>
          <w:b w:val="0"/>
          <w:i w:val="0"/>
        </w:rPr>
        <w:t>475</w:t>
      </w:r>
    </w:p>
    <w:p>
      <w:pPr>
        <w:spacing w:after="80"/>
      </w:pPr>
      <w:r>
        <w:rPr>
          <w:b w:val="0"/>
          <w:i w:val="0"/>
        </w:rPr>
        <w:t xml:space="preserve">một hiệp định thuế với một quốc gia khác. Nhiều đề xuất trong Hành động 6 phản ánh các biện pháp đã có trong các hiệp định hiện hành mà Vương quốc Anh là một bên tham gia. Các khuyến nghị trong Báo cáo Cuối cùng của Hành động 63 được đưa vào </w:t>
      </w:r>
      <w:r>
        <w:rPr>
          <w:b w:val="0"/>
          <w:i/>
        </w:rPr>
        <w:t>Công ước Đa phương để Thực hiện các Biện pháp Liên quan đến Hiệp định Thuế nhằm Ngăn chặn Xói mòn Cơ sở Tính thuế và Chuyển dịch Lợi nhuận</w:t>
      </w:r>
      <w:r>
        <w:rPr>
          <w:b w:val="0"/>
          <w:i w:val="0"/>
        </w:rPr>
        <w:t>4 (MLI) và Mẫu Công ước Thuế OECD năm 2017.Các Hành động BEPS khác yêu cầu sửa đổi các quy định thực chất của các hiệp định thuế hai lần là Hành động 2 (Vô hiệu hóa các tác động của các thỏa thuận không khớp lai) và Hành động 7 (Ngăn chặn việc tránh né nhân tạo tư cách cơ sở thường trú), những hành động này đưa ra các quy tắc áp dụng chung và không giới hạn ở các tình huống lạm dụng. Do đó, chúng không được thảo luận trong chương này.5</w:t>
      </w:r>
    </w:p>
    <w:p>
      <w:pPr>
        <w:spacing w:after="80"/>
      </w:pPr>
      <w:r>
        <w:rPr>
          <w:b/>
          <w:i w:val="0"/>
        </w:rPr>
        <w:t>§17.02TRÁNH THUẾ LÀ GÌ?</w:t>
      </w:r>
    </w:p>
    <w:p>
      <w:pPr>
        <w:spacing w:after="80"/>
      </w:pPr>
      <w:r>
        <w:rPr>
          <w:b w:val="0"/>
          <w:i w:val="0"/>
        </w:rPr>
        <w:t xml:space="preserve">Một điểm khởi đầu thuận tiện cho chủ đề này trong bối cảnh hiệp định là cuốn </w:t>
      </w:r>
      <w:r>
        <w:rPr>
          <w:b w:val="0"/>
          <w:i/>
        </w:rPr>
        <w:t>Sổ tay Thuế Quốc tế</w:t>
      </w:r>
      <w:r>
        <w:rPr>
          <w:b w:val="0"/>
          <w:i w:val="0"/>
        </w:rPr>
        <w:t xml:space="preserve"> trước đây của HMRC, cuốn sách đã đề cập đến việc tránh thuế trong bối cảnh quốc tế. Những bình luận của HMRC về ý nghĩa của cụm từ này rất hé lộ. Đoạn 101 viết như sau:</w:t>
      </w:r>
    </w:p>
    <w:p>
      <w:pPr>
        <w:spacing w:after="80"/>
      </w:pPr>
      <w:r>
        <w:rPr>
          <w:b w:val="0"/>
          <w:i w:val="0"/>
        </w:rPr>
        <w:t>Khi bộ luật thuế của chúng ta trở nên phức tạp hơn, các Thanh tra viên ngày càng được yêu cầu đưa ra phán đoán liệu, dựa trên các tình tiết của một trường hợp cụ thể, có xảy ra 'tránh thuế' hay không. Sự phân biệt được đưa ra là giữa việc giảm nhẹ thuế có thể được coi là chấp nhận được và việc tránh thuế thì không. Ở một đầu của thang đo, không ai cho rằng việc chuyển tiền tiết kiệm từ tài khoản ngân hàng sang chứng chỉ Tiết kiệm Quốc gia là điều đáng phản đối mặc dù số thuế phải nộp đã được giảm bớt.6 Ở đầu kia, khi nghĩa vụ thuế được giảm theo một cách hoàn toàn nhân tạo mà người nộp thuế không phải chịu bất kỳ tổn thất hay chi phí nào, thì đó rõ ràng là hành vi tránh thuế.</w:t>
      </w:r>
    </w:p>
    <w:p>
      <w:pPr>
        <w:spacing w:after="80"/>
      </w:pPr>
      <w:r>
        <w:rPr>
          <w:b w:val="0"/>
          <w:i w:val="0"/>
        </w:rPr>
        <w:t xml:space="preserve">Nhiều thẩm phán đã cố gắng giải thích sự phân biệt giữa giảm nhẹ thuế và tránh thuế – ví dụ, xem phán quyết của các Lãnh chúa Goff và Templeman trong </w:t>
      </w:r>
      <w:r>
        <w:rPr>
          <w:b w:val="0"/>
          <w:i/>
        </w:rPr>
        <w:t>Craven v White</w:t>
      </w:r>
      <w:r>
        <w:rPr>
          <w:b w:val="0"/>
          <w:i w:val="0"/>
        </w:rPr>
        <w:t xml:space="preserve"> và của Lãnh chúa Templeman trong </w:t>
      </w:r>
      <w:r>
        <w:rPr>
          <w:b w:val="0"/>
          <w:i/>
        </w:rPr>
        <w:t>Ensign Tankers</w:t>
      </w:r>
      <w:r>
        <w:rPr>
          <w:b w:val="0"/>
          <w:i w:val="0"/>
        </w:rPr>
        <w:t>, nhưng những nỗ lực này không hoàn toàn thành công. Có lẽ ranh giới phân chia là không thể định nghĩa được. Dù sao đi nữa, sự phân biệt giữa giảm nhẹ thuế và tránh thuế ít được Chính phủ quan tâm hơn so với tác động lên nguồn thu cho Ngân khố.</w:t>
      </w:r>
    </w:p>
    <w:p>
      <w:pPr>
        <w:spacing w:after="80"/>
      </w:pPr>
      <w:r>
        <w:rPr>
          <w:b w:val="0"/>
          <w:i w:val="0"/>
        </w:rPr>
        <w:t>Tuyên bố này là một đánh giá công bằng về các vấn đề liên quan đến tránh thuế ở một số khía cạnh. Thứ nhất, thuật ngữ 'tránh thuế' được đặt trong dấu ngoặc kép cho thấy rằng như một khái niệm có nội dung được định nghĩa, nó có thể không tồn tại theo nghĩa chung. Thứ hai, nó thừa nhận rằng ít nhất một số hoạt động là không đáng phản đối. Thứ ba, nó dường như thừa nhận rằng mặc dù các thái cực có thể dễ dàng, nhưng ranh giới phân chia có thể là không thể</w:t>
      </w:r>
    </w:p>
    <w:p>
      <w:pPr>
        <w:spacing w:after="80"/>
      </w:pPr>
      <w:r>
        <w:rPr>
          <w:b w:val="0"/>
          <w:i w:val="0"/>
        </w:rPr>
        <w:t xml:space="preserve">3.OECD (2015), Ngăn chặn việc Cấp các Lợi ích Hiệp định trong các Trường hợp Không phù hợp, Hành động 6 – Báo cáo Cuối cùng năm 2015, Dự án Xói mòn Cơ sở Tính thuế và Chuyển dịch Lợi nhuận của OECD/G20 ('BEPS Hành động 6, Báo cáo Cuối cùng'), Dự án Chuyển dịch http://dx.doi.org/10.1787/9789264241695-en.4.Xem Chương 18.5.Xem Chương 6 về quyền tiếp cận các lợi ích hiệp định và Chương 7 về ý nghĩa của cơ sở thường trú, cũng như Chương 18 về việc thực hiện tất cả các hành động liên quan đến hiệp định của BEPS.6.Mặc dù vậy, Cơ quan Thuế Nội địa đã lập luận (không thành công) trong </w:t>
      </w:r>
      <w:r>
        <w:rPr>
          <w:b w:val="0"/>
          <w:i/>
        </w:rPr>
        <w:t>A Beneficiary v IR Commrs</w:t>
      </w:r>
      <w:r>
        <w:rPr>
          <w:b w:val="0"/>
          <w:i w:val="0"/>
        </w:rPr>
        <w:t xml:space="preserve"> (1999) SpC 190 rằng việc chuyển tiền từ một tài khoản ngân hàng ở Vương quốc Anh sang một tài khoản ngoài Vương quốc Anh bởi một cá nhân không cư trú, không có quốc tịch thường trú là hành vi tránh thuế.</w:t>
      </w:r>
    </w:p>
    <w:p>
      <w:pPr>
        <w:spacing w:after="80"/>
      </w:pPr>
      <w:r>
        <w:rPr>
          <w:b w:val="0"/>
          <w:i w:val="0"/>
        </w:rPr>
        <w:t>476</w:t>
      </w:r>
    </w:p>
    <w:p>
      <w:pPr>
        <w:spacing w:after="80"/>
      </w:pPr>
      <w:r>
        <w:rPr>
          <w:b w:val="0"/>
          <w:i w:val="0"/>
        </w:rPr>
        <w:t>xác định.Thứ tư, nó thừa nhận rằng đây ít phải là vấn đề nguyên tắc hơn là vấn đề tăng thu ngân sách.</w:t>
      </w:r>
    </w:p>
    <w:p>
      <w:pPr>
        <w:spacing w:after="80"/>
      </w:pPr>
      <w:r>
        <w:rPr>
          <w:b w:val="0"/>
          <w:i w:val="0"/>
        </w:rPr>
        <w:t>Cuốn</w:t>
      </w:r>
      <w:r>
        <w:rPr>
          <w:b w:val="0"/>
          <w:i/>
        </w:rPr>
        <w:t xml:space="preserve"> International Tax Handbook</w:t>
      </w:r>
      <w:r>
        <w:rPr>
          <w:b w:val="0"/>
          <w:i w:val="0"/>
        </w:rPr>
        <w:t xml:space="preserve"> sau đó đã phác thảo cách tiếp cận</w:t>
      </w:r>
      <w:r>
        <w:rPr>
          <w:b w:val="0"/>
          <w:i/>
        </w:rPr>
        <w:t xml:space="preserve"> Ramsay</w:t>
      </w:r>
      <w:r>
        <w:rPr>
          <w:b w:val="0"/>
          <w:i w:val="0"/>
        </w:rPr>
        <w:t>7 một cách tổng quát và chuyển sang chủ đề tránh thuế trong bối cảnh quốc tế. Về vấn đề này, sách viết:</w:t>
      </w:r>
    </w:p>
    <w:p>
      <w:pPr>
        <w:spacing w:after="80"/>
      </w:pPr>
      <w:r>
        <w:rPr>
          <w:b w:val="0"/>
          <w:i w:val="0"/>
        </w:rPr>
        <w:t>Trong ngành Thuế, chúng tôi không phân loại tránh thuế theo cách hẹp như các Tòa án đã làm. Tất nhiên, chúng tôi phân biệt giữa giảm nhẹ thuế và tránh thuế. Tuy nhiên, nếu một người nộp thuế lợi dụng luật để có được lợi thế về thuế mà theo hiểu biết của chúng tôi không nằm trong tinh thần của luật, chúng tôi có xu hướng coi đó là tránh thuế. Nhưng trừ khi các điều kiện tiên quyết của cách tiếp cận[</w:t>
      </w:r>
      <w:r>
        <w:rPr>
          <w:b w:val="0"/>
          <w:i/>
        </w:rPr>
        <w:t>Ramsay</w:t>
      </w:r>
      <w:r>
        <w:rPr>
          <w:b w:val="0"/>
          <w:i w:val="0"/>
        </w:rPr>
        <w:t>] mới được đáp ứng, việc tránh thuế như vậy chỉ có thể bị đối phó bằng luật được ban hành cho mục đích này.8</w:t>
      </w:r>
    </w:p>
    <w:p>
      <w:pPr>
        <w:spacing w:after="80"/>
      </w:pPr>
      <w:r>
        <w:rPr>
          <w:b w:val="0"/>
          <w:i w:val="0"/>
        </w:rPr>
        <w:t>Điều đáng lo ngại là thuật ngữ tránh thuế ở đây được dùng theo nghĩa chính sách để mô tả những thiếu sót trong cơ sở tính thuế, trong cùng một đoạn có đề cập đến các giao dịch mà về mặt pháp lý có thể bị vô hiệu hóa bằng việc áp dụng học thuyết</w:t>
      </w:r>
      <w:r>
        <w:rPr>
          <w:b w:val="0"/>
          <w:i/>
        </w:rPr>
        <w:t>Ramsay</w:t>
      </w:r>
      <w:r>
        <w:rPr>
          <w:b w:val="0"/>
          <w:i w:val="0"/>
        </w:rPr>
        <w:t>9.</w:t>
      </w:r>
    </w:p>
    <w:p>
      <w:pPr>
        <w:spacing w:after="80"/>
      </w:pPr>
      <w:r>
        <w:rPr>
          <w:b w:val="0"/>
          <w:i w:val="0"/>
        </w:rPr>
        <w:t>Cuốn</w:t>
      </w:r>
      <w:r>
        <w:rPr>
          <w:b w:val="0"/>
          <w:i/>
        </w:rPr>
        <w:t>InternationalManual</w:t>
      </w:r>
      <w:r>
        <w:rPr>
          <w:b w:val="0"/>
          <w:i w:val="0"/>
        </w:rPr>
        <w:t xml:space="preserve"> trình bày hướng dẫn của HMRC về các vấn đề thuế quốc tế chính không chứa phân tích suy ngẫm tương tự. Một số dấu hiệu cho thấy quan điểm tương tự đã được giữ đã được tìm thấy trong phần thảo luận trong cuốn</w:t>
      </w:r>
      <w:r>
        <w:rPr>
          <w:b w:val="0"/>
          <w:i/>
        </w:rPr>
        <w:t xml:space="preserve"> International Manual</w:t>
      </w:r>
      <w:r>
        <w:rPr>
          <w:b w:val="0"/>
          <w:i w:val="0"/>
        </w:rPr>
        <w:t xml:space="preserve"> (nay đã bị rút) về miễn trừ kiểm tra động cơ đối với các Công ty Nước ngoài được Kiểm soát:</w:t>
      </w:r>
    </w:p>
    <w:p>
      <w:pPr>
        <w:spacing w:after="80"/>
      </w:pPr>
      <w:r>
        <w:rPr>
          <w:b w:val="0"/>
          <w:i w:val="0"/>
        </w:rPr>
        <w:t>bất chấp nhiều nỗ lực dũng cảm, chưa bao giờ có sự đồng thuận về ý nghĩa của 'tránh thuế' và bản thân thuật ngữ này có phần gây cảm xúc; 'tránh thuế' của người này là 'hiệu quả thuế' của người khác; và trong khi mục đích/lý do đằng sau bất kỳ giao dịch nào về cơ bản chỉ là một câu hỏi thực tế, hầu như mọi giao dịch đều có một số mục đích khác nhau và việc giải thích chúng chắc chắn mang tính chủ quan.10</w:t>
      </w:r>
    </w:p>
    <w:p>
      <w:pPr>
        <w:spacing w:after="80"/>
      </w:pPr>
      <w:r>
        <w:rPr>
          <w:b w:val="0"/>
          <w:i w:val="0"/>
        </w:rPr>
        <w:t>Tương tự, cuốn</w:t>
      </w:r>
      <w:r>
        <w:rPr>
          <w:b w:val="0"/>
          <w:i/>
        </w:rPr>
        <w:t>StudyintotheRoleofTaxIntermediaries</w:t>
      </w:r>
      <w:r>
        <w:rPr>
          <w:b w:val="0"/>
          <w:i w:val="0"/>
        </w:rPr>
        <w:t xml:space="preserve"> của OECD,11 do các quan chức HMRC dẫn đầu nhằm cải thiện hiểu biết về vai trò của các trung gian thuế trong hoạt động của hệ thống thuế và cụ thể là để hiểu vai trò của họ trong 'các thỏa thuận giảm thiểu thuế không thể chấp nhận được' đã kết luận rằng sự khác biệt giữa các khuôn khổ pháp lý của các quốc gia thành viên Diễn đàn Quản lý Thuế có nghĩa là không phù hợp hoặc không khả thi để cố gắng đạt được một định nghĩa về 'các thỏa thuận giảm thiểu thuế không thể chấp nhận được' như được sử dụng trong Tuyên bố Seoul.12 Thay vào đó, các cuộc tham vấn đã dẫn đến việc xác định hai lĩnh vực quan ngại liên quan đến quản lý thuế và 'lập kế hoạch thuế tích cực'. Lập kế hoạch thuế tích cực,</w:t>
      </w:r>
    </w:p>
    <w:p>
      <w:pPr>
        <w:spacing w:after="80"/>
      </w:pPr>
      <w:r>
        <w:rPr>
          <w:b w:val="0"/>
          <w:i w:val="0"/>
        </w:rPr>
        <w:t>7.</w:t>
      </w:r>
      <w:r>
        <w:rPr>
          <w:b w:val="0"/>
          <w:i/>
        </w:rPr>
        <w:t>W.T.RamsayLtdvCommissionersofInlandRevenue</w:t>
      </w:r>
      <w:r>
        <w:rPr>
          <w:b w:val="0"/>
          <w:i w:val="0"/>
        </w:rPr>
        <w:t>(1981)54TC101,[1981]STC174HL[1982] AC 300, HL.8.Tại đoạn 103.9.</w:t>
      </w:r>
      <w:r>
        <w:rPr>
          <w:b w:val="0"/>
          <w:i/>
        </w:rPr>
        <w:t>W.T.RamsayLtdvCommissionersofInlandRevenue</w:t>
      </w:r>
      <w:r>
        <w:rPr>
          <w:b w:val="0"/>
          <w:i w:val="0"/>
        </w:rPr>
        <w:t>(1981)54TC101,[1981]STC174HL[1982] AC 300, HL.10.HMRC,ControlledForeignCompanies:exemptions–themotivetestinInternationalManual,INTM208010.11.Xem OECDForumonTaxAdministration,CapeTownCommuniqué,Phụ lục 'StudyintotheRole of Tax Intermediaries', 11 tháng 1 năm 2008.12.Cuộc họp thứ ba của Diễn đàn Quản lý Thuế OECD, Tuyên bố Seoul cuối cùng, 15 tháng 9 năm 2006.</w:t>
      </w:r>
    </w:p>
    <w:p>
      <w:pPr>
        <w:spacing w:after="80"/>
      </w:pPr>
      <w:r>
        <w:rPr>
          <w:b w:val="0"/>
          <w:i w:val="0"/>
        </w:rPr>
        <w:t>477</w:t>
      </w:r>
    </w:p>
    <w:p>
      <w:pPr>
        <w:spacing w:after="80"/>
      </w:pPr>
      <w:r>
        <w:rPr>
          <w:b w:val="0"/>
          <w:i w:val="0"/>
        </w:rPr>
        <w:t>họ nói, đề cập đến việc lập kế hoạch liên quan đến một vị thế thuế có thể biện hộ được nhưng có hậu quả về doanh thu thuế không mong muốn và không lường trước được. Một lần nữa, ảnh hưởng đến nguồn thu ngân khố là mối quan tâm trung tâm.</w:t>
      </w:r>
    </w:p>
    <w:p>
      <w:pPr>
        <w:spacing w:after="80"/>
      </w:pPr>
      <w:r>
        <w:rPr>
          <w:b w:val="0"/>
          <w:i w:val="0"/>
        </w:rPr>
        <w:t>Cách diễn đạt hữu ích nhất về ý nghĩa luật định của việc tránh thuế là cách của Lord Nolan tại Thượng viện trong</w:t>
      </w:r>
      <w:r>
        <w:rPr>
          <w:b w:val="0"/>
          <w:i/>
        </w:rPr>
        <w:t xml:space="preserve"> IRC v Willoughby</w:t>
      </w:r>
      <w:r>
        <w:rPr>
          <w:b w:val="0"/>
          <w:i w:val="0"/>
        </w:rPr>
        <w:t>.13 Trong vụ đó, ông chấp nhận lập luận do Inland Revenue đưa ra về ý nghĩa của 'tránh thuế' cho mục đích của ICTA 1988, s. 741.14 Ông nói:15</w:t>
      </w:r>
    </w:p>
    <w:p>
      <w:pPr>
        <w:spacing w:after="80"/>
      </w:pPr>
      <w:r>
        <w:rPr>
          <w:b w:val="0"/>
          <w:i w:val="0"/>
        </w:rPr>
        <w:t>Tránh thuế phải được phân biệt với giảm nhẹ thuế. Dấu hiệu của việc tránh thuế là người nộp thuế giảm nghĩa vụ thuế của mình mà không phải chịu những hậu quả kinh tế mà Nghị viện dự định bất kỳ người nộp thuế nào đủ điều kiện được giảm nghĩa vụ thuế như vậy phải gánh chịu. Mặt khác, dấu hiệu của việc giảm nhẹ thuế là người nộp thuế tận dụng một lựa chọn hấp dẫn về mặt thuế mà luật thuế dành cho mình, và thực sự gánh chịu những hậu quả kinh tế mà Nghị viện dự định những người tận dụng lựa chọn đó phải gánh chịu.</w:t>
      </w:r>
    </w:p>
    <w:p>
      <w:pPr>
        <w:spacing w:after="80"/>
      </w:pPr>
      <w:r>
        <w:rPr>
          <w:b w:val="0"/>
          <w:i w:val="0"/>
        </w:rPr>
        <w:t>Khi đề cập đến việc đầu tư vào trái phiếu danh mục cá nhân, ông tiếp tục:</w:t>
      </w:r>
    </w:p>
    <w:p>
      <w:pPr>
        <w:spacing w:after="80"/>
      </w:pPr>
      <w:r>
        <w:rPr>
          <w:b w:val="0"/>
          <w:i w:val="0"/>
        </w:rPr>
        <w:t>Theo nghĩa thông tục rộng rãi, tránh thuế có thể được cho là một trong những mục đích chính của những người đã mua các hợp đồng bảo hiểm như vậy, bởi vì rõ ràng việc được miễn thuế là một trong những điểm hấp dẫn chính. Nhưng sẽ là vô lý trong bối cảnh mục 741 khi mô tả việc chấp nhận một đề nghị miễn thuế mà Nghị viện đã cố ý đưa ra là tránh thuế. Tránh thuế trong ý nghĩa của mục 741 là một hành động được thiết kế để xung đột với hoặc đánh bại ý định rõ ràng của Nghị viện.</w:t>
      </w:r>
    </w:p>
    <w:p>
      <w:pPr>
        <w:spacing w:after="80"/>
      </w:pPr>
      <w:r>
        <w:rPr>
          <w:b w:val="0"/>
          <w:i w:val="0"/>
        </w:rPr>
        <w:t>Các thẩm phán cũng có thể sử dụng nhãn 'tránh thuế' như một cách diễn đạt thông tục tiện lợi16 nhưng không coi đó là một quy tắc pháp lý. Trong</w:t>
      </w:r>
      <w:r>
        <w:rPr>
          <w:b w:val="0"/>
          <w:i/>
        </w:rPr>
        <w:t xml:space="preserve"> Westmoreland Investments Ltd v MacNiven(HMIT)</w:t>
      </w:r>
      <w:r>
        <w:rPr>
          <w:b w:val="0"/>
          <w:i w:val="0"/>
        </w:rPr>
        <w:t>, ví dụ, Lord Hoffmann nói:17</w:t>
      </w:r>
    </w:p>
    <w:p>
      <w:pPr>
        <w:spacing w:after="80"/>
      </w:pPr>
      <w:r>
        <w:rPr>
          <w:b w:val="0"/>
          <w:i w:val="0"/>
        </w:rPr>
        <w:t>Khi các quy định luật định không chứa những từ như 'tránh' hoặc 'giảm nhẹ', tôi không nghĩ rằng việc đưa chúng vào sẽ giúp ích. Việc các bước được thực hiện để tránh thuế là chấp nhận được hay không chấp nhận được là kết luận mà người ta đạt được bằng cách áp dụng ngôn ngữ luật định vào các sự kiện của vụ án. Đó không phải là một phép thử để quyết định liệu nó có áp dụng hay không.18</w:t>
      </w:r>
    </w:p>
    <w:p>
      <w:pPr>
        <w:spacing w:after="80"/>
      </w:pPr>
      <w:r>
        <w:rPr>
          <w:b w:val="0"/>
          <w:i w:val="0"/>
        </w:rPr>
        <w:t>‘Mọi người đều đồng ý’, ông nhận xét, ‘rằng Ramsay là một nguyên tắc cấu trúc’.19</w:t>
      </w:r>
    </w:p>
    <w:p>
      <w:pPr>
        <w:spacing w:after="80"/>
      </w:pPr>
      <w:r>
        <w:rPr>
          <w:b w:val="0"/>
          <w:i w:val="0"/>
        </w:rPr>
        <w:t>Lord Nicholls xứ Birkenhead đồng tình, nói rằng:20</w:t>
      </w:r>
    </w:p>
    <w:p>
      <w:pPr>
        <w:spacing w:after="80"/>
      </w:pPr>
      <w:r>
        <w:rPr>
          <w:b w:val="0"/>
          <w:i w:val="0"/>
        </w:rPr>
        <w:t>13.</w:t>
      </w:r>
      <w:r>
        <w:rPr>
          <w:b w:val="0"/>
          <w:i/>
        </w:rPr>
        <w:t>IRC v Willoughby</w:t>
      </w:r>
      <w:r>
        <w:rPr>
          <w:b w:val="0"/>
          <w:i w:val="0"/>
        </w:rPr>
        <w:t xml:space="preserve"> [1997] BTC 393; [1997] STC 995, HL.14.Hiện được quy định trong ITA 2007, Phần 13, Chương 3.15.Tại 1003.16.Xem </w:t>
      </w:r>
      <w:r>
        <w:rPr>
          <w:b w:val="0"/>
          <w:i/>
        </w:rPr>
        <w:t>Revenue &amp; Customs v Hyrax Resourcing Ltd &amp; Ors</w:t>
      </w:r>
      <w:r>
        <w:rPr>
          <w:b w:val="0"/>
          <w:i w:val="0"/>
        </w:rPr>
        <w:t xml:space="preserve"> [2019] UKFTT 175 (TC) [2019] SFTD 536, tại đoạn 161 để thấy cách sử dụng thông tục trong án lệ.17.</w:t>
      </w:r>
      <w:r>
        <w:rPr>
          <w:b w:val="0"/>
          <w:i/>
        </w:rPr>
        <w:t>Westmoreland Investments Ltd v MacNiven (HMIT)</w:t>
      </w:r>
      <w:r>
        <w:rPr>
          <w:b w:val="0"/>
          <w:i w:val="0"/>
        </w:rPr>
        <w:t xml:space="preserve"> [2001] STC 237, [2001] BTC 44 [2001] UKHL 6. Một bản tóm tắt hữu ích về các án lệ liên quan đến tránh thuế và các vụ án trong nước của Tòa phúc thẩm có thể được tìm thấy trong </w:t>
      </w:r>
      <w:r>
        <w:rPr>
          <w:b w:val="0"/>
          <w:i/>
        </w:rPr>
        <w:t>Astall &amp; Anor v Revenue and Customs</w:t>
      </w:r>
      <w:r>
        <w:rPr>
          <w:b w:val="0"/>
          <w:i w:val="0"/>
        </w:rPr>
        <w:t xml:space="preserve"> [2009] EWCA Civ 1010, [2010] STC 137, [2009] BTC 631, các đoạn 20-34.18.Tại đoạn 62.19.Tại đoạn 28.20.Tại đoạn 1. Xem thêm quan điểm của Lord Hope tại đoạn 77.</w:t>
      </w:r>
    </w:p>
    <w:p>
      <w:pPr>
        <w:spacing w:after="80"/>
      </w:pPr>
      <w:r>
        <w:rPr>
          <w:b w:val="0"/>
          <w:i w:val="0"/>
        </w:rPr>
        <w:t>478</w:t>
      </w:r>
    </w:p>
    <w:p>
      <w:pPr>
        <w:spacing w:after="80"/>
      </w:pPr>
      <w:r>
        <w:rPr>
          <w:b w:val="0"/>
          <w:i w:val="0"/>
        </w:rPr>
        <w:t>Khi đối mặt với những thủ đoạn tránh thuế mới và tinh vi, nhiệm vụ của tòa án là xác định bản chất pháp lý của các giao dịch đang được xem xét, rồi sau đó liên hệ chúng với pháp luật về thuế.</w:t>
      </w:r>
    </w:p>
    <w:p>
      <w:pPr>
        <w:spacing w:after="80"/>
      </w:pPr>
      <w:r>
        <w:rPr>
          <w:b w:val="0"/>
          <w:i w:val="0"/>
        </w:rPr>
        <w:t xml:space="preserve">Cách diễn đạt này đã được tinh chỉnh thêm bởi quan điểm nhất trí của Thượng viện trong </w:t>
      </w:r>
      <w:r>
        <w:rPr>
          <w:b w:val="0"/>
          <w:i/>
        </w:rPr>
        <w:t>Barclays Mercantile Business Finance Ltd v Mawson (HM Inspector of Taxes)</w:t>
      </w:r>
      <w:r>
        <w:rPr>
          <w:b w:val="0"/>
          <w:i w:val="0"/>
        </w:rPr>
        <w:t>, cụ thể là:21</w:t>
      </w:r>
    </w:p>
    <w:p>
      <w:pPr>
        <w:spacing w:after="80"/>
      </w:pPr>
      <w:r>
        <w:rPr>
          <w:b w:val="0"/>
          <w:i w:val="0"/>
        </w:rPr>
        <w:t xml:space="preserve">Hai bước cần thiết khi áp dụng bất kỳ quy định luật thành văn nào: thứ nhất, dựa trên cách giải thích theo mục đích, xác định chính xác giao dịch nào sẽ đáp ứng mô tả trong luật, và thứ hai, quyết định xem giao dịch đang được xem xét có đáp ứng điều đó hay không. Như Ribeiro PJ đã nói trong </w:t>
      </w:r>
      <w:r>
        <w:rPr>
          <w:b w:val="0"/>
          <w:i/>
        </w:rPr>
        <w:t>Collector of Stamp Revenue v Arrowtown Assets Ltd</w:t>
      </w:r>
      <w:r>
        <w:rPr>
          <w:b w:val="0"/>
          <w:i w:val="0"/>
        </w:rPr>
        <w:t xml:space="preserve"> [2003] HKCFA 46, tại đoạn 35:</w:t>
      </w:r>
    </w:p>
    <w:p>
      <w:pPr>
        <w:spacing w:after="80"/>
      </w:pPr>
      <w:r>
        <w:rPr>
          <w:b w:val="0"/>
          <w:i w:val="0"/>
        </w:rPr>
        <w:t>Nguyên tắc chủ đạo trong dòng án lệ Ramsay vẫn bao gồm một quy tắc chung về giải thích luật thành văn và một cách tiếp cận không thiên kiến khi phân tích các sự kiện. Câu hỏi cuối cùng là liệu các quy định luật thành văn liên quan, được giải thích theo mục đích, có được dự định áp dụng cho giao dịch đó hay không, khi nhìn nhận một cách thực tế.</w:t>
      </w:r>
    </w:p>
    <w:p>
      <w:pPr>
        <w:spacing w:after="80"/>
      </w:pPr>
      <w:r>
        <w:rPr>
          <w:b/>
          <w:i w:val="0"/>
        </w:rPr>
        <w:t>§17.03 TƯƠNG TÁC GIỮA HIỆP ĐỊNH THUẾ VỚI CÁC QUY TẮC CHỐNG TRÁNH THUẾ TRONG NƯỚC</w:t>
      </w:r>
    </w:p>
    <w:p>
      <w:pPr>
        <w:spacing w:after="80"/>
      </w:pPr>
      <w:r>
        <w:rPr>
          <w:b w:val="0"/>
          <w:i w:val="0"/>
        </w:rPr>
        <w:t>Trong một thời đại mà pháp luật trong nước ngày càng được đan cài nhiều quy định chống tránh thuế, mối quan hệ giữa các hiệp định thuế và các quy tắc chống tránh thuế trong nước cần được xem xét. Theo nguyên tắc chung, hiệp định thuế có hiệu lực cao hơn pháp luật trong nước. Về nguyên tắc, các biện pháp được gọi là chống tránh thuế không có địa vị đặc biệt nào. Do đó, các quy định luật thành văn thuộc bất kỳ loại nào, kể cả các quy tắc chống tránh thuế, thường bị hiệp định thuế ghi đè. Bản Bình luận của OECD sau khi được sửa đổi vào năm 2003 đã cố gắng xây dựng một lập luận22 (không thuyết phục) rằng các quy định chống tránh thuế trong nước nhìn chung không ‘xung đột’ với các quy tắc hiệp định.23 Câu hỏi liệu có hành vi tránh thuế hay không là một kết luận cần được rút ra bằng cách phân tích đúng đắn các quy tắc trong nước và quy tắc hiệp định theo cách thông thường, chứ bản thân nó không phải là một quy tắc hay cách tiếp cận phân tích.</w:t>
      </w:r>
    </w:p>
    <w:p>
      <w:pPr>
        <w:spacing w:after="80"/>
      </w:pPr>
      <w:r>
        <w:rPr>
          <w:b w:val="0"/>
          <w:i w:val="0"/>
        </w:rPr>
        <w:t xml:space="preserve">Tuy nhiên, Tòa án Cấp cao Vương quốc Anh (UK Upper Tribunal) đã cho rằng Điều 7 của hiệp định Mauritius-Anh không ngăn cản nghĩa vụ thuế theo luật Chuyển tài sản ra nước ngoài trong nước24 trong vụ </w:t>
      </w:r>
      <w:r>
        <w:rPr>
          <w:b w:val="0"/>
          <w:i/>
        </w:rPr>
        <w:t>Davies &amp; Others v HMRC</w:t>
      </w:r>
      <w:r>
        <w:rPr>
          <w:b w:val="0"/>
          <w:i w:val="0"/>
        </w:rPr>
        <w:t>.25 Các bên đều đồng ý rằng hiệp định ngăn Anh đánh thuế một công ty Mauritius đối với lợi nhuận từ phát triển đất đai nếu công ty đó không có cơ sở thường trú tại Anh. Tuy nhiên, Tòa án</w:t>
      </w:r>
    </w:p>
    <w:p>
      <w:pPr>
        <w:spacing w:after="80"/>
      </w:pPr>
      <w:r>
        <w:rPr>
          <w:b w:val="0"/>
          <w:i w:val="0"/>
        </w:rPr>
        <w:t>21.</w:t>
      </w:r>
      <w:r>
        <w:rPr>
          <w:b w:val="0"/>
          <w:i/>
        </w:rPr>
        <w:t>Barclays Mercantile Business Finance Ltd v Mawson (HM Inspector of Taxes)</w:t>
      </w:r>
      <w:r>
        <w:rPr>
          <w:b w:val="0"/>
          <w:i w:val="0"/>
        </w:rPr>
        <w:t xml:space="preserve"> [2005] STC 1, [2004] BTC 414; [2004] UKHL 51 tại đoạn 36.22.Bình luận (2104) cho Điều 1, các đoạn 7.1-9.4 và 22-23. Xem Bình luận OECD 2017, trong đó bàn chi tiết hơn về vấn đề này, các đoạn 54-80.23.Xem §17.05.24.ITA 2007, Phần 13, Chương 2, coi thu nhập của một người không cư trú tại Anh là thu nhập của một cư dân Anh đã chuyển tài sản trực tiếp hoặc gián tiếp cho người không cư trú đó, nếu người chuyển nhượng đó có ‘quyền hưởng thụ’ được định nghĩa rộng đối với thu nhập của người không cư trú phát sinh từ việc chuyển nhượng đó.25.</w:t>
      </w:r>
      <w:r>
        <w:rPr>
          <w:b w:val="0"/>
          <w:i/>
        </w:rPr>
        <w:t>Andrew Davies and Others v Revenue and Customs</w:t>
      </w:r>
      <w:r>
        <w:rPr>
          <w:b w:val="0"/>
          <w:i w:val="0"/>
        </w:rPr>
        <w:t xml:space="preserve"> [2020] UKUT 67 (TCC), [2020] STC 649.</w:t>
      </w:r>
    </w:p>
    <w:p>
      <w:pPr>
        <w:spacing w:after="80"/>
      </w:pPr>
      <w:r>
        <w:rPr>
          <w:b w:val="0"/>
          <w:i w:val="0"/>
        </w:rPr>
        <w:t>479</w:t>
      </w:r>
    </w:p>
    <w:p>
      <w:pPr>
        <w:spacing w:after="80"/>
      </w:pPr>
      <w:r>
        <w:rPr>
          <w:b w:val="0"/>
          <w:i w:val="0"/>
        </w:rPr>
        <w:t>đã ủng hộ lập luận của HMRC rằng hiệp định không ngăn Anh đánh thuế thu nhập đó, với hai lý do. Thứ nhất, Điều 7 chỉ áp dụng cho ‘doanh nghiệp’ chứ không áp dụng cho bất kỳ ai khác, và thứ hai, luật Chuyển tài sản ra nước ngoài ‘đánh thuế thu nhập đó như thu nhập có tính chất hỗn hợp chứ không phải như lợi nhuận kinh doanh’ phát sinh cho người nộp thuế trong phạm vi Điều 7. Theo quan điểm của tác giả, cả hai lý do đều sai lầm. Đặc biệt, mối quan hệ đúng đắn giữa luật trong nước đòi hỏi phải áp dụng luật trong nước trước. Nếu tồn tại một nghĩa vụ theo luật trong nước, thì việc áp dụng hiệp định đối với nghĩa vụ thuế phát sinh ở Anh sẽ được xác định. Bước thứ hai này thuần túy là một vấn đề giải thích hiệp định.26</w:t>
      </w:r>
    </w:p>
    <w:p>
      <w:pPr>
        <w:spacing w:after="80"/>
      </w:pPr>
      <w:r>
        <w:rPr>
          <w:b w:val="0"/>
          <w:i w:val="0"/>
        </w:rPr>
        <w:t>Giờ đây phải tạo ra một ngoại lệ khi xem xét quy tắc chống lạm dụng chung (general anti-abuse rule - GAAR) được đưa ra bởi Phần 5 và Phụ lục 41 của FA 2013 nhằm chống lại các lợi ích thuế phát sinh từ những dàn xếp thuế mang tính lạm dụng. Mục 209(1) quy định rằng mọi quy tắc ưu tiên trong pháp luật thuế đều có hiệu lực tùy thuộc vào GAAR. Khoản 209(3)(b) đặt quy tắc trong TIOPA 2010, s. 6(1) (phải thực hiện các dàn xếp đánh thuế hai lần bất chấp bất kỳ quy định nào trong luật thành văn) một cách rõ ràng tùy thuộc vào GAAR. Hàm ý trong việc ghi đè hiệp định này ắt hẳn là niềm tin rằng quan điểm trong Bình luận OECD cho rằng các quy định chống tránh thuế trong nước không xung đột với các quy tắc hiệp định không phải là một phần của luật Anh, và do đó, cần phải có một quy định ghi đè mang tính lập pháp để đảm bảo rằng GAAR trong nước có hiệu lực cao hơn các hiệp định.27 Việc đưa ra bài kiểm tra mục đích chính (principal purpose test - PPT)28 sẽ làm giảm tầm quan trọng của việc ghi đè hiệp định này. GAAR áp dụng cho ‘các dàn xếp thuế’ mang tính ‘lạm dụng’.29 ‘Các dàn xếp thuế’ là những dàn xếp mà nếu xét đến mọi tình huống, sẽ là hợp lý khi kết luận rằng mục đích chính hoặc một trong những mục đích chính của dàn xếp là để đạt được một lợi ích thuế.30 Việc một trong những mục đích chính có phải là đạt được lợi ích thuế hay không mang tính chủ quan; tức là, đó là vấn đề về ý định của các bên trừ khi luật liên quan đã biến nó thành khách quan.31 Trong trường hợp này, luật đã biến bài kiểm tra thành khách quan. Các dàn xếp là ‘lạm dụng’ nếu việc tham gia vào chúng hoặc thực hiện chúng không thể được coi một cách hợp lý là một hành động hợp lý liên quan đến các quy định thuế liên quan khi xét đến mọi tình huống.32 Một lần nữa, đây là một bài kiểm tra khách quan. ‘Lợi ích thuế’ bao gồm:</w:t>
      </w:r>
    </w:p>
    <w:p>
      <w:pPr>
        <w:spacing w:after="80"/>
      </w:pPr>
      <w:r>
        <w:rPr>
          <w:b w:val="0"/>
          <w:i w:val="0"/>
        </w:rPr>
        <w:t>(a) giảm thuế hoặc tăng mức giảm thuế; (b) hoàn thuế hoặc tăng mức hoàn thuế;</w:t>
      </w:r>
    </w:p>
    <w:p>
      <w:pPr>
        <w:spacing w:after="80"/>
      </w:pPr>
      <w:r>
        <w:rPr>
          <w:b w:val="0"/>
          <w:i w:val="0"/>
        </w:rPr>
        <w:t>(c)tránh hoặc giảm một khoản thuế phải nộp hoặc một khoản đánh thuế;(d)tránh một khoản đánh thuế có thể xảy ra;</w:t>
      </w:r>
    </w:p>
    <w:p>
      <w:pPr>
        <w:spacing w:after="80"/>
      </w:pPr>
      <w:r>
        <w:rPr>
          <w:b w:val="0"/>
          <w:i w:val="0"/>
        </w:rPr>
        <w:t>(e)hoãn việc nộp thuế hoặc đẩy nhanh việc hoàn thuế; và</w:t>
      </w:r>
    </w:p>
    <w:p>
      <w:pPr>
        <w:spacing w:after="80"/>
      </w:pPr>
      <w:r>
        <w:rPr>
          <w:b w:val="0"/>
          <w:i w:val="0"/>
        </w:rPr>
        <w:t>26.Xem: Schwarz, J.</w:t>
      </w:r>
      <w:r>
        <w:rPr>
          <w:b w:val="0"/>
          <w:i/>
        </w:rPr>
        <w:t xml:space="preserve"> The Relationship Between Treaties and Domestic Anti-abuse Provisions</w:t>
      </w:r>
      <w:r>
        <w:rPr>
          <w:b w:val="0"/>
          <w:i w:val="0"/>
        </w:rPr>
        <w:t>, KluwerInternationalTaxBlog,22June2020http://kluwertaxblog.com/2020/06/22/the-relationship-between-treaties-and-domestic-anti-abuse-provisions/.27.XemChương2,đặcbiệt§2.07,§2.13và§2.14vềmối quan hệ giữa các hiệp định và pháp luật trong nước.28.Xem Chương 18, §18.02.29.FA 2013, s. 203(1).30.FA 2013, s. 204(1).31.</w:t>
      </w:r>
      <w:r>
        <w:rPr>
          <w:b w:val="0"/>
          <w:i/>
        </w:rPr>
        <w:t>Sema Group Pension Scheme Trustees v Inland Revenue Commissioners</w:t>
      </w:r>
      <w:r>
        <w:rPr>
          <w:b w:val="0"/>
          <w:i w:val="0"/>
        </w:rPr>
        <w:t xml:space="preserve"> [2002] EWCA Civ 1857,[2003] STC 95, [2003] BTC 106, tại đoạn 113.32.FA 2013, s. 204(2).</w:t>
      </w:r>
    </w:p>
    <w:p>
      <w:pPr>
        <w:spacing w:after="80"/>
      </w:pPr>
      <w:r>
        <w:rPr>
          <w:b w:val="0"/>
          <w:i w:val="0"/>
        </w:rPr>
        <w:t>480</w:t>
      </w:r>
    </w:p>
    <w:p>
      <w:pPr>
        <w:spacing w:after="80"/>
      </w:pPr>
      <w:r>
        <w:rPr>
          <w:b w:val="0"/>
          <w:i w:val="0"/>
        </w:rPr>
        <w:t>(f)tránh nghĩa vụ khấu trừ hoặc hạch toán thuế.33</w:t>
      </w:r>
    </w:p>
    <w:p>
      <w:pPr>
        <w:spacing w:after="80"/>
      </w:pPr>
      <w:r>
        <w:rPr>
          <w:b w:val="0"/>
          <w:i w:val="0"/>
        </w:rPr>
        <w:t>Các lợi thế về thuế phát sinh từ những thỏa thuận lạm dụng thuế được chống lại bằng việc thực hiện các điều chỉnh công bằng và hợp lý, hoặc đối với khoản thuế đang được đề cập hoặc bất kỳ khoản thuế nào khác mà GAAR áp dụng.34</w:t>
      </w:r>
    </w:p>
    <w:p>
      <w:pPr>
        <w:spacing w:after="80"/>
      </w:pPr>
      <w:r>
        <w:rPr>
          <w:b w:val="0"/>
          <w:i w:val="0"/>
        </w:rPr>
        <w:t>Quan điểm của HMRC về việc áp dụng GAAR đối với các hiệp định được trình bày trong Hướng dẫn dự thảo như sau:</w:t>
      </w:r>
    </w:p>
    <w:p>
      <w:pPr>
        <w:spacing w:after="80"/>
      </w:pPr>
      <w:r>
        <w:rPr>
          <w:b w:val="0"/>
          <w:i w:val="0"/>
        </w:rPr>
        <w:t>Nhiều quy tắc đã được thiết lập của thuế quốc tế được quy định trong các hiệp định đánh thuế hai lần. Những quy tắc này bao gồm, ví dụ, việc phân bổ lợi nhuận cho các chi nhánh hoặc giữa các công ty trong tập đoàn của các doanh nghiệp đa quốc gia, và việc phân chia quyền đánh thuế cho các Quốc gia khác nhau nơi các doanh nghiệp đó hoạt động. Việc các thỏa thuận chỉ đơn thuần được hưởng lợi từ những quy tắc này không có nghĩa là các thỏa thuận đó cấu thành hành vi lạm dụng, và do đó GAAR không thể được áp dụng cho chúng. Theo đó, nhiều trường hợp thuộc loại đã tạo ra rất nhiều cuộc tranh luận trên truyền thông và tại Nghị viện trong những tháng dẫn đến việc ban hành GAAR không thể được xử lý bằng GAAR. (Tuy nhiên, hiện đang có công việc được tiến hành tại OECD về việc bào mòn cơ sở thuế và chuyển dịch lợi nhuận).</w:t>
      </w:r>
    </w:p>
    <w:p>
      <w:pPr>
        <w:spacing w:after="80"/>
      </w:pPr>
      <w:r>
        <w:rPr>
          <w:b w:val="0"/>
          <w:i w:val="0"/>
        </w:rPr>
        <w:t>Tuy nhiên, khi có những thỏa thuận lạm dụng cố gắng khai thác các quy định cụ thể trong một hiệp định đánh thuế hai lần, hoặc cách thức mà những quy định đó tương tác với các quy định khác của pháp luật thuế Vương quốc Anh, thì GAAR có thể được áp dụng để chống lại các thỏa thuận lạm dụng đó.35</w:t>
      </w:r>
    </w:p>
    <w:p>
      <w:pPr>
        <w:spacing w:after="80"/>
      </w:pPr>
      <w:r>
        <w:rPr>
          <w:b w:val="0"/>
          <w:i w:val="0"/>
        </w:rPr>
        <w:t xml:space="preserve">Ví dụ duy nhất được cung cấp trong hướng dẫn ban đầu của HMRC về khả năng áp dụng GAAR đối với các hiệp định dựa trên </w:t>
      </w:r>
      <w:r>
        <w:rPr>
          <w:b w:val="0"/>
          <w:i/>
        </w:rPr>
        <w:t>R(ontheapplicationofHuitson)vRevenueandCustoms Commissioners</w:t>
      </w:r>
      <w:r>
        <w:rPr>
          <w:b w:val="0"/>
          <w:i w:val="0"/>
        </w:rPr>
        <w:t>,36 một trường hợp mà HMRC đã chọn luật hồi tố ghi đè hiệp định thay vì tranh tụng về hiệu lực của kế hoạch này. Các lập luận của HMRC để bảo vệ luật hồi tố bao gồm những nghi ngờ về triển vọng thành công của họ trước tòa án.37 Mặc dù Thẩm phán Kenneth Parker cho rằng hiệu lực thuế của các thỏa thuận này còn xa mới rõ ràng,38 việc xem xét các vụ án liên quan đến lạm dụng hiệp định cho thấy rằng tòa án sẽ có rất ít sự khoan dung đối với kế hoạch này.39 Thuế Lợi nhuận Chuyển hướng tại Vương quốc Anh theo FA2015, Phần 3,40 mặc dù tác động đến các cơ sở thường trú và các giao dịch giữa các doanh nghiệp liên kết thường nằm trong phạm vi của các hiệp định thuế, được thiết kế để hoạt động ngoài tầm với của các hiệp định đó.</w:t>
      </w:r>
    </w:p>
    <w:p>
      <w:pPr>
        <w:spacing w:after="80"/>
      </w:pPr>
      <w:r>
        <w:rPr>
          <w:b w:val="0"/>
          <w:i w:val="0"/>
        </w:rPr>
        <w:t>33.FA 2013, s. 205.34.FA 2013, s. 206.35.HMRC’sGAARGuidance(ApprovedbytheAdvisoryPanelwitheffectfrom15April2013),paras B.2 and B.3.36.</w:t>
      </w:r>
      <w:r>
        <w:rPr>
          <w:b w:val="0"/>
          <w:i/>
        </w:rPr>
        <w:t>R (on the application of Huitson) v Revenue &amp; Customs Commissioners</w:t>
      </w:r>
      <w:r>
        <w:rPr>
          <w:b w:val="0"/>
          <w:i w:val="0"/>
        </w:rPr>
        <w:t xml:space="preserve"> [2010] STC 715, [2010]BTC 175 [2010] EWHC 97 (Admin); HMRC’S GAAR Guidance (Approved by the Advisory Panelwith effect from 15 April 2013), para. D.12.5.37.See</w:t>
      </w:r>
      <w:r>
        <w:rPr>
          <w:b w:val="0"/>
          <w:i/>
        </w:rPr>
        <w:t>R(ontheapplicationofHuitson)vRevenue&amp;CustomsCommissioners</w:t>
      </w:r>
      <w:r>
        <w:rPr>
          <w:b w:val="0"/>
          <w:i w:val="0"/>
        </w:rPr>
        <w:t>[2010]STC715,[2010] BTC 175 [2010] EWHC 97 (Admin), paras 45-72.38.At para. 72.39.See §17.18.40.See Chapter 2, §2.15, Chapter 7, §7.15 and Chapter 9, §9.17.</w:t>
      </w:r>
    </w:p>
    <w:p>
      <w:pPr>
        <w:spacing w:after="80"/>
      </w:pPr>
      <w:r>
        <w:rPr>
          <w:b w:val="0"/>
          <w:i w:val="0"/>
        </w:rPr>
        <w:t>481</w:t>
      </w:r>
    </w:p>
    <w:p>
      <w:pPr>
        <w:spacing w:after="80"/>
      </w:pPr>
      <w:r>
        <w:rPr>
          <w:b/>
          <w:i w:val="0"/>
        </w:rPr>
        <w:t>§17.04MUA BÁN HIỆP ĐỊNH</w:t>
      </w:r>
    </w:p>
    <w:p>
      <w:pPr>
        <w:spacing w:after="80"/>
      </w:pPr>
      <w:r>
        <w:rPr>
          <w:b w:val="0"/>
          <w:i w:val="0"/>
        </w:rPr>
        <w:t>Chủ đề mua bán hiệp định có lẽ là một trong những vấn đề chính sách cốt lõi xung quanh sự phát triển của các hiệp định đánh thuế hai lần. Ý nghĩa chính xác của thuật ngữ này không rõ ràng và thường được hiểu theo nghĩa miệt thị. Đây là chủ đề chính được xác định để phân tích dưới tiêu đề ‘Sử dụng không đúng cách công ước’ trong Bình luận về Mô hình Công ước OECD. Nhiều thuật ngữ khác đã được sử dụng, chẳng hạn như lạm dụng hiệp định và giới hạn lợi ích trong bối cảnh của cùng một vấn đề, mặc dù những khái niệm này có thể có phạm vi rộng hơn so với mua bán hiệp định, mà hiện nay được OECD xác định là một hình thức ‘sử dụng không đúng cách’ các hiệp định đặc biệt phổ biến.41</w:t>
      </w:r>
    </w:p>
    <w:p>
      <w:pPr>
        <w:spacing w:after="80"/>
      </w:pPr>
      <w:r>
        <w:rPr>
          <w:b w:val="0"/>
          <w:i w:val="0"/>
        </w:rPr>
        <w:t>Các vấn đề liên quan đến việc sử dụng không đúng cách các hiệp định đã được Ủy ban về Các vấn đề Tài chính của OECD xem xét chi tiết. Năm 1987, ủy ban này đã công bố Báo cáo về Các Công ty Dẫn vốn và Báo cáo về Các Công ty Cơ sở. Những kết luận chính của các báo cáo đó hiện được đưa vào phần bình luận chính thức đối với Mô hình OECD. Báo cáo về Các Công ty Dẫn vốn coi việc sử dụng không đúng cách các hiệp định tồn tại khi có ‘một người (dù là cư dân của một Quốc gia ký kết hay không) hành động thông qua một pháp nhân được thành lập tại một quốc gia với mục đích chính hoặc duy nhất là đạt được các lợi ích hiệp định mà người đó sẽ không được hưởng trực tiếp’.</w:t>
      </w:r>
    </w:p>
    <w:p>
      <w:pPr>
        <w:spacing w:after="80"/>
      </w:pPr>
      <w:r>
        <w:rPr>
          <w:b w:val="0"/>
          <w:i w:val="0"/>
        </w:rPr>
        <w:t>Mua bán hiệp định có thể được xem xét theo cách tương tự như hành vi tránh thuế.42 Cần phải phân biệt giữa cách sử dụng thông tục và cách sử dụng pháp lý của cụm từ này. Cách sử dụng thông tục được Rosenbloom43 diễn đạt ngắn gọn như sau:</w:t>
      </w:r>
    </w:p>
    <w:p>
      <w:pPr>
        <w:spacing w:after="80"/>
      </w:pPr>
      <w:r>
        <w:rPr>
          <w:b w:val="0"/>
          <w:i w:val="0"/>
        </w:rPr>
        <w:t>‘Mua bán hiệp định’ (treaty shopping) – một thuật ngữ phổ biến khác – lại gây nhầm lẫn theo một nghĩa khác. Nó gợi lên ý niệm về một nỗ lực có tính toán trước nhằm tận dụng mạng lưới hiệp định thuế quốc tế, và việc lựa chọn cẩn thận hiệp định có lợi nhất cho một mục đích cụ thể. Thuật ngữ này vì vậy tập trung vào một trạng thái tinh thần – cụ thể là sự lựa chọn có chủ đích giữa các khu vực tài phán theo hiệp định.</w:t>
      </w:r>
    </w:p>
    <w:p>
      <w:pPr>
        <w:spacing w:after="80"/>
      </w:pPr>
      <w:r>
        <w:rPr>
          <w:b w:val="0"/>
          <w:i w:val="0"/>
        </w:rPr>
        <w:t>Việc sử dụng thuật ngữ này theo nghĩa thông thường trong bối cảnh chính sách thuế rộng, thông qua tham chiếu đến các hệ quả về doanh thu, được thể hiện rõ trong Báo cáo cuối cùng về Hành động 6 của OECD BEPS:</w:t>
      </w:r>
    </w:p>
    <w:p>
      <w:pPr>
        <w:spacing w:after="80"/>
      </w:pPr>
      <w:r>
        <w:rPr>
          <w:b w:val="0"/>
          <w:i w:val="0"/>
        </w:rPr>
        <w:t>Người nộp thuế tham gia vào mua bán hiệp định và các chiến lược lạm dụng hiệp định khác làm suy yếu chủ quyền thuế bằng cách đòi các quyền lợi theo hiệp định trong những tình huống mà các quyền lợi này không được dự định ban cho, qua đó tước đi doanh thu thuế của các quốc gia.44</w:t>
      </w:r>
    </w:p>
    <w:p>
      <w:pPr>
        <w:spacing w:after="80"/>
      </w:pPr>
      <w:r>
        <w:rPr>
          <w:b w:val="0"/>
          <w:i w:val="0"/>
        </w:rPr>
        <w:t>41.Xem Bình luận (2014) về điều 1, đoạn 11. Vấn đề này hiện nay phần lớn đã được giải quyết trong điều 29 của OECD Model 2017.42.Xem §17.02.43.Rosenbloom,H.D.</w:t>
      </w:r>
      <w:r>
        <w:rPr>
          <w:b w:val="0"/>
          <w:i/>
        </w:rPr>
        <w:t>TaxTreatyAbuse:PoliciesandIssues</w:t>
      </w:r>
      <w:r>
        <w:rPr>
          <w:b w:val="0"/>
          <w:i w:val="0"/>
        </w:rPr>
        <w:t>,LawandPolicyinInternationalBusiness, 15(3) 1983, tr. 763, 776.44.OECD (2015), Preventing the Granting of Treaty Benefits in Inappropriate Circumstances, Action6–2015FinalReport,OECD/G20BaseErosionandProfitShiftingProject,tr.9,tómtắtđiềuhành.BảnthânBáocáocuốicùngvềHànhđộng6cũngtậptrungvàomộttrạngtháitinhthần:‘CómộtsốthỏathuậnmàquamộtngườikhôngphảilàcưdâncủaMộtQuốcgiaKýkếtcóthểtìmcáchthuđượccácquyềnlợimàmộthiệpđịnhthuếdànhchocưdâncủaQuốcgiakýkếtđó.Các thỏa thuận này thường được gọi là “mua bán hiệp định”. Các trường hợp mua bán hiệp định thường liên quan đến những người là cư dân của các Quốc gia thứ ba tìm cách tiếp cận gián tiếp các quyền lợi của một hiệp định giữa hai Quốc gia Ký kết.’ Tại đoạn 17. Xem nói chung, các đoạn 17-24.</w:t>
      </w:r>
    </w:p>
    <w:p>
      <w:pPr>
        <w:spacing w:after="80"/>
      </w:pPr>
      <w:r>
        <w:rPr>
          <w:b w:val="0"/>
          <w:i w:val="0"/>
        </w:rPr>
        <w:t>482</w:t>
      </w:r>
    </w:p>
    <w:p>
      <w:pPr>
        <w:spacing w:after="80"/>
      </w:pPr>
      <w:r>
        <w:rPr>
          <w:b w:val="0"/>
          <w:i w:val="0"/>
        </w:rPr>
        <w:t xml:space="preserve">Tòa án Cấp cao đã lưu ý trong </w:t>
      </w:r>
      <w:r>
        <w:rPr>
          <w:b w:val="0"/>
          <w:i/>
        </w:rPr>
        <w:t xml:space="preserve"> Aozora GMAC Investment Ltd, R (On the Application of)v HMRC</w:t>
      </w:r>
      <w:r>
        <w:rPr>
          <w:b w:val="0"/>
          <w:i w:val="0"/>
        </w:rPr>
        <w:t>,45 rằng mua bán hiệp định là một vấn đề ‘chính sách công’ thể hiện trong điều 23 (Giới hạn quyền lợi) của Hiệp định Thuế Thu nhập giữa Vương quốc Anh và Hoa Kỳ theo yêu cầu của Hoa Kỳ.46</w:t>
      </w:r>
    </w:p>
    <w:p>
      <w:pPr>
        <w:spacing w:after="80"/>
      </w:pPr>
      <w:r>
        <w:rPr>
          <w:b w:val="0"/>
          <w:i w:val="0"/>
        </w:rPr>
        <w:t>Việc sử dụng thuật ngữ này trong các hiệp định duy nhất là ở phần mở đầu hiện đại được thông qua, ví dụ, trong hiệp định thuế giữa Columbia và Vương quốc Anh, trong đó đề cập đến ‘các thỏa thuận mua bán hiệp định nhằm đạt được các khoản giảm trừ được quy định trong Công ước này vì lợi ích gián tiếp của cư dân các Quốc gia thứ ba’. Đọc trong ngữ cảnh, thuật ngữ này được giới hạn trong các trường hợp ‘tạo cơ hội cho việc không bị đánh thuế hoặc giảm thuế thông qua việc… tránh thuế’.47 Bình luận của OECD xác định mua bán hiệp định là một ví dụ của việc tránh thuế.48</w:t>
      </w:r>
    </w:p>
    <w:p>
      <w:pPr>
        <w:spacing w:after="80"/>
      </w:pPr>
      <w:r>
        <w:rPr>
          <w:b w:val="0"/>
          <w:i w:val="0"/>
        </w:rPr>
        <w:t>Sự thiếu rõ ràng và việc hòa trộn giữa nghĩa thông thường và bất kỳ nghĩa pháp lý khả dĩ nào chắc chắn là nguồn gốc của các tranh chấp.</w:t>
      </w:r>
    </w:p>
    <w:p>
      <w:pPr>
        <w:spacing w:after="80"/>
      </w:pPr>
      <w:r>
        <w:rPr>
          <w:b w:val="0"/>
          <w:i w:val="0"/>
        </w:rPr>
        <w:t>Ở mức độ thực tiễn hơn, mọi hình thức mua bán hiệp định đều liên quan đến việc người nộp thuế lựa chọn từ nhiều hiệp định thuế khác nhau có thể có sẵn thông qua việc sử dụng các thực thể trung gian nhằm tạo ra số thuế phải nộp ít nhất. Yếu tố trong mua bán hiệp định được Báo cáo về Công ty Dẫn vốn (Conduit Company Report) xác định là không thích đáng chính là việc mua bán hiệp định liên quan đến việc đòi quyền lợi của các hiệp định thuế bởi những người được coi là không có mối liên hệ cần thiết với quốc gia mà hiệp định họ tìm cách hưởng lợi. Những mối liên hệ đó có thể là gì, nếu có, ngoài những mối liên hệ được nêu trong các điều 1 và 4 của Model, khi không có các quy định giới hạn quyền lợi,49 thì vẫn chưa rõ ràng.</w:t>
      </w:r>
    </w:p>
    <w:p>
      <w:pPr>
        <w:spacing w:after="80"/>
      </w:pPr>
      <w:r>
        <w:rPr>
          <w:b w:val="0"/>
          <w:i w:val="0"/>
        </w:rPr>
        <w:t>Một yếu tố thực tiễn quan trọng là sự tương tác giữa các hiệp định được lựa chọn và luật thuế nội địa của các quốc gia ký kết liên quan để tạo ra sự giảm thuế tổng thể đáng kể. Trong một số trường hợp, các quốc gia ký kết đã cố ý cung cấp những cơ chế như vậy như một vấn đề chính sách. Trong những trường hợp khác, điều này phát sinh do luật thuế nội địa cho phép điều đó mà không cố ý đặt ra để làm như vậy. Chương này tập trung vào các khía cạnh hiệp định. Tác động của mua bán hiệp định chủ yếu là đối với quốc gia nguồn. Nó có thể liên quan đến các quyền lợi thuế ở quốc gia cư trú, ví dụ, khi các khoản tín dụng miễn thuế (tax sparing credits) được tìm kiếm.</w:t>
      </w:r>
    </w:p>
    <w:p>
      <w:pPr>
        <w:spacing w:after="80"/>
      </w:pPr>
      <w:r>
        <w:rPr>
          <w:b w:val="0"/>
          <w:i w:val="0"/>
        </w:rPr>
        <w:t>Nói chung có những động lực đáng kể để người nộp thuế tham gia vào mua bán hiệp định trong các giao dịch quốc tế, hoặc vì số lượng hiệp định mà một quốc gia đã ký kết còn hạn chế, hoặc vì sự không nhất quán trong chính sách hiệp định. Vương quốc Anh, ví dụ, có hơn 130 hiệp định bao phủ toàn bộ OECD, phần lớn các nước Đông Âu và một số lượng lớn các nước đang phát triển và kém phát triển hơn. Một số ít hiệp định theo phong cách thuộc địa cũ, nhưng phần lớn đều theo các mô hình OECD khác nhau. Các hiệp định gần đây hơn với các nước đang phát triển cho thấy một số</w:t>
      </w:r>
    </w:p>
    <w:p>
      <w:pPr>
        <w:spacing w:after="80"/>
      </w:pPr>
      <w:r>
        <w:rPr>
          <w:b w:val="0"/>
          <w:i w:val="0"/>
        </w:rPr>
        <w:t>45.</w:t>
      </w:r>
      <w:r>
        <w:rPr>
          <w:b w:val="0"/>
          <w:i/>
        </w:rPr>
        <w:t>Aozora GMAC Investment Ltd, R (On the Application of) v Revenue and Customs</w:t>
      </w:r>
      <w:r>
        <w:rPr>
          <w:b w:val="0"/>
          <w:i w:val="0"/>
        </w:rPr>
        <w:t xml:space="preserve"> [2017] EWHC2881,[2018]STC11,[2017]BTC36,tạiđoạn21.XemChương15,§15.03vềtínhkhảdụngcủacứutrợtíndụng.46.Tại các đoạn 20, 21 và 79. Đoạn 79 lưu ý rằng mua bán hiệp định dường như không xuất hiện như một mối quan tâm cụ thể của chính sách công Vương quốc Anh. Tòa án lưu ý rằng có những lý do kinh doanh độc lập chính đáng để một công ty dịch vụ tài chính Nhật Bản thành lập một công ty con tại Vương quốc Anh để thực hiện hoạt động đang được đề cập (tại đoạn 100). Người ta cũng đồng ý rằng công ty không tìm cách tham gia vào việc tránh thuế (tại đoạn 78).47.Xem thêm, Chương 18, §18.02.48.OECD(2017),ModelTaxConventiononIncomeandonCapital:CondensedVersion2017,phầnGiớithiệuđoạn16.1.49.Xem §17.15 và Chương 18, §18.02.</w:t>
      </w:r>
    </w:p>
    <w:p>
      <w:pPr>
        <w:spacing w:after="80"/>
      </w:pPr>
      <w:r>
        <w:rPr>
          <w:b w:val="0"/>
          <w:i w:val="0"/>
        </w:rPr>
        <w:t>483</w:t>
      </w:r>
    </w:p>
    <w:p>
      <w:pPr>
        <w:spacing w:after="80"/>
      </w:pPr>
      <w:r>
        <w:rPr>
          <w:b w:val="0"/>
          <w:i w:val="0"/>
        </w:rPr>
        <w:t>ảnh hưởng của UN Model. Ngay cả MLI50 cũng đưa ra nhiều lựa chọn cho các bên ký kết, tạo ra những mối quan hệ thuế song phương rất khác nhau. Ở một mức độ nào đó, việc hiện nay có quá nhiều quốc gia có các quy định hiệp định tương đối chuẩn hóa với Vương quốc Anh đã loại bỏ một phần động lực mua bán hiệp định ở mức khá sơ khai. Do đó, trong nhiều trường hợp, ví dụ, việc sử dụng các quốc gia dẫn vốn để đảm bảo mức thuế khấu trừ được giảm, các quyền lợi về cơ sở thường trú hoặc các quyền lợi hiệp định khác trong các tình huống đơn giản được giảm bớt đơn giản vì hiệp định tồn tại với rất nhiều quốc gia nơi các nhà đầu tư đặt trụ sở. Tuy nhiên, Vương quốc Anh có các mối liên kết thương mại và đầu tư quan trọng với các quốc gia nơi không có hiệp định nào được thiết lập, và thực sự là nơi có những khác biệt cơ bản về chính sách thuế giữa quốc gia nơi các nhà đầu tư hoặc thương nhân đặt trụ sở và Vương quốc Anh. Theo đó, ngay cả khi các hiệp định tồn tại, có đủ sự khác biệt giữa chúng để khuyến khích người nộp thuế cố gắng lựa chọn những hiệp định mang lại sự đối xử có lợi nhất.</w:t>
      </w:r>
    </w:p>
    <w:p>
      <w:pPr>
        <w:spacing w:after="80"/>
      </w:pPr>
      <w:r>
        <w:rPr>
          <w:b/>
          <w:i w:val="0"/>
        </w:rPr>
        <w:t>§17.05 CÁC SỬA ĐỔI ĐỐI VỚI BÌNH LUẬN CỦA OECD NĂM 2003 VÀ 2017</w:t>
      </w:r>
    </w:p>
    <w:p>
      <w:pPr>
        <w:spacing w:after="80"/>
      </w:pPr>
      <w:r>
        <w:rPr>
          <w:b w:val="0"/>
          <w:i w:val="0"/>
        </w:rPr>
        <w:t>Những thay đổi triệt để và gây tranh cãi đã được thực hiện đối với Bình luận của OECD Model vào năm 2003 nhằm theo đuổi một chương trình nghị sự chống tránh thuế.51 Những thay đổi này là kết quả của ba báo cáo: ‘Dự thảo nội dung cập nhật năm 2002 cho Model Tax Convention’, ngày 2 tháng 10 năm 2001, ‘Hạn chế quyền lợi theo hiệp định’, ngày 7 tháng 11 năm 2002, và ‘Cập nhật năm 2003 của OECD Model Tax Convention’, ngày 28 tháng 1 năm 2003. Bình luận do đó khẳng định rằng ‘một mục đích của các hiệp định thuế là ngăn chặn việc tránh thuế’.52 Phần thảo luận được mở rộng đáng kể về việc sử dụng không thích đáng các hiệp định đã đặt ra hai câu hỏi cơ bản – cụ thể là, liệu các quyền lợi theo hiệp định có phải được ban cho khi các giao dịch cấu thành sự lạm dụng các quy định đó hay không, và liệu các quy định cụ thể và các quy tắc án lệ của luật nội địa nhằm ngăn chặn việc lạm dụng thuế có xung đột với các quy định của hiệp định hay không.53 Bình luận đã cố gắng thiết lập một quy tắc chống tránh thuế chung yêu cầu các hiệp định phải được giải thích theo cách ngăn chặn việc tránh thuế. Các thuật ngữ được sử dụng phản ánh ngôn ngữ thường được dùng trong luật nội địa của Vương quốc Anh, cụ thể là, khi ‘một mục đích chính của việc tham gia vào các giao dịch hoặc thỏa thuận nhất định là để đảm bảo một vị thế thuế có lợi hơn và việc đạt được sự đối xử có lợi hơn đó trong những hoàn cảnh đó sẽ trái với đối tượng và mục đích của các quy định liên quan’.54 Cách sử dụng thông thường tương tự cũng được áp dụng cho các tham chiếu đến việc tránh thuế theo nghĩa chính sách để mô tả những thiếu sót trong các quy định của hiệp định, cũng như tham chiếu đến các giao dịch có thể được thực hiện</w:t>
      </w:r>
    </w:p>
    <w:p>
      <w:pPr>
        <w:spacing w:after="80"/>
      </w:pPr>
      <w:r>
        <w:rPr>
          <w:b w:val="0"/>
          <w:i w:val="0"/>
        </w:rPr>
        <w:t>50.Xem Chương 18.51.Xem ví dụ, Arnold, B.J.</w:t>
      </w:r>
      <w:r>
        <w:rPr>
          <w:b w:val="0"/>
          <w:i/>
        </w:rPr>
        <w:t>Tax Treaties and Tax Avoidance: The 2003 Revisions to the Commentary to the OECD Model</w:t>
      </w:r>
      <w:r>
        <w:rPr>
          <w:b w:val="0"/>
          <w:i w:val="0"/>
        </w:rPr>
        <w:t>, Bulletin for International Taxation, 58(6) 2004; Jimenez, A.</w:t>
      </w:r>
      <w:r>
        <w:rPr>
          <w:b w:val="0"/>
          <w:i/>
        </w:rPr>
        <w:t>The 2003 Revision of the OECD Commentaries on the Improper Use of Tax Treaties: A Case for the Declining Effect of the OECD Commentaries?</w:t>
      </w:r>
      <w:r>
        <w:rPr>
          <w:b w:val="0"/>
          <w:i w:val="0"/>
        </w:rPr>
        <w:t>, Bulletin for International Taxation, 58(6) 2004, tr.17.52.Bình luận (2014) về điều 1, đoạn 7.53.Bình luận (2014) về điều 1, đoạn 9.1.54.Xem Bình luận (2014) về điều 1, các đoạn 9.2-9.5.</w:t>
      </w:r>
    </w:p>
    <w:p>
      <w:pPr>
        <w:spacing w:after="80"/>
      </w:pPr>
      <w:r>
        <w:rPr>
          <w:b w:val="0"/>
          <w:i w:val="0"/>
        </w:rPr>
        <w:t>484</w:t>
      </w:r>
    </w:p>
    <w:p>
      <w:pPr>
        <w:spacing w:after="80"/>
      </w:pPr>
      <w:r>
        <w:rPr>
          <w:b w:val="0"/>
          <w:i w:val="0"/>
        </w:rPr>
        <w:t xml:space="preserve">không hiệu quả do áp dụng học thuyết pháp lý, như đã xuất hiện trong </w:t>
      </w:r>
      <w:r>
        <w:rPr>
          <w:b w:val="0"/>
          <w:i/>
        </w:rPr>
        <w:t>International Handbook</w:t>
      </w:r>
      <w:r>
        <w:rPr>
          <w:b w:val="0"/>
          <w:i w:val="0"/>
        </w:rPr>
        <w:t xml:space="preserve"> của Vương quốc Anh, được phản ánh trong Bình luận đã sửa đổi.55</w:t>
      </w:r>
    </w:p>
    <w:p>
      <w:pPr>
        <w:spacing w:after="80"/>
      </w:pPr>
      <w:r>
        <w:rPr>
          <w:b w:val="0"/>
          <w:i/>
        </w:rPr>
        <w:t>International Manual</w:t>
      </w:r>
      <w:r>
        <w:rPr>
          <w:b w:val="0"/>
          <w:i w:val="0"/>
        </w:rPr>
        <w:t xml:space="preserve"> hiện nay viết: ‘Một mục tiêu quan trọng không kém [của các hiệp định song phương] là cố gắng đảm bảo rằng người nộp thuế không lợi dụng các điều khoản của hiệp định và sự khác biệt giữa các hệ thống thuế ở mỗi quốc gia cho mục đích tránh thuế’.56</w:t>
      </w:r>
    </w:p>
    <w:p>
      <w:pPr>
        <w:spacing w:after="80"/>
      </w:pPr>
      <w:r>
        <w:rPr>
          <w:b w:val="0"/>
          <w:i w:val="0"/>
        </w:rPr>
        <w:t xml:space="preserve">Các lập luận mà HMRC đưa ra trong </w:t>
      </w:r>
      <w:r>
        <w:rPr>
          <w:b w:val="0"/>
          <w:i/>
        </w:rPr>
        <w:t>Revenue and Customs Commissioners v Smallwood &amp; Anor</w:t>
      </w:r>
      <w:r>
        <w:rPr>
          <w:b w:val="0"/>
          <w:i w:val="0"/>
        </w:rPr>
        <w:t>57 theo hướng này cho rằng ‘[c]ác mục đích của Hiệp định, theo tiêu đề của Công ước như được nêu trong Phụ lục của văn bản luật định, bao gồm việc ngăn chặn hành vi trốn thuế. Nếu các lập luận của người nộp thuế là đúng thì nó sẽ đã tạo điều kiện, hoặc ít nhất là thúc đẩy, hành vi trốn thuế’.58 Họ bày tỏ quan điểm ôn hòa hơn trong lập luận tại Tòa phúc thẩm rằng ‘Mục đích của nó đặc biệt không phải là tạo điều kiện cho việc tránh thuế ở cả hai khu vực tài phán.’59</w:t>
      </w:r>
    </w:p>
    <w:p>
      <w:pPr>
        <w:spacing w:after="80"/>
      </w:pPr>
      <w:r>
        <w:rPr>
          <w:b w:val="0"/>
          <w:i w:val="0"/>
        </w:rPr>
        <w:t>Phần này của Bình luận được đề cập trong một Tuyên bố chung của Vương quốc Anh và Đức nhân dịp Ký kết Hiệp định Thuế Thu nhập Đức-Anh vào ngày 30 tháng 3 năm 2010.60 Tuyên bố viết:</w:t>
      </w:r>
    </w:p>
    <w:p>
      <w:pPr>
        <w:spacing w:after="80"/>
      </w:pPr>
      <w:r>
        <w:rPr>
          <w:b/>
          <w:i w:val="0"/>
        </w:rPr>
        <w:t>1. Sử dụng không đúng Công ước</w:t>
      </w:r>
    </w:p>
    <w:p>
      <w:pPr>
        <w:spacing w:after="80"/>
      </w:pPr>
      <w:r>
        <w:rPr>
          <w:b w:val="0"/>
          <w:i w:val="0"/>
        </w:rPr>
        <w:t>Xét đến các đoạn 7 đến 12 của Bình luận về Điều 1 của công ước thuế mẫu OECD, cần hiểu rằng Công ước này sẽ không được giải thích theo nghĩa rằng một Quốc gia ký kết bị ngăn cản áp dụng các quy định pháp luật trong nước về việc ngăn chặn hành vi trốn thuế hoặc tránh thuế khi các quy định đó được sử dụng để thách thức các thỏa thuận cấu thành hành vi lạm dụng Công ước.</w:t>
      </w:r>
    </w:p>
    <w:p>
      <w:pPr>
        <w:spacing w:after="80"/>
      </w:pPr>
      <w:r>
        <w:rPr>
          <w:b w:val="0"/>
          <w:i w:val="0"/>
        </w:rPr>
        <w:t>Cũng cần hiểu thêm rằng hành vi lạm dụng Công ước xảy ra khi một mục đích chính của việc thực hiện các giao dịch hoặc thỏa thuận nhất định là để đảm bảo một vị thế thuế thuận lợi hơn và việc đạt được sự đối xử thuận lợi hơn đó trong những hoàn cảnh này sẽ trái với đối tượng và mục đích của các điều khoản liên quan của Công ước.</w:t>
      </w:r>
    </w:p>
    <w:p>
      <w:pPr>
        <w:spacing w:after="80"/>
      </w:pPr>
      <w:r>
        <w:rPr>
          <w:b w:val="0"/>
          <w:i w:val="0"/>
        </w:rPr>
        <w:t>Mục tiêu có khả năng nhất của việc đưa ra tuyên bố chung là để tránh những câu hỏi nảy sinh liên quan đến việc sử dụng đúng đắn Bình luận OECD trong việc giải thích các hiệp định. Nó được thể hiện như một quy tắc đặc biệt để giải thích hiệp định. Địa vị pháp lý của tuyên bố không rõ ràng. Nó có khả năng là một thỏa thuận liên quan đến hiệp định gắn với việc ký kết hiệp định đó như được công nhận bởi điều 31(2)(a) của Công ước Vienna về Luật Hiệp định.61 Do đó, nó tạo thành một phần của bối cảnh cho mục đích giải thích hiệp định. Như một quy tắc giải thích, nó là một trong những công cụ để hiểu ý nghĩa</w:t>
      </w:r>
    </w:p>
    <w:p>
      <w:pPr>
        <w:spacing w:after="80"/>
      </w:pPr>
      <w:r>
        <w:rPr>
          <w:b w:val="0"/>
          <w:i w:val="0"/>
        </w:rPr>
        <w:t>55.Bình luận (2014) về điều 1, đoạn 10.56.HMRC, International Manual, INTM152010.57.</w:t>
      </w:r>
      <w:r>
        <w:rPr>
          <w:b w:val="0"/>
          <w:i/>
        </w:rPr>
        <w:t>Revenue and Customs Commissioners v Smallwood &amp; Anor</w:t>
      </w:r>
      <w:r>
        <w:rPr>
          <w:b w:val="0"/>
          <w:i w:val="0"/>
        </w:rPr>
        <w:t>[2010]STC2045[2010]BTC637[2010] EWCA Civ 778.58.Xem Tòa án cấp cao</w:t>
      </w:r>
      <w:r>
        <w:rPr>
          <w:b w:val="0"/>
          <w:i/>
        </w:rPr>
        <w:t xml:space="preserve"> Smallwood &amp; Anor (trustees of the Trevor Smallwood Settlement) v Revenue and Customs Commissioners</w:t>
      </w:r>
      <w:r>
        <w:rPr>
          <w:b w:val="0"/>
          <w:i w:val="0"/>
        </w:rPr>
        <w:t xml:space="preserve"> [2009] STC 1222 [2009] BTC 135 [2009] EWHC 777 (Ch) tại đoạn 30.59.Xem</w:t>
      </w:r>
      <w:r>
        <w:rPr>
          <w:b w:val="0"/>
          <w:i/>
        </w:rPr>
        <w:t xml:space="preserve"> Revenue and Customs Commissioners v Smallwood &amp; Anor</w:t>
      </w:r>
      <w:r>
        <w:rPr>
          <w:b w:val="0"/>
          <w:i w:val="0"/>
        </w:rPr>
        <w:t xml:space="preserve"> [2010] STC 2045 [2010] BTC 637[2010] EWCA Civ 778 tại đoạn 23.60.Công ước giữa Vương quốc Liên hiệp Anh và Bắc Ireland và Cộng hòa Liên bang Đức về việc Tránh Đánh thuế Hai lần và Ngăn chặn Hành vi Trốn thuế đối với Thuế Thu nhập và Thuế Tài sản ngày 30 tháng 3 năm 2010 (SI 2010/2975).61.Xem Chương 4, §4.04.</w:t>
      </w:r>
    </w:p>
    <w:p>
      <w:pPr>
        <w:spacing w:after="80"/>
      </w:pPr>
      <w:r>
        <w:rPr>
          <w:b w:val="0"/>
          <w:i w:val="0"/>
        </w:rPr>
        <w:t>485</w:t>
      </w:r>
    </w:p>
    <w:p>
      <w:pPr>
        <w:spacing w:after="80"/>
      </w:pPr>
      <w:r>
        <w:rPr>
          <w:b w:val="0"/>
          <w:i w:val="0"/>
        </w:rPr>
        <w:t>của hiệp định, và theo đó, các điều khoản hiệp định được áp dụng trong những hoàn cảnh cụ thể sẽ cần được giải thích để xem xét mức độ mà các quy định trong nước về việc ngăn chặn hành vi trốn thuế hoặc tránh thuế được bảo lưu. Đoạn thứ hai đặt ra một ý nghĩa của hành vi lạm dụng, về cơ bản tương ứng với các điều khoản về mục đích được tìm thấy trong các hiệp định của Vương quốc Anh.62</w:t>
      </w:r>
    </w:p>
    <w:p>
      <w:pPr>
        <w:spacing w:after="80"/>
      </w:pPr>
      <w:r>
        <w:rPr>
          <w:b w:val="0"/>
          <w:i w:val="0"/>
        </w:rPr>
        <w:t>Sau Báo cáo Cuối cùng về Hành động 6 của BEPS vào tháng 10 năm 2015,63 Bình luận về điều 1 của Mô hình OECD lại được sửa đổi liên quan đến việc sử dụng không đúng các hiệp định đánh thuế hai lần để phản ánh các khuyến nghị của báo cáo đó. Việc đưa ra PPT,64 một quy tắc chống lạm dụng chung, như điều 29(9) của Công ước Mô hình OECD 2017, đặt ra một câu hỏi về cuộc thảo luận được giới thiệu trong Bình luận năm 2003 rằng, về nguyên tắc, một quy tắc chống lạm dụng vốn có trong các hiệp định đánh thuế hai lần như một vấn đề giải thích. Bình luận 2017 giải quyết điều này bằng cách tuyên bố rằng PPT mới trong điều 29(9) chỉ đơn thuần xác nhận nguyên tắc đó.65 Nếu đúng như vậy, thì OECD đã đi những bước dài bất thường để làm điều đó khi thực hiện Hành động 6 và biến PPT thành nền tảng của tiêu chuẩn tối thiểu trong MLI. Cũng không rõ ràng tại sao hành vi lạm dụng hiệp định lại được xác định là một trong những nguồn lo ngại quan trọng nhất của BEPS, và các hành vi lạm dụng được xác định lại bị chống lại nếu công cụ phòng ngừa chính đã có sẵn ở đó.</w:t>
      </w:r>
    </w:p>
    <w:p>
      <w:pPr>
        <w:spacing w:after="80"/>
      </w:pPr>
      <w:r>
        <w:rPr>
          <w:b/>
          <w:i w:val="0"/>
        </w:rPr>
        <w:t>§17.06CÁC BIỆN PHÁP CHỐNG LẠM DỤNG DỰA TRÊN HIỆP ĐỊNH</w:t>
      </w:r>
    </w:p>
    <w:p>
      <w:pPr>
        <w:spacing w:after="80"/>
      </w:pPr>
      <w:r>
        <w:rPr>
          <w:b w:val="0"/>
          <w:i w:val="0"/>
        </w:rPr>
        <w:t>Phần này và những phần tiếp theo tập trung vào các điều khoản hiệp định có thể hạn chế việc mua bán hiệp định (treaty shopping) như được áp dụng trong các hiệp định của Vương quốc Anh. Chỉ những biện pháp giải quyết mục đích của các giao dịch hoặc thỏa thuận mới có thể được coi là biện pháp chống lạm dụng.66 Các biện pháp khác nhằm ngăn chặn việc cấp các lợi ích hiệp định trong những hoàn cảnh không phù hợp từ góc độ chính sách chỉ đơn thuần định nghĩa hẹp hơn phạm vi của lợi ích đang được đề cập.67 Các lợi ích hiệp định thường chỉ dành cho cư dân của một quốc gia ký kết trong các hiệp định hiện đại. Vấn đề đó được xem xét đầy đủ hơn trong Chương 6. Các biện pháp nhằm vào việc mua bán hiệp định sẽ giải quyết vấn đề cư trú như là mối liên hệ thông thường được yêu cầu với một quốc gia ký kết.</w:t>
      </w:r>
    </w:p>
    <w:p>
      <w:pPr>
        <w:spacing w:after="80"/>
      </w:pPr>
      <w:r>
        <w:rPr>
          <w:b/>
          <w:i w:val="0"/>
        </w:rPr>
        <w:t>§17.07 QUYỀN SỞ HỮU HƯỞNG LỢI</w:t>
      </w:r>
    </w:p>
    <w:p>
      <w:pPr>
        <w:spacing w:after="80"/>
      </w:pPr>
      <w:r>
        <w:rPr>
          <w:b w:val="0"/>
          <w:i w:val="0"/>
        </w:rPr>
        <w:t>Các Điều 10, 11 và 12 của OECD Model chỉ cho phép giảm hoặc loại bỏ thuế tại quốc gia nguồn đối với ‘chủ sở hữu hưởng lợi’ (beneficial owner). Bản Bình luận OECD Model</w:t>
      </w:r>
      <w:r>
        <w:rPr>
          <w:b w:val="0"/>
          <w:i/>
        </w:rPr>
        <w:t xml:space="preserve"> </w:t>
      </w:r>
      <w:r>
        <w:rPr>
          <w:b w:val="0"/>
          <w:i w:val="0"/>
        </w:rPr>
        <w:t>68 gợi ý rằng khái niệm quyền sở hữu hưởng lợi thực sự giải quyết ít nhất</w:t>
      </w:r>
    </w:p>
    <w:p>
      <w:pPr>
        <w:spacing w:after="80"/>
      </w:pPr>
      <w:r>
        <w:rPr>
          <w:b w:val="0"/>
          <w:i w:val="0"/>
        </w:rPr>
        <w:t>62. Xem §17.13. 63. OECD (2015), Preventing the Granting of Treaty Benefits in Inappropriate Circumstances, Action 6 – 2015 Final Report. 64. Được thảo luận như nó xuất hiện trong MLI, tại Chương 18, §18.02. 65. Bình luận về Điều 1, đoạn 61. 66. Xem §17.12, §17.13 và Chương 18, §18.02. 67. Những biện pháp này, ngoài quyền sở hữu hưởng lợi, được thảo luận trong các chương đề cập đến các điều khoản thực chất của hiệp định. 68. Bình luận về Điều 1, đoạn 10.</w:t>
      </w:r>
    </w:p>
    <w:p>
      <w:pPr>
        <w:spacing w:after="80"/>
      </w:pPr>
      <w:r>
        <w:rPr>
          <w:b w:val="0"/>
          <w:i w:val="0"/>
        </w:rPr>
        <w:t>486</w:t>
      </w:r>
    </w:p>
    <w:p>
      <w:pPr>
        <w:spacing w:after="80"/>
      </w:pPr>
      <w:r>
        <w:rPr>
          <w:b w:val="0"/>
          <w:i w:val="0"/>
        </w:rPr>
        <w:t>một số tình huống lạm dụng hiệp định không đúng đắn. Cho đến năm 2003,69 Bản Bình luận chỉ đưa ra hướng dẫn khiêm tốn về ý nghĩa của thuật ngữ chủ sở hữu hưởng lợi. Bình luận duy nhất trong Bản Bình luận là gợi ý rằng các lợi ích hiệp định không được áp dụng khi một trung gian như đại lý hoặc người được chỉ định (nominee) được xen vào giữa người thụ hưởng và người thanh toán.70</w:t>
      </w:r>
    </w:p>
    <w:p>
      <w:pPr>
        <w:spacing w:after="80"/>
      </w:pPr>
      <w:r>
        <w:rPr>
          <w:b w:val="0"/>
          <w:i w:val="0"/>
        </w:rPr>
        <w:t>Các sửa đổi năm 2003 đối với Bản Bình luận đã đưa vào gợi ý từ Báo cáo về Công ty Dẫn vốn (Conduit Company Report), rằng các lợi ích hiệp định sẽ không được áp dụng trong trường hợp một người ký kết hợp đồng hoặc nhận nghĩa vụ mà theo đó người đó có chức năng tương tự như chức năng của một người được chỉ định hoặc đại lý. Điều này gợi ý rằng một công ty dẫn vốn thông thường không thể được coi là chủ sở hữu hưởng lợi nếu, mặc dù là chủ sở hữu chính thức của một số tài sản nhất định, nó có quyền hạn rất hạn chế khiến nó chỉ là một người được ủy thác hoặc một người quản lý hành động thay mặt cho các bên có quyền lợi.71 Báo cáo về Công ty Dẫn vốn coi những bên như vậy rất có thể là các cổ đông của công ty dẫn vốn. Khi nhận ra những khó khăn trong việc giải quyết vấn đề này, cả Bản Bình luận và Báo cáo về Công ty Dẫn vốn đều gợi ý rằng các quốc gia ký kết nên làm rõ vấn đề này thêm trong quá trình đàm phán. Mặc dù khái niệm quyền sở hữu hưởng lợi phổ biến trong các điều khoản về cổ tức, tiền lãi và tiền bản quyền của các hiệp định Vương quốc Anh, không có định nghĩa hoặc giải thích đặc biệt nào về khái niệm này được tìm thấy trong bất kỳ hiệp định nào, như được Báo cáo về Công ty Dẫn vốn đề xuất, ngoại trừ trong Hiệp định Vương quốc Anh - Nhật Bản. Ví dụ, điều khoản về tiền bản quyền bao gồm những điều sau:</w:t>
      </w:r>
    </w:p>
    <w:p>
      <w:pPr>
        <w:spacing w:after="80"/>
      </w:pPr>
      <w:r>
        <w:rPr>
          <w:b w:val="0"/>
          <w:i w:val="0"/>
        </w:rPr>
        <w:t>12(5) Một cư dân của một Quốc gia Ký kết sẽ không được coi là chủ sở hữu hưởng lợi của tiền bản quyền liên quan đến việc sử dụng tài sản vô hình nếu những khoản tiền bản quyền đó sẽ không được trả cho cư dân đó trừ khi cư dân đó trả tiền bản quyền liên quan đến cùng tài sản vô hình đó cho một người:</w:t>
      </w:r>
    </w:p>
    <w:p>
      <w:pPr>
        <w:spacing w:after="80"/>
      </w:pPr>
      <w:r>
        <w:rPr>
          <w:b w:val="0"/>
          <w:i w:val="0"/>
        </w:rPr>
        <w:t>(a) không được hưởng các lợi ích liên quan đến tiền bản quyền phát sinh tại Quốc gia Ký kết kia</w:t>
      </w:r>
    </w:p>
    <w:p>
      <w:pPr>
        <w:spacing w:after="80"/>
      </w:pPr>
      <w:r>
        <w:rPr>
          <w:b w:val="0"/>
          <w:i w:val="0"/>
        </w:rPr>
        <w:t>mà tương đương hoặc thuận lợi hơn so với những lợi ích dành cho cư dân của Quốc gia Ký kết được đề cập đầu tiên theo Công ước này; và (b) không phải là cư dân của cả hai Quốc gia Ký kết.</w:t>
      </w:r>
    </w:p>
    <w:p>
      <w:pPr>
        <w:spacing w:after="80"/>
      </w:pPr>
      <w:r>
        <w:rPr>
          <w:b w:val="0"/>
          <w:i w:val="0"/>
        </w:rPr>
        <w:t>Hạn chế về lợi ích này được nhìn nhận đúng đắn hơn như một quy tắc xuyên qua (look-through rule),72</w:t>
      </w:r>
    </w:p>
    <w:p>
      <w:pPr>
        <w:spacing w:after="80"/>
      </w:pPr>
      <w:r>
        <w:rPr>
          <w:b w:val="0"/>
          <w:i w:val="0"/>
        </w:rPr>
        <w:t>bất chấp cách diễn đạt chính thức của nó như một sự giải thích ý nghĩa của các từ ngữ. Nó không làm sáng tỏ nhiều về ý nghĩa thông thường của chúng ngoài việc gợi ý rằng một cư dân như vậy sẽ là chủ sở hữu hưởng lợi nếu không có quy định này.</w:t>
      </w:r>
    </w:p>
    <w:p>
      <w:pPr>
        <w:spacing w:after="80"/>
      </w:pPr>
      <w:r>
        <w:rPr>
          <w:b w:val="0"/>
          <w:i w:val="0"/>
        </w:rPr>
        <w:t>Khái niệm quyền sở hữu hưởng lợi đã không xuất hiện trong Dự thảo Công ước OECD năm 1963. Nó được đưa vào OECD Model năm 1977 và đã được giữ lại trong tất cả các hiệp định mẫu, bao gồm cả Công ước Mẫu của Liên Hợp Quốc về Tránh Đánh Thuế Hai Lần giữa các Quốc gia Phát triển và Đang phát triển, cũng như Hiệp định Mẫu của Hoa Kỳ. Mục đích của việc đưa vào khái niệm quyền sở hữu hưởng lợi là không rõ ràng. Ủy ban về Các vấn đề Tài chính của OECD dường như ban đầu đã xem xét việc đặt các lợi ích hiệp định phụ thuộc vào việc các khoản thanh toán phải chịu thuế tại quốc gia cư trú nhưng đã chọn khái niệm quyền sở hữu hưởng lợi</w:t>
      </w:r>
    </w:p>
    <w:p>
      <w:pPr>
        <w:spacing w:after="80"/>
      </w:pPr>
      <w:r>
        <w:rPr>
          <w:b w:val="0"/>
          <w:i w:val="0"/>
        </w:rPr>
        <w:t xml:space="preserve">69. Được thảo luận trong bối cảnh </w:t>
      </w:r>
      <w:r>
        <w:rPr>
          <w:b w:val="0"/>
          <w:i/>
        </w:rPr>
        <w:t>Indofood</w:t>
      </w:r>
      <w:r>
        <w:rPr>
          <w:b w:val="0"/>
          <w:i w:val="0"/>
        </w:rPr>
        <w:t xml:space="preserve"> (xem phần sau trong đoạn này). 70. Bình luận về Điều 10, đoạn 12; Điều 11, đoạn 8; và Điều 12, đoạn 4. 71. Xem hiện nay, Bình luận về Điều 10, đoạn 12.4. 72. Xem §17.14.</w:t>
      </w:r>
    </w:p>
    <w:p>
      <w:pPr>
        <w:spacing w:after="80"/>
      </w:pPr>
      <w:r>
        <w:rPr>
          <w:b w:val="0"/>
          <w:i w:val="0"/>
        </w:rPr>
        <w:t>487</w:t>
      </w:r>
    </w:p>
    <w:p>
      <w:pPr>
        <w:spacing w:after="80"/>
      </w:pPr>
      <w:r>
        <w:rPr>
          <w:b w:val="0"/>
          <w:i w:val="0"/>
        </w:rPr>
        <w:t>thay vào vị trí đó. Cách tiếp cận phụ thuộc vào việc chịu thuế sẽ liên quan đến nhiều câu hỏi phân bổ khác nhau và các vấn đề phát sinh, và do đó cách diễn đạt ‘quyền sở hữu hưởng lợi’ cuối cùng đã được đồng ý.73 Quan điểm trước đây này của OECD đã thể hiện rõ ràng trong các hiệp định vẫn còn hiệu lực từ giữa những năm 1960 đến đầu những năm 1970,74 mà không có yêu cầu về quyền sở hữu hưởng lợi nhưng áp đặt một bài kiểm tra phụ thuộc vào việc chịu thuế.</w:t>
      </w:r>
    </w:p>
    <w:p>
      <w:pPr>
        <w:spacing w:after="80"/>
      </w:pPr>
      <w:r>
        <w:rPr>
          <w:b w:val="0"/>
          <w:i w:val="0"/>
        </w:rPr>
        <w:t>Phần lớn các hiệp định của Vương quốc Anh có các điều khoản về cổ tức, tiền lãi hoặc tiền bản quyền không đề cập đến quyền sở hữu hưởng lợi nhưng không có yêu cầu phụ thuộc vào việc chịu thuế, là những hiệp định có từ cuối những năm 1940 và đầu những năm 1950 liên quan đến các thuộc địa cũ. Do đó, chủ yếu là các điều khoản về tiền bản quyền có thể có bất kỳ ý nghĩa thực tiễn nào trong bối cảnh này.</w:t>
      </w:r>
    </w:p>
    <w:p>
      <w:pPr>
        <w:spacing w:after="80"/>
      </w:pPr>
      <w:r>
        <w:rPr>
          <w:b w:val="0"/>
          <w:i w:val="0"/>
        </w:rPr>
        <w:t>Một nhóm các hiệp định khác của Vương quốc Anh sau này không bao gồm khái niệm quyền sở hữu thực hưởng (beneficial ownership) là các hiệp định với Đức (1964), Malaysia (1973), Namibia (1962), Bồ Đào Nha (1969) và Singapore (1966). Trong các hiệp định này, các điều khoản liên quan về lãi và tiền bản quyền quy định rằng việc giảm thuế khấu trừ tại quốc gia nguồn chỉ được áp dụng nếu các khoản thu nhập đó phải chịu thuế tại quốc gia cư trú của người nhận. Do đó, trên thực tế, nếu chủ sở hữu thực hưởng của cổ phần là người không cư trú tại bất kỳ quốc gia ký kết nào trong số đó và không phải chịu thuế tại các quốc gia ký kết đó, thì các ưu đãi thuế của Vương quốc Anh sẽ không được áp dụng. Như vậy, mọi khoản thu nhập đang xét đều phải được nhận bởi một cư dân của quốc gia ký kết đó, người phải chịu thuế đối với khoản thu nhập đó tại quốc gia cư trú đang xét.</w:t>
      </w:r>
    </w:p>
    <w:p>
      <w:pPr>
        <w:spacing w:after="80"/>
      </w:pPr>
      <w:r>
        <w:rPr>
          <w:b w:val="0"/>
          <w:i w:val="0"/>
        </w:rPr>
        <w:t>Nếu việc đưa thêm tham chiếu đến quyền sở hữu thực hưởng vào các hiệp định sau này được cho là cần thiết, thì có lẽ điều này nhằm phân biệt giữa chủ sở hữu thực hưởng và chủ sở hữu hợp pháp. Đối với những hiệp định không đề cập đến quyền sở hữu thực hưởng, ví dụ như Điều 7 của Hiệp định Antigua-Vương quốc Anh, điều này sẽ cho phép các ủy thác viên cư trú tại đó yêu cầu các ưu đãi theo hiệp định đối với tiền bản quyền ngay cả khi một số hoặc có thể tất cả những người thụ hưởng cư trú ở nơi khác. Vogel còn gợi ý rằng dựa trên cách tiếp cận ‘bản chất hơn hình thức’ (substance over form), cách diễn đạt mới thực ra không đưa ra một khái niệm mới mà chỉ đơn thuần làm rõ lập trường hiện có. Kết luận này dường như không nhất quán với quan điểm rằng Ủy ban Các vấn đề Tài chính của OECD coi quyền sở hữu thực hưởng như một giải pháp thay thế cho cách tiếp cận ‘phải chịu thuế’ khi giải quyết vấn đề tránh thuế được nhận thấy phát sinh từ cách diễn đạt trước đó.</w:t>
      </w:r>
    </w:p>
    <w:p>
      <w:pPr>
        <w:spacing w:after="80"/>
      </w:pPr>
      <w:r>
        <w:rPr>
          <w:b/>
          <w:i w:val="0"/>
        </w:rPr>
        <w:t>[A]Vụ án Indofood</w:t>
      </w:r>
    </w:p>
    <w:p>
      <w:pPr>
        <w:spacing w:after="80"/>
      </w:pPr>
      <w:r>
        <w:rPr>
          <w:b w:val="0"/>
          <w:i w:val="0"/>
        </w:rPr>
        <w:t xml:space="preserve">Không có gì trong các Điều 10, 11 hoặc 12 gợi ý rằng, với tư cách là một thuật ngữ không được định nghĩa, một ý nghĩa khác với ý nghĩa theo luật trong nước thông qua việc áp dụng Điều 3(2) nên được áp dụng khi liên quan đến thuế của Vương quốc Anh. Trong </w:t>
      </w:r>
      <w:r>
        <w:rPr>
          <w:b w:val="0"/>
          <w:i/>
        </w:rPr>
        <w:t>Indofood International Finance Ltd v J P Morgan Chase Bank N.A</w:t>
      </w:r>
      <w:r>
        <w:rPr>
          <w:b w:val="0"/>
          <w:i w:val="0"/>
        </w:rPr>
        <w:t>,75 các tòa án Anh được yêu cầu xem xét ý nghĩa của ‘chủ sở hữu thực hưởng’ trong điều khoản về lãi của Hiệp định Indonesia-Hà Lan. Khi làm như vậy, các tòa án phải quyết định xem một tòa án thuế Indonesia sẽ quyết định như thế nào trong hoàn cảnh không có</w:t>
      </w:r>
    </w:p>
    <w:p>
      <w:pPr>
        <w:spacing w:after="80"/>
      </w:pPr>
      <w:r>
        <w:rPr>
          <w:b w:val="0"/>
          <w:i w:val="0"/>
        </w:rPr>
        <w:t>73.Xem Klaus Vogel về Các Công ước Đánh thuế Hai lần, ấn bản thứ 4, Lời tựa cho các Điều 10-12, đoạn 21, tr. 716.74.Các Hiệp định của Vương quốc Anh với Đức, Malaysia, Singapore và Bồ Đào Nha - Hiệp định Thuế Vương quốc Anh (1968).75.</w:t>
      </w:r>
      <w:r>
        <w:rPr>
          <w:b w:val="0"/>
          <w:i/>
        </w:rPr>
        <w:t>Indofood International Finance Ltd v J P Morgan Chase Bank N.A</w:t>
      </w:r>
      <w:r>
        <w:rPr>
          <w:b w:val="0"/>
          <w:i w:val="0"/>
        </w:rPr>
        <w:t xml:space="preserve"> [2006] STC 1195, [2006] BTC 8003; [2006] EWCA Civ 158.</w:t>
      </w:r>
    </w:p>
    <w:p>
      <w:pPr>
        <w:spacing w:after="80"/>
      </w:pPr>
      <w:r>
        <w:rPr>
          <w:b w:val="0"/>
          <w:i w:val="0"/>
        </w:rPr>
        <w:t>488</w:t>
      </w:r>
    </w:p>
    <w:p>
      <w:pPr>
        <w:spacing w:after="80"/>
      </w:pPr>
      <w:r>
        <w:rPr>
          <w:b w:val="0"/>
          <w:i w:val="0"/>
        </w:rPr>
        <w:t>ý nghĩa pháp lý trong nước của cụm từ này. Trong bối cảnh như vậy, tòa án không có lựa chọn nào khác ngoài việc dựa vào các kỹ thuật giải thích quốc tế, vì không thể tham chiếu đến luật trong nước. Cần lưu ý rằng vụ án liên quan đến một tranh chấp thương mại, trong đó không có cơ quan thuế nào là một bên và các luật sư thương mại (chứ không phải luật sư thuế, chứ chưa nói đến luật sư thuế có kinh nghiệm về các vấn đề hiệp định) đã tranh luận vụ án cho cả hai bên. Vụ án liên quan đến việc phát hành trái phiếu của một công ty mục đích đặc biệt (SPV) là công ty con của một công ty Indonesia, số tiền thu được từ đó được cho công ty mẹ vay.</w:t>
      </w:r>
    </w:p>
    <w:p>
      <w:pPr>
        <w:spacing w:after="80"/>
      </w:pPr>
      <w:r>
        <w:rPr>
          <w:b w:val="0"/>
          <w:i w:val="0"/>
        </w:rPr>
        <w:t>Ở cấp sơ thẩm, tại Phòng Chancery,76 Thẩm phán Evans-Lombe phát hiện rằng SPV kiếm được mức chênh lệch 0,005% giữa lãi nhận được và lãi phải trả. Ông phát hiện rằng SPV không phải là người được ủy thác hay đại lý cho bất kỳ bên nào khác. Vì nó không phải là bất kỳ loại người được ủy thác hay người được tín thác nào, nên nó có quyền định đoạt khoản lãi khi nhận được theo ý muốn của mình, mặc dù nó sẽ bị ràng buộc bởi nghĩa vụ hợp đồng phải sử dụng số tiền thu được từ các khoản thanh toán lãi để thực hiện các nghĩa vụ đó theo việc phát hành trái phiếu.77 Ông kết luận:</w:t>
      </w:r>
    </w:p>
    <w:p>
      <w:pPr>
        <w:spacing w:after="80"/>
      </w:pPr>
      <w:r>
        <w:rPr>
          <w:b w:val="0"/>
          <w:i w:val="0"/>
        </w:rPr>
        <w:t>Đối với tôi, rõ ràng rằng trong trường hợp không có bất kỳ mối quan hệ ủy thác hay tín thác nào … trong trường hợp [SPV] mất khả năng thanh toán, khoản lãi chưa được phân phối nhận được từ Bên Bảo lãnh Công ty Mẹ sẽ là tài sản của [SPV] để phân chia cho các chủ nợ nói chung của nó, bao gồm cả [các trái chủ], theo tỷ lệ ngang bằng.78</w:t>
      </w:r>
    </w:p>
    <w:p>
      <w:pPr>
        <w:spacing w:after="80"/>
      </w:pPr>
      <w:r>
        <w:rPr>
          <w:b w:val="0"/>
          <w:i w:val="0"/>
        </w:rPr>
        <w:t>Đối với tôi, dường như không có sự mơ hồ nào trong việc áp dụng khái niệm quyền sở hữu thực hưởng đối với giao dịch cho vay như được đề xuất tái cấu trúc. Chủ sở hữu thực hưởng của khoản lãi nhận được theo một giao dịch cho vay phải là bên cho vay… Không có nghĩa nào mà [SPV] lại hành động như người được ủy thác hay người quản lý cho… các Trái chủ… Các Trái chủ sẽ không có quyền yêu cầu trở thành chủ sở hữu thực hưởng của khoản lãi. Họ sẽ không ở vị trí có thể yêu cầu khoản lãi từ Bên Bảo lãnh Công ty Mẹ và vì lý do đó hay lý do khác để cho rằng [SPV] sẽ giữ khoản lãi khi nhận được theo dạng ủy thác cho họ. … Sẽ phải có một thực thể nào đó đủ điều kiện là chủ sở hữu thực hưởng của khoản lãi. Đối với tôi, dường như sẽ chỉ có một ứng viên cho điều đó, cụ thể là [SPV].79</w:t>
      </w:r>
    </w:p>
    <w:p>
      <w:pPr>
        <w:spacing w:after="80"/>
      </w:pPr>
      <w:r>
        <w:rPr>
          <w:b w:val="0"/>
          <w:i w:val="0"/>
        </w:rPr>
        <w:t>Tòa Phúc thẩm đã đảo ngược kết luận này, quyết định rằng SPV không phải là chủ sở hữu thực hưởng của khoản lãi. Những nhận xét của Tòa Phúc thẩm về các phát hiện thực tế, vốn khác với những gì thẩm phán xét xử sơ thẩm đã phát hiện, rõ ràng đã có tác động đến các kết luận của tòa. Tòa Phúc thẩm phát hiện rằng:80</w:t>
      </w:r>
    </w:p>
    <w:p>
      <w:pPr>
        <w:spacing w:after="80"/>
      </w:pPr>
      <w:r>
        <w:rPr>
          <w:b w:val="0"/>
          <w:i w:val="0"/>
        </w:rPr>
        <w:t>Bên Bảo lãnh Công ty Mẹ có nghĩa vụ thanh toán khoản lãi hai ngày làm việc trước ngày đáo hạn vào tài khoản được Bên Phát hành [SPV] chỉ định cho mục đích đó. Bên Phát hành [SPV] có nghĩa vụ thanh toán khoản lãi đến hạn cho các trái chủ một ngày làm việc trước ngày đáo hạn vào tài khoản do Đại lý Thanh toán Chính chỉ định. Đại lý Thanh toán Chính có nghĩa vụ thanh toán cho các trái chủ vào ngày đáo hạn.… Bên Phát hành [SPV] có nghĩa vụ chuyển tiếp cho Đại lý Thanh toán Chính những gì nó nhận được từ Bên Bảo lãnh Công ty Mẹ vì nó bị ngăn cấm tìm tiền từ bất kỳ nguồn nào khác theo các Điều kiện Trái phiếu.</w:t>
      </w:r>
    </w:p>
    <w:p>
      <w:pPr>
        <w:spacing w:after="80"/>
      </w:pPr>
      <w:r>
        <w:rPr>
          <w:b w:val="0"/>
          <w:i w:val="0"/>
        </w:rPr>
        <w:t>76.</w:t>
      </w:r>
      <w:r>
        <w:rPr>
          <w:b w:val="0"/>
          <w:i/>
        </w:rPr>
        <w:t>Indofood International Finance Ltd v J P Morgan Chase Bank N.A</w:t>
      </w:r>
      <w:r>
        <w:rPr>
          <w:b w:val="0"/>
          <w:i w:val="0"/>
        </w:rPr>
        <w:t xml:space="preserve"> [2006] STC 192, [2005] BTC 8023; [2005] EWHC 2103 (Ch).77.Đoạn 46.78.Đoạn 49.79.Đoạn 50.80.Đoạn 43.</w:t>
      </w:r>
    </w:p>
    <w:p>
      <w:pPr>
        <w:spacing w:after="80"/>
      </w:pPr>
      <w:r>
        <w:rPr>
          <w:b w:val="0"/>
          <w:i w:val="0"/>
        </w:rPr>
        <w:t>489</w:t>
      </w:r>
    </w:p>
    <w:p>
      <w:pPr>
        <w:spacing w:after="80"/>
      </w:pPr>
      <w:r>
        <w:rPr>
          <w:b w:val="0"/>
          <w:i w:val="0"/>
        </w:rPr>
        <w:t>Do đó, Tòa Phúc thẩm phát hiện, khác với thẩm phán xét xử sơ thẩm, rằng không có mức chênh lệch nào giữa lãi nhận được và lãi phải trả. Có vẻ như khoản lãi đã không được thanh toán cho SPV. Tòa coi việc cả SPV không phải là người được ủy thác, đại lý hay người được ủy thác cho các trái chủ hay bất kỳ ai khác liên quan đến khoản lãi phải thu là không mang tính quyết định. Việc không có bất kỳ quyền được bảo đảm nào của một trái chủ đối với khoản lãi phải thu từ Bên Bảo lãnh Công ty Mẹ, hay quyền yêu cầu khoản lãi đó, cũng không mang tính quyết định. Về cả phương diện thương mại lẫn thực tiễn, SPV có nghĩa vụ chuyển tiếp những gì nó nhận được, và đó chính là điều thực sự đã xảy ra. Bên Bảo lãnh Công ty Mẹ có nghĩa vụ đảm bảo rằng thỏa thuận như vậy tiếp tục tồn tại vì nó có thể được yêu cầu thanh toán lại theo bảo lãnh của mình cho các trái chủ. Ngài Andrew Morritt đã áp dụng ý nghĩa của quyền sở hữu thực hưởng trong một lá thư thông tư từ Thanh tra Thuế Indonesia là ‘toàn quyền được hưởng lợi trực tiếp từ khoản thu nhập’. Ông kết luận:</w:t>
      </w:r>
    </w:p>
    <w:p>
      <w:pPr>
        <w:spacing w:after="80"/>
      </w:pPr>
      <w:r>
        <w:rPr>
          <w:b w:val="0"/>
          <w:i w:val="0"/>
        </w:rPr>
        <w:t>Trên thực tế, không thể hình dung được bất kỳ hoàn cảnh nào mà SPV có thể thu được bất kỳ ‘lợi ích trực tiếp’ nào từ khoản lãi mà Bên Bảo lãnh Công ty Mẹ phải trả, ngoại trừ việc tài trợ cho nghĩa vụ của mình đối với Đại lý Thanh toán Chính hoặc Bên Phát hành tương ứng.81</w:t>
      </w:r>
    </w:p>
    <w:p>
      <w:pPr>
        <w:spacing w:after="80"/>
      </w:pPr>
      <w:r>
        <w:rPr>
          <w:b w:val="0"/>
          <w:i w:val="0"/>
        </w:rPr>
        <w:t xml:space="preserve">Cả hai tòa án đều dựa hoàn toàn vào Báo cáo về Công ty Dẫn vốn (Conduit Company Report) của OECD năm 1986 và Bình luận (Commentary) năm 2003 về Công ước Mẫu (Model Convention). Báo cáo này ủng hộ phán quyết của </w:t>
      </w:r>
      <w:r>
        <w:rPr>
          <w:b w:val="0"/>
          <w:i/>
        </w:rPr>
        <w:t>Indofood</w:t>
      </w:r>
      <w:r>
        <w:rPr>
          <w:b w:val="0"/>
          <w:i w:val="0"/>
        </w:rPr>
        <w:t xml:space="preserve"> ở cấp sơ thẩm nhiều hơn là ở cấp phúc thẩm.82 Năm 2003, nội dung sau đây đã được bổ sung liên quan đến quyền sở hữu thực hưởng (beneficial ownership) tại đoạn 12.1 của bình luận OECD về Điều 10, được viện dẫn trong </w:t>
      </w:r>
      <w:r>
        <w:rPr>
          <w:b w:val="0"/>
          <w:i/>
        </w:rPr>
        <w:t>Indofood</w:t>
      </w:r>
      <w:r>
        <w:rPr>
          <w:b w:val="0"/>
          <w:i w:val="0"/>
        </w:rPr>
        <w:t>:</w:t>
      </w:r>
    </w:p>
    <w:p>
      <w:pPr>
        <w:spacing w:after="80"/>
      </w:pPr>
      <w:r>
        <w:rPr>
          <w:b w:val="0"/>
          <w:i w:val="0"/>
        </w:rPr>
        <w:t>Khi một khoản thu nhập được nhận bởi một cư dân của một Quốc gia Ký kết đang hành động với tư cách đại lý hoặc người được ủy nhiệm, việc Quốc gia nguồn cấp giảm trừ hoặc miễn thuế chỉ đơn thuần dựa trên tình trạng của người nhận trực tiếp khoản thu nhập đó với tư cách là cư dân của Quốc gia Ký kết kia sẽ không phù hợp với mục tiêu và mục đích của Công ước. Người nhận trực tiếp khoản thu nhập trong tình huống này đủ điều kiện là cư dân nhưng không phát sinh khả năng đánh thuế hai lần nào do tình trạng đó, vì người nhận không được coi là chủ sở hữu khoản thu nhập cho mục đích thuế tại Quốc gia cư trú. Việc Quốc gia nguồn cấp giảm trừ hoặc miễn thuế cũng sẽ không kém phần không phù hợp với mục tiêu và mục đích của Công ước khi một cư dân của một Quốc gia Ký kết, không thông qua quan hệ đại lý hay ủy nhiệm, chỉ đơn thuần hành động như một kênh dẫn vốn cho một người khác, người thực sự nhận được lợi ích của khoản thu nhập liên quan. Vì những lý do này, [Báo cáo về Công ty Dẫn vốn] kết luận rằng một công ty dẫn vốn thông thường không thể được coi là chủ sở hữu thực hưởng nếu, dù là chủ sở hữu hình thức, trên thực tế nó chỉ có những quyền hạn rất hẹp, khiến nó trở thành, đối với khoản thu nhập liên quan, chỉ là một người được ủy thác hoặc người quản lý hành động thay mặt cho các bên có lợi ích.</w:t>
      </w:r>
    </w:p>
    <w:p>
      <w:pPr>
        <w:spacing w:after="80"/>
      </w:pPr>
      <w:r>
        <w:rPr>
          <w:b w:val="0"/>
          <w:i w:val="0"/>
        </w:rPr>
        <w:t>Như vậy, trên cơ sở này, quyền sở hữu thực hưởng sẽ không mở rộng đến các trường hợp một người giao kết hợp đồng hoặc nhận nghĩa vụ mà theo đó người đó có chức năng tương tự như người được ủy nhiệm hay đại lý, hoặc đến một công ty dẫn vốn nếu, dù là chủ sở hữu hình thức của một số tài sản nhất định, nó chỉ có những quyền hạn rất hẹp khiến nó trở thành chỉ là một người được ủy thác hoặc người quản lý hành động thay mặt cho các bên có lợi ích. Cả Bình luận lẫn</w:t>
      </w:r>
    </w:p>
    <w:p>
      <w:pPr>
        <w:spacing w:after="80"/>
      </w:pPr>
      <w:r>
        <w:rPr>
          <w:b w:val="0"/>
          <w:i w:val="0"/>
        </w:rPr>
        <w:t>81. Đoạn 44.82. Cụ thể là, đoạn 14(b).</w:t>
      </w:r>
    </w:p>
    <w:p>
      <w:pPr>
        <w:spacing w:after="80"/>
      </w:pPr>
      <w:r>
        <w:rPr>
          <w:b w:val="0"/>
          <w:i w:val="0"/>
        </w:rPr>
        <w:t>490</w:t>
      </w:r>
    </w:p>
    <w:p>
      <w:pPr>
        <w:spacing w:after="80"/>
      </w:pPr>
      <w:r>
        <w:rPr>
          <w:b w:val="0"/>
          <w:i w:val="0"/>
        </w:rPr>
        <w:t xml:space="preserve">Báo cáo về Công ty Dẫn vốn đều gợi ý rằng các quốc gia ký kết nên làm rõ thêm vấn đề này nếu họ muốn trong quá trình đàm phán. Không có sự làm rõ như vậy trong các hiệp ước được xem xét trong </w:t>
      </w:r>
      <w:r>
        <w:rPr>
          <w:b w:val="0"/>
          <w:i/>
        </w:rPr>
        <w:t>Indofood</w:t>
      </w:r>
      <w:r>
        <w:rPr>
          <w:b w:val="0"/>
          <w:i w:val="0"/>
        </w:rPr>
        <w:t xml:space="preserve"> hay trong bất kỳ Hiệp ước nào của Vương quốc Anh ngoài hiệp ước với Nhật Bản.83</w:t>
      </w:r>
    </w:p>
    <w:p>
      <w:pPr>
        <w:spacing w:after="80"/>
      </w:pPr>
      <w:r>
        <w:rPr>
          <w:b w:val="0"/>
          <w:i w:val="0"/>
        </w:rPr>
        <w:t>Quan điểm của HMRC là:</w:t>
      </w:r>
    </w:p>
    <w:p>
      <w:pPr>
        <w:spacing w:after="80"/>
      </w:pPr>
      <w:r>
        <w:rPr>
          <w:b w:val="0"/>
          <w:i w:val="0"/>
        </w:rPr>
        <w:t xml:space="preserve">Phán quyết </w:t>
      </w:r>
      <w:r>
        <w:rPr>
          <w:b w:val="0"/>
          <w:i/>
        </w:rPr>
        <w:t>Indofood</w:t>
      </w:r>
      <w:r>
        <w:rPr>
          <w:b w:val="0"/>
          <w:i w:val="0"/>
        </w:rPr>
        <w:t xml:space="preserve"> hiện đã là một phần của luật Vương quốc Anh. Phán quyết này cũng có khả năng có sức thuyết phục khi các vấn đề liên quan đối với các Hiệp ước Đánh thuế Hai lần (DTC) của Vương quốc Anh đang được xem xét, và rằng khi có liên quan, HM Revenue &amp; Customs buộc phải tuân theo phán quyết đó. Vì phán quyết của Tòa Phúc thẩm hoàn toàn nhất quán với chính sách hiện hành của Vương quốc Anh, HM Revenue &amp; Customs cho rằng nhìn chung vụ án này sẽ không có tác động đáng kể đến thực tiễn hiện tại của họ.84</w:t>
      </w:r>
    </w:p>
    <w:p>
      <w:pPr>
        <w:spacing w:after="80"/>
      </w:pPr>
      <w:r>
        <w:rPr>
          <w:b w:val="0"/>
          <w:i w:val="0"/>
        </w:rPr>
        <w:t>Vụ án này không phải là một phần của luật thuế Vương quốc Anh và ý nghĩa của quyền sở hữu thực hưởng được lấy từ luật trong nước trong trường hợp các hiệp ước của Vương quốc Anh. Phân tích của Tòa án Cấp cao (High Court) về ngôn ngữ hiệp ước phù hợp hơn với luật trong nước của Vương quốc Anh. Vụ án này minh họa tầm quan trọng của các tình huống thực tế của vụ việc. Mỗi tòa án đều xác định các sự kiện khác nhau và kết luận của họ do đó cũng khác nhau.</w:t>
      </w:r>
    </w:p>
    <w:p>
      <w:pPr>
        <w:spacing w:after="80"/>
      </w:pPr>
      <w:r>
        <w:rPr>
          <w:b/>
          <w:i w:val="0"/>
        </w:rPr>
        <w:t>Các Vụ án Hiệp ước Khác</w:t>
      </w:r>
    </w:p>
    <w:p>
      <w:pPr>
        <w:spacing w:after="80"/>
      </w:pPr>
      <w:r>
        <w:rPr>
          <w:b w:val="0"/>
          <w:i w:val="0"/>
        </w:rPr>
        <w:t xml:space="preserve">Việc xem xét tư pháp đối với thuật ngữ 'chủ sở hữu thực hưởng' như xuất hiện trong một hiệp ước của Vương quốc Anh đã được thực hiện bởi các Tòa án Tối cao của Hà Lan, Pháp và Ý. Trong vụ </w:t>
      </w:r>
      <w:r>
        <w:rPr>
          <w:b w:val="0"/>
          <w:i/>
        </w:rPr>
        <w:t>Royal Dutch Shell</w:t>
      </w:r>
      <w:r>
        <w:rPr>
          <w:b w:val="0"/>
          <w:i w:val="0"/>
        </w:rPr>
        <w:t>,85 người nộp thuế là một cư dân Vương quốc Anh đã mua các phiếu cổ tức tách rời khỏi cổ phiếu Royal Dutch Shell liên quan đến cổ tức đã được tuyên bố nhưng chưa được chi trả. Các phiếu này được mua với giá khoảng 80% mệnh giá. Cổ tức được chi trả cho người môi giới chứng khoán, sau khi bị khấu trừ thuế cổ tức 25%, mức thuế luật định trong nước đầy đủ ở Hà Lan, do đại lý chi trả khấu trừ. Thanh tra thuế Hà Lan đã từ chối đơn xin hoàn thuế của người môi giới chứng khoán theo Điều 10(2) của Hiệp ước Thuế Thu nhập Hà Lan - Vương quốc Anh (1980), khoản này lẽ ra lên tới 10% cổ tức gộp. Tòa án Tối cao phán quyết rằng câu hỏi ai là chủ sở hữu thực hưởng phải được trả lời tại thời điểm cổ tức đến hạn thanh toán chứ không phải tại thời điểm cổ tức được tuyên bố. Hiệp ước không yêu cầu rằng chủ sở hữu thực hưởng của cổ tức cũng phải là chủ sở hữu của cổ phiếu. Do đó, việc người môi giới chứng khoán mua các phiếu trước khi cổ tức được chi trả là không liên quan. Người môi giới chứng khoán không hành động với tư cách đại lý (</w:t>
      </w:r>
      <w:r>
        <w:rPr>
          <w:b w:val="0"/>
          <w:i/>
        </w:rPr>
        <w:t>zaakwaarnemer</w:t>
      </w:r>
      <w:r>
        <w:rPr>
          <w:b w:val="0"/>
          <w:i w:val="0"/>
        </w:rPr>
        <w:t>) hay thay mặt cho một người ủy thác (</w:t>
      </w:r>
      <w:r>
        <w:rPr>
          <w:b w:val="0"/>
          <w:i/>
        </w:rPr>
        <w:t>lasthebber</w:t>
      </w:r>
      <w:r>
        <w:rPr>
          <w:b w:val="0"/>
          <w:i w:val="0"/>
        </w:rPr>
        <w:t>). Nó trở thành chủ sở hữu các phiếu cổ tức nhờ việc mua bán, điều này đặt các phiếu vào quyền định đoạt của nó, và khi quy đổi các phiếu thành tiền, nó</w:t>
      </w:r>
    </w:p>
    <w:p>
      <w:pPr>
        <w:spacing w:after="80"/>
      </w:pPr>
      <w:r>
        <w:rPr>
          <w:b w:val="0"/>
          <w:i w:val="0"/>
        </w:rPr>
        <w:t xml:space="preserve">83. Xem §17.16.84. HMRC, International Manual, INTM332050. Để biết quan điểm đầy đủ của họ, xem INTM332010 đến INTM332080. Thực tiễn hành chính của các quốc gia ký kết khác cũng có thể đáng ngờ: Thư Hướng dẫn của Cơ quan Thuế Nhà nước Ukraine số 2124/6/99-99-15-02-02-15/IIIK về Điều 11 của Hiệp ước Ukraine - Vương quốc Anh (1993), lập luận rằng một doanh nghiệp được thành lập đặc biệt cho mục đích cho vay và huy động vốn bằng cách phát hành trái phiếu không phải là chủ sở hữu thực hưởng của khoản lãi do con nợ Ukraine chi trả. Điều này có vẻ là một sự áp dụng máy móc phán quyết </w:t>
      </w:r>
      <w:r>
        <w:rPr>
          <w:b w:val="0"/>
          <w:i/>
        </w:rPr>
        <w:t>Indofood</w:t>
      </w:r>
      <w:r>
        <w:rPr>
          <w:b w:val="0"/>
          <w:i w:val="0"/>
        </w:rPr>
        <w:t xml:space="preserve">.85. </w:t>
      </w:r>
      <w:r>
        <w:rPr>
          <w:b w:val="0"/>
          <w:i/>
        </w:rPr>
        <w:t>Royal Dutch Shell</w:t>
      </w:r>
      <w:r>
        <w:rPr>
          <w:b w:val="0"/>
          <w:i w:val="0"/>
        </w:rPr>
        <w:t>, Hoge Raad der Nederlanden (Tòa án Tối cao Hà Lan), ngày 6 tháng 4 năm 1994, BNB 1994/217.</w:t>
      </w:r>
    </w:p>
    <w:p>
      <w:pPr>
        <w:spacing w:after="80"/>
      </w:pPr>
      <w:r>
        <w:rPr>
          <w:b w:val="0"/>
          <w:i w:val="0"/>
        </w:rPr>
        <w:t>491</w:t>
      </w:r>
    </w:p>
    <w:p>
      <w:pPr>
        <w:spacing w:after="80"/>
      </w:pPr>
      <w:r>
        <w:rPr>
          <w:b w:val="0"/>
          <w:i w:val="0"/>
        </w:rPr>
        <w:t>trở nên được quyền nhận khoản phân phối. Trong những tình huống đó, người môi giới chứng khoán là chủ sở hữu thực hưởng của cổ tức.</w:t>
      </w:r>
    </w:p>
    <w:p>
      <w:pPr>
        <w:spacing w:after="80"/>
      </w:pPr>
      <w:r>
        <w:rPr>
          <w:b w:val="0"/>
          <w:i w:val="0"/>
        </w:rPr>
        <w:t xml:space="preserve">Quyền sở hữu thực hưởng cũng đã được xem xét bởi Conseil D'état của Pháp (Tòa án Hành chính Tối cao) trong vụ </w:t>
      </w:r>
      <w:r>
        <w:rPr>
          <w:b w:val="0"/>
          <w:i/>
        </w:rPr>
        <w:t>Ministre de l'Economie, des Finances et de l'Industrie v Société Bank of Scotland</w:t>
      </w:r>
      <w:r>
        <w:rPr>
          <w:b w:val="0"/>
          <w:i w:val="0"/>
        </w:rPr>
        <w:t>.86 Điều 9 của Hiệp ước Thuế Thu nhập Pháp - Vương quốc Anh (1968) quy định việc hoàn trả các khoản tín dụng thuế cổ tức theo hệ thống quy gán (imputation system) của Pháp lúc bấy giờ đối với việc đánh thuế các công ty và cổ đông của họ. Một công ty Hoa Kỳ sở hữu toàn bộ cổ phần phổ thông của một công ty Pháp đã cấp một quyền hưởng dụng (usufruct) trong ba năm đối với các cổ phần không có quyền biểu quyết được tạo đặc biệt trong công ty con tại Pháp, trao quyền nhận cổ tức ưu đãi hàng năm với một số tiền cố định. Giá mua quyền hưởng dụng này thấp hơn một chút so với tổng cộng dồn của cổ tức gộp trong ba năm được cung cấp cộng với số tiền hoàn trả tín dụng thuế cổ tức theo hiệp ước và một khoản tiền cố định. Việc chi trả cổ tức trên các cổ phần ưu đãi được bảo đảm bởi công ty mẹ Hoa Kỳ. Conseil D'état xác định rằng các thỏa thuận này, trên thực tế, là một khoản cho vay đối với công ty Hoa Kỳ bởi ngân hàng Vương quốc Anh, liên quan đến việc ủy thác cho công ty con tại Pháp việc chi trả khoản lãi thông qua cổ tức ưu đãi mà nó đã bảo đảm thanh toán. Việc cấp tạm thời quyền hưởng dụng cho Bank of Scotland được thực hiện với mục đích duy nhất là đạt được lợi ích từ việc hoàn trả tín dụng thuế cổ tức theo Hiệp ước Thuế Thu nhập Pháp - Vương quốc Anh. Hiệp ước Pháp - Hoa Kỳ sẽ không cho phép khoản thanh toán này. Chủ sở hữu thực hưởng của cổ tức được xác định là công ty Hoa Kỳ.</w:t>
      </w:r>
    </w:p>
    <w:p>
      <w:pPr>
        <w:spacing w:after="80"/>
      </w:pPr>
      <w:r>
        <w:rPr>
          <w:b w:val="0"/>
          <w:i w:val="0"/>
        </w:rPr>
        <w:t>Commissaire du Gouvernement (Thẩm phán Báo cáo) François Séners bày tỏ quan điểm rằng quyền sở hữu thực hưởng là một khái niệm chống lạm dụng, nói rằng:</w:t>
      </w:r>
    </w:p>
    <w:p>
      <w:pPr>
        <w:spacing w:after="80"/>
      </w:pPr>
      <w:r>
        <w:rPr>
          <w:b w:val="0"/>
          <w:i w:val="0"/>
        </w:rPr>
        <w:t>[T] người nhận thu nhập trực tiếp không được quyền hưởng những lợi ích mà các hiệp định thuế quốc tế dành cho, nếu người đó không phải là người nhận cuối cùng của khoản thu nhập này và nếu người đó chỉ nhận nó với tư cách trung gian cho một người khác – người mà khoản thu nhập này sẽ được chuyển cho bằng cách này hay cách khác … .</w:t>
      </w:r>
    </w:p>
    <w:p>
      <w:pPr>
        <w:spacing w:after="80"/>
      </w:pPr>
      <w:r>
        <w:rPr>
          <w:b w:val="0"/>
          <w:i w:val="0"/>
        </w:rPr>
        <w:t>Tuy nhiên tôi cho rằng trường hợp này cho thấy khái niệm sở hữu hưởng lợi (beneficial ownership) không thể bị thu hẹp vào các trường hợp chuyển giao lợi ích dự định, và rằng về bản chất, nó bao hàm cả những tình huống gian lận pháp luật. Quả thật tôi thấy khá tự nhiên rằng việc thừa nhận một hành vi gian lận pháp luật dẫn ta đến chỗ bác bỏ hình ảnh mà một sự sắp đặt nào đó phô bày.87</w:t>
      </w:r>
    </w:p>
    <w:p>
      <w:pPr>
        <w:spacing w:after="80"/>
      </w:pPr>
      <w:r>
        <w:rPr>
          <w:b w:val="0"/>
          <w:i w:val="0"/>
        </w:rPr>
        <w:t>Trên cơ sở này, bản thân khái niệm cho phép tái định tính (recharacterisation) các sự sắp đặt. Ông không chỉ xem việc chia tách các quyền tài sản trong cổ phần của công ty con Pháp bằng cách cấp quyền hưởng dụng (usufruct) chỉ nhằm mục đích cho phép người nắm giữ Mỹ đối với các quyền sở hữu còn lại được hưởng lợi, một cách gián tiếp, từ những ưu đãi thuế dành riêng cho cư dân Vương quốc Anh là hành vi lạm dụng, mà còn cho rằng cổ tức do công ty con Pháp chi trả thực chất cấu thành lãi chứ không phải cổ tức theo mục đích của Điều 9 của hiệp định. Vì cơ sở chính của phán quyết là việc tái định tính các sự sắp đặt, nên ít ánh sáng được rọi vào ý nghĩa của thuật ngữ này. Đặc biệt, tòa không đưa ra hướng dẫn nào về tác động của một quyền hưởng dụng không mang tính lạm dụng, cũng như liệu điều đó có bao giờ có thể xảy ra hay không. Có thể</w:t>
      </w:r>
    </w:p>
    <w:p>
      <w:pPr>
        <w:spacing w:after="80"/>
      </w:pPr>
      <w:r>
        <w:rPr>
          <w:b w:val="0"/>
          <w:i w:val="0"/>
        </w:rPr>
        <w:t>86.</w:t>
      </w:r>
      <w:r>
        <w:rPr>
          <w:b w:val="0"/>
          <w:i/>
        </w:rPr>
        <w:t>Ministre de l’Economie, des Finances et de l’Industrie v Société Bank of Scotland</w:t>
      </w:r>
      <w:r>
        <w:rPr>
          <w:b w:val="0"/>
          <w:i w:val="0"/>
        </w:rPr>
        <w:t>, Conseil D’état (Tòa án Hành chính Tối cao), Số 283314 (29 tháng 12 năm 2006), 9 ITLR 683.87.9 ITLR 683 tại 712.</w:t>
      </w:r>
    </w:p>
    <w:p>
      <w:pPr>
        <w:spacing w:after="80"/>
      </w:pPr>
      <w:r>
        <w:rPr>
          <w:b w:val="0"/>
          <w:i w:val="0"/>
        </w:rPr>
        <w:t>492</w:t>
      </w:r>
    </w:p>
    <w:p>
      <w:pPr>
        <w:spacing w:after="80"/>
      </w:pPr>
      <w:r>
        <w:rPr>
          <w:b w:val="0"/>
          <w:i w:val="0"/>
        </w:rPr>
        <w:t>hữu ích hơn như một chỉ dẫn về học thuyết chống lạm dụng của Pháp hơn là về ý nghĩa của sở hữu hưởng lợi.</w:t>
      </w:r>
    </w:p>
    <w:p>
      <w:pPr>
        <w:spacing w:after="80"/>
      </w:pPr>
      <w:r>
        <w:rPr>
          <w:b w:val="0"/>
          <w:i/>
        </w:rPr>
        <w:t>Oxoid International Limited</w:t>
      </w:r>
      <w:r>
        <w:rPr>
          <w:b w:val="0"/>
          <w:i w:val="0"/>
        </w:rPr>
        <w:t>88 liên quan đến việc hoàn trả các khoản tín dụng thuế cổ tức theo Điều 10(4) của hiệp định thuế thu nhập Ý-Vương quốc Anh. Một công ty Ý đã chi trả cổ tức cho công ty mẹ ở Vương quốc Anh bằng cách chuyển đổi nghĩa vụ chi trả cổ tức thành một khoản vay chịu lãi. Corte Suprema di Cassazione của Ý đã bác bỏ yêu cầu của công ty Vương quốc Anh về việc hoàn trả tín dụng thuế trên cơ sở sở hữu hưởng lợi (‘</w:t>
      </w:r>
      <w:r>
        <w:rPr>
          <w:b w:val="0"/>
          <w:i/>
        </w:rPr>
        <w:t>beneficiaria effettiva</w:t>
      </w:r>
      <w:r>
        <w:rPr>
          <w:b w:val="0"/>
          <w:i w:val="0"/>
        </w:rPr>
        <w:t>’) với lập luận:</w:t>
      </w:r>
    </w:p>
    <w:p>
      <w:pPr>
        <w:spacing w:after="80"/>
      </w:pPr>
      <w:r>
        <w:rPr>
          <w:b w:val="0"/>
          <w:i w:val="0"/>
        </w:rPr>
        <w:t>[Hiệp định] rõ ràng trong việc xác định rằng công ty Vương quốc Anh nhận cổ tức phải là chủ sở hữu hưởng lợi theo nghĩa rằng công ty đó đã thực sự nhận được cổ tức, như thể hiện từ cách diễn đạt của Khoản 2 và 4 của Điều 10 của Công ước, vốn đề cập đến khái niệm ‘chi trả’ và ‘nhận’ cổ tức.89</w:t>
      </w:r>
    </w:p>
    <w:p>
      <w:pPr>
        <w:spacing w:after="80"/>
      </w:pPr>
      <w:r>
        <w:rPr>
          <w:b w:val="0"/>
          <w:i w:val="0"/>
        </w:rPr>
        <w:t>Việc sử dụng bất thường cụm từ sở hữu hưởng lợi này vừa không đúng chỗ vừa không cần thiết. Sở hữu hưởng lợi thường được hiểu là có liên quan đến việc phân biệt giữa các yêu sách cạnh tranh về quyền sở hữu của chủ sở hữu pháp lý hoặc danh nghĩa, đối lập với chủ sở hữu hưởng lợi. Trong khi đúng là một khoản cổ tức không được chi trả thì không thể được sở hữu, phán quyết này là không cần thiết bởi vì Điều 10(4)(b) của Hiệp định nói về việc ‘chi trả’ cổ tức và cổ tức ‘được nhận’. Theo đó, kết luận được mong đợi sẽ là không nên hoàn trả tín dụng thuế nào trên cơ sở rằng cổ tức đã không được chi trả cũng không được nhận thông qua việc phát hành một công cụ nợ.</w:t>
      </w:r>
    </w:p>
    <w:p>
      <w:pPr>
        <w:spacing w:after="80"/>
      </w:pPr>
      <w:r>
        <w:rPr>
          <w:b w:val="0"/>
          <w:i w:val="0"/>
        </w:rPr>
        <w:t>Tòa cũng phán quyết rằng toàn bộ giao dịch là một hành vi lạm dụng pháp luật, mà tòa nói rằng, chuyển thành một nguyên tắc chống tránh thuế chung, ngăn cản người nộp thuế đạt được tiết kiệm thuế thông qua việc sử dụng bóp méo một quy định cụ thể (dù không trái với văn bản) của các công cụ pháp lý để tạo ra tiết kiệm thuế và thiếu mục đích kinh doanh hợp lệ. Giao dịch dường như được thiết kế để cho phép Oxoid International Limited tạo ra một khoản tiền có thể tránh thuế Vương quốc Anh bằng cách không được chi trả thực sự, và đồng thời, tiếp cận việc hoàn trả tín dụng thuế ở Ý theo hiệp định.90 Kết luận này dựa trên quan điểm sai lầm rằng công ty mẹ ở Vương quốc Anh, vốn nhận cổ tức, phải chịu thuế ở Vương quốc Anh. Điều 10(4)(a) (cổ tức danh mục đầu tư) có yêu cầu ‘phải chịu thuế’, nhưng Điều 10(4)(b) (các khoản nắm giữ cổ phần đáng kể của các công ty) vốn là vấn đề trong trường hợp này, thì không. Không cần phải viện đến bất kỳ khái niệm lạm dụng nào để tòa kết luận rằng không nên hoàn trả tín dụng thuế nào. Chỉ riêng việc cổ tức đã không được chi trả cũng không được nhận thông qua việc phát hành một công cụ nợ là đủ cho Điều 10(4)(b).</w:t>
      </w:r>
    </w:p>
    <w:p>
      <w:pPr>
        <w:spacing w:after="80"/>
      </w:pPr>
      <w:r>
        <w:rPr>
          <w:b w:val="0"/>
          <w:i w:val="0"/>
        </w:rPr>
        <w:t>Liệu những khác biệt trong cách hiểu thuật ngữ ‘beneficial owner’ trong tiếng Anh, so với ví dụ thuật ngữ tiếng Pháp ‘bénéficiaire effectif’ hay tiếng Ý ‘l’effettivo beneficiario’, với cách sử dụng khác nhau của các thuật ngữ này trong luật nội địa, có dẫn đến việc hòa lẫn với các khái niệm lạm dụng trong các ngôn ngữ khác ngoài tiếng Anh hay không thì vẫn chưa rõ ràng.</w:t>
      </w:r>
    </w:p>
    <w:p>
      <w:pPr>
        <w:spacing w:after="80"/>
      </w:pPr>
      <w:r>
        <w:rPr>
          <w:b w:val="0"/>
          <w:i w:val="0"/>
        </w:rPr>
        <w:t>Để khôi phục một cách giải thích chừng mực hơn đối với thuật ngữ này, OECD đã tiến hành một cuộc tham vấn mà đỉnh điểm là những sửa đổi đối với Bình luận của</w:t>
      </w:r>
    </w:p>
    <w:p>
      <w:pPr>
        <w:spacing w:after="80"/>
      </w:pPr>
      <w:r>
        <w:rPr>
          <w:b w:val="0"/>
          <w:i w:val="0"/>
        </w:rPr>
        <w:t>88.</w:t>
      </w:r>
      <w:r>
        <w:rPr>
          <w:b w:val="0"/>
          <w:i/>
        </w:rPr>
        <w:t>Oxoid International Limited,</w:t>
      </w:r>
      <w:r>
        <w:rPr>
          <w:b w:val="0"/>
          <w:i w:val="0"/>
        </w:rPr>
        <w:t xml:space="preserve"> Corte Suprema di Cassazione (Tòa án Hành chính Tối cao Ý) Quyết định Số 4164 ngày 20 tháng 2 năm 2013.89. Tại khoản 4.3.90. Tại khoản 4.3.3.</w:t>
      </w:r>
    </w:p>
    <w:p>
      <w:pPr>
        <w:spacing w:after="80"/>
      </w:pPr>
      <w:r>
        <w:rPr>
          <w:b w:val="0"/>
          <w:i w:val="0"/>
        </w:rPr>
        <w:t>493</w:t>
      </w:r>
    </w:p>
    <w:p>
      <w:pPr>
        <w:spacing w:after="80"/>
      </w:pPr>
      <w:r>
        <w:rPr>
          <w:b w:val="0"/>
          <w:i w:val="0"/>
        </w:rPr>
        <w:t>Mẫu OECD vào năm 2014.91 Cuộc tham vấn đã bộc lộ những quan điểm rất khác nhau về chủ đề này, và kết quả là, các nguyên tắc hiện hành về giải thích hiệp định là cần thiết để xử lý thuật ngữ này.92</w:t>
      </w:r>
    </w:p>
    <w:p>
      <w:pPr>
        <w:spacing w:after="80"/>
      </w:pPr>
      <w:r>
        <w:rPr>
          <w:b w:val="0"/>
          <w:i w:val="0"/>
        </w:rPr>
        <w:t>Ảnh hưởng của Bình luận OECD năm 2014 là rõ ràng trong các vụ án tiếp theo. Tòa án Tối cao Liên bang Thụy Sĩ kết luận rằng một ngân hàng cư trú tại Vương quốc Anh không phải là chủ sở hữu hưởng lợi của một khoản cổ tức do một công ty cư trú tại Thụy Sĩ chi trả, không phải là chủ sở hữu hưởng lợi của khoản cổ tức đó theo Điều 10(2)(b) của Hiệp định Thụy Sĩ-Vương quốc Anh, khi cổ phần trong công ty Thụy Sĩ được mua như một phần của một sự sắp đặt phòng ngừa rủi ro (hedging) với một khách hàng yêu cầu ngân hàng phải trả các lợi ích ròng của quyền sở hữu cổ phần cho các công ty ở Quần đảo Cayman, Quần đảo Virgin thuộc Anh và Síp.93 Ở đó, một thỏa thuận phái sinh, theo một hợp đồng chính tiêu chuẩn của Hiệp hội Hoán đổi và Phái sinh Quốc tế (International Swaps and Derivatives Association), xác định khoản thanh toán ròng là mọi mức tăng ròng hoặc giảm ít hơn về giá trị của cổ phần, mọi cổ tức nhận được, lãi trên tài sản thế chấp cộng với khoản hoàn thuế khấu trừ liên quan đến cổ tức, trừ đi 15% cổ tức gộp. Hiệu ứng kinh tế là mức độ phơi nhiễm của khách hàng trước rủi ro thị trường đối với cổ phần của công ty Thụy Sĩ trên cơ sở đòn bẩy. Tòa theo đó phán quyết rằng sở hữu hưởng lợi, mà tòa nói rằng, có nghĩa là sử dụng đầy đủ cổ tức và hưởng thụ nó một cách trọn vẹn, có thể bị mất nếu người nhận bị hạn chế trong việc sử dụng này bởi một nghĩa vụ hợp đồng hoặc pháp lý vì người đó phải chuyển tiếp cổ tức cho một người khác theo hợp đồng hoặc luật. Phần cổ tức mà người nhận cư trú phải chuyển tiếp càng lớn, thì càng có khả năng sở hữu hưởng lợi sẽ bị mất.94</w:t>
      </w:r>
    </w:p>
    <w:p>
      <w:pPr>
        <w:spacing w:after="80"/>
      </w:pPr>
      <w:r>
        <w:rPr>
          <w:b w:val="0"/>
          <w:i w:val="0"/>
        </w:rPr>
        <w:t xml:space="preserve">Cho vay chứng khoán cũng có thể tước đi quyền sở hữu hưởng lợi (beneficial ownership) của một bên. Trong </w:t>
      </w:r>
      <w:r>
        <w:rPr>
          <w:b w:val="0"/>
          <w:i/>
        </w:rPr>
        <w:t>Tax Inspector v X BV</w:t>
      </w:r>
      <w:r>
        <w:rPr>
          <w:b w:val="0"/>
          <w:i w:val="0"/>
        </w:rPr>
        <w:t>,95 một công ty cư trú tại Hà Lan thuộc một tập đoàn ngân hàng quốc tế đã mua các gói cổ phiếu niêm yết trên sàn chứng khoán Amsterdam và cho một công ty cư trú tại Anh — đóng vai trò môi giới cho tập đoàn — vay số cổ phiếu này để đổi lấy tài sản thế chấp bằng tiền mặt và phí cho vay chứng khoán. Công ty Anh thực hiện việc quản lý cổ phiếu hàng ngày và tham gia vào việc bán các hợp đồng tương lai. Các khoản cho vay được hoàn trả trước khi cổ tức được chi trả và cổ phiếu được cho vay lại sau khi cổ tức đã được thanh toán. Công ty Anh quyết định ghi nhận cổ tức. Gerechtshof Amsterdam (Tòa phúc thẩm Amsterdam) kết luận, dựa trên Bình luận của OECD, rằng công ty Hà Lan không phải là chủ sở hữu hưởng lợi vì công ty này không có lợi ích kinh tế trong việc chuyển nhượng tạm thời cổ phiếu. Mặc dù quyền sở hữu hưởng lợi được yêu cầu đối với cổ tức chứ không phải đối với cổ phiếu, nhưng hai điều này thường trùng khớp với nhau.</w:t>
      </w:r>
    </w:p>
    <w:p>
      <w:pPr>
        <w:spacing w:after="80"/>
      </w:pPr>
      <w:r>
        <w:rPr>
          <w:b w:val="0"/>
          <w:i w:val="0"/>
        </w:rPr>
        <w:t xml:space="preserve">91. OECD Model Tax Convention: Revised Proposals Concerning the Meaning of 'Beneficial Owner' in Arts 10, 11 and 12, 19 tháng 10 năm 2012 – 15 tháng 12 năm 2012. Các kết luận của tài liệu này hiện đã được phản ánh trong Bình luận về Điều 10, các đoạn 12-12.7 của OECD Model (2014). 92. Xem Chương 14, §14.07 về phân tích cách diễn đạt khác nhau của thuật ngữ này bởi Tòa án Công lý Liên minh Châu Âu trong </w:t>
      </w:r>
      <w:r>
        <w:rPr>
          <w:b w:val="0"/>
          <w:i/>
        </w:rPr>
        <w:t>N Luxembourg I, X Denmark, C Danmark I và Z Denmark v Skatteministeriet</w:t>
      </w:r>
      <w:r>
        <w:rPr>
          <w:b w:val="0"/>
          <w:i w:val="0"/>
        </w:rPr>
        <w:t xml:space="preserve"> (Các vụ C-115/16, C-118/16, C-119/16 và C-299/16) EU:C:2019:134 (gọi là 'Các vụ Đan Mạch') và Ý kiến của Tổng biện lý Kokott về sự phân biệt giữa hai khái niệm, được thảo luận tại Chương 14, §14.10. 93. </w:t>
      </w:r>
      <w:r>
        <w:rPr>
          <w:b w:val="0"/>
          <w:i/>
        </w:rPr>
        <w:t>A plc v Federal Tax Administration</w:t>
      </w:r>
      <w:r>
        <w:rPr>
          <w:b w:val="0"/>
          <w:i w:val="0"/>
        </w:rPr>
        <w:t xml:space="preserve">, Tòa án Tối cao Liên bang Thụy Sĩ (Vụ 2C_880/2018) (19 tháng 5 năm 2020). 94. Tại các đoạn 3.1 và 3.2. 95. </w:t>
      </w:r>
      <w:r>
        <w:rPr>
          <w:b w:val="0"/>
          <w:i/>
        </w:rPr>
        <w:t>Tax Inspector v X BV</w:t>
      </w:r>
      <w:r>
        <w:rPr>
          <w:b w:val="0"/>
          <w:i w:val="0"/>
        </w:rPr>
        <w:t>, Gerechtshof Amsterdam (Tòa phúc thẩm Amsterdam) (Các vụ 18/00318 và 18/00319) (12 tháng 5 năm 2020).</w:t>
      </w:r>
    </w:p>
    <w:p>
      <w:pPr>
        <w:spacing w:after="80"/>
      </w:pPr>
      <w:r>
        <w:rPr>
          <w:b w:val="0"/>
          <w:i w:val="0"/>
        </w:rPr>
        <w:t>494</w:t>
      </w:r>
    </w:p>
    <w:p>
      <w:pPr>
        <w:spacing w:after="80"/>
      </w:pPr>
      <w:r>
        <w:rPr>
          <w:b w:val="0"/>
          <w:i w:val="0"/>
        </w:rPr>
        <w:t>Tương tự, hai phán quyết của Corte Suprema di Cassazione (Tòa án Tối cao Ý)96 liên quan đến các quỹ tín thác (trust) cư trú tại Anh được điều chỉnh bởi luật Anh, phản ánh quan điểm được nêu trong các sửa đổi năm 2014 đối với Bình luận của OECD. Tòa kết luận rằng một quỹ tín thác có thể là chủ sở hữu hưởng lợi nếu nó không minh bạch về thuế và không bắt buộc phải chuyển thu nhập cho người thụ hưởng. Trên cơ sở đó, các người được ủy thác (trustee) của một quỹ tín thác tùy ý (discretionary trust) có thể cấu thành chủ sở hữu hưởng lợi của thu nhập đó cho các mục đích của Điều 10, theo quan điểm phi kỹ thuật này, bất chấp thực tế rằng theo luật tín thác của Anh, họ không phải là chủ sở hữu hưởng lợi.97 Mặt khác, một quỹ tín thác quyền lợi hiện hữu (interest in possession trust) theo luật Anh trao cho người thụ hưởng quyền đối với thu nhập từ tài sản tín thác khi thu nhập đó phát sinh. Trong trường hợp đó, các người được ủy thác sẽ không phải là chủ sở hữu hưởng lợi.</w:t>
      </w:r>
    </w:p>
    <w:p>
      <w:pPr>
        <w:spacing w:after="80"/>
      </w:pPr>
      <w:r>
        <w:rPr>
          <w:b/>
          <w:i w:val="0"/>
        </w:rPr>
        <w:t>[C]Luật Nội địa Vương quốc Anh</w:t>
      </w:r>
    </w:p>
    <w:p>
      <w:pPr>
        <w:spacing w:after="80"/>
      </w:pPr>
      <w:r>
        <w:rPr>
          <w:b w:val="0"/>
          <w:i w:val="0"/>
        </w:rPr>
        <w:t>Khái niệm sở hữu hưởng lợi không phải là khái niệm đã được xem xét một cách triệt để trong luật thuế nội địa. Sự tương đồng gần nhất có thể tìm thấy trong CTA 2010, s. 1154(6), quy định rằng trong bối cảnh sở hữu cổ phần cho các mục đích nhóm và liên danh, quyền sở hữu có nghĩa là quyền sở hữu hưởng lợi. Tuy nhiên, s. 1154(6) đề cập một cách chung chung đến quyền sở hữu cổ phần, trong khi các Điều 10-12 của OECD Model đề cập tương ứng đến quyền sở hữu hưởng lợi đối với cổ tức, tiền lãi hoặc tiền bản quyền liên quan. Dù sao đi nữa, Điều 1154(6) cũng không giải thích quyền sở hữu hưởng lợi là gì. Các quy định của luật nội địa liên quan đến tiền lãi hoặc tiền bản quyền trả cho người không cư trú không đề cập một cách rõ ràng đến quyền sở hữu hưởng lợi. Khi Vương quốc Anh là quốc gia nguồn, các quyền mà từ đó thu nhập phát sinh thường sẽ được tạo ra bởi luật Anh. Do đó, phải xem xét các quyền cơ bản theo luật chung nội địa hiện hành. Các vụ án liên quan đến quyền sở hữu hưởng lợi cho mục đích thuế nội địa đều liên quan đến luật Anh.</w:t>
      </w:r>
    </w:p>
    <w:p>
      <w:pPr>
        <w:spacing w:after="80"/>
      </w:pPr>
      <w:r>
        <w:rPr>
          <w:b w:val="0"/>
          <w:i w:val="0"/>
        </w:rPr>
        <w:t xml:space="preserve">Một số vụ án đã xem xét câu hỏi về quyền sở hữu hưởng lợi trong bối cảnh cổ phiếu. Trong </w:t>
      </w:r>
      <w:r>
        <w:rPr>
          <w:b w:val="0"/>
          <w:i/>
        </w:rPr>
        <w:t>Parway Estates Ltd v IRC</w:t>
      </w:r>
      <w:r>
        <w:rPr>
          <w:b w:val="0"/>
          <w:i w:val="0"/>
        </w:rPr>
        <w:t>,98 người nộp thuế của công ty đã đồng ý bán cổ phiếu trong một công ty con nhưng, trước khi hoàn tất việc bán đó, sẽ mua tài sản của công ty con. Cho mục đích thuế trước bạ (miễn thuế theo s.42 của FA 1930), quyền sở hữu hưởng lợi của tập đoàn là điều kiện bắt buộc. Tòa kết luận rằng khi một giao dịch bán vô điều kiện được thực hiện (đối với cổ phiếu trong trường hợp đó), đối tượng của hợp đồng sẽ trở thành tài sản của người mua theo luật công bằng (equity). Jenkins LJ đánh đồng quyền lợi công bằng (equitable interest) và quyền lợi hưởng lợi (beneficial interest) trong cổ phiếu. Ông đồng ý với quan điểm của Upjohn J tại Phòng Chancery rằng từ 'beneficial owner' trong s.42 của FA 1930 phải được giải thích theo 'nghĩa thông thường hoặc phổ biến' của nó. Tuy nhiên, Jenkins LJ thấy khó hiểu một người bình thường sẽ hiểu gì từ từ 'beneficial owner' theo nghĩa thông thường. Ông không nghĩ rằng điều này có gì khác biệt so với nghĩa pháp lý và thực chất đánh đồng quyền sở hữu hưởng lợi với quyền sở hữu công bằng.</w:t>
      </w:r>
    </w:p>
    <w:p>
      <w:pPr>
        <w:spacing w:after="80"/>
      </w:pPr>
      <w:r>
        <w:rPr>
          <w:b w:val="0"/>
          <w:i w:val="0"/>
        </w:rPr>
        <w:t xml:space="preserve">96. Corte Suprema di Cassazione (Tòa án Hành chính Tối cao Ý) Các phán quyết số 2617/2020 và số 2618/2020. 97. Bình luận của OECD về Điều 10, đoạn 12.1. 98. </w:t>
      </w:r>
      <w:r>
        <w:rPr>
          <w:b w:val="0"/>
          <w:i/>
        </w:rPr>
        <w:t>Parway Estates Ltd v IRC</w:t>
      </w:r>
      <w:r>
        <w:rPr>
          <w:b w:val="0"/>
          <w:i w:val="0"/>
        </w:rPr>
        <w:t xml:space="preserve"> (1958) 45 TC 135.</w:t>
      </w:r>
    </w:p>
    <w:p>
      <w:pPr>
        <w:spacing w:after="80"/>
      </w:pPr>
      <w:r>
        <w:rPr>
          <w:b w:val="0"/>
          <w:i w:val="0"/>
        </w:rPr>
        <w:t>495</w:t>
      </w:r>
    </w:p>
    <w:p>
      <w:pPr>
        <w:spacing w:after="80"/>
      </w:pPr>
      <w:r>
        <w:rPr>
          <w:b w:val="0"/>
          <w:i w:val="0"/>
        </w:rPr>
        <w:t xml:space="preserve">Trong </w:t>
      </w:r>
      <w:r>
        <w:rPr>
          <w:b w:val="0"/>
          <w:i/>
        </w:rPr>
        <w:t>English Sewing Cotton Company Ltd v IRC</w:t>
      </w:r>
      <w:r>
        <w:rPr>
          <w:b w:val="0"/>
          <w:i w:val="0"/>
        </w:rPr>
        <w:t>,99 người nộp thuế là chủ sở hữu cổ phiếu trong một công ty Hoa Kỳ. Vào ngày 21 tháng 7 năm 1941, nhân dịp Chính phủ Hoa Kỳ cho Chính phủ Anh vay tiền, một thỏa thuận đã được ký kết giữa American Reconstruction Finance Corporation, với tư cách đại diện cho Chính phủ Hoa Kỳ và Chính phủ Anh, theo đó các chứng khoán thuộc sở hữu của các cá nhân hoặc công ty ở Anh, bao gồm cổ phiếu phổ thông của công ty con Hoa Kỳ của người nộp thuế, được thế chấp cho tập đoàn này như bảo đảm cho khoản vay. Công ty Anh lập luận rằng, cho mục đích thuế lợi nhuận vượt mức, công ty không phải là chủ sở hữu hưởng lợi của công ty Hoa Kỳ. Lord Greene MR lưu ý rằng không có ý nghĩa đặc biệt nào có thể được rút ra từ luật cụ thể khiến từ 'beneficial owner' có ý nghĩa nào khác ngoài nghĩa thông thường của nó. Tòa nhận thấy rằng các điều khoản của hợp đồng thế chấp là những điều khoản thường thấy trong các hợp đồng thế chấp thông thường. Rõ ràng là nếu hợp đồng thế chấp được đưa ra một cách tự nguyện, quyền sở hữu hưởng lợi đối với cổ phiếu chắc chắn sẽ vẫn thuộc về chủ sở hữu. Chúng chỉ đơn thuần tạo ra mối quan hệ giữa người thế chấp và người nhận thế chấp. Điều này không tước đi quyền sở hữu hưởng lợi của người thế chấp. Điều tương tự cũng đúng đối với việc thế chấp không tự nguyện. Tác động của luật điều chỉnh các quyền liên quan không được đề cập trong vụ án này. Cổ phiếu thuộc một công ty Hoa Kỳ, và không có dấu hiệu nào về luật điều chỉnh các thỏa thuận khác nhau.</w:t>
      </w:r>
    </w:p>
    <w:p>
      <w:pPr>
        <w:spacing w:after="80"/>
      </w:pPr>
      <w:r>
        <w:rPr>
          <w:b w:val="0"/>
          <w:i w:val="0"/>
        </w:rPr>
        <w:t xml:space="preserve">Trong </w:t>
      </w:r>
      <w:r>
        <w:rPr>
          <w:b w:val="0"/>
          <w:i/>
        </w:rPr>
        <w:t>Wood Preservation Ltd v Prior</w:t>
      </w:r>
      <w:r>
        <w:rPr>
          <w:b w:val="0"/>
          <w:i w:val="0"/>
        </w:rPr>
        <w:t>,100 người ta đã phán quyết rằng khi một công ty mẹ đã ký hợp đồng bán cổ phiếu trong một công ty con, với điều kiện tiên quyết chỉ vì lợi ích của người mua, thì quyền sở hữu hưởng lợi đối với cổ phiếu đã chuyển sang người mua, ngay cả khi hợp đồng vẫn còn có điều kiện, trên cơ sở rằng người mua có thể từ bỏ các điều kiện. Tuy nhiên, vụ án này quan trọng hơn với tư cách là một minh họa về các tình huống mà quyền sở hữu hưởng lợi được chuyển giao, hơn là để giải thích ý nghĩa của thuật ngữ này. Tuy nhiên, các kết luận dựa trên việc áp dụng các biện pháp khắc phục công bằng và do đó ngầm ủng hộ quan điểm rằng quyền sở hữu hưởng lợi tương đương với quyền sở hữu công bằng.</w:t>
      </w:r>
    </w:p>
    <w:p>
      <w:pPr>
        <w:spacing w:after="80"/>
      </w:pPr>
      <w:r>
        <w:rPr>
          <w:b w:val="0"/>
          <w:i w:val="0"/>
        </w:rPr>
        <w:t xml:space="preserve">Ý nghĩa của quyền sở hữu hưởng lợi đối với cổ phiếu đã được xem xét một cách sâu rộng nhất trong </w:t>
      </w:r>
      <w:r>
        <w:rPr>
          <w:b w:val="0"/>
          <w:i/>
        </w:rPr>
        <w:t>J Sainsbury plc v O'Connor</w:t>
      </w:r>
      <w:r>
        <w:rPr>
          <w:b w:val="0"/>
          <w:i w:val="0"/>
        </w:rPr>
        <w:t>.101 Một lần nữa, bất chấp việc phân tích dài dòng nhiều vụ án trước đó, vụ án này quan trọng hơn trong việc mô tả các tình huống mà quyền sở hữu hưởng lợi tồn tại hơn là cố gắng đưa ra bất kỳ định nghĩa bao quát nào về thuật ngữ này. Rõ ràng, như một kết quả của vụ án đó, quyền sở hữu hưởng lợi sẽ không tồn tại nếu không có quyền sở hữu công bằng. Như Millett J đã nói:102</w:t>
      </w:r>
    </w:p>
    <w:p>
      <w:pPr>
        <w:spacing w:after="80"/>
      </w:pPr>
      <w:r>
        <w:rPr>
          <w:b w:val="0"/>
          <w:i w:val="0"/>
        </w:rPr>
        <w:t>Quyền sở hữu hưởng lợi bao hàm nhiều hơn quyền sở hữu công bằng. Nó đòi hỏi nhiều hơn quyền sở hữu một cái vỏ rỗng không có những quyền hưởng lợi vốn thường gắn liền với quyền sở hữu công bằng.</w:t>
      </w:r>
    </w:p>
    <w:p>
      <w:pPr>
        <w:spacing w:after="80"/>
      </w:pPr>
      <w:r>
        <w:rPr>
          <w:b w:val="0"/>
          <w:i w:val="0"/>
        </w:rPr>
        <w:t>Trong bối cảnh mua bán hiệp ước (treaty shopping), có thể đáng lưu ý những bình luận của ông103 với hàm ý rằng việc hưởng lợi từ cổ tức là một đặc điểm quan trọng của quyền sở hữu hưởng lợi</w:t>
      </w:r>
    </w:p>
    <w:p>
      <w:pPr>
        <w:spacing w:after="80"/>
      </w:pPr>
      <w:r>
        <w:rPr>
          <w:b w:val="0"/>
          <w:i w:val="0"/>
        </w:rPr>
        <w:t xml:space="preserve">99. </w:t>
      </w:r>
      <w:r>
        <w:rPr>
          <w:b w:val="0"/>
          <w:i/>
        </w:rPr>
        <w:t>English Sewing Cotton Company Ltd v IRC</w:t>
      </w:r>
      <w:r>
        <w:rPr>
          <w:b w:val="0"/>
          <w:i w:val="0"/>
        </w:rPr>
        <w:t xml:space="preserve"> [1947] 1 All ER 679. 100. </w:t>
      </w:r>
      <w:r>
        <w:rPr>
          <w:b w:val="0"/>
          <w:i/>
        </w:rPr>
        <w:t>Wood Preservation Ltd v Prior</w:t>
      </w:r>
      <w:r>
        <w:rPr>
          <w:b w:val="0"/>
          <w:i w:val="0"/>
        </w:rPr>
        <w:t xml:space="preserve"> (1966-1969) 45 TC 112; [1968] 2 All ER 849. 101. </w:t>
      </w:r>
      <w:r>
        <w:rPr>
          <w:b w:val="0"/>
          <w:i/>
        </w:rPr>
        <w:t>J Sainsbury plc v O'Connor</w:t>
      </w:r>
      <w:r>
        <w:rPr>
          <w:b w:val="0"/>
          <w:i w:val="0"/>
        </w:rPr>
        <w:t xml:space="preserve"> [1990] BTC 363; [1990] STC 516, Ch.D. và [1991] BTC 181; [1991] STC 318, CA. 102. </w:t>
      </w:r>
      <w:r>
        <w:rPr>
          <w:b w:val="0"/>
          <w:i/>
        </w:rPr>
        <w:t>J Sainsbury plc v O'Connor</w:t>
      </w:r>
      <w:r>
        <w:rPr>
          <w:b w:val="0"/>
          <w:i w:val="0"/>
        </w:rPr>
        <w:t xml:space="preserve"> [1990] BTC 363 tại 379; [1990] STC 516, tại 530. 103. Tại 531.</w:t>
      </w:r>
    </w:p>
    <w:p>
      <w:pPr>
        <w:spacing w:after="80"/>
      </w:pPr>
      <w:r>
        <w:rPr>
          <w:b w:val="0"/>
          <w:i w:val="0"/>
        </w:rPr>
        <w:t>496</w:t>
      </w:r>
    </w:p>
    <w:p>
      <w:pPr>
        <w:spacing w:after="80"/>
      </w:pPr>
      <w:r>
        <w:rPr>
          <w:b w:val="0"/>
          <w:i w:val="0"/>
        </w:rPr>
        <w:t xml:space="preserve">quyền sở hữu cổ phần. Ông lưu ý rằng quyền được nhận cổ tức một cách thực hưởng (beneficial receipt) khi cổ tức đã được tuyên bố phải được phân biệt với quyền khiến cho cổ tức được tuyên bố. Do đó, quyền sở hữu thực hưởng (beneficial ownership) không liên quan gì đến quyền kiểm soát. Ông lưu ý rằng trong vụ án </w:t>
      </w:r>
      <w:r>
        <w:rPr>
          <w:b w:val="0"/>
          <w:i/>
        </w:rPr>
        <w:t>Wood Preservation</w:t>
      </w:r>
      <w:r>
        <w:rPr>
          <w:b w:val="0"/>
          <w:i w:val="0"/>
        </w:rPr>
        <w:t>, điều khiến cho người nộp thuế không thể trở thành chủ sở hữu thực hưởng của số cổ phần trong khi chờ các điều kiện được hoàn thành, không phải là việc họ không thể khiến cổ tức được tuyên bố, mà là việc họ không thể làm điều đó vì lợi ích của chính mình. Trong bối cảnh cách diễn đạt của OECD Model, câu hỏi có khả năng sẽ là: cổ tức có thể được tuyên bố hoặc chi trả vì lợi ích của ai?</w:t>
      </w:r>
    </w:p>
    <w:p>
      <w:pPr>
        <w:spacing w:after="80"/>
      </w:pPr>
      <w:r>
        <w:rPr>
          <w:b w:val="0"/>
          <w:i w:val="0"/>
        </w:rPr>
        <w:t>Ông cũng cho rằng sẽ là không thích đáng nếu thay thế một tiêu chí kinh tế cho một tiêu chí pháp lý và nhầm lẫn sự tồn tại của các quyền pháp lý với giá trị của chúng. Ông tuyên bố rằng 'quyền sở hữu thực hưởng không liên quan gì đến giá trị hay các thuộc tính kinh tế của quyền sở hữu'. Ông lập luận rằng điều này được chứng minh bởi sự cần thiết phải ban hành điều mà nay là CTA 2010, s. 151(4).</w:t>
      </w:r>
    </w:p>
    <w:p>
      <w:pPr>
        <w:spacing w:after="80"/>
      </w:pPr>
      <w:r>
        <w:rPr>
          <w:b w:val="0"/>
          <w:i w:val="0"/>
        </w:rPr>
        <w:t>Cách tiếp cận đặc biệt này không được Tòa án Phúc thẩm (Court of Appeal) bình luận. Mặc dù rõ ràng rằng giá trị theo nghĩa một quan điểm định lượng về quyền sở hữu sẽ không quyết định quyền sở hữu thực hưởng, nhưng quyền được hưởng các thuộc tính kinh tế lại rõ ràng có liên quan. Lập luận được trình bày tại Tòa án Phúc thẩm không chấm dứt mối quan hệ giữa chủ sở hữu thực hưởng và chủ sở hữu theo công bằng (equitable owner). Phía Crown lập luận trong vụ án đó rằng chúng không phải là một. Mặc dù vẫn chưa rõ chúng khác nhau như thế nào, Lloyd LJ đã từ chối chấp nhận lập luận của phía Crown về việc đưa ra một 'phán đoán cân bằng' về việc liệu quyền sở hữu cổ phần của Sainsbury's có phải là thực hưởng hay không. Ông chỉ sẵn sàng nói rằng khi quyền sở hữu pháp lý chỉ là một cái vỏ rỗng, thì tương đối dễ để rút ra suy luận như một vấn đề về cách giải thích rằng Nghị viện không thể đã có ý định trao các lợi ích của ưu đãi nhóm (group relief). Một kết luận tương tự có khả năng sẽ dẫn đến trong mối liên hệ với các quy định của hiệp ước, mặc dù chính xác ranh giới phân chia vẫn chưa rõ ràng. Nourse LJ cho rằng quyền sở hữu thực hưởng đơn giản có nghĩa là quyền sở hữu vì lợi ích của chính mình, đối lập với quyền sở hữu với tư cách người được ủy thác cho người khác. Theo quan điểm của ông, lẽ ra không nên khó để xác định quyền sở hữu thực hưởng, dù rằng nó có thể phát sinh theo nhiều cách khác nhau.</w:t>
      </w:r>
    </w:p>
    <w:p>
      <w:pPr>
        <w:spacing w:after="80"/>
      </w:pPr>
      <w:r>
        <w:rPr>
          <w:b w:val="0"/>
          <w:i w:val="0"/>
        </w:rPr>
        <w:t xml:space="preserve">Câu hỏi về quyền sở hữu thực hưởng trong bối cảnh một khoản vay đã được Tòa án Phúc thẩm xem xét trong vụ </w:t>
      </w:r>
      <w:r>
        <w:rPr>
          <w:b w:val="0"/>
          <w:i/>
        </w:rPr>
        <w:t>Swiss Bank Corporation v Lloyds Bank Limited.</w:t>
      </w:r>
      <w:r>
        <w:rPr>
          <w:b w:val="0"/>
          <w:i w:val="0"/>
        </w:rPr>
        <w:t>104 Một thông báo kiểm soát hối đoái yêu cầu phải có sự đồng ý của Ngân hàng Anh (Bank of England) đối với một giao dịch chuyển nhượng liên quan đến sự thay đổi quyền sở hữu thực hưởng. Trong vụ án đó, một khoản phí theo công bằng (equitable charge) và lợi ích theo công bằng về quyền sở hữu (proprietary equitable interest) do đó được trao không cấu thành việc người mà các tài liệu về quyền sở hữu chứng khoán đã được gửi gắm trở thành 'chủ sở hữu thực hưởng' cho mục đích đó.</w:t>
      </w:r>
    </w:p>
    <w:p>
      <w:pPr>
        <w:spacing w:after="80"/>
      </w:pPr>
      <w:r>
        <w:rPr>
          <w:b w:val="0"/>
          <w:i w:val="0"/>
        </w:rPr>
        <w:t xml:space="preserve">Quyền sở hữu thực hưởng đối với cổ phần trong một công ty của Vương quốc Anh mà Bank of New York đã phát hành Chứng chỉ Lưu ký Mỹ (American Depositary Receipts - ADR) được điều chỉnh bởi luật của Bang New York, với chỉ thỏa thuận đại lý hối đoái (exchange agency agreement) được điều chỉnh bởi luật Anh, đã được Tòa án Sơ thẩm (First-tier Tribunal) thảo luận trong vụ </w:t>
      </w:r>
      <w:r>
        <w:rPr>
          <w:b w:val="0"/>
          <w:i/>
        </w:rPr>
        <w:t>HSBC Holdings Plc and Bank of New York Mellon v HMRC</w:t>
      </w:r>
      <w:r>
        <w:rPr>
          <w:b w:val="0"/>
          <w:i w:val="0"/>
        </w:rPr>
        <w:t>.105 Vụ án liên quan đến việc áp dụng Thuế Dự trữ Thuế trước bạ (Stamp Duty Reserve Tax) và tính tương thích của nó với Chỉ thị Thuế Vốn 69/335/EEC. Tòa án</w:t>
      </w:r>
    </w:p>
    <w:p>
      <w:pPr>
        <w:spacing w:after="80"/>
      </w:pPr>
      <w:r>
        <w:rPr>
          <w:b w:val="0"/>
          <w:i w:val="0"/>
        </w:rPr>
        <w:t>104.</w:t>
      </w:r>
      <w:r>
        <w:rPr>
          <w:b w:val="0"/>
          <w:i/>
        </w:rPr>
        <w:t>Swiss Bank Corporation v Lloyds Bank Limited</w:t>
      </w:r>
      <w:r>
        <w:rPr>
          <w:b w:val="0"/>
          <w:i w:val="0"/>
        </w:rPr>
        <w:t xml:space="preserve"> [1990] 2 All ER 419.105.</w:t>
      </w:r>
      <w:r>
        <w:rPr>
          <w:b w:val="0"/>
          <w:i/>
        </w:rPr>
        <w:t>HSBC Holdings Plc and Bank of New York Mellon v HMRC</w:t>
      </w:r>
      <w:r>
        <w:rPr>
          <w:b w:val="0"/>
          <w:i w:val="0"/>
        </w:rPr>
        <w:t xml:space="preserve"> [2012] TC 01858; [2012] UKFTT 163(TC).</w:t>
      </w:r>
    </w:p>
    <w:p>
      <w:pPr>
        <w:spacing w:after="80"/>
      </w:pPr>
      <w:r>
        <w:rPr>
          <w:b w:val="0"/>
          <w:i w:val="0"/>
        </w:rPr>
        <w:t>497</w:t>
      </w:r>
    </w:p>
    <w:p>
      <w:pPr>
        <w:spacing w:after="80"/>
      </w:pPr>
      <w:r>
        <w:rPr>
          <w:b w:val="0"/>
          <w:i w:val="0"/>
        </w:rPr>
        <w:t>không thấy thỏa mãn về mặt thực tế rằng theo luật của Bang New York, người nắm giữ một HSBC ADR có lợi ích thực hưởng trong quỹ cổ phần HSBC cơ sở do Mellon Nominees nắm giữ với tư cách người giám hộ (custodian) cho Bank of New York. Kết luận này trái với thông lệ lâu đời của HMRC, vốn coi người nắm giữ chứng chỉ lưu ký (depositary receipt) là có quyền sở hữu thực hưởng đối với cổ phần cơ sở, và việc xử lý thuế đối với các giao dịch mua và bán, các quyền sở hữu, và thu nhập phát sinh từ chứng chỉ lưu ký đã nhất quán với quan điểm này.106 Phân tích này ít rõ ràng dứt khoát và đưa ra giả thuyết về các cách tiếp cận thay thế. Nó khó có thể là lời cuối cùng về chủ đề này.</w:t>
      </w:r>
    </w:p>
    <w:p>
      <w:pPr>
        <w:spacing w:after="80"/>
      </w:pPr>
      <w:r>
        <w:rPr>
          <w:b w:val="0"/>
          <w:i w:val="0"/>
        </w:rPr>
        <w:t>Trong bối cảnh mua bán hiệp ước (treaty shopping), có thể phân biệt một số tình huống khác nhau nơi quyền sở hữu thực hưởng có thể bị đặt vấn đề. Thứ nhất là liên quan đến cổ tức, nơi một người không phải là chủ sở hữu pháp lý (đã đăng ký) của cổ phần không phải là chủ sở hữu thực hưởng nhờ một thỏa thuận hợp đồng nào đó, một tuyên bố tín thác (declaration of trust) hoặc một thỏa thuận khác được xem xét trong các vụ án trên. Tương tự, quyền sở hữu có thể bị chia tách giữa những người thụ hưởng vốn (capital beneficiaries) (được hưởng số tiền thu được từ việc bán một cổ phần) và những người thụ hưởng thu nhập (income beneficiaries) (được hưởng cổ tức). Những vụ án này đều liên quan đến quyền sở hữu tài sản cơ sở làm phát sinh thu nhập đang được đề cập. HMRC đã cố gắng cô đọng quan điểm của mình thành một định nghĩa về quyền sở hữu thực hưởng là: 'quyền duy nhất và không bị hạn chế để sử dụng, hưởng thụ hoặc định đoạt' tài sản hoặc thu nhập đang được đề cập.107</w:t>
      </w:r>
    </w:p>
    <w:p>
      <w:pPr>
        <w:spacing w:after="80"/>
      </w:pPr>
      <w:r>
        <w:rPr>
          <w:b/>
          <w:i w:val="0"/>
        </w:rPr>
        <w:t>'Quyền sở hữu thực hưởng' trong các trao đổi công hàm về chia sẻ thông tin chủ sở hữu thực hưởng</w:t>
      </w:r>
      <w:r>
        <w:rPr>
          <w:b w:val="0"/>
          <w:i w:val="0"/>
        </w:rPr>
        <w:br/>
        <w:t>Một loạt các trao đổi công hàm và nghị định thư kỹ thuật về chia sẻ thông tin chủ sở hữu thực hưởng của các thực thể doanh nghiệp và pháp lý được thành lập trong phạm vi tài phán của họ đã được tiến hành giữa Vương quốc Anh và các Lãnh thổ Phụ thuộc Vương miện (Crown Dependencies) và các Lãnh thổ Hải ngoại của Anh (British Overseas Territories) vào tháng 4 năm 2016.108 Các thỏa thuận này yêu cầu các bên thiết lập và duy trì một sổ đăng ký chứa thông tin về quyền sở hữu thực hưởng của các thực thể doanh nghiệp và pháp lý được thành lập trong phạm vi tài phán của họ và cung cấp quyền truy cập thông tin này cho các cơ quan thực thi pháp luật và thuế của tài phán kia. Nghị định thư kỹ thuật cho các thỏa thuận này đưa ra một định nghĩa dựa trên chỉ thị Phòng chống Rửa tiền lần thứ tư (Fourth Money Laundering directive), theo đó</w:t>
      </w:r>
    </w:p>
    <w:p>
      <w:pPr>
        <w:spacing w:after="80"/>
      </w:pPr>
      <w:r>
        <w:rPr>
          <w:b w:val="0"/>
          <w:i w:val="0"/>
        </w:rPr>
        <w:t>106.Revenue &amp; Customs Brief 14/12, 15 May 2012.107.HMRC, International Manual, INTM332010.108.Exchange of Notes between the Government of the United Kingdom and the Government of Anguilla in respect of the sharing of beneficial ownership information of 19 April 2016; Exchange of Notes between the Government of the United Kingdom and the Government of Bermuda in respect of the sharing of beneficial ownership information of 9 April 2016; Exchange of Notes between the Government of the United Kingdom and the Government of the British Virgin Islands in respect of the sharing of beneficial ownership information of 8 April 2016; Exchange of Notes between the Government of the United Kingdom and the Government of the Cayman Islands in respect of the sharing of beneficial ownership information of 8 April 2016; Exchange of Notes between the Government of the United Kingdom and the Government of Gibraltar in respect of the sharing of beneficial ownership information of 19 April 2016; Exchange of Notes between the Government of the United Kingdom and the Government of Guernsey in respect of the sharing of beneficial ownership information of 21 April 2016; Exchange of Notes between the Government of the United Kingdom and the Government of the Isle of Man in respect of the sharing of beneficial ownership information of 12 April 2016; Exchange of Notes between the Government of the United Kingdom and the Government of the Turks and Caicos Islands in respect of the sharing of beneficial ownership information of 10 April 2016.</w:t>
      </w:r>
    </w:p>
    <w:p>
      <w:pPr>
        <w:spacing w:after="80"/>
      </w:pPr>
      <w:r>
        <w:rPr>
          <w:b w:val="0"/>
          <w:i w:val="0"/>
        </w:rPr>
        <w:t>498</w:t>
      </w:r>
    </w:p>
    <w:p>
      <w:pPr>
        <w:spacing w:after="80"/>
      </w:pPr>
      <w:r>
        <w:rPr>
          <w:b w:val="0"/>
          <w:i w:val="0"/>
        </w:rPr>
        <w:t>rằng 'chủ sở hữu thực hưởng' cho mục đích này có nghĩa là 'bất kỳ thể nhân nào cuối cùng sở hữu hoặc kiểm soát một thực thể doanh nghiệp hoặc pháp lý thông qua quyền sở hữu trực tiếp hoặc gián tiếp hơn 25% cổ phần hoặc quyền biểu quyết hoặc quyền sở hữu trong thực thể đó, hoặc thông qua kiểm soát bằng các phương tiện khác'. Điều này phân biệt ý nghĩa đặc biệt của thuật ngữ này cho mục đích này với ý nghĩa trong các hiệp ước thuế hai lần.</w:t>
      </w:r>
    </w:p>
    <w:p>
      <w:pPr>
        <w:spacing w:after="80"/>
      </w:pPr>
      <w:r>
        <w:rPr>
          <w:b/>
          <w:i w:val="0"/>
        </w:rPr>
        <w:t>§17.08 CÁC BIỆN PHÁP ĐỐI PHÓ CỤ THỂ KHÁC</w:t>
      </w:r>
    </w:p>
    <w:p>
      <w:pPr>
        <w:spacing w:after="80"/>
      </w:pPr>
      <w:r>
        <w:rPr>
          <w:b w:val="0"/>
          <w:i w:val="0"/>
        </w:rPr>
        <w:t>Ủy ban Các vấn đề Tài khóa của OECD (OECD Fiscal Affairs Committee) đã công nhận trong Báo cáo về Công ty Dẫn dắt (Conduit Company Report) rằng các quy định về nơi cư trú tài khóa và quyền sở hữu thực hưởng có thể không phải lúc nào cũng cung cấp mối liên hệ cần thiết. Báo cáo đó đã đưa ra một số cách tiếp cận khả thi có thể được áp dụng trong các hiệp ước song phương cụ thể. Nó cũng gợi ý rằng trong trường hợp không có các biện pháp bảo vệ cụ thể, các lợi ích hiệp ước sẽ phải được trao ngay cả khi chúng bị coi là không thích đáng.109 Mặc dù OECD đã ghi nhận xu hướng ngày càng tăng của việc sử dụng các công ty dẫn dắt để có được các lợi ích hiệp ước không nằm trong ý định của các quốc gia ký kết, nó đã kiềm chế không soạn thảo các văn bản dứt khoát về các biện pháp đối phó. Nó cũng đặc biệt tránh đưa ra bất kỳ khuyến nghị nghiêm ngặt nào về các tình huống mà các biện pháp đối phó như vậy nên được áp dụng. OECD cho rằng khi xử lý các biện pháp đối phó như vậy, các nhà đàm phán hiệp ước nên xem xét mức độ mà các lợi ích thuế thực sự có thể đạt được bởi các công ty dẫn dắt, bối cảnh pháp lý ở cả hai quốc gia ký kết và mức độ mà các hoạt động kinh tế chân chính có thể vô tình bị bao phủ bởi các quy định như vậy.</w:t>
      </w:r>
    </w:p>
    <w:p>
      <w:pPr>
        <w:spacing w:after="80"/>
      </w:pPr>
      <w:r>
        <w:rPr>
          <w:b w:val="0"/>
          <w:i w:val="0"/>
        </w:rPr>
        <w:t>Việc đàm phán hiệp ước của Vương quốc Anh dường như tuân theo tư duy đó của OECD về vấn đề này ở chỗ nó đã không tìm cách đưa một điều khoản chống lạm dụng hoặc giới hạn lợi ích chung vào các hiệp ước của mình, ít nhất là cho đến năm 2010. Tuyên bố chung của Vương quốc Anh và Đức nhân dịp Ký kết ngày 30 tháng 3 năm 2010 Hiệp ước Thuế Thu nhập Đức-Vương quốc Anh của ngày đó,110 hiệp ước thuế thu nhập với Trung Quốc (được ký kết ngày 27 tháng 6 năm 2011),111</w:t>
      </w:r>
    </w:p>
    <w:p>
      <w:pPr>
        <w:spacing w:after="80"/>
      </w:pPr>
      <w:r>
        <w:rPr>
          <w:b w:val="0"/>
          <w:i w:val="0"/>
        </w:rPr>
        <w:t>Hiệp định thuế thu nhập với Ấn Độ (ký kết ngày 30 tháng 10 năm 2012) và Hiệp định thuế thu nhập Tây Ban Nha - Vương quốc Anh (ký kết ngày 14 tháng 3 năm 2013),112 mỗi hiệp định đều áp dụng các quy định chống lạm dụng chung. Những hiệp định này vẫn là ngoại lệ vì phần lớn các hiệp định thuế thu nhập được ký kết trong cùng thời kỳ đều áp dụng cách tiếp cận truyền thống.113 Theo truyền thống, nhiều kỹ thuật chống mua bán hiệp định (treaty shopping) và giới hạn quyền lợi (limitation-on-benefit) khác nhau được áp dụng cho các khoản mục cụ thể trong những hiệp định nhất định khi hành vi lạm dụng đã được nhận diện hoặc bị lo ngại. Các sửa đổi năm 2003 đối với Bản chú giải (Commentary) mở rộng danh mục lựa chọn cho các quốc gia ký kết muốn giới hạn quyền lợi theo hiệp định, bao gồm các điều khoản mẫu dựa trên Hiệp định Mẫu Hoa Kỳ (US Model Treaty), giới hạn quyền lợi chung114 và các quy định dựa trên mục đích của Vương quốc Anh.115 Những điều này</w:t>
      </w:r>
    </w:p>
    <w:p>
      <w:pPr>
        <w:spacing w:after="80"/>
      </w:pPr>
      <w:r>
        <w:rPr>
          <w:b w:val="0"/>
          <w:i w:val="0"/>
        </w:rPr>
        <w:t>109. Tại đoạn 43. 110. Xem §17.05. 111. Xem §17.16. 112. Xem §17.13. 113. Hiệp định thuế Bahrain - Vương quốc Anh (2010); Hiệp định thuế Hồng Kông - Vương quốc Anh (2010); Nghị định thư Mauritius - Vương quốc Anh (2010), Nghị định thư Nam Phi - Vương quốc Anh (2010); Hiệp định thuế Barbados - Vương quốc Anh (2012); Hiệp định thuế Liechtenstein - Vương quốc Anh (2012); Hiệp định thuế Albania - Vương quốc Anh (2013) và Hiệp định thuế Na Uy - Vương quốc Anh (2013). 114. Bản chú giải (2014) về điều 1, đoạn 20. 115. Bản chú giải (2104) về điều 1, đoạn 21.4; xem §17.13.</w:t>
      </w:r>
    </w:p>
    <w:p>
      <w:pPr>
        <w:spacing w:after="80"/>
      </w:pPr>
      <w:r>
        <w:rPr>
          <w:b w:val="0"/>
          <w:i w:val="0"/>
        </w:rPr>
        <w:t>499</w:t>
      </w:r>
    </w:p>
    <w:p>
      <w:pPr>
        <w:spacing w:after="80"/>
      </w:pPr>
      <w:r>
        <w:rPr>
          <w:b w:val="0"/>
          <w:i w:val="0"/>
        </w:rPr>
        <w:t>đã được đưa vào văn bản của Hiệp định Mẫu OECD (OECD Model) vào năm 2017 và là một phần của 'tiêu chuẩn tối thiểu' (minimum standard) được phản ánh trong điều 7 của MLI.116</w:t>
      </w:r>
    </w:p>
    <w:p>
      <w:pPr>
        <w:spacing w:after="80"/>
      </w:pPr>
      <w:r>
        <w:rPr>
          <w:b/>
          <w:i w:val="0"/>
        </w:rPr>
        <w:t>§17.09 CÁCH TIẾP CẬN CHỊU THUẾ (SUBJECT-TO-TAX)</w:t>
      </w:r>
    </w:p>
    <w:p>
      <w:pPr>
        <w:spacing w:after="80"/>
      </w:pPr>
      <w:r>
        <w:rPr>
          <w:b w:val="0"/>
          <w:i w:val="0"/>
        </w:rPr>
        <w:t>OECD gợi ý rằng quyền lợi theo hiệp định có thể bị giới hạn chỉ trong những trường hợp mà thu nhập đang xét phải chịu thuế tại quốc gia cư trú. Điều này được giải thích trên cơ sở rằng mục tiêu của các hiệp định là tránh đánh thuế hai lần. Tuy nhiên, vì một số lý do, Hiệp định Mẫu OECD không khuyến nghị một quy định chung như vậy. Nó nên được giới hạn cho các tình huống chuyển tiếp (conduit) điển hình, thay vì các mối quan hệ thuế quốc tế thông thường.</w:t>
      </w:r>
    </w:p>
    <w:p>
      <w:pPr>
        <w:spacing w:after="80"/>
      </w:pPr>
      <w:r>
        <w:rPr>
          <w:b w:val="0"/>
          <w:i w:val="0"/>
        </w:rPr>
        <w:t>Việc sử dụng cách tiếp cận chịu thuế (subject-to-tax) tại Vương quốc Anh chủ yếu được tìm thấy trong các hiệp định cũ hơn. Nó xuất hiện liên quan đến gần như mọi khoản mục thu nhập, chẳng hạn như cổ tức,117 tiền lãi,118 tiền bản quyền,119 lợi nhuận vốn120 và dịch vụ cá nhân.121 Các quy tắc liên quan đến thu nhập và lợi nhuận chịu thuế theo cơ sở chuyển tiền (remittance basis) có thể được xem là thuộc loại này.122 Một ví dụ về quy định như vậy được tìm thấy trong điều XI(2) của hiệp định thuế hai lần Israel - Vương quốc Anh, quy định rằng:</w:t>
      </w:r>
    </w:p>
    <w:p>
      <w:pPr>
        <w:spacing w:after="80"/>
      </w:pPr>
      <w:r>
        <w:rPr>
          <w:b w:val="0"/>
          <w:i w:val="0"/>
        </w:rPr>
        <w:t>Bất kỳ khoản lương hưu … nào có nguồn gốc từ Vương quốc Anh do một cá nhân là cư dân Israel và phải chịu thuế Israel đối với khoản đó, sẽ được miễn thuế Vương quốc Anh.</w:t>
      </w:r>
    </w:p>
    <w:p>
      <w:pPr>
        <w:spacing w:after="80"/>
      </w:pPr>
      <w:r>
        <w:rPr>
          <w:b w:val="0"/>
          <w:i w:val="0"/>
        </w:rPr>
        <w:t xml:space="preserve">Thẩm phán Berner tại Tòa án Sơ thẩm (First-tier Tribunal) đã đưa ra một giải thích hữu ích về ý nghĩa của cụm từ này và sự phân biệt giữa 'chịu trách nhiệm thuế' (liable to tax) và 'chịu thuế' (subject to tax) trong </w:t>
      </w:r>
      <w:r>
        <w:rPr>
          <w:b w:val="0"/>
          <w:i/>
        </w:rPr>
        <w:t>Weiser v HMRC.</w:t>
      </w:r>
      <w:r>
        <w:rPr>
          <w:b w:val="0"/>
          <w:i w:val="0"/>
        </w:rPr>
        <w:t>123 Một người chịu trách nhiệm thuế nếu các đặc điểm liên kết của người đó với một quốc gia giống với những người hoàn toàn chịu trách nhiệm và thực sự chịu thuế, ngay cả khi người đó không phải chịu thuế đối với một phần hoặc toàn bộ thu nhập của mình nhờ các quy định đặc biệt của quốc gia cư trú.124 Liên quan đến việc vận hành một giới hạn quyền lợi 'chịu thuế' (subject-to-tax), ông nói:</w:t>
      </w:r>
    </w:p>
    <w:p>
      <w:pPr>
        <w:spacing w:after="80"/>
      </w:pPr>
      <w:r>
        <w:rPr>
          <w:b w:val="0"/>
          <w:i w:val="0"/>
        </w:rPr>
        <w:t>[T]hu nhập có nguồn gốc từ Vương quốc Anh chỉ được miễn thuế Vương quốc Anh nếu thu nhập đó phải chịu thuế Israel, đến mức thuế Israel thông thường sẽ phải nộp đối với thu nhập đó, sau khi trừ các khoản phụ cấp và giảm trừ, v.v. Điều này xuất phát từ sự phân biệt mà theo quan điểm của tôi phải được rút ra giữa việc sử dụng, trong các hiệp định thuế hai lần, các cụm từ 'chịu trách nhiệm thuế' (liable to tax) và 'chịu thuế' (subject to tax), và cũng từ yêu cầu, theo Điều XI(2), rằng cá nhân liên quan không chỉ phải là cư dân Israel (tức là cư trú tại Israel vì mục đích thuế Israel), mà còn</w:t>
      </w:r>
    </w:p>
    <w:p>
      <w:pPr>
        <w:spacing w:after="80"/>
      </w:pPr>
      <w:r>
        <w:rPr>
          <w:b w:val="0"/>
          <w:i w:val="0"/>
        </w:rPr>
        <w:t xml:space="preserve">116. Xem Chương 18, §18.02. 117. Hiệp định thuế Antigua - Vương quốc Anh (1947), điều 6. 118. Hiệp định thuế Oman - Vương quốc Anh (1998), điều 11(1). 119. Thỏa thuận giữa Chính phủ Bệ hạ và Chính phủ Grenada về Tránh đánh thuế hai lần và Ngăn ngừa trốn thuế liên quan đến Thuế Thu nhập, ngày 4 tháng 3 năm 1949 (SI 1949/361), điều 7. 120. Hiệp định thuế Israel - Vương quốc Anh (1962), điều 8A(4). 121. Hiệp định thuế Hy Lạp - Vương quốc Anh (1953), điều 9. 122. Xem Chương 13, §13.06. 123. </w:t>
      </w:r>
      <w:r>
        <w:rPr>
          <w:b w:val="0"/>
          <w:i/>
        </w:rPr>
        <w:t>Weiser v HMRC</w:t>
      </w:r>
      <w:r>
        <w:rPr>
          <w:b w:val="0"/>
          <w:i w:val="0"/>
        </w:rPr>
        <w:t xml:space="preserve"> [2012] TC 02178; [2012] UKFTT 501 (TC). 124. Tại đoạn 28.</w:t>
      </w:r>
    </w:p>
    <w:p>
      <w:pPr>
        <w:spacing w:after="80"/>
      </w:pPr>
      <w:r>
        <w:rPr>
          <w:b w:val="0"/>
          <w:i w:val="0"/>
        </w:rPr>
        <w:t>500</w:t>
      </w:r>
    </w:p>
    <w:p>
      <w:pPr>
        <w:spacing w:after="80"/>
      </w:pPr>
      <w:r>
        <w:rPr>
          <w:b w:val="0"/>
          <w:i w:val="0"/>
        </w:rPr>
        <w:t>phải chịu thuế đối với thu nhập liên quan. Việc đề cập đến thu nhập đó trong bối cảnh này phân biệt rõ ràng quy định này với một quy định yêu cầu cá nhân phải thuộc phạm vi đánh thuế của một Quốc gia nói chung. Quy định này không liên quan đến tình trạng của cá nhân, mà liên quan đến khả năng chịu thuế của thu nhập cụ thể. Thu nhập được miễn thuế không thể, trong thời gian miễn thuế đó, là thu nhập mà một cá nhân có thể được cho là phải chịu thuế.125</w:t>
      </w:r>
    </w:p>
    <w:p>
      <w:pPr>
        <w:spacing w:after="80"/>
      </w:pPr>
      <w:r>
        <w:rPr>
          <w:b w:val="0"/>
          <w:i w:val="0"/>
        </w:rPr>
        <w:t>Sự phân biệt giữa bị đánh thuế và chịu thuế được HMRC làm rõ.126 Ví dụ, một người chịu thuế nếu:</w:t>
      </w:r>
    </w:p>
    <w:p>
      <w:pPr>
        <w:spacing w:after="80"/>
      </w:pPr>
      <w:r>
        <w:rPr>
          <w:b w:val="0"/>
          <w:i w:val="0"/>
        </w:rPr>
        <w:t>– người đó không nộp thuế Vương quốc Anh vì thu nhập của họ được bao phủ bởi các khoản phụ cấp hoặc giảm trừ cá nhân; hoặc – thu nhập được bao phủ hoàn toàn bởi các khoản phụ cấp vốn.127</w:t>
      </w:r>
    </w:p>
    <w:p>
      <w:pPr>
        <w:spacing w:after="80"/>
      </w:pPr>
      <w:r>
        <w:rPr>
          <w:b w:val="0"/>
          <w:i w:val="0"/>
        </w:rPr>
        <w:t>allowances or reliefs; or–income is wholly covered by capital allowances.127</w:t>
      </w:r>
    </w:p>
    <w:p>
      <w:pPr>
        <w:spacing w:after="80"/>
      </w:pPr>
      <w:r>
        <w:rPr>
          <w:b w:val="0"/>
          <w:i w:val="0"/>
        </w:rPr>
        <w:t>Cách tiếp cận chịu thuế (subject-to-tax) khá là thô thiển. Nó là một chính sách ‘được ăn cả, ngã về không’. Vì vậy, một khoản thu nhập chịu thuế suất rất thấp ở nước cư trú có thể lại được hưởng miễn thuế lớn ở nước nguồn. Ngược lại, khi khoản thu nhập đó không bị đánh thuế ở nước cư trú, nó vẫn có thể phải chịu thuế suất cao ở nước nguồn. Việc chuyển từ phương pháp khấu trừ (credit) sang phương pháp miễn thuế (exemption) để giảm bớt đánh thuế hai lần, như được áp dụng một phần ở Vương quốc Anh,128 cũng sẽ tạo ra những kết quả bất ngờ. Cổ tức mà một công ty Anh nhận được và được miễn thuế ở Vương quốc Anh sẽ không đủ điều kiện để được giảm thuế khấu trừ tại nước nguồn. Vì không có khoản giảm trừ nào cho cả thuế cơ sở lẫn thuế khấu trừ trên cổ tức, nên thuế suất thực tế có thể tăng lên do việc miễn thuế.</w:t>
      </w:r>
    </w:p>
    <w:p>
      <w:pPr>
        <w:spacing w:after="80"/>
      </w:pPr>
      <w:r>
        <w:rPr>
          <w:b w:val="0"/>
          <w:i w:val="0"/>
        </w:rPr>
        <w:t>Một phiên bản mới và tinh tế hơn của cách tiếp cận chịu thuế có thể được tìm thấy trong các hiệp định thuế thu nhập với Hà Lan và Đức. Điều VII của Nghị định thư ngày 26 tháng 9 năm 2008 bổ sung cho hiệp định Anh-Hà Lan và Điều 3 của Nghị định thư ngày 30 tháng 3 năm 2010 bổ sung cho Hiệp định Anh-Đức (2010) được áp dụng khi một số khoản thu nhập đầu tư nhất định có thể được miễn thuế ở nước cư trú do có quy định miễn thuế đối với lợi nhuận nước ngoài của chi nhánh kết hợp với việc quy kết cho một cơ sở thường trú ở nước thứ ba nơi lợi nhuận đó bị đánh thuế ở mức tương đối thấp. Trong mỗi trường hợp, khoản thu nhập đang xét phải chịu một mức thuế tối thiểu ở nước thứ ba trước khi việc giảm thuế ở Vương quốc Anh được áp dụng.129</w:t>
      </w:r>
    </w:p>
    <w:p>
      <w:pPr>
        <w:spacing w:after="80"/>
      </w:pPr>
      <w:r>
        <w:rPr>
          <w:b/>
          <w:i w:val="0"/>
        </w:rPr>
        <w:t>§17.10 LOẠI TRỪ CÁC THỰC THỂ ĐƯỢC ƯU ĐÃI THUẾ</w:t>
      </w:r>
    </w:p>
    <w:p>
      <w:pPr>
        <w:spacing w:after="80"/>
      </w:pPr>
      <w:r>
        <w:rPr>
          <w:b w:val="0"/>
          <w:i w:val="0"/>
        </w:rPr>
        <w:t>Một thủ thuật khác thường được sử dụng là loại trừ các loại công ty cụ thể được hưởng đặc quyền thuế tại quốc gia cư trú của họ. Một số hiệp định mà Vương quốc Anh đã ký kết có chứa</w:t>
      </w:r>
    </w:p>
    <w:p>
      <w:pPr>
        <w:spacing w:after="80"/>
      </w:pPr>
      <w:r>
        <w:rPr>
          <w:b w:val="0"/>
          <w:i w:val="0"/>
        </w:rPr>
        <w:t xml:space="preserve">125. Tại đoạn 34. 126. HMRC, Sổ tay Giảm thuế Đánh thuế Hai lần, DT802. 127. </w:t>
      </w:r>
      <w:r>
        <w:rPr>
          <w:b w:val="0"/>
          <w:i/>
        </w:rPr>
        <w:t>AXA SA v Genworth Financial International Holdings LLC và những người khác</w:t>
      </w:r>
      <w:r>
        <w:rPr>
          <w:b w:val="0"/>
          <w:i w:val="0"/>
        </w:rPr>
        <w:t xml:space="preserve"> [2020] EWHC 2024, [2020] STC 2198, xem xét ý nghĩa của ‘chịu thuế’ trong một điều khoản tổng gộp (gross-up) trong hợp đồng mua bán cổ phần và lưu ý rằng trong ngữ cảnh đó, nó có ý nghĩa khác với ý nghĩa trong các hiệp định thuế. 128. Xem Chương 15, §15.01. 129. Xem Chương 10, §10.03, Chương 18, §18.06: Các trường hợp tam giác.</w:t>
      </w:r>
    </w:p>
    <w:p>
      <w:pPr>
        <w:spacing w:after="80"/>
      </w:pPr>
      <w:r>
        <w:rPr>
          <w:b w:val="0"/>
          <w:i w:val="0"/>
        </w:rPr>
        <w:t>501</w:t>
      </w:r>
    </w:p>
    <w:p>
      <w:pPr>
        <w:spacing w:after="80"/>
      </w:pPr>
      <w:r>
        <w:rPr>
          <w:b w:val="0"/>
          <w:i w:val="0"/>
        </w:rPr>
        <w:t xml:space="preserve">các quy định loại trừ một số thực thể nhất định khỏi việc yêu cầu hưởng lợi ích hiệp định. Chúng tập trung vào các thực thể được thiết kế để do người nước ngoài nắm giữ và được miễn thuế hoặc là nói chung hoặc đối với thu nhập nước ngoài. Vì các chế độ này gần như bị loại bỏ hoàn toàn bởi công việc tiếp theo của OECD về </w:t>
      </w:r>
      <w:r>
        <w:rPr>
          <w:b w:val="0"/>
          <w:i/>
        </w:rPr>
        <w:t>Hành động 5 của BEPS - Chống lại các Thực hành Thuế Có hại,</w:t>
      </w:r>
      <w:r>
        <w:rPr>
          <w:b w:val="0"/>
          <w:i w:val="0"/>
        </w:rPr>
        <w:t xml:space="preserve"> nên những quy định như vậy có khả năng ít có ý nghĩa hơn.130 Có bốn dạng điều khoản cơ bản được thiết kế để loại trừ các thực thể được ưu đãi thuế, và chúng được mô tả dưới đây.</w:t>
      </w:r>
    </w:p>
    <w:p>
      <w:pPr>
        <w:spacing w:after="80"/>
      </w:pPr>
      <w:r>
        <w:rPr>
          <w:b/>
          <w:i w:val="0"/>
        </w:rPr>
        <w:t>[A] Công thức Caribbean</w:t>
      </w:r>
    </w:p>
    <w:p>
      <w:pPr>
        <w:spacing w:after="80"/>
      </w:pPr>
      <w:r>
        <w:rPr>
          <w:b w:val="0"/>
          <w:i w:val="0"/>
        </w:rPr>
        <w:t xml:space="preserve">Điều 22(2) của Hiệp định Thuế Thu nhập Barbados-Anh (2012) là một ví dụ điển hình. Điều này loại trừ khỏi mọi lợi ích hiệp định các công ty hoặc người khác được miễn thuế toàn phần hoặc một phần ở Barbados theo </w:t>
      </w:r>
      <w:r>
        <w:rPr>
          <w:b w:val="0"/>
          <w:i/>
        </w:rPr>
        <w:t>Đạo luật Dịch vụ Tài chính Quốc tế</w:t>
      </w:r>
      <w:r>
        <w:rPr>
          <w:b w:val="0"/>
          <w:i w:val="0"/>
        </w:rPr>
        <w:t xml:space="preserve">, Chương 325, </w:t>
      </w:r>
      <w:r>
        <w:rPr>
          <w:b w:val="0"/>
          <w:i/>
        </w:rPr>
        <w:t>Đạo luật về các Hiệp hội có Trách nhiệm Hữu hạn</w:t>
      </w:r>
      <w:r>
        <w:rPr>
          <w:b w:val="0"/>
          <w:i w:val="0"/>
        </w:rPr>
        <w:t xml:space="preserve">, Chương 318B, </w:t>
      </w:r>
      <w:r>
        <w:rPr>
          <w:b w:val="0"/>
          <w:i/>
        </w:rPr>
        <w:t>Đạo luật về các Công ty Kinh doanh Quốc tế</w:t>
      </w:r>
      <w:r>
        <w:rPr>
          <w:b w:val="0"/>
          <w:i w:val="0"/>
        </w:rPr>
        <w:t xml:space="preserve">, Chương 77 và </w:t>
      </w:r>
      <w:r>
        <w:rPr>
          <w:b w:val="0"/>
          <w:i/>
        </w:rPr>
        <w:t>Đạo luật Bảo hiểm Được miễn thuế</w:t>
      </w:r>
      <w:r>
        <w:rPr>
          <w:b w:val="0"/>
          <w:i w:val="0"/>
        </w:rPr>
        <w:t>, Chương 308A hoặc bất kỳ luật nào về cơ bản tương tự được Barbados ban hành sau ngày đó. Các điều khoản tương tự cũng được tìm thấy trong các hiệp định của Vương quốc Anh với Antigua và Barbuda, và Jamaica. Tất cả đều đề cập đến luật ưu đãi cụ thể cho phép các công ty do người nước ngoài sở hữu hoặc được miễn thuế hoặc được hưởng mức thuế địa phương tối thiểu.</w:t>
      </w:r>
    </w:p>
    <w:p>
      <w:pPr>
        <w:spacing w:after="80"/>
      </w:pPr>
      <w:r>
        <w:rPr>
          <w:b/>
          <w:i w:val="0"/>
        </w:rPr>
        <w:t>[B] Công thức Síp</w:t>
      </w:r>
    </w:p>
    <w:p>
      <w:pPr>
        <w:spacing w:after="80"/>
      </w:pPr>
      <w:r>
        <w:rPr>
          <w:b w:val="0"/>
          <w:i w:val="0"/>
        </w:rPr>
        <w:t xml:space="preserve">Điều 24A của Hiệp định Síp-Anh (1974) có chứa một quy tắc giới hạn độc đáo. Mặc dù nó đề cập đến các thực thể được ưu đãi thuế ở Síp, nhưng các giới hạn chỉ được áp dụng liên quan đến cổ tức, tiền lãi và tiền bản quyền. Ngoài ra, các cá nhân cư trú ở Síp không phải là công dân Síp và được hưởng ưu đãi thuế ở Síp cũng bị loại trừ, trong khi mức thuế đánh trên họ thấp hơn mức thuế thu nhập thông thường của Síp. Một ngoại lệ </w:t>
      </w:r>
      <w:r>
        <w:rPr>
          <w:b w:val="0"/>
          <w:i/>
        </w:rPr>
        <w:t>de minimis</w:t>
      </w:r>
      <w:r>
        <w:rPr>
          <w:b w:val="0"/>
          <w:i w:val="0"/>
        </w:rPr>
        <w:t xml:space="preserve"> cho phép các cá nhân như vậy được hưởng lợi ích hiệp định đối với 1.500 GBP thu nhập từ nguồn Vương quốc Anh đầu tiên trong một năm đánh thuế. Ngưỡng này chưa được cập nhật kể từ khi hiệp định được ký kết vào năm 1974 và giá trị ban đầu được dự kiến đã bị lạm phát bào mòn cho đến khi quy tắc này bị xóa bỏ khi một hiệp định mới được ký kết vào năm 2018.</w:t>
      </w:r>
    </w:p>
    <w:p>
      <w:pPr>
        <w:spacing w:after="80"/>
      </w:pPr>
      <w:r>
        <w:rPr>
          <w:b/>
          <w:i w:val="0"/>
        </w:rPr>
        <w:t>[C] Công thức Quần đảo Channel</w:t>
      </w:r>
    </w:p>
    <w:p>
      <w:pPr>
        <w:spacing w:after="80"/>
      </w:pPr>
      <w:r>
        <w:rPr>
          <w:b w:val="0"/>
          <w:i w:val="0"/>
        </w:rPr>
        <w:t>Các sửa đổi đã được thực hiện đối với các thỏa thuận năm 1953 giữa Vương quốc Anh và từng vùng Guernsey, Jersey và Đảo Man để tính đến các thực thể được ưu đãi thuế mới ở mỗi khu vực pháp lý đó. Trong mỗi trường hợp, mọi lợi ích hiệp định đều bị loại trừ đối với những người được đánh giá thuế theo hoặc được miễn đánh giá thuế nhờ luật ưu đãi, trừ khi người đó được đánh giá trên toàn bộ thu nhập hoặc lợi nhuận ở mức thấp hơn mức thuế suất tiêu chuẩn được áp dụng chung ở khu vực pháp lý đó. Những quy tắc này không xuất hiện trong các thỏa thuận mới được ký kết vào năm 2018.</w:t>
      </w:r>
    </w:p>
    <w:p>
      <w:pPr>
        <w:spacing w:after="80"/>
      </w:pPr>
      <w:r>
        <w:rPr>
          <w:b w:val="0"/>
          <w:i w:val="0"/>
        </w:rPr>
        <w:t>130. OECD (2015), Chống lại các Thực hành Thuế Có hại Hiệu quả hơn, Tính đến Tính minh bạch và Bản chất, Hành động 5 – Báo cáo Cuối cùng năm 2015.</w:t>
      </w:r>
    </w:p>
    <w:p>
      <w:pPr>
        <w:spacing w:after="80"/>
      </w:pPr>
      <w:r>
        <w:rPr>
          <w:b w:val="0"/>
          <w:i w:val="0"/>
        </w:rPr>
        <w:t>502</w:t>
      </w:r>
    </w:p>
    <w:p>
      <w:pPr>
        <w:spacing w:after="80"/>
      </w:pPr>
      <w:r>
        <w:rPr>
          <w:b w:val="0"/>
          <w:i w:val="0"/>
        </w:rPr>
        <w:t xml:space="preserve">Điều 23 và đoạn (d) của một Thư trao đổi bổ sung cho Hiệp định Malta-Anh có phần tương tự. Các lợi ích hiệp định không dành cho các công ty được hưởng lợi ích theo </w:t>
      </w:r>
      <w:r>
        <w:rPr>
          <w:b w:val="0"/>
          <w:i/>
        </w:rPr>
        <w:t>Đạo luật Hoạt động Kinh doanh Quốc tế Malta</w:t>
      </w:r>
      <w:r>
        <w:rPr>
          <w:b w:val="0"/>
          <w:i w:val="0"/>
        </w:rPr>
        <w:t xml:space="preserve"> 1988, ngoại trừ những công ty chọn chịu sự điều chỉnh của các quy định thuế thu nhập thông thường. Tuy nhiên, lựa chọn này không dành cho các công ty vận tải biển yêu cầu hưởng lợi ích đặc biệt theo </w:t>
      </w:r>
      <w:r>
        <w:rPr>
          <w:b w:val="0"/>
          <w:i/>
        </w:rPr>
        <w:t>Đạo luật Vận tải Biển Thương gia Malta</w:t>
      </w:r>
      <w:r>
        <w:rPr>
          <w:b w:val="0"/>
          <w:i w:val="0"/>
        </w:rPr>
        <w:t xml:space="preserve"> 1973.</w:t>
      </w:r>
    </w:p>
    <w:p>
      <w:pPr>
        <w:spacing w:after="80"/>
      </w:pPr>
      <w:r>
        <w:rPr>
          <w:b/>
          <w:i w:val="0"/>
        </w:rPr>
        <w:t>[D]Công thức CIS</w:t>
      </w:r>
    </w:p>
    <w:p>
      <w:pPr>
        <w:spacing w:after="80"/>
      </w:pPr>
      <w:r>
        <w:rPr>
          <w:b w:val="0"/>
          <w:i w:val="0"/>
        </w:rPr>
        <w:t>Một dạng điều khoản giới hạn quyền lợi (limitation of benefits) mới đã được Vương quốc Anh đưa vào trong các hiệp định thuế với các quốc gia từng là thành viên của Liên bang Xô viết. Ví dụ, Điều 23(2) của Hiệp định Thuế thu nhập Azerbaijan - Vương quốc Anh quy định:</w:t>
      </w:r>
    </w:p>
    <w:p>
      <w:pPr>
        <w:spacing w:after="80"/>
      </w:pPr>
      <w:r>
        <w:rPr>
          <w:b w:val="0"/>
          <w:i w:val="0"/>
        </w:rPr>
        <w:t>Một cư dân của một quốc gia ký kết mà do pháp luật trong nước về các ưu đãi nhằm khuyến khích đầu tư nước ngoài nên không phải chịu thuế hoặc chỉ phải chịu thuế với mức thuế suất ưu đãi tại quốc gia ký kết đó đối với thu nhập hoặc lợi nhuận từ chuyển nhượng vốn sẽ không được hưởng lợi ích từ bất kỳ khoản giảm trừ hoặc miễn thuế nào mà quốc gia ký kết kia dành cho theo hiệp định này, nếu mục đích chính hoặc một trong những mục đích chính của cư dân đó hoặc của một người có liên hệ với cư dân đó là nhằm đạt được các lợi ích của hiệp định này.</w:t>
      </w:r>
    </w:p>
    <w:p>
      <w:pPr>
        <w:spacing w:after="80"/>
      </w:pPr>
      <w:r>
        <w:rPr>
          <w:b w:val="0"/>
          <w:i w:val="0"/>
        </w:rPr>
        <w:t>Các quy định tương tự cũng có trong các hiệp định của Vương quốc Anh với Belarus, Estonia, Kazakhstan, Latvia, Mông Cổ, Nga, Ukraine và Uzbekistan. Tuy nhiên, tiêu chí về mục đích không được đưa vào trong các hiệp định với Nga và Ukraine.</w:t>
      </w:r>
    </w:p>
    <w:p>
      <w:pPr>
        <w:spacing w:after="80"/>
      </w:pPr>
      <w:r>
        <w:rPr>
          <w:b w:val="0"/>
          <w:i w:val="0"/>
        </w:rPr>
        <w:t>Ý định hoặc hiệu lực chính xác của điều khoản này không hoàn toàn rõ ràng. Trong trường hợp của Estonia và Latvia, các văn bản trao đổi công hàm cho thấy rằng các ưu đãi nhằm khuyến khích đầu tư nước ngoài không nên được hiểu là bao gồm cả các ưu đãi chỉ dành riêng cho đầu tư trong nước. Cũng không rõ từ điều khoản này liệu nó áp dụng cho đầu tư ra nước ngoài từ một trong hai quốc gia ký kết, hay nhằm bao quát đầu tư vào trong từ bên ngoài các quốc gia ký kết, hay cả hai. Ngoài ra, (trừ Nga và Ukraine) giới hạn này chỉ áp dụng khi một trong những mục đích chính của cư dân đó hoặc của một người có liên hệ là nhằm đạt được các lợi ích từ hiệp định. Động cơ đằng sau việc đưa vào một điều khoản như vậy có lẽ mang tính phòng ngừa. Hệ thống thuế của các quốc gia này còn rất kém phát triển vào thời điểm các hiệp định được đàm phán, và một điều khoản như thế có thể giúp giới hạn quyền lợi nếu một dạng thực thể nào đó tạo điều kiện cho việc mua bán hiệp định (treaty shopping) được thành lập theo pháp luật trong nước của bất kỳ quốc gia nào trong số này. Không có quy định tương tự trong hiệp định năm 1985 với Liên bang Xô viết, và những điều khoản tương tự cũng không xuất hiện trong các hiệp định khác được đàm phán vào khoảng cùng thời điểm với các nước đang phát triển, chẳng hạn như với Bolivia và Việt Nam.</w:t>
      </w:r>
    </w:p>
    <w:p>
      <w:pPr>
        <w:spacing w:after="80"/>
      </w:pPr>
      <w:r>
        <w:rPr>
          <w:b w:val="0"/>
          <w:i w:val="0"/>
        </w:rPr>
        <w:t>Trong một số trường hợp, việc loại trừ các thực thể được hưởng ưu đãi thuế đã được đưa vào thông qua một nghị định thư (protocol) được đàm phán riêng để giải quyết vấn đề đó. Pháp luật trong nước của các quốc gia ký kết rõ ràng có thể được thay đổi nhanh hơn so với việc đàm phán lại một hiệp định. Do đó, có thể có một giai đoạn mà trong đó các thực thể được hưởng ưu đãi thuế vẫn đủ điều kiện hưởng các lợi ích từ hiệp định. Có lẽ vì lý do này mà HMRC đã tìm cách đưa vào công thức CIS, dù nó có thể không hoàn toàn hiệu quả trong việc loại bỏ những hệ lụy mà nó dường như đang cố gắng ngăn chặn. Một cách tiếp cận hơi khác được thấy trong trường hợp của Malaysia. Ví dụ,</w:t>
      </w:r>
    </w:p>
    <w:p>
      <w:pPr>
        <w:spacing w:after="80"/>
      </w:pPr>
      <w:r>
        <w:rPr>
          <w:b w:val="0"/>
          <w:i w:val="0"/>
        </w:rPr>
        <w:t>503</w:t>
      </w:r>
    </w:p>
    <w:p>
      <w:pPr>
        <w:spacing w:after="80"/>
      </w:pPr>
      <w:r>
        <w:rPr>
          <w:b w:val="0"/>
          <w:i w:val="0"/>
        </w:rPr>
        <w:t>các công ty được thành lập tại thiên đường thuế Labuan của Malaysia đã bị loại khỏi các lợi ích hiệp định theo Hiệp định Malaysia - Vương quốc Anh năm 1973. Chúng tiếp tục bị loại trừ theo hiệp định năm 1997. Tuy nhiên, cơ chế đã thay đổi. Hiệp định hiện nay quy định tại Điều 25(2) rằng các lợi ích hiệp định sẽ bị từ chối đối với những người được hưởng bất kỳ ưu đãi thuế đặc biệt nào theo pháp luật của một trong hai quốc gia ký kết, được xác định bằng trao đổi công hàm. Sự thay đổi trong chiến lược lập pháp này chắc chắn sẽ cho phép cơ quan thuế dễ dàng bổ sung hoặc sửa đổi danh sách những người không đủ điều kiện. Tuy nhiên, việc họ có thể đi xa đến đâu trong việc sử dụng kỹ thuật như vậy để ngăn chặn việc mua bán hiệp định thì vẫn chưa rõ ràng.</w:t>
      </w:r>
    </w:p>
    <w:p>
      <w:pPr>
        <w:spacing w:after="80"/>
      </w:pPr>
      <w:r>
        <w:rPr>
          <w:b w:val="0"/>
          <w:i w:val="0"/>
        </w:rPr>
        <w:t>Bản Bình luận của OECD liên quan đến vấn đề cư trú gợi ý việc sử dụng trao đổi thông tin để xác định tính đủ điều kiện của các thực thể đối với các lợi ích hiệp định. Các quy định loại trừ những thực thể không đủ điều kiện khỏi các lợi ích hiệp định không loại trừ việc cho phép trao đổi thông tin hoặc việc viện dẫn đến thủ tục thỏa thuận song phương.</w:t>
      </w:r>
    </w:p>
    <w:p>
      <w:pPr>
        <w:spacing w:after="80"/>
      </w:pPr>
      <w:r>
        <w:rPr>
          <w:b/>
          <w:i w:val="0"/>
        </w:rPr>
        <w:t>§17.11 CÁCH TIẾP CẬN KÊNH DẪN (CHANNEL APPROACH)</w:t>
      </w:r>
    </w:p>
    <w:p>
      <w:pPr>
        <w:spacing w:after="80"/>
      </w:pPr>
      <w:r>
        <w:rPr>
          <w:b w:val="0"/>
          <w:i w:val="0"/>
        </w:rPr>
        <w:t>Cách tiếp cận kênh dẫn liên quan đến việc xác định cụ thể và trực tiếp các trường hợp được coi là lạm dụng hiệp định ngay trong chính hiệp định đó. Không có hiệp định nào của Vương quốc Anh áp dụng cách tiếp cận này cho đến Hiệp định Thuế thu nhập Vương quốc Anh - Hoa Kỳ năm 2001. Điều 11(7) (Tiền lãi), Điều 12(5) (Tiền bản quyền) và Điều 22(4) (Thu nhập khác) của Hiệp định Vương quốc Anh - Hoa Kỳ (2001) không áp dụng các lợi ích của những điều khoản tương ứng đó đối với các khoản thanh toán được thực hiện 'theo hoặc như một phần của một thỏa thuận kênh dẫn (conduit arrangement)'.131 Thỏa thuận kênh dẫn được định nghĩa tại Điều 3(1)(n) của hiệp định như sau:</w:t>
      </w:r>
    </w:p>
    <w:p>
      <w:pPr>
        <w:spacing w:after="80"/>
      </w:pPr>
      <w:r>
        <w:rPr>
          <w:b w:val="0"/>
          <w:i w:val="0"/>
        </w:rPr>
        <w:t>Một giao dịch hoặc một chuỗi giao dịch:</w:t>
      </w:r>
    </w:p>
    <w:p>
      <w:pPr>
        <w:spacing w:after="80"/>
      </w:pPr>
      <w:r>
        <w:rPr>
          <w:b w:val="0"/>
          <w:i w:val="0"/>
        </w:rPr>
        <w:t>(1) được cấu trúc theo cách mà một cư dân của một Quốc gia ký kết</w:t>
      </w:r>
    </w:p>
    <w:p>
      <w:pPr>
        <w:spacing w:after="80"/>
      </w:pPr>
      <w:r>
        <w:rPr>
          <w:b w:val="0"/>
          <w:i w:val="0"/>
        </w:rPr>
        <w:t>được hưởng các lợi ích của Hiệp định này nhận được một khoản thu nhập phát sinh tại Quốc gia ký kết kia, nhưng cư dân đó lại thanh toán, trực tiếp hoặc gián tiếp, toàn bộ hoặc phần lớn khoản thu nhập đó (vào bất kỳ thời điểm nào hoặc dưới bất kỳ hình thức nào) cho một người khác không phải là cư dân của một trong hai Quốc gia ký kết, và người này, nếu nhận trực tiếp khoản thu nhập đó từ Quốc gia ký kết kia, thì sẽ không được hưởng theo một hiệp định tránh đánh thuế hai lần giữa quốc gia nơi người đó cư trú và Quốc gia ký kết nơi phát sinh thu nhập, hoặc nếu không thì cũng không được hưởng các lợi ích đối với khoản thu nhập đó tương đương hoặc ưu đãi hơn so với những lợi ích mà một cư dân của một Quốc gia ký kết được hưởng theo Hiệp định này; và (2) có mục đích chính, hoặc một trong những mục đích chính, là đạt được những</w:t>
      </w:r>
    </w:p>
    <w:p>
      <w:pPr>
        <w:spacing w:after="80"/>
      </w:pPr>
      <w:r>
        <w:rPr>
          <w:b w:val="0"/>
          <w:i w:val="0"/>
        </w:rPr>
        <w:t>lợi ích gia tăng như được hưởng theo Hiệp định này.</w:t>
      </w:r>
    </w:p>
    <w:p>
      <w:pPr>
        <w:spacing w:after="80"/>
      </w:pPr>
      <w:r>
        <w:rPr>
          <w:b w:val="0"/>
          <w:i w:val="0"/>
        </w:rPr>
        <w:t>Khác với các biện pháp chống lạm dụng khác được tìm thấy trong các hiệp định của Vương quốc Anh, vốn được diễn đạt bằng những thuật ngữ chung chung hơn, biện pháp này nhắm mục tiêu cụ thể vào việc mua bán hiệp định. Để cấu thành một thỏa thuận kênh dẫn, toàn bộ hoặc phần lớn thu nhập phải được thanh toán cho một người không phải là cư dân của một trong hai quốc gia ký kết. Tiêu chí này cũng giữ lại các đặc điểm của những cách tiếp cận khác, cụ thể là cách tiếp cận xuyên suốt (look-through approach) và tiêu chí về mục đích.132</w:t>
      </w:r>
    </w:p>
    <w:p>
      <w:pPr>
        <w:spacing w:after="80"/>
      </w:pPr>
      <w:r>
        <w:rPr>
          <w:b w:val="0"/>
          <w:i w:val="0"/>
        </w:rPr>
        <w:t>131.Xem thêm Hiệp định Thuế giữa Vương quốc Anh và Thụy Sĩ (1977), điều 3(1)(l), được bổ sung bởi Nghị định thư ngày 26 tháng 6 năm 2007 liên quan đến tiền bản quyền và lãi, và bị xóa bỏ bởi Nghị định thư ngày 30 tháng 11 năm 2017.132.Xem HMRC, Tax Bulletin, ấn bản đặc biệt về Hiệp định Đánh thuế Hai lần giữa Vương quốc Anh và Hoa Kỳ (ngày 1 tháng 4 năm 2003).</w:t>
      </w:r>
    </w:p>
    <w:p>
      <w:pPr>
        <w:spacing w:after="80"/>
      </w:pPr>
      <w:r>
        <w:rPr>
          <w:b w:val="0"/>
          <w:i w:val="0"/>
        </w:rPr>
        <w:t>504</w:t>
      </w:r>
    </w:p>
    <w:p>
      <w:pPr>
        <w:spacing w:after="80"/>
      </w:pPr>
      <w:r>
        <w:rPr>
          <w:b/>
          <w:i w:val="0"/>
        </w:rPr>
        <w:t>§17.12 CÁC ĐIỀU KHOẢN THIỆN CHÍ</w:t>
      </w:r>
    </w:p>
    <w:p>
      <w:pPr>
        <w:spacing w:after="80"/>
      </w:pPr>
      <w:r>
        <w:rPr>
          <w:b w:val="0"/>
          <w:i w:val="0"/>
        </w:rPr>
        <w:t>Vương quốc Anh đã sử dụng rộng rãi các điều khoản thiện chí trong các hiệp định thuế trong nhiều năm. Cách diễn đạt chính xác của điều khoản này đã thay đổi qua các năm. Báo cáo Conduit Company Report đã công nhận rằng các cấu trúc phản ánh mô hình mua bán hiệp định (treaty shopping) xuất hiện trong nhiều giao dịch thông thường của các doanh nghiệp hoạt động quốc tế. Do đó, báo cáo khuyến nghị rằng nên đưa vào các điều khoản để đảm bảo rằng các lợi ích từ hiệp định được cấp trong các trường hợp thiện chí. Không có điều khoản thiện chí nào trong các hiệp định của Vương quốc Anh tuân theo cách diễn đạt thiện chí được đề xuất trong Báo cáo Conduit Company Report. Thay vào đó, chúng dựa trên các mô hình luật chống tránh thuế trong nước.</w:t>
      </w:r>
    </w:p>
    <w:p>
      <w:pPr>
        <w:spacing w:after="80"/>
      </w:pPr>
      <w:r>
        <w:rPr>
          <w:b w:val="0"/>
          <w:i w:val="0"/>
        </w:rPr>
        <w:t>Hình thức phổ biến nhất của các điều khoản giới hạn lợi ích phản ánh cách tiếp cận thiện chí thường được viết như sau:</w:t>
      </w:r>
    </w:p>
    <w:p>
      <w:pPr>
        <w:spacing w:after="80"/>
      </w:pPr>
      <w:r>
        <w:rPr>
          <w:b w:val="0"/>
          <w:i w:val="0"/>
        </w:rPr>
        <w:t>Các quy định của điều này sẽ không áp dụng nếu [khoản nợ] mà [tiền lãi] được trả liên quan đến đó được tạo ra hoặc chuyển nhượng chủ yếu nhằm mục đích tận dụng điều này và không vì lý do thương mại thiện chí.</w:t>
      </w:r>
    </w:p>
    <w:p>
      <w:pPr>
        <w:spacing w:after="80"/>
      </w:pPr>
      <w:r>
        <w:rPr>
          <w:b w:val="0"/>
          <w:i w:val="0"/>
        </w:rPr>
        <w:t>Các điều khoản loại này bắt đầu xuất hiện vào cuối những năm 1960 và có thể được tìm thấy trong nhiều điều khoản về lãi và tiền bản quyền.</w:t>
      </w:r>
    </w:p>
    <w:p>
      <w:pPr>
        <w:spacing w:after="80"/>
      </w:pPr>
      <w:r>
        <w:rPr>
          <w:b w:val="0"/>
          <w:i w:val="0"/>
        </w:rPr>
        <w:t>Các điều khoản này bao gồm hai bài kiểm tra có liên quan với nhau. Mục tiêu đầu tiên là từ chối lợi ích từ hiệp định khi khoản nợ, trong trường hợp tiền lãi, hoặc quyền hoặc tài sản, trong trường hợp tiền bản quyền, được tạo ra hoặc chuyển nhượng để tận dụng lợi ích từ hiệp định. Cách diễn đạt này tương tự như cách diễn đạt trong các quy định chống tránh thuế trong nước, đặc biệt là ICTA 1988, s.787, hiện được tìm thấy ở dạng viết lại trong CTA 2009, s. 443. Để áp dụng, mục đích chính của việc tạo ra hoặc chuyển nhượng quyền phải là lợi ích từ hiệp định. Điều này tương tự như s. 787, chỉ áp dụng khi lợi ích duy nhất hoặc chính là giảm nghĩa vụ thuế thông qua việc giảm trừ đối với tiền lãi đã trả. Bài kiểm tra thứ hai là việc tạo ra hoặc chuyển nhượng các quyền liên quan không được vì lý do thương mại thiện chí. Người yêu cầu hưởng lợi ích từ hiệp định sẽ cần phải thỏa mãn cả hai bài kiểm tra để đủ điều kiện hưởng lợi ích.133</w:t>
      </w:r>
    </w:p>
    <w:p>
      <w:pPr>
        <w:spacing w:after="80"/>
      </w:pPr>
      <w:r>
        <w:rPr>
          <w:b w:val="0"/>
          <w:i w:val="0"/>
        </w:rPr>
        <w:t xml:space="preserve">Các điều khoản loại này xuất hiện trong khoảng 20 hiệp định của Vương quốc Anh, bắt đầu từ Đức (1967) và kết thúc với Iceland (1991), mặc dù có những khác biệt nhỏ trong cách xây dựng các quy định này. Mặc dù các tòa án vẫn chưa xem xét các quy định hiệp định này, nhưng các khái niệm tương tự trong các quy tắc chống tránh thuế trong nước cũng đưa ra một số hướng dẫn về cách chúng có thể được các tòa án nhìn nhận. Vẫn chưa rõ ràng chính xác thế nào là một "giao dịch thương mại thiện chí". Trong </w:t>
      </w:r>
      <w:r>
        <w:rPr>
          <w:b w:val="0"/>
          <w:i/>
        </w:rPr>
        <w:t>IRC v Willoughby</w:t>
      </w:r>
      <w:r>
        <w:rPr>
          <w:b w:val="0"/>
          <w:i w:val="0"/>
        </w:rPr>
        <w:t>, tại Tòa Phúc thẩm, Thẩm phán Morritt LJ đã lưu ý trong bối cảnh biện pháp bảo vệ đối với việc chuyển tài sản ra nước ngoài trong ICTA 1988, s. 739, theo s. 741(b), rằng các thuật ngữ "giao dịch thương mại thiện chí" và "không được thiết kế" cho mục đích tránh thuế có thể dẫn đến những khác biệt đáng kể về cách giải thích, như đã xuất hiện từ lập luận trong vụ án đó. Ông từ chối xem xét vấn đề này, vì nó không cần thiết cho mục đích của vụ án.134</w:t>
      </w:r>
    </w:p>
    <w:p>
      <w:pPr>
        <w:spacing w:after="80"/>
      </w:pPr>
      <w:r>
        <w:rPr>
          <w:b w:val="0"/>
          <w:i w:val="0"/>
        </w:rPr>
        <w:t>133.</w:t>
      </w:r>
      <w:r>
        <w:rPr>
          <w:b w:val="0"/>
          <w:i/>
        </w:rPr>
        <w:t>Hasloch v IRC</w:t>
      </w:r>
      <w:r>
        <w:rPr>
          <w:b w:val="0"/>
          <w:i w:val="0"/>
        </w:rPr>
        <w:t xml:space="preserve"> (1971) 47 TC 50, một vụ án theo ICTA 1988, s. 703.134.</w:t>
      </w:r>
      <w:r>
        <w:rPr>
          <w:b w:val="0"/>
          <w:i/>
        </w:rPr>
        <w:t>IRC v Willoughby</w:t>
      </w:r>
      <w:r>
        <w:rPr>
          <w:b w:val="0"/>
          <w:i w:val="0"/>
        </w:rPr>
        <w:t xml:space="preserve"> [1995] BTC 144; [1995] STC 143, CA tại 184. Việc chuyển tài sản ra nước ngoài hiện nằm trong ITA 2007, Phần 13, Chương 2 và biện pháp bảo vệ thiện chí trong s. 737 hiện đề cập đến "các giao dịch thương mại chính đáng".</w:t>
      </w:r>
    </w:p>
    <w:p>
      <w:pPr>
        <w:spacing w:after="80"/>
      </w:pPr>
      <w:r>
        <w:rPr>
          <w:b w:val="0"/>
          <w:i w:val="0"/>
        </w:rPr>
        <w:t>505</w:t>
      </w:r>
    </w:p>
    <w:p>
      <w:pPr>
        <w:spacing w:after="80"/>
      </w:pPr>
      <w:r>
        <w:rPr>
          <w:b w:val="0"/>
          <w:i w:val="0"/>
        </w:rPr>
        <w:t xml:space="preserve">Các vụ án khác liên quan đến các giao dịch thương mại thiện chí theo những gì hiện là ITA 2007, Phần 13, Chương 1, và các tiền thân của nó cũng tương tự không tìm cách định nghĩa cụm từ "lý do thương mại thiện chí". Trong </w:t>
      </w:r>
      <w:r>
        <w:rPr>
          <w:b w:val="0"/>
          <w:i/>
        </w:rPr>
        <w:t>CIR v Brebner</w:t>
      </w:r>
      <w:r>
        <w:rPr>
          <w:b w:val="0"/>
          <w:i w:val="0"/>
        </w:rPr>
        <w:t>,135 người ta đã phán quyết rằng việc xác định liệu mục tiêu của một giao dịch có phải là một giao dịch thương mại thiện chí hay không và rằng không có mục tiêu chính nào là để đạt được lợi thế thuế đều thuần túy là các câu hỏi về sự kiện. Do đó, Ủy viên Đặc biệt (Special Commissioners) có nhiệm vụ quyết định dựa trên việc xem xét tất cả các bằng chứng liên quan trước họ và các suy luận thích hợp được rút ra từ bằng chứng đó. Tại Thượng viện, Lord Pearce lưu ý rằng mục tiêu cần được xem xét là một vấn đề chủ quan về ý định. Trong trường hợp của một công ty, điều này được xác định bởi các giám đốc điều hành chính sách của công ty hoặc các cổ đông có liên quan và bỏ phiếu ủng hộ nghị quyết theo một hướng hành động cụ thể. Mục đích của giao dịch do đó là một vấn đề chủ quan được xác định từ ý định và hành động của các thành viên khác nhau trong tập đoàn. Nó không thể bị thu hẹp lại thành các mục tiêu của công ty. Trong vụ án đó, người ta đã lập luận rằng một công ty, vì không quan tâm đến cách phân phối tài sản của mình, không thể có lý do thương mại thiện chí hoặc bất kỳ lý do nào khác ngoài lợi thế thuế.</w:t>
      </w:r>
    </w:p>
    <w:p>
      <w:pPr>
        <w:spacing w:after="80"/>
      </w:pPr>
      <w:r>
        <w:rPr>
          <w:b w:val="0"/>
          <w:i w:val="0"/>
        </w:rPr>
        <w:t>Một sự phân biệt cũng được rút ra giữa mục tiêu của một giao dịch và kết quả phụ trợ của mục tiêu đó. Nếu kết quả là một lợi thế thuế, thì Phần 13, Chương 1 sẽ không áp dụng. Trong trường hợp đó, tòa án cho rằng việc tách riêng các phần riêng lẻ của các giao dịch có liên quan với nhau là không thích hợp. Cần phải xem xét mục tiêu chính hoặc các mục tiêu chính mà bất kỳ giao dịch nào trong số đó được thực hiện, thay vì xem xét hiệu ứng của từng giao dịch hoặc tất cả các giao dịch có liên quan với nhau.</w:t>
      </w:r>
    </w:p>
    <w:p>
      <w:pPr>
        <w:spacing w:after="80"/>
      </w:pPr>
      <w:r>
        <w:rPr>
          <w:b w:val="0"/>
          <w:i w:val="0"/>
        </w:rPr>
        <w:t>Hầu hết các tình huống trong Phần 13, Chương 1 đều liên quan đến nhiều hơn một giao dịch. Tuy nhiên, các điều khoản thiện chí trong hiệp định chỉ tập trung vào một giao dịch duy nhất trong mỗi trường hợp. Chỉ cần xem xét liệu việc tạo ra hoặc chuyển nhượng các quyền liên quan có được thực hiện nhằm mục đích tận dụng quy định hiệp định liên quan hay không. Do đó, các giao dịch liên quan chỉ có thể được xem như một phần của bằng chứng trong việc xác định liệu giao dịch liên quan có mục đích chính là tận dụng điều khoản liên quan hay không.</w:t>
      </w:r>
    </w:p>
    <w:p>
      <w:pPr>
        <w:spacing w:after="80"/>
      </w:pPr>
      <w:r>
        <w:rPr>
          <w:b w:val="0"/>
          <w:i w:val="0"/>
        </w:rPr>
        <w:t>Lord Upjohn cũng đã trình bày một trong những khó khăn chính trong việc áp dụng thành công các quy định chống tránh thuế. Ông nhận xét136 rằng để xác định liệu một giao dịch thương mại chính đáng có được thực hiện hay không, có hai cách: một là trả số thuế tối đa và cách kia là trả không hoặc ít thuế hơn; như một hệ quả tất yếu, việc suy luận rằng khi chọn con đường được ưu đãi về thuế thì một trong những mục tiêu chính, vì mục đích của quy định chống tránh thuế, là tránh thuế, là sai. Điều này đã được trích dẫn thường xuyên trong các vụ án tránh thuế. Trong bối cảnh mua bán hiệp định, quan điểm này sẽ áp đặt những hạn chế đáng kể đối với việc áp dụng thành công các quy tắc, ít nhất là khi người nộp thuế thực sự có sự lựa chọn. Ví dụ, khi một tập đoàn đa quốc gia không phải của Vương quốc Anh có các công ty con ở nhiều quốc gia, rằng một khoản đầu tư</w:t>
      </w:r>
    </w:p>
    <w:p>
      <w:pPr>
        <w:spacing w:after="80"/>
      </w:pPr>
      <w:r>
        <w:rPr>
          <w:b w:val="0"/>
          <w:i w:val="0"/>
        </w:rPr>
        <w:t>135.</w:t>
      </w:r>
      <w:r>
        <w:rPr>
          <w:b w:val="0"/>
          <w:i/>
        </w:rPr>
        <w:t>CIR v Brebner</w:t>
      </w:r>
      <w:r>
        <w:rPr>
          <w:b w:val="0"/>
          <w:i w:val="0"/>
        </w:rPr>
        <w:t xml:space="preserve"> (1966) 43 TC 705, HL. Các ứng dụng gần đây bao gồm </w:t>
      </w:r>
      <w:r>
        <w:rPr>
          <w:b w:val="0"/>
          <w:i/>
        </w:rPr>
        <w:t>Snell v R &amp; C Commrs</w:t>
      </w:r>
      <w:r>
        <w:rPr>
          <w:b w:val="0"/>
          <w:i w:val="0"/>
        </w:rPr>
        <w:t xml:space="preserve"> [2006] UKSPC SPC532 (2006) Sp C 532 liên quan đến TCGA 1992, s. 137, đoạn 3 và 17;</w:t>
      </w:r>
      <w:r>
        <w:rPr>
          <w:b w:val="0"/>
          <w:i/>
        </w:rPr>
        <w:t>Snell v R &amp; C Commrs</w:t>
      </w:r>
      <w:r>
        <w:rPr>
          <w:b w:val="0"/>
          <w:i w:val="0"/>
        </w:rPr>
        <w:t xml:space="preserve"> [2008] UKSPC SPC699 [2008] STC (SCD), 1094 (2008) Sp C 699 liên quan đến ICTA 1988, s. 703, đoạn 21. Trong mỗi trường hợp, các giao dịch được coi là thiện chí nhưng người nộp thuế đã không chứng minh được rằng chúng không nhằm mục đích tránh thuế.136.Tại 718.</w:t>
      </w:r>
    </w:p>
    <w:p>
      <w:pPr>
        <w:spacing w:after="80"/>
      </w:pPr>
      <w:r>
        <w:rPr>
          <w:b w:val="0"/>
          <w:i w:val="0"/>
        </w:rPr>
        <w:t>506</w:t>
      </w:r>
    </w:p>
    <w:p>
      <w:pPr>
        <w:spacing w:after="80"/>
      </w:pPr>
      <w:r>
        <w:rPr>
          <w:b w:val="0"/>
          <w:i w:val="0"/>
        </w:rPr>
        <w:t xml:space="preserve">việc chuyển hướng vào Vương quốc Anh thông qua một hiệp định có điều khoản ưu đãi nhất sẽ không tự nó nhất thiết suy ra rằng mục đích của việc tạo ra quyền được đề cập là để đạt được các lợi ích hiệp định. Trong các trường hợp khác, chẳng hạn như </w:t>
      </w:r>
      <w:r>
        <w:rPr>
          <w:b w:val="0"/>
          <w:i/>
        </w:rPr>
        <w:t>IRC v Goodwin</w:t>
      </w:r>
      <w:r>
        <w:rPr>
          <w:b w:val="0"/>
          <w:i w:val="0"/>
        </w:rPr>
        <w:t xml:space="preserve">,137 và </w:t>
      </w:r>
      <w:r>
        <w:rPr>
          <w:b w:val="0"/>
          <w:i/>
        </w:rPr>
        <w:t>Sema Group Pension Scheme Trustees v IRC</w:t>
      </w:r>
      <w:r>
        <w:rPr>
          <w:b w:val="0"/>
          <w:i w:val="0"/>
        </w:rPr>
        <w:t>,138 các tòa án cũng tương tự như vậy hoặc đã xác định hoặc không xác định được các giao dịch thương mại chân chính mà không phân tích ý nghĩa của các từ ngữ đó.</w:t>
      </w:r>
    </w:p>
    <w:p>
      <w:pPr>
        <w:spacing w:after="80"/>
      </w:pPr>
      <w:r>
        <w:rPr>
          <w:b w:val="0"/>
          <w:i w:val="0"/>
        </w:rPr>
        <w:t xml:space="preserve">Điều khoản hiệp định không đề cập đến việc ý định của ai là có liên quan khi áp dụng phép thử. Trong </w:t>
      </w:r>
      <w:r>
        <w:rPr>
          <w:b w:val="0"/>
          <w:i/>
        </w:rPr>
        <w:t>vụ Brebner</w:t>
      </w:r>
      <w:r>
        <w:rPr>
          <w:b w:val="0"/>
          <w:i w:val="0"/>
        </w:rPr>
        <w:t xml:space="preserve">139, rõ ràng đó là ý định của các giám đốc và cổ đông của công ty, những người tham gia vào các giao dịch, mới là những người có liên quan. Tuy nhiên, trong </w:t>
      </w:r>
      <w:r>
        <w:rPr>
          <w:b w:val="0"/>
          <w:i/>
        </w:rPr>
        <w:t>Addy v IRC</w:t>
      </w:r>
      <w:r>
        <w:rPr>
          <w:b w:val="0"/>
          <w:i w:val="0"/>
        </w:rPr>
        <w:t>,140 người ta cho rằng phép thử phải được áp dụng đối với những người nắm quyền kiểm soát công ty được đề cập. Giống như khái niệm quyền sở hữu hưởng lợi, các tòa án dường như có thể nhận ra lý do thương mại chân chính khi họ nhìn thấy nó, mặc dù họ gặp một số khó khăn trong việc mô tả chính xác khái niệm này bao hàm những gì.</w:t>
      </w:r>
    </w:p>
    <w:p>
      <w:pPr>
        <w:spacing w:after="80"/>
      </w:pPr>
      <w:r>
        <w:rPr>
          <w:b w:val="0"/>
          <w:i w:val="0"/>
        </w:rPr>
        <w:t xml:space="preserve">Trong </w:t>
      </w:r>
      <w:r>
        <w:rPr>
          <w:b w:val="0"/>
          <w:i/>
        </w:rPr>
        <w:t>Clark v IRC</w:t>
      </w:r>
      <w:r>
        <w:rPr>
          <w:b w:val="0"/>
          <w:i w:val="0"/>
        </w:rPr>
        <w:t>,141 một trong những vấn đề nảy sinh là liệu giao dịch có được thực hiện vì 'lý do thương mại' hay không. Không có tranh cãi rằng giao dịch được đề cập là 'hoàn toàn chân chính về mọi phương diện'.142 Điều này dường như ngụ ý rằng phép thử có hai yếu tố, một là nó phải chân chính và, thêm vào đó, nó phải vì lý do thương mại; điều này tương phản với định nghĩa về tính chân chính như là điều kiện quy định bản chất của các lý do thương mại. Trong trường hợp đó, các Ủy viên Đặc biệt đã quyết định rằng lý do thương mại phải gắn liền với lợi ích của người bán trong các công ty được đề cập hoặc bị ảnh hưởng bởi giao dịch.</w:t>
      </w:r>
    </w:p>
    <w:p>
      <w:pPr>
        <w:spacing w:after="80"/>
      </w:pPr>
      <w:r>
        <w:rPr>
          <w:b w:val="0"/>
          <w:i w:val="0"/>
        </w:rPr>
        <w:t>Tuy nhiên, khi kháng cáo, Fox J coi đây là một cách tiếp cận quá hẹp. Theo quan điểm của ông, điều khoản 703 không chứa đựng điều kiện hạn chế như vậy. Nó chỉ yêu cầu rằng giao dịch phải được thực hiện vì lý do thương mại chân chính. Ngôn ngữ đó hoàn toàn rộng mở, và nếu người nộp thuế có thể chứng minh rằng giao dịch được thực hiện vì lý do thương mại chân chính, thì người đó đáp ứng được yêu cầu của điều khoản đó.</w:t>
      </w:r>
    </w:p>
    <w:p>
      <w:pPr>
        <w:spacing w:after="80"/>
      </w:pPr>
      <w:r>
        <w:rPr>
          <w:b w:val="0"/>
          <w:i w:val="0"/>
        </w:rPr>
        <w:t>'Được thực hiện' theo nghĩa này có nghĩa là được thực hiện bởi người nộp thuế. Ông tiếp tục phán quyết rằng câu hỏi duy nhất là bản chất của lý do mà giao dịch được thực hiện. Không có yêu cầu về mối liên hệ với các bên cụ thể bị ảnh hưởng bởi nó hoặc có liên quan theo cách nào đó đến giao dịch.</w:t>
      </w:r>
    </w:p>
    <w:p>
      <w:pPr>
        <w:spacing w:after="80"/>
      </w:pPr>
      <w:r>
        <w:rPr>
          <w:b w:val="0"/>
          <w:i w:val="0"/>
        </w:rPr>
        <w:t>Phần 13, Chương 1 có thể phân biệt được với hầu hết các cách diễn đạt của điều khoản hiệp định này ở chỗ điều khoản miễn trừ theo điều 685 (trước khi bị bãi bỏ vào năm 2010) bao gồm cả các giao dịch được thực hiện vì lý do thương mại chân chính hoặc 'trong quá trình thông thường của việc thực hiện hoặc quản lý các khoản đầu tư'. Chỉ một số ít hiệp định của Vương quốc Anh có từ ngữ này. Đó là các hiệp định với Bỉ, Ý, Luxembourg, Na Uy và Thụy Sĩ, và chỉ trong bối cảnh cổ tức và hoàn trả tín dụng thuế.</w:t>
      </w:r>
    </w:p>
    <w:p>
      <w:pPr>
        <w:spacing w:after="80"/>
      </w:pPr>
      <w:r>
        <w:rPr>
          <w:b w:val="0"/>
          <w:i w:val="0"/>
        </w:rPr>
        <w:t>Các hiệp định này yêu cầu cổ đông không cư trú tại Vương quốc Anh khi yêu cầu hoàn trả tín dụng thuế phải chứng minh rằng cổ phần được mua vì lý do thương mại chân chính. Phép thử thay thế, cụ thể là cổ phần được mua trong quá trình thông thường</w:t>
      </w:r>
    </w:p>
    <w:p>
      <w:pPr>
        <w:spacing w:after="80"/>
      </w:pPr>
      <w:r>
        <w:rPr>
          <w:b w:val="0"/>
          <w:i w:val="0"/>
        </w:rPr>
        <w:t>137.</w:t>
      </w:r>
      <w:r>
        <w:rPr>
          <w:b w:val="0"/>
          <w:i/>
        </w:rPr>
        <w:t>Inland Revenue Commissioners v Goodwin</w:t>
      </w:r>
      <w:r>
        <w:rPr>
          <w:b w:val="0"/>
          <w:i w:val="0"/>
        </w:rPr>
        <w:t xml:space="preserve"> (1971-1977) 50 TC 583; [1976] STC 28, HL.138.</w:t>
      </w:r>
      <w:r>
        <w:rPr>
          <w:b w:val="0"/>
          <w:i/>
        </w:rPr>
        <w:t>Sema Group Pension Scheme Trustees v Inland Revenue Commissioners</w:t>
      </w:r>
      <w:r>
        <w:rPr>
          <w:b w:val="0"/>
          <w:i w:val="0"/>
        </w:rPr>
        <w:t xml:space="preserve"> [2003] STC 95, [2003] BTC 106; [2002] EWCA Civ 1857.139.</w:t>
      </w:r>
      <w:r>
        <w:rPr>
          <w:b w:val="0"/>
          <w:i/>
        </w:rPr>
        <w:t>CIR v Brebner</w:t>
      </w:r>
      <w:r>
        <w:rPr>
          <w:b w:val="0"/>
          <w:i w:val="0"/>
        </w:rPr>
        <w:t xml:space="preserve"> (1966) 43 TC 705, HL.140.</w:t>
      </w:r>
      <w:r>
        <w:rPr>
          <w:b w:val="0"/>
          <w:i/>
        </w:rPr>
        <w:t>Addy v Inland Revenue Commissioners</w:t>
      </w:r>
      <w:r>
        <w:rPr>
          <w:b w:val="0"/>
          <w:i w:val="0"/>
        </w:rPr>
        <w:t xml:space="preserve"> (1973-1978) 51 TC 71; [1975] STC 610, Ch. D.141.</w:t>
      </w:r>
      <w:r>
        <w:rPr>
          <w:b w:val="0"/>
          <w:i/>
        </w:rPr>
        <w:t>Clark v Inland Revenue Commissioners</w:t>
      </w:r>
      <w:r>
        <w:rPr>
          <w:b w:val="0"/>
          <w:i w:val="0"/>
        </w:rPr>
        <w:t xml:space="preserve"> (1976-1980) 52 TC 482; [1978] STC 614.142.Tại 624.</w:t>
      </w:r>
    </w:p>
    <w:p>
      <w:pPr>
        <w:spacing w:after="80"/>
      </w:pPr>
      <w:r>
        <w:rPr>
          <w:b w:val="0"/>
          <w:i w:val="0"/>
        </w:rPr>
        <w:t>507</w:t>
      </w:r>
    </w:p>
    <w:p>
      <w:pPr>
        <w:spacing w:after="80"/>
      </w:pPr>
      <w:r>
        <w:rPr>
          <w:b w:val="0"/>
          <w:i w:val="0"/>
        </w:rPr>
        <w:t>của việc thực hiện hoặc quản lý các khoản đầu tư, không được tìm thấy trong bất kỳ điều khoản hạn chế lợi ích tương tự nào khác. Cổ đông không cư trú tại Vương quốc Anh cũng phải chứng minh rằng việc mua cổ phần không phải là mục tiêu chính, cũng không phải là một trong những mục tiêu chính, nhằm đạt được quyền được hoàn trả tín dụng thuế. Những điều khoản này lần đầu tiên được đưa vào Hiệp định Thụy Sĩ-Vương quốc Anh bằng Nghị định thư vào năm 1982. Hơn nữa, đây là lần đầu tiên phép thử mục đích được mở rộng để loại bỏ một khoản thanh toán nếu một hoặc nhiều mục tiêu của giao dịch là lợi ích hiệp định, so với trường hợp mục tiêu duy nhất của giao dịch là lợi ích đó (xem bên dưới).</w:t>
      </w:r>
    </w:p>
    <w:p>
      <w:pPr>
        <w:spacing w:after="80"/>
      </w:pPr>
      <w:r>
        <w:rPr>
          <w:b w:val="0"/>
          <w:i w:val="0"/>
        </w:rPr>
        <w:t xml:space="preserve">Trong </w:t>
      </w:r>
      <w:r>
        <w:rPr>
          <w:b w:val="0"/>
          <w:i/>
        </w:rPr>
        <w:t>Clark v IRC</w:t>
      </w:r>
      <w:r>
        <w:rPr>
          <w:b w:val="0"/>
          <w:i w:val="0"/>
        </w:rPr>
        <w:t>, tòa án nhận thấy rằng trong trường hợp của một người nộp thuế, các điều khoản chống tránh thuế không được áp dụng vì, khi xem xét giao dịch trong bối cảnh tất cả các hoàn cảnh, nó là vì lý do thương mại chân chính. Mục đích tổng thể của giao dịch là mua một trang trại liền kề với trang trại mà ông đã sở hữu, và có những lý do thương mại chính đáng để làm như vậy. Giao dịch cụ thể mà các Ủy viên Đặc biệt kết luận là không có lý do thương mại chỉ đơn thuần là để tài trợ cho việc mua đó. Tòa án bác bỏ lập luận của Vương quyền rằng các lý do thương mại phải nội tại trong giao dịch. Thay vào đó, vấn đề phải được xem xét trong bối cảnh tất cả các sự kiện có liên quan chứ không chỉ như một phần của chúng.</w:t>
      </w:r>
    </w:p>
    <w:p>
      <w:pPr>
        <w:spacing w:after="80"/>
      </w:pPr>
      <w:r>
        <w:rPr>
          <w:b w:val="0"/>
          <w:i w:val="0"/>
        </w:rPr>
        <w:t>Trong trường hợp đó, một người nộp thuế khác được xác định là đã không thực hiện giao dịch vì lý do thương mại chân chính. Không có lý do thương mại nào đi vào suy nghĩ của ông ta. Tuy nhiên, ông ta được cho là đã thực hiện các giao dịch trong quá trình thông thường của việc quản lý các khoản đầu tư vì ông ta tin rằng giá trị khoản đầu tư của mình sẽ bị đe dọa, và do đó ông ta tham gia vào giao dịch. Các Ủy viên phán quyết rằng mặc dù giao dịch của ông ta không nằm trong quá trình thực hiện đầu tư, nó nằm trong quá trình thông thường của việc quản lý đầu tư. Ông ta đã chọn cách có lợi nhất dành cho mình để bảo vệ khoản đầu tư của mình. Điều này, các Ủy viên nói, 'là điều mà bất kỳ nhà đầu tư thận trọng nào cũng sẽ làm trong quá trình thông thường của việc quản lý đầu tư'.</w:t>
      </w:r>
    </w:p>
    <w:p>
      <w:pPr>
        <w:spacing w:after="80"/>
      </w:pPr>
      <w:r>
        <w:rPr>
          <w:b w:val="0"/>
          <w:i w:val="0"/>
        </w:rPr>
        <w:t xml:space="preserve">Liệu sự hiện diện của biện pháp bảo vệ thay thế đối với các giao dịch được thực hiện trong quá trình thông thường của việc thực hiện hoặc quản lý các khoản đầu tư trong các hiệp định này có nghĩa là trong các hiệp định khác, nơi chỉ có biện pháp bảo vệ giao dịch thương mại chân chính, các lợi ích hiệp định có thể bị từ chối (vì mục đích của giao dịch mang tính chất 'đầu tư' hơn là 'thương mại')? Trong các hiệp định của Vương quốc Anh với Ý và Na Uy, cả hai biện pháp bảo vệ đều được tìm thấy trong các điều khoản về cổ tức. Hiệp định Ý-Vương quốc Anh chỉ chứa biện pháp bảo vệ lý do thương mại liên quan đến tiền lãi, trong khi Hiệp định Na Uy-Vương quốc Anh chỉ chứa biện pháp bảo vệ lý do thương mại liên quan đến tiền lãi và tiền bản quyền. Vấn đề này không được đề cập trực tiếp trong Báo cáo về Công ty Dẫn vốn, vốn đề cập một cách chung chung đến 'các giao dịch </w:t>
      </w:r>
      <w:r>
        <w:rPr>
          <w:b w:val="0"/>
          <w:i/>
        </w:rPr>
        <w:t>chân chính</w:t>
      </w:r>
      <w:r>
        <w:rPr>
          <w:b w:val="0"/>
          <w:i w:val="0"/>
        </w:rPr>
        <w:t>'. Tuy nhiên, các ví dụ được trích dẫn trong báo cáo đề cập đến bối cảnh thương mại theo nghĩa các giao dịch thông thường của các doanh nghiệp hoạt động quốc tế.</w:t>
      </w:r>
    </w:p>
    <w:p>
      <w:pPr>
        <w:spacing w:after="80"/>
      </w:pPr>
      <w:r>
        <w:rPr>
          <w:b w:val="0"/>
          <w:i w:val="0"/>
        </w:rPr>
        <w:t xml:space="preserve">Trong </w:t>
      </w:r>
      <w:r>
        <w:rPr>
          <w:b w:val="0"/>
          <w:i/>
        </w:rPr>
        <w:t>IRC v Willoughby</w:t>
      </w:r>
      <w:r>
        <w:rPr>
          <w:b w:val="0"/>
          <w:i w:val="0"/>
        </w:rPr>
        <w:t>,143 Tòa án Phúc thẩm đã xem xét bản chất của các biện pháp bảo vệ đối với việc áp dụng các điều khoản chống tránh thuế của ICTA 1988, điều 739, được quy định trong điều 741(b). Điều khoản đó chỉ cung cấp miễn trừ cho các giao dịch thương mại chân chính và không đề cập đến việc thực hiện hoặc quản lý các khoản đầu tư. Các Ủy viên Đặc biệt</w:t>
      </w:r>
    </w:p>
    <w:p>
      <w:pPr>
        <w:spacing w:after="80"/>
      </w:pPr>
      <w:r>
        <w:rPr>
          <w:b w:val="0"/>
          <w:i w:val="0"/>
        </w:rPr>
        <w:t>143.</w:t>
      </w:r>
      <w:r>
        <w:rPr>
          <w:b w:val="0"/>
          <w:i/>
        </w:rPr>
        <w:t>Inland Revenue Commissioners v Willoughby</w:t>
      </w:r>
      <w:r>
        <w:rPr>
          <w:b w:val="0"/>
          <w:i w:val="0"/>
        </w:rPr>
        <w:t xml:space="preserve"> [1995] BTC 144; [1995] STC 143, CA.</w:t>
      </w:r>
    </w:p>
    <w:p>
      <w:pPr>
        <w:spacing w:after="80"/>
      </w:pPr>
      <w:r>
        <w:rPr>
          <w:b w:val="0"/>
          <w:i w:val="0"/>
        </w:rPr>
        <w:t>508</w:t>
      </w:r>
    </w:p>
    <w:p>
      <w:pPr>
        <w:spacing w:after="80"/>
      </w:pPr>
      <w:r>
        <w:rPr>
          <w:b w:val="0"/>
          <w:i w:val="0"/>
        </w:rPr>
        <w:t>Ủy viên nhận thấy rằng các giao dịch chuyển nhượng và các hoạt động liên quan là những giao dịch thương mại chính đáng. Việc đầu tư vào một trái phiếu danh mục cá nhân phí bảo hiểm một lần ở nước ngoài nhằm tạo khoản dự phòng cho lương hưu của một cá nhân được coi là một giao dịch thương mại. Chúng được thiết kế để gia tăng quỹ hưu trí của Giáo sư Willoughby, tận dụng một chế độ thuế thuận lợi.</w:t>
      </w:r>
    </w:p>
    <w:p>
      <w:pPr>
        <w:spacing w:after="80"/>
      </w:pPr>
      <w:r>
        <w:rPr>
          <w:b w:val="0"/>
          <w:i w:val="0"/>
        </w:rPr>
        <w:t xml:space="preserve">Tại Tòa án Phúc thẩm, phía Crown lập luận liên quan đến điều 741(b) rằng để một giao dịch được coi là thương mại, nó phải được thực hiện như một phần trong hoạt động thương mại của cả hai bên. Người nộp thuế lập luận rằng việc chuyển nhượng và các hoạt động liên quan là những giao dịch thương mại chính đáng vì chúng là thật, có giá trị và được thực hiện trên cơ sở độc lập. Mặc dù phán quyết về điều 741 dựa trên việc áp dụng điều 741(a) (tức là các giao dịch không nhằm mục đích tránh thuế), Thẩm phán Morritt LJ đã trích dẫn Lord Upjohn trong vụ án </w:t>
      </w:r>
      <w:r>
        <w:rPr>
          <w:b w:val="0"/>
          <w:i/>
        </w:rPr>
        <w:t>Brebner</w:t>
      </w:r>
      <w:r>
        <w:rPr>
          <w:b w:val="0"/>
          <w:i w:val="0"/>
        </w:rPr>
        <w:t xml:space="preserve"> để ủng hộ kết luận của mình:</w:t>
      </w:r>
    </w:p>
    <w:p>
      <w:pPr>
        <w:spacing w:after="80"/>
      </w:pPr>
      <w:r>
        <w:rPr>
          <w:b w:val="0"/>
          <w:i w:val="0"/>
        </w:rPr>
        <w:t>Không một người thương mại nào tỉnh táo lại thực hiện một giao dịch thương mại trừ khi trên cơ sở nộp số thuế ít nhất có thể.</w:t>
      </w:r>
    </w:p>
    <w:p>
      <w:pPr>
        <w:spacing w:after="80"/>
      </w:pPr>
      <w:r>
        <w:rPr>
          <w:b w:val="0"/>
          <w:i w:val="0"/>
        </w:rPr>
        <w:t>Điều này dường như gợi ý một mối liên hệ chặt chẽ giữa hai biện pháp bảo vệ. Do đó, mặc dù mối quan hệ giữa hai biện pháp bảo vệ vẫn chưa được xác định rõ ràng, ranh giới phân chia, nếu có, có khả năng rất mong manh. Cùng một từ ngữ có thể mang ý nghĩa khác nhau ở những phần khác nhau trong cùng một hiệp ước144 và do đó, có thể lập luận rằng cùng một từ ngữ có thể có ý nghĩa khác nhau trong các hiệp ước khác nhau. Một kết luận rằng cả hai biện pháp bảo vệ đều có cùng ý nghĩa trong các hiệp ước này tất nhiên sẽ khiến phần từ ngữ bổ sung ở những nơi xuất hiện trở nên thừa thãi. Tình hình còn lâu mới rõ ràng.</w:t>
      </w:r>
    </w:p>
    <w:p>
      <w:pPr>
        <w:spacing w:after="80"/>
      </w:pPr>
      <w:r>
        <w:rPr>
          <w:b w:val="0"/>
          <w:i w:val="0"/>
        </w:rPr>
        <w:t xml:space="preserve">Trong </w:t>
      </w:r>
      <w:r>
        <w:rPr>
          <w:b w:val="0"/>
          <w:i/>
        </w:rPr>
        <w:t>Marwood Homes Limited v IRC</w:t>
      </w:r>
      <w:r>
        <w:rPr>
          <w:b w:val="0"/>
          <w:i w:val="0"/>
        </w:rPr>
        <w:t>,145 các bên đã đồng ý về việc tách biệt hai hệ quả. Họ đồng ý rằng vì mục đích của điều 703(1),146 các giao dịch không được thực hiện trong quá trình thông thường của việc thực hiện hoặc quản lý các khoản đầu tư. Do đó, vấn đề cần được quyết định là liệu các giao dịch có được thực hiện vì những lý do thương mại chính đáng hay không (và rằng không giao dịch nào có mục tiêu chính hoặc một trong những mục tiêu chính là để có thể đạt được các lợi thế về thuế). Các Ủy viên Đặc biệt đã kết luận dựa trên bằng chứng rằng có một lý do thương mại chính đáng cho giao dịch. Nếu các giám đốc của công ty liên quan có quan điểm rằng giao dịch đó quan trọng đối với sự thịnh vượng tương lai của hoạt động kinh doanh của công ty và tập đoàn, thì có thể nói rằng giao dịch đó được thực hiện vì những mục đích thương mại chính đáng. Để xác định điều này, cần phải xem xét toàn bộ tình hình để thấy những gì đã được thực hiện vì những lý do thương mại tốt.</w:t>
      </w:r>
    </w:p>
    <w:p>
      <w:pPr>
        <w:spacing w:after="80"/>
      </w:pPr>
      <w:r>
        <w:rPr>
          <w:b w:val="0"/>
          <w:i w:val="0"/>
        </w:rPr>
        <w:t xml:space="preserve">Nếu HMRC tìm cách duy trì sự phân biệt giữa hai loại biện pháp bảo vệ trong các hiệp ước, như đã lập luận trong vụ án </w:t>
      </w:r>
      <w:r>
        <w:rPr>
          <w:b w:val="0"/>
          <w:i/>
        </w:rPr>
        <w:t>Willoughby</w:t>
      </w:r>
      <w:r>
        <w:rPr>
          <w:b w:val="0"/>
          <w:i w:val="0"/>
        </w:rPr>
        <w:t>, và thành công, kết quả có thể là các điều khoản này sẽ áp đặt những hạn chế đáng kể đối với khả năng được hưởng các lợi ích trong các điều khoản của hiệp ước mà không bao gồm biện pháp bảo vệ liên quan đến việc thực hiện đầu tư. Điều này là vì để thành công, người nộp thuế sẽ phải thỏa mãn cả hai nhánh của phép thử.</w:t>
      </w:r>
    </w:p>
    <w:p>
      <w:pPr>
        <w:spacing w:after="80"/>
      </w:pPr>
      <w:r>
        <w:rPr>
          <w:b w:val="0"/>
          <w:i w:val="0"/>
        </w:rPr>
        <w:t>144.</w:t>
      </w:r>
      <w:r>
        <w:rPr>
          <w:b w:val="0"/>
          <w:i/>
        </w:rPr>
        <w:t>Inland Revenue Commissioners v Exxon Corp</w:t>
      </w:r>
      <w:r>
        <w:rPr>
          <w:b w:val="0"/>
          <w:i w:val="0"/>
        </w:rPr>
        <w:t xml:space="preserve"> [1982] BTC 182; [1982] STC 356;</w:t>
      </w:r>
      <w:r>
        <w:rPr>
          <w:b w:val="0"/>
          <w:i/>
        </w:rPr>
        <w:t xml:space="preserve"> Memec plc v IRC</w:t>
      </w:r>
      <w:r>
        <w:rPr>
          <w:b w:val="0"/>
          <w:i w:val="0"/>
        </w:rPr>
        <w:t>[1998] BTC 251; [1998] STC 754, CA.145.</w:t>
      </w:r>
      <w:r>
        <w:rPr>
          <w:b w:val="0"/>
          <w:i/>
        </w:rPr>
        <w:t>Marwood Homes Limited v Inland Revenue Commissioners</w:t>
      </w:r>
      <w:r>
        <w:rPr>
          <w:b w:val="0"/>
          <w:i w:val="0"/>
        </w:rPr>
        <w:t xml:space="preserve"> (1996) Sp C 106; [1997] STC (SCD)37.146.Các giao dịch chứng khoán. Nay là ITA 2007, Phần 14, Chương 1, Corporation Tax Act 2010, Phần 15.</w:t>
      </w:r>
    </w:p>
    <w:p>
      <w:pPr>
        <w:spacing w:after="80"/>
      </w:pPr>
      <w:r>
        <w:rPr>
          <w:b w:val="0"/>
          <w:i w:val="0"/>
        </w:rPr>
        <w:t>509</w:t>
      </w:r>
    </w:p>
    <w:p>
      <w:pPr>
        <w:spacing w:after="80"/>
      </w:pPr>
      <w:r>
        <w:rPr>
          <w:b w:val="0"/>
          <w:i w:val="0"/>
        </w:rPr>
        <w:t>Một người không cư trú không thể chứng minh cả hai điều: rằng nguồn thu nhập được đề cập không được tạo ra hoặc chuyển nhượng chủ yếu nhằm mục đích tận dụng điều khoản được đề cập, và sự tồn tại của những lý do thương mại chính đáng, sẽ không được hưởng các lợi ích theo hiệp ước. Điều này sẽ hạn chế các yêu cầu theo hiệp ước chỉ đối với những người yêu cầu tham gia vào hoạt động thương mại. Điều này dường như vượt xa những đề xuất của OECD trong Báo cáo về Công ty Dẫn vốn (Conduit Company Report) và theo cách giải thích theo mục đích, trái với mục tiêu chung của các hiệp ước là tránh đánh thuế hai lần.</w:t>
      </w:r>
    </w:p>
    <w:p>
      <w:pPr>
        <w:spacing w:after="80"/>
      </w:pPr>
      <w:r>
        <w:rPr>
          <w:b w:val="0"/>
          <w:i w:val="0"/>
        </w:rPr>
        <w:t xml:space="preserve">Những bình luận thú vị khác về bản chất của các giao dịch thương mại chính đáng đã được đưa ra trong vụ án </w:t>
      </w:r>
      <w:r>
        <w:rPr>
          <w:b w:val="0"/>
          <w:i/>
        </w:rPr>
        <w:t>Willoughby</w:t>
      </w:r>
      <w:r>
        <w:rPr>
          <w:b w:val="0"/>
          <w:i w:val="0"/>
        </w:rPr>
        <w:t>.147 Cụ thể, một lá thư từ Inland Revenue gửi cho Royal Life (đơn vị phát hành trái phiếu nước ngoài) đã thừa nhận rằng các trái phiếu danh mục cá nhân là những giao dịch thương mại chính đáng. Các Ủy viên Đặc biệt kết luận rằng trong trường hợp không có bất kỳ lý do nào để nghi ngờ thiện chí của bất kỳ bên nào trong đó, thì đó cũng phải là một giao dịch thương mại chính đáng đối với người mua. Kết luận này đã được Tòa án Phúc thẩm trích dẫn mà không có bình luận gì.</w:t>
      </w:r>
    </w:p>
    <w:p>
      <w:pPr>
        <w:spacing w:after="80"/>
      </w:pPr>
      <w:r>
        <w:rPr>
          <w:b w:val="0"/>
          <w:i w:val="0"/>
        </w:rPr>
        <w:t xml:space="preserve">Nếu điều khoản chính đáng thực sự tương tự như ICTA 1988, điều 787, thì bản thân Inland Revenue có thể cũng có những nghi ngờ về hiệu quả của nó. Điều khoản này được Revenue đề cập ngắn gọn mà không có bình luận gì.148 Cuốn </w:t>
      </w:r>
      <w:r>
        <w:rPr>
          <w:b w:val="0"/>
          <w:i/>
        </w:rPr>
        <w:t>International Tax Handbook</w:t>
      </w:r>
      <w:r>
        <w:rPr>
          <w:b w:val="0"/>
          <w:i w:val="0"/>
        </w:rPr>
        <w:t xml:space="preserve"> trước đây cũng đã lưu ý tại ITH721 rằng việc các công ty mẹ đi vay để tài trợ cho các công ty con là điều phổ biến và trong những trường hợp như vậy, rất khó để phân biệt giữa việc định tuyến vì mục đích thuế và vì mục đích thương mại thuần túy. Tại ITH1149, nó tuyên bố rằng tính hữu ích của điều 787 có phần bị hạn chế. Nó không dễ được viện dẫn và chỉ nên được sử dụng cho các kế hoạch tránh thuế hoàn toàn và không phải cho 'việc vay mượn được sắp xếp một cách khôn ngoan'.</w:t>
      </w:r>
    </w:p>
    <w:p>
      <w:pPr>
        <w:spacing w:after="80"/>
      </w:pPr>
      <w:r>
        <w:rPr>
          <w:b w:val="0"/>
          <w:i w:val="0"/>
        </w:rPr>
        <w:t>Trong lịch sử, các điều khoản chính đáng không được chèn vào các điều khoản về cổ tức trong các hiệp ước của Vương quốc Anh nhằm ngăn chặn việc mua bán hiệp ước (treaty shopping) liên quan đến việc hoàn trả các khoản tín dụng thuế đối với cổ tức do các công ty Anh trả cho các cổ đông ở các quốc gia có hiệp ước. Tuy nhiên, một số hiệp ước có điều khoản giới hạn lợi ích để cấm việc tước bỏ tín dụng thuế liên quan đến cổ tức thu được từ lợi nhuận của một công ty Anh hơn mười hai tháng trước khi một công ty cư trú tại một quốc gia có hiệp ước trở thành chủ sở hữu 10% trong công ty Anh trả cổ tức. Những giới hạn này thường được loại trừ nếu có thể chứng minh rằng cổ phần được mua không nhằm mục đích đảm bảo lợi ích của việc hoàn trả và vì những lý do thương mại chính đáng.149 Những điều khoản này không phục vụ bất kỳ mục đích chống mua bán hiệp ước nào rộng hơn.</w:t>
      </w:r>
    </w:p>
    <w:p>
      <w:pPr>
        <w:spacing w:after="80"/>
      </w:pPr>
      <w:r>
        <w:rPr>
          <w:b/>
          <w:i w:val="0"/>
        </w:rPr>
        <w:t>§17.13 CÁC ĐIỀU KHOẢN VỀ MỤC ĐÍCH</w:t>
      </w:r>
    </w:p>
    <w:p>
      <w:pPr>
        <w:spacing w:after="80"/>
      </w:pPr>
      <w:r>
        <w:rPr>
          <w:b w:val="0"/>
          <w:i w:val="0"/>
        </w:rPr>
        <w:t>Chưa có vụ án nào về các điều khoản chính đáng trong các hiệp ước đánh thuế hai lần. Vương quốc Anh, có lẽ vì tin rằng điều khoản này không đạt được những gì Revenue mong đợi, đã từ bỏ cách diễn đạt chính đáng lần đầu tiên trong Hiệp ước Papua New Guinea - Vương quốc Anh năm 1991.</w:t>
      </w:r>
    </w:p>
    <w:p>
      <w:pPr>
        <w:spacing w:after="80"/>
      </w:pPr>
      <w:r>
        <w:rPr>
          <w:b w:val="0"/>
          <w:i w:val="0"/>
        </w:rPr>
        <w:t>147.Xem ở trên chú thích 93.148.HMRC, International Tax Handbook, ITH709.149.Xem, ví dụ, Phần Lan - Vương quốc Anh (1969), điều 11(4). Một phiên bản của giới hạn này được tìm thấy trong điều 8(1) của MLI với việc bỏ qua phần loại trừ đối với cổ phần được mua vì những lý do thương mại chính đáng. Xem Chương 12, §12.03: Các giao dịch chuyển nhượng cổ tức.</w:t>
      </w:r>
    </w:p>
    <w:p>
      <w:pPr>
        <w:spacing w:after="80"/>
      </w:pPr>
      <w:r>
        <w:rPr>
          <w:b w:val="0"/>
          <w:i w:val="0"/>
        </w:rPr>
        <w:t>510</w:t>
      </w:r>
    </w:p>
    <w:p>
      <w:pPr>
        <w:spacing w:after="80"/>
      </w:pPr>
      <w:r>
        <w:rPr>
          <w:b w:val="0"/>
          <w:i w:val="0"/>
        </w:rPr>
        <w:t>Một cách tiếp cận hoàn toàn mới xuất hiện vào năm 1992, được phản ánh trong Hiệp định Guyana-UK. Các điều khoản nay đã trở thành tiêu chuẩn liên quan đến cổ tức, lãi, tiền bản quyền và 'thu nhập khác' thường được viết như sau:</w:t>
      </w:r>
    </w:p>
    <w:p>
      <w:pPr>
        <w:spacing w:after="80"/>
      </w:pPr>
      <w:r>
        <w:rPr>
          <w:b w:val="0"/>
          <w:i w:val="0"/>
        </w:rPr>
        <w:t>Các quy định của Điều này sẽ không áp dụng nếu mục đích chính, hoặc một trong các mục đích chính, của bất kỳ người nào liên quan đến việc tạo ra hoặc chuyển nhượng các quyền mà thu nhập được trả liên quan đến đó là nhằm lợi dụng Điều này thông qua việc tạo ra hoặc chuyển nhượng đó.</w:t>
      </w:r>
    </w:p>
    <w:p>
      <w:pPr>
        <w:spacing w:after="80"/>
      </w:pPr>
      <w:r>
        <w:rPr>
          <w:b w:val="0"/>
          <w:i w:val="0"/>
        </w:rPr>
        <w:t>Một số nhận xét là phù hợp. Thứ nhất, bài kiểm tra thiện chí (bona fide test) đã bị loại bỏ. Thứ hai, bài kiểm tra mục đích đã được sửa đổi để nó sẽ áp dụng nếu 'mục đích chính hoặc một trong các mục đích chính' của việc tạo ra hoặc chuyển nhượng các quyền được đề cập là nhằm lợi dụng các lợi ích hiệp định. Cách tiếp cận này lặp lại cách diễn đạt được sử dụng trong hầu hết các quy định chống tránh thuế nội địa hiện đại của Vương quốc Anh, vốn áp dụng không chỉ khi mục đích duy nhất là đảm bảo một lợi ích thuế hoặc tránh thuế, mà còn khi chỉ một trong các mục đích chính là đảm bảo lợi ích đó. Thay đổi thứ ba là việc xác định người có mục đích lợi dụng các lợi ích hiệp định. Quy tắc mới áp dụng nếu đó là mục đích của 'bất kỳ người nào liên quan đến việc tạo ra hoặc chuyển nhượng' các quyền được đề cập.</w:t>
      </w:r>
    </w:p>
    <w:p>
      <w:pPr>
        <w:spacing w:after="80"/>
      </w:pPr>
      <w:r>
        <w:rPr>
          <w:b w:val="0"/>
          <w:i w:val="0"/>
        </w:rPr>
        <w:t xml:space="preserve">Một số vấn đề nảy sinh từ cách diễn đạt mới này. Thứ nhất, bằng cách tương tự với các vụ án 'giao dịch chứng khoán',150 tòa án đã xác định một số người mà ý định của họ là có liên quan. Nếu ý định của các cổ đông kiểm soát của một công ty cư trú tại một quốc gia ký kết góp phần tạo nên mục đích mà công ty đó tham gia vào một giao dịch, thì cách diễn đạt mới này có bổ sung hữu ích bất kỳ ai chưa được đề cập không? Thứ hai, một trong những vấn đề quan trọng trong bối cảnh mua sắm hiệp định (treaty shopping) là liệu ý định của một người ở quốc gia thứ ba có liên quan cho mục đích này hay không. Khó khăn nảy sinh khi đọc quy định này cùng với Điều 1 của OECD Model. Điều 1 quy định rằng 'công ước áp dụng cho những người là cư dân của một hoặc cả hai quốc gia ký kết'. Ý nghĩa rõ ràng của các từ dường như gợi ý rằng khi áp dụng hiệp định, bất kỳ người nào đề cập đến một người là đối tượng của hiệp định chứ không phải là cư dân của quốc gia thứ ba. Điều 24(1) của OECD Model cho thấy rằng thông thường cần có từ ngữ rõ ràng để áp dụng hiệp định cho những người không phải là cư dân của cả hai quốc gia ký kết. Mặt khác, tòa án đã rời xa ý nghĩa rõ ràng của các từ trong một hiệp định và áp dụng các ý nghĩa khác nhau cho cùng một từ ở các phần khác nhau của hiệp định trong </w:t>
      </w:r>
      <w:r>
        <w:rPr>
          <w:b w:val="0"/>
          <w:i/>
        </w:rPr>
        <w:t>IRC v Exxon</w:t>
      </w:r>
      <w:r>
        <w:rPr>
          <w:b w:val="0"/>
          <w:i w:val="0"/>
        </w:rPr>
        <w:t>.151 Trong trường hợp đó, tòa án đã áp dụng một cách giải thích khác về ý nghĩa của cư dân để mục đích của quy định được đề cập không bị vô hiệu. Việc sử dụng từ 'liên quan' có thể là dấu hiệu của một ý định rộng rãi nhằm bao quát bất kỳ người nào có quan tâm, tham gia hoặc bị ảnh hưởng.152</w:t>
      </w:r>
    </w:p>
    <w:p>
      <w:pPr>
        <w:spacing w:after="80"/>
      </w:pPr>
      <w:r>
        <w:rPr>
          <w:b w:val="0"/>
          <w:i w:val="0"/>
        </w:rPr>
        <w:t>Một câu hỏi chưa được trả lời khác là làm thế nào những người soạn thảo các quy định này dự định phân biệt cách diễn đạt mới với hình thức trước đó vốn không tìm cách xác định rõ ràng người có mục đích liên quan trong việc xác định việc áp dụng hiệp định. Nếu cách diễn đạt đã sửa đổi mở rộng đối tượng đến những người không liên quan đến</w:t>
      </w:r>
    </w:p>
    <w:p>
      <w:pPr>
        <w:spacing w:after="80"/>
      </w:pPr>
      <w:r>
        <w:rPr>
          <w:b w:val="0"/>
          <w:i w:val="0"/>
        </w:rPr>
        <w:t xml:space="preserve">150. Giao dịch chứng khoán trong ITA 2007, Phần 14, Chương 1, Corporation Tax Act 2010, Phần 15. 151. </w:t>
      </w:r>
      <w:r>
        <w:rPr>
          <w:b w:val="0"/>
          <w:i/>
        </w:rPr>
        <w:t>Inland Revenue Commissioners v Exxon Corp</w:t>
      </w:r>
      <w:r>
        <w:rPr>
          <w:b w:val="0"/>
          <w:i w:val="0"/>
        </w:rPr>
        <w:t xml:space="preserve"> [1982] BTC 182; [1982] STC 356, Ch. D. 152. Xem </w:t>
      </w:r>
      <w:r>
        <w:rPr>
          <w:b w:val="0"/>
          <w:i/>
        </w:rPr>
        <w:t>Shorter Oxford English Dictionary</w:t>
      </w:r>
      <w:r>
        <w:rPr>
          <w:b w:val="0"/>
          <w:i w:val="0"/>
        </w:rPr>
        <w:t>, tái bản lần thứ 6 (2002).</w:t>
      </w:r>
    </w:p>
    <w:p>
      <w:pPr>
        <w:spacing w:after="80"/>
      </w:pPr>
      <w:r>
        <w:rPr>
          <w:b w:val="0"/>
          <w:i w:val="0"/>
        </w:rPr>
        <w:t>511</w:t>
      </w:r>
    </w:p>
    <w:p>
      <w:pPr>
        <w:spacing w:after="80"/>
      </w:pPr>
      <w:r>
        <w:rPr>
          <w:b w:val="0"/>
          <w:i w:val="0"/>
        </w:rPr>
        <w:t>người nộp thuế hoặc cư dân, của các quốc gia thứ ba, điều đó có thể có nghĩa là theo các quy định thiện chí trước đó, chỉ ý định của một nhóm người hẹp hơn mới có liên quan.</w:t>
      </w:r>
    </w:p>
    <w:p>
      <w:pPr>
        <w:spacing w:after="80"/>
      </w:pPr>
      <w:r>
        <w:rPr>
          <w:b w:val="0"/>
          <w:i w:val="0"/>
        </w:rPr>
        <w:t>Thứ tư, lợi ích của điều khoản phải được tận dụng 'bằng phương tiện tạo ra hoặc chuyển nhượng' các quyền được đề cập.</w:t>
      </w:r>
    </w:p>
    <w:p>
      <w:pPr>
        <w:spacing w:after="80"/>
      </w:pPr>
      <w:r>
        <w:rPr>
          <w:b w:val="0"/>
          <w:i w:val="0"/>
        </w:rPr>
        <w:t>Tại một cuộc họp giữa đại diện của một số tổ chức nghề nghiệp và Inland Revenue vào tháng 5 năm 1994,153 Revenue đã xác nhận rằng hình thức của điều khoản chống mua sắm hiệp định có trong Hiệp định Guyana-UK đại diện cho tư duy mới nhất vào thời điểm đó về hình thức của các điều khoản như vậy và sẽ là phiên bản mà cơ quan này tìm cách đạt được trong các cuộc đàm phán trong tương lai. Nó đã được sử dụng nhất quán kể từ đó, và OECD đã thông qua ngôn ngữ này vào Bình luận (Commentary) năm 2003.154 PPT trong Điều 7(1) của MLI155 phần lớn mang ơn ngôn ngữ này.</w:t>
      </w:r>
    </w:p>
    <w:p>
      <w:pPr>
        <w:spacing w:after="80"/>
      </w:pPr>
      <w:r>
        <w:rPr>
          <w:b w:val="0"/>
          <w:i w:val="0"/>
        </w:rPr>
        <w:t>Một thay đổi quan trọng khác trong chính sách hiệp định về giới hạn lợi ích (limitation of benefits) cũng diễn ra vào giữa những năm 1990. Cho đến lúc đó, các quy định này xuất hiện, đặc biệt trong các điều khoản về lãi và tiền bản quyền, một cách không có hệ thống. Có một số hiệp định mà chúng hoàn toàn không xuất hiện và những hiệp định khác mà chúng có thể bị hạn chế, thường là ở các điều khoản về lãi. Đôi khi và gần đây hơn, các quy định này cũng được tìm thấy trong các điều khoản liên quan đến phí quản lý và phí kỹ thuật và dịch vụ, có lẽ theo yêu cầu của các chính phủ tìm cách tuân theo UN Model trong việc phân biệt các khoản phí như vậy với tiền bản quyền. Có lẽ, việc đưa các quy định này vào theo cách này phản ánh chính sách của Revenue là chỉ tìm cách đưa chúng vào một cách cụ thể khi cơ quan này tin rằng có một rủi ro thực sự về lạm dụng hiệp định. Tất cả các hiệp định gần đây nhất hiện nay đều đưa quy định này vào một cách có hệ thống trong tất cả các điều khoản về lãi và tiền bản quyền mà không có bất kỳ dấu hiệu cụ thể nào về việc liệu có được cho là có mối đe dọa thực sự về lạm dụng hiệp định hay không. Một sự phát triển nữa trong các hiệp định gần đây hơn là tìm cách đưa một điều khoản theo hướng này vào điều khoản 'thu nhập khác'. Điều này xuất hiện lần đầu tiên vào năm 1994 trong các hiệp định của Vương quốc Anh với Kazakhstan và Mexico. Hiện nay nó dường như đã trở thành thông lệ tiêu chuẩn trong các hiệp định sau này. Không có lý do nào cho điều này được đưa ra, mặc dù nó có thể là kết quả của việc các công cụ tài chính phái sinh, vốn có thể tái tạo cổ tức và lãi, thường được điều chỉnh bởi điều khoản 'thu nhập khác'.</w:t>
      </w:r>
    </w:p>
    <w:p>
      <w:pPr>
        <w:spacing w:after="80"/>
      </w:pPr>
      <w:r>
        <w:rPr>
          <w:b w:val="0"/>
          <w:i w:val="0"/>
        </w:rPr>
        <w:t>Thành công trong việc đàm phán đưa quy định này vào là không đồng đều cho đến khi ký kết MLI vào năm 2017. Ví dụ, trong Hiệp định Argentina-UK, quy tắc này được chứa trong các điều khoản về cổ tức, lãi, tiền bản quyền và thu nhập khác. Trong Hiệp định Singapore-UK, nó không xuất hiện trong điều khoản 'thu nhập khác'.</w:t>
      </w:r>
    </w:p>
    <w:p>
      <w:pPr>
        <w:spacing w:after="80"/>
      </w:pPr>
      <w:r>
        <w:rPr>
          <w:b w:val="0"/>
          <w:i w:val="0"/>
        </w:rPr>
        <w:t>Một quy định về mục đích tổng quát hơn xuất hiện lần đầu tiên trong nghị định thư của Hiệp định Thuế Thu nhập India-UK ngày 30 tháng 10 năm 2012. Một điều khoản tương tự, nhưng không giống hệt, xuất hiện trong Hiệp định Thuế Thu nhập Spain-UK ngày 14 tháng 3 năm 2013. Một Điều 28C mới được chèn vào Hiệp định Thuế Thu nhập India-UK (1993) bằng Điều VIII của Nghị định thư sửa đổi ngày 30 tháng 10 năm 2011 như sau:</w:t>
      </w:r>
    </w:p>
    <w:p>
      <w:pPr>
        <w:spacing w:after="80"/>
      </w:pPr>
      <w:r>
        <w:rPr>
          <w:b w:val="0"/>
          <w:i w:val="0"/>
        </w:rPr>
        <w:t>Các lợi ích của Công ước này sẽ không dành cho một cư dân của một Quốc gia ký kết, hoặc đối với bất kỳ giao dịch nào được thực hiện bởi một cư dân như vậy, nếu mục đích chính hoặc một trong các mục đích chính của việc tạo ra hoặc tồn tại của cư dân đó</w:t>
      </w:r>
    </w:p>
    <w:p>
      <w:pPr>
        <w:spacing w:after="80"/>
      </w:pPr>
      <w:r>
        <w:rPr>
          <w:b w:val="0"/>
          <w:i w:val="0"/>
        </w:rPr>
        <w:t>153. ICAEW Technical Tax Release (Tax 16/94). 154. Bình luận (Commentary) (2014) cho Điều 1, đoạn 21.4. 155. Xem Chương 18, §18.02.</w:t>
      </w:r>
    </w:p>
    <w:p>
      <w:pPr>
        <w:spacing w:after="80"/>
      </w:pPr>
      <w:r>
        <w:rPr>
          <w:b w:val="0"/>
          <w:i w:val="0"/>
        </w:rPr>
        <w:t>512</w:t>
      </w:r>
    </w:p>
    <w:p>
      <w:pPr>
        <w:spacing w:after="80"/>
      </w:pPr>
      <w:r>
        <w:rPr>
          <w:b w:val="0"/>
          <w:i w:val="0"/>
        </w:rPr>
        <w:t>hoặc giao dịch do anh ta thực hiện, là nhằm đạt được các lợi ích theo Công ước này.</w:t>
      </w:r>
    </w:p>
    <w:p>
      <w:pPr>
        <w:spacing w:after="80"/>
      </w:pPr>
      <w:r>
        <w:rPr>
          <w:b w:val="0"/>
          <w:i w:val="0"/>
        </w:rPr>
        <w:t>Khác với các phiên bản tiền nhiệm, giới hạn về lợi ích không chỉ giới hạn ở thu nhập được xác định trong một điều khoản cụ thể. Các lợi ích theo hiệp định sẽ không dành cho một người đủ điều kiện là cư dân của một trong các quốc gia ký kết nếu mục đích chính hoặc một trong những mục đích chính của việc thành lập hoặc tồn tại của cư dân đó là nhằm đạt được các lợi ích theo Công ước này. Ngôn ngữ này nhắm vào các pháp nhân. Vì việc thành lập hoặc tồn tại phải nhằm đạt được lợi ích theo hiệp định, nên giới hạn này đặc biệt nhắm vào các pháp nhân được thành lập bởi cư dân của các quốc gia thứ ba. Không có loại trừ cụ thể nào khi cư dân quốc gia thứ ba có thể hưởng các lợi ích tương đương theo một hiệp định khác, nhưng khi các lợi ích tương đương có sẵn, thì ít có khả năng mục đích chính là nhằm đạt được các lợi ích theo Hiệp định Ấn Độ - Vương quốc Anh. Các lợi ích theo hiệp định cũng sẽ bị từ chối đối với các giao dịch được thực hiện nhằm đạt được lợi ích theo hiệp định. Việc từ chối lợi ích này áp dụng cho cư dân của một quốc gia ký kết không được thành lập hoặc tồn tại để đạt được lợi ích theo hiệp định, nhưng lại thực hiện các giao dịch vì mục đích đó.</w:t>
      </w:r>
    </w:p>
    <w:p>
      <w:pPr>
        <w:spacing w:after="80"/>
      </w:pPr>
      <w:r>
        <w:rPr>
          <w:b w:val="0"/>
          <w:i w:val="0"/>
        </w:rPr>
        <w:t>Điều 23(2) của Hiệp định Thuế Thu nhập Tây Ban Nha - Vương quốc Anh (2013) có thể áp dụng cho một phạm vi trường hợp hẹp hơn. Điều này quy định:</w:t>
      </w:r>
    </w:p>
    <w:p>
      <w:pPr>
        <w:spacing w:after="80"/>
      </w:pPr>
      <w:r>
        <w:rPr>
          <w:b w:val="0"/>
          <w:i w:val="0"/>
        </w:rPr>
        <w:t>Không được hưởng bất kỳ khoản miễn giảm nào theo Công ước này nếu mục đích chính hoặc một trong những mục đích chính của bất kỳ người nào liên quan đến việc tạo ra, chuyển nhượng hoặc chuyển giao bất kỳ cổ phần, quyền đòi nợ, tài sản hoặc quyền khác mà từ đó phát sinh thu nhập hoặc lợi nhuận, là nhằm lợi dụng Công ước này thông qua việc tạo ra, chuyển nhượng hoặc chuyển giao đó.</w:t>
      </w:r>
    </w:p>
    <w:p>
      <w:pPr>
        <w:spacing w:after="80"/>
      </w:pPr>
      <w:r>
        <w:rPr>
          <w:b w:val="0"/>
          <w:i w:val="0"/>
        </w:rPr>
        <w:t>Mặc dù điều khoản này cũng không giới hạn ở các nguồn thu nhập hoặc lợi nhuận cụ thể, nhưng nó vay mượn các cách diễn đạt 'cổ phần, quyền đòi nợ, tài sản hoặc quyền khác mà từ đó phát sinh thu nhập hoặc lợi nhuận' từ ngôn ngữ thường thấy trong các điều khoản về cổ tức, lãi, tiền bản quyền và thu nhập khác. Đặc điểm chung này gợi ý thu nhập từ tài sản hoặc thu nhập đầu tư hơn là hoạt động công việc hoặc dịch vụ.</w:t>
      </w:r>
    </w:p>
    <w:p>
      <w:pPr>
        <w:spacing w:after="80"/>
      </w:pPr>
      <w:r>
        <w:rPr>
          <w:b w:val="0"/>
          <w:i w:val="0"/>
        </w:rPr>
        <w:t>Theo các khuyến nghị của BEPS Hành động 6, phiên bản của các quy định này được tìm thấy trong Điều 29(9) của Mẫu OECD 2017 nhằm mục đích giới hạn lợi ích một cách toàn diện. Nó được phản ánh trong Điều 27A của Hiệp định Thụy Sĩ - Vương quốc Anh và quy định:</w:t>
      </w:r>
    </w:p>
    <w:p>
      <w:pPr>
        <w:spacing w:after="80"/>
      </w:pPr>
      <w:r>
        <w:rPr>
          <w:b w:val="0"/>
          <w:i w:val="0"/>
        </w:rPr>
        <w:t>Bất kể các quy định khác của Công ước này, một lợi ích theo Công ước này sẽ không được cấp đối với một khoản thu nhập hoặc lợi nhuận vốn nếu có thể kết luận một cách hợp lý, sau khi xem xét tất cả các sự kiện và hoàn cảnh liên quan, rằng việc đạt được lợi ích đó là một trong những mục đích chính của bất kỳ thỏa thuận hoặc giao dịch nào dẫn trực tiếp hoặc gián tiếp đến lợi ích đó, trừ khi có thể chứng minh rằng việc cấp lợi ích đó trong những hoàn cảnh này sẽ phù hợp với mục tiêu và mục đích của các quy định liên quan của Công ước này.156</w:t>
      </w:r>
    </w:p>
    <w:p>
      <w:pPr>
        <w:spacing w:after="80"/>
      </w:pPr>
      <w:r>
        <w:rPr>
          <w:b w:val="0"/>
          <w:i w:val="0"/>
        </w:rPr>
        <w:t>Câu hỏi liệu một lợi ích theo hiệp định là mục đích chính hay một mục đích chính là một câu hỏi về sự kiện. Án lệ liên quan đến ngôn ngữ tương tự trong luật trong nước minh họa cách tiếp cận có khả năng được áp dụng khi áp dụng các quy định này. Khó khăn chính khi áp dụng ngôn ngữ này là không có sự nhất quán giữa một người nộp thuế thực hiện các giao dịch vì lý do thương mại chính đáng</w:t>
      </w:r>
    </w:p>
    <w:p>
      <w:pPr>
        <w:spacing w:after="80"/>
      </w:pPr>
      <w:r>
        <w:rPr>
          <w:b w:val="0"/>
          <w:i w:val="0"/>
        </w:rPr>
        <w:t>156.Được chèn bởi Nghị định thư ngày 30 tháng 11 năm 2017, Điều X. Xem Chương 18, §18.02 về quy định tương đương trong MLI.</w:t>
      </w:r>
    </w:p>
    <w:p>
      <w:pPr>
        <w:spacing w:after="80"/>
      </w:pPr>
      <w:r>
        <w:rPr>
          <w:b w:val="0"/>
          <w:i w:val="0"/>
        </w:rPr>
        <w:t>513</w:t>
      </w:r>
    </w:p>
    <w:p>
      <w:pPr>
        <w:spacing w:after="80"/>
      </w:pPr>
      <w:r>
        <w:rPr>
          <w:b w:val="0"/>
          <w:i w:val="0"/>
        </w:rPr>
        <w:t>và trong quá trình kinh doanh thông thường, với việc một mục tiêu chính của các giao dịch là nhằm đạt được lợi thế về thuế.157 Cần phải phân biệt giữa những quy định đề cập đến mục đích của một người (như Điều 23(2) của Tây Ban Nha - Vương quốc Anh) và những quy định đề cập đến mục đích của một giao dịch. Loại thứ nhất hoàn toàn mang tính chủ quan, dựa trên ý định của những người liên quan. Loại thứ hai mang tính khách quan. Tuy nhiên, các sự kiện khách quan không chỉ giới hạn ở các hiệu lực pháp lý (hoặc hậu quả về mặt pháp luật) của các giao dịch mà còn bao gồm cả ý định chủ quan của những người liên quan.158</w:t>
      </w:r>
    </w:p>
    <w:p>
      <w:pPr>
        <w:spacing w:after="80"/>
      </w:pPr>
      <w:r>
        <w:rPr>
          <w:b w:val="0"/>
          <w:i/>
        </w:rPr>
        <w:t>Prudential Plc v HMRC</w:t>
      </w:r>
      <w:r>
        <w:rPr>
          <w:b w:val="0"/>
          <w:i w:val="0"/>
        </w:rPr>
        <w:t xml:space="preserve">159 liên quan đến việc liệu các thỏa thuận hoán đổi tiền tệ có được thực hiện vì các mục đích không được phép trong FA 1994, mục 168A hay không, vì mục đích chính là tránh thuế. Để xác định mục đích tránh thuế khi có mục đích kinh doanh, các Ủy viên Đặc biệt đã dựa vào những nhận xét của Lightman J trong </w:t>
      </w:r>
      <w:r>
        <w:rPr>
          <w:b w:val="0"/>
          <w:i/>
        </w:rPr>
        <w:t>IRC v Trustees of the SEMA Group Pension Scheme.</w:t>
      </w:r>
      <w:r>
        <w:rPr>
          <w:b w:val="0"/>
          <w:i w:val="0"/>
        </w:rPr>
        <w:t xml:space="preserve">160 Nhận xét về những phát biểu của Cross J trong </w:t>
      </w:r>
      <w:r>
        <w:rPr>
          <w:b w:val="0"/>
          <w:i/>
        </w:rPr>
        <w:t>IRC v Kleinwort Benson Ltd</w:t>
      </w:r>
      <w:r>
        <w:rPr>
          <w:b w:val="0"/>
          <w:i w:val="0"/>
        </w:rPr>
        <w:t>161 Lightman J nói:</w:t>
      </w:r>
    </w:p>
    <w:p>
      <w:pPr>
        <w:spacing w:after="80"/>
      </w:pPr>
      <w:r>
        <w:rPr>
          <w:b w:val="0"/>
          <w:i w:val="0"/>
        </w:rPr>
        <w:t>Rõ ràng nếu lợi thế về thuế chỉ là 'phần kem trên bánh' thì nó sẽ không cấu thành một mục tiêu chính.</w:t>
      </w:r>
    </w:p>
    <w:p>
      <w:pPr>
        <w:spacing w:after="80"/>
      </w:pPr>
      <w:r>
        <w:rPr>
          <w:b w:val="0"/>
          <w:i w:val="0"/>
        </w:rPr>
        <w:t xml:space="preserve">Trong </w:t>
      </w:r>
      <w:r>
        <w:rPr>
          <w:b w:val="0"/>
          <w:i/>
        </w:rPr>
        <w:t>AH Field (Holdings) Ltd v HMRC</w:t>
      </w:r>
      <w:r>
        <w:rPr>
          <w:b w:val="0"/>
          <w:i w:val="0"/>
        </w:rPr>
        <w:t>162 liên quan đến việc tái cấu trúc tài chính của một công ty bằng cách thay thế vốn chủ sở hữu bằng các khoản vay, Tòa án Sơ thẩm đã xem xét rằng:</w:t>
      </w:r>
    </w:p>
    <w:p>
      <w:pPr>
        <w:spacing w:after="80"/>
      </w:pPr>
      <w:r>
        <w:rPr>
          <w:b w:val="0"/>
          <w:i w:val="0"/>
        </w:rPr>
        <w:t>[P]hép thử được áp dụng … không chỉ đơn thuần phân biệt giữa các giao dịch hoàn toàn được thúc đẩy bởi thuế và các giao dịch được thực hiện vì mục đích kinh doanh. Nó nhắm vào các giao dịch có một số mục đích kinh doanh, nhưng lại bị ảnh hưởng bởi hiệu ứng thuế của chúng đến mức hợp lý để giả định rằng hiệu ứng thuế hẳn phải là một trong những mục đích chính để thực hiện giao dịch.163</w:t>
      </w:r>
    </w:p>
    <w:p>
      <w:pPr>
        <w:spacing w:after="80"/>
      </w:pPr>
      <w:r>
        <w:rPr>
          <w:b w:val="0"/>
          <w:i w:val="0"/>
        </w:rPr>
        <w:t>Theo quan điểm của Tòa án, để thấu hiểu mục đích của người nộp thuế khi tham gia khoản vay này, tòa chỉ có thể xem xét các thành phần của quyết định cụ thể này dựa trên những sự kiện và hoàn cảnh cụ thể này, cân nhắc cả những mục đích được cáo buộc dựa trên bằng chứng sẵn có lẫn những hệ quả thực tế từ hành động của người nộp thuế.164 Nếu gạt bỏ mọi mục đích thương mại, và chỉ còn lại thuế, thì kết luận phải là thuế ít nhất là một trong những mục đích chính của giao dịch.165 Họ cũng gợi ý rằng việc đặt câu hỏi liệu giao dịch có được thực hiện hay không nếu tác động thuế của nó là trung tính là hoàn toàn hợp lý.</w:t>
      </w:r>
    </w:p>
    <w:p>
      <w:pPr>
        <w:spacing w:after="80"/>
      </w:pPr>
      <w:r>
        <w:rPr>
          <w:b w:val="0"/>
          <w:i w:val="0"/>
        </w:rPr>
        <w:t>157.</w:t>
      </w:r>
      <w:r>
        <w:rPr>
          <w:b w:val="0"/>
          <w:i/>
        </w:rPr>
        <w:t>Inland Revenue Commissioners v Trustees of the Sema Group Pension Scheme</w:t>
      </w:r>
      <w:r>
        <w:rPr>
          <w:b w:val="0"/>
          <w:i w:val="0"/>
        </w:rPr>
        <w:t xml:space="preserve"> [2002] BTC 109;[2002] STC 276, theo Lightman J tại 48.158.</w:t>
      </w:r>
      <w:r>
        <w:rPr>
          <w:b w:val="0"/>
          <w:i/>
        </w:rPr>
        <w:t>Padfield &amp; Ors v Revenue &amp; Customs</w:t>
      </w:r>
      <w:r>
        <w:rPr>
          <w:b w:val="0"/>
          <w:i w:val="0"/>
        </w:rPr>
        <w:t xml:space="preserve"> [2020] UKFTT 513 (TC) tại các đoạn 269-273.159.</w:t>
      </w:r>
      <w:r>
        <w:rPr>
          <w:b w:val="0"/>
          <w:i/>
        </w:rPr>
        <w:t>Prudential Plc v R &amp; C Commrs [2007] UKSPC SPC636</w:t>
      </w:r>
      <w:r>
        <w:rPr>
          <w:b w:val="0"/>
          <w:i w:val="0"/>
        </w:rPr>
        <w:t xml:space="preserve"> (2007) Sp C 636; [2008] STC (SCD) 239.160.Tại đoạn 53.161.</w:t>
      </w:r>
      <w:r>
        <w:rPr>
          <w:b w:val="0"/>
          <w:i/>
        </w:rPr>
        <w:t>Inland Revenue Commissioners v Kleinwort Benson Ltd</w:t>
      </w:r>
      <w:r>
        <w:rPr>
          <w:b w:val="0"/>
          <w:i w:val="0"/>
        </w:rPr>
        <w:t xml:space="preserve"> [1969] 2 Ch 221.162.</w:t>
      </w:r>
      <w:r>
        <w:rPr>
          <w:b w:val="0"/>
          <w:i/>
        </w:rPr>
        <w:t>AH Field (Holdings) Ltd v Revenue &amp; Customs</w:t>
      </w:r>
      <w:r>
        <w:rPr>
          <w:b w:val="0"/>
          <w:i w:val="0"/>
        </w:rPr>
        <w:t xml:space="preserve"> [2012] TC 01800; [2012] UKFTT 104 (TC).163.Tại đoạn 126.164.Tại đoạn 139.165.Tại đoạn 175.</w:t>
      </w:r>
    </w:p>
    <w:p>
      <w:pPr>
        <w:spacing w:after="80"/>
      </w:pPr>
      <w:r>
        <w:rPr>
          <w:b w:val="0"/>
          <w:i w:val="0"/>
        </w:rPr>
        <w:t>514</w:t>
      </w:r>
    </w:p>
    <w:p>
      <w:pPr>
        <w:spacing w:after="80"/>
      </w:pPr>
      <w:r>
        <w:rPr>
          <w:b w:val="0"/>
          <w:i/>
        </w:rPr>
        <w:t>HMRC v Lloyds TSB Equipment Leasing (No 1) Ltd</w:t>
      </w:r>
      <w:r>
        <w:rPr>
          <w:b w:val="0"/>
          <w:i w:val="0"/>
        </w:rPr>
        <w:t>,166 một vụ án liên quan đến trợ cấp vốn (capital allowance) đối với tài chính tàu biển, minh họa những khó khăn trong việc áp dụng các quy tắc có tính chất này. Tòa phúc thẩm (Court of Appeal) tán thành quan điểm rằng việc đã thực hiện các bước nhằm đảm bảo hoặc củng cố khả năng đạt được lợi thế thuế không phải là điều gây bất lợi cho yêu cầu của người nộp thuế về một lợi thế thuế.167 Tuy nhiên, Tòa kết luận rằng ngay cả khi giao dịch được thực hiện vì một mục đích thương mại chính đáng, thì vẫn có thể xảy ra trường hợp một mục tiêu chính của cách thức cấu trúc giao dịch để đạt lợi thế thuế.168 Phép thử này 'dự liệu rằng có thể có một loạt các mục tiêu thúc đẩy giao dịch, và chúng phải được đánh giá theo một thứ tự ưu tiên hay thứ bậc nào đó, rồi sau đó áp dụng một cơ sở nào đó để tách những mục tiêu đủ quan trọng để được tính là "chính" khỏi những mục tiêu không đủ. Tuy nhiên, chỉ vì mục tiêu này ít quan trọng hơn mục tiêu kia không tự động có nghĩa rằng nó không thể là một mục đích chính.169 Vấn đề sau đó là bất kỳ mục tiêu nào nhằm đạt được các trợ cấp nằm ở phía nào của ranh giới'.170 Rimmer LJ nhận xét:</w:t>
      </w:r>
    </w:p>
    <w:p>
      <w:pPr>
        <w:spacing w:after="80"/>
      </w:pPr>
      <w:r>
        <w:rPr>
          <w:b w:val="0"/>
          <w:i w:val="0"/>
        </w:rPr>
        <w:t>Việc đặt điều kiện để có được [một khoản giảm thuế] phụ thuộc vào ý định chủ quan cuối cùng của một bên trong giao dịch là một công thức dẫn đến tranh chấp và kiện tụng, không gì minh họa rõ hơn bằng những gì đã xảy ra trong vụ án này, cụ thể là một phiên điều trần kéo dài bảy ngày trước FTT, một phiên điều trần bốn ngày trước UT và một phiên điều trần một ngày rưỡi trước tòa án này. Cả LEL lẫn HMRC đều không thể bị chỉ trích vì muốn đưa vấn đề ra kiện tụng, nhưng việc luật thuế của chúng ta lại được viết như thế này đối với tôi có vẻ là không thỏa đáng.171</w:t>
      </w:r>
    </w:p>
    <w:p>
      <w:pPr>
        <w:spacing w:after="80"/>
      </w:pPr>
      <w:r>
        <w:rPr>
          <w:b w:val="0"/>
          <w:i w:val="0"/>
        </w:rPr>
        <w:t xml:space="preserve">Việc thiết lập một thứ bậc mục đích như vậy liên quan đến một khó khăn trong việc định trọng số mà các tòa án đã chật vật diễn đạt. Trong </w:t>
      </w:r>
      <w:r>
        <w:rPr>
          <w:b w:val="0"/>
          <w:i/>
        </w:rPr>
        <w:t>Travel Document Service &amp; Ladbroke Group International v HMRC</w:t>
      </w:r>
      <w:r>
        <w:rPr>
          <w:b w:val="0"/>
          <w:i w:val="0"/>
        </w:rPr>
        <w:t>172 Newey LJ nói, 'Một mục đích "chính" sẽ luôn là mục đích "không hề tầm thường", nhưng điều ngược lại thì không đúng. Một mục đích có thể "không hề tầm thường" mà không phải là mục đích "chính". "Chính" mang hàm ý về tầm quan trọng.'</w:t>
      </w:r>
    </w:p>
    <w:p>
      <w:pPr>
        <w:spacing w:after="80"/>
      </w:pPr>
      <w:r>
        <w:rPr>
          <w:b w:val="0"/>
          <w:i w:val="0"/>
        </w:rPr>
        <w:t xml:space="preserve">Trong </w:t>
      </w:r>
      <w:r>
        <w:rPr>
          <w:b w:val="0"/>
          <w:i/>
        </w:rPr>
        <w:t>Fidex Ltd v HMRC</w:t>
      </w:r>
      <w:r>
        <w:rPr>
          <w:b w:val="0"/>
          <w:i w:val="0"/>
        </w:rPr>
        <w:t>,173 người nộp thuế thừa nhận có ba mục đích chính khi tham gia một giao dịch tài chính, chỉ một trong số đó là việc tránh thuế vốn có trong cấu trúc của giao dịch. Người nộp thuế lập luận rằng một phần của khoản giảm thuế được yêu cầu nên được quy cho các mục đích phi thuế vì luật cho phép 'phân bổ công bằng và hợp lý' khi chống lại việc tránh thuế. Tòa phúc thẩm bác bỏ điều này với lý do rằng giao dịch gắn bó chặt chẽ không thể tách rời với mục đích tránh thuế. Điều này xuất phát từ ngôn ngữ của luật.</w:t>
      </w:r>
    </w:p>
    <w:p>
      <w:pPr>
        <w:spacing w:after="80"/>
      </w:pPr>
      <w:r>
        <w:rPr>
          <w:b w:val="0"/>
          <w:i w:val="0"/>
        </w:rPr>
        <w:t>Các điều khoản hiệp ước dựa trên mục đích, chẳng hạn như Điều 23(2) của hiệp định thuế hai lần Tây Ban Nha-Anh, vận hành theo kiểu được ăn cả ngã về không. Nếu có một mục đích không được phép, thì không</w:t>
      </w:r>
    </w:p>
    <w:p>
      <w:pPr>
        <w:spacing w:after="80"/>
      </w:pPr>
      <w:r>
        <w:rPr>
          <w:b w:val="0"/>
          <w:i w:val="0"/>
        </w:rPr>
        <w:t>166.</w:t>
      </w:r>
      <w:r>
        <w:rPr>
          <w:b w:val="0"/>
          <w:i/>
        </w:rPr>
        <w:t>R &amp; C Commrs v Lloyds TSB Equipment Leasing (No 1) Ltd</w:t>
      </w:r>
      <w:r>
        <w:rPr>
          <w:b w:val="0"/>
          <w:i w:val="0"/>
        </w:rPr>
        <w:t xml:space="preserve"> [2014] EWCA Civ 1062, [2014] STC2770 CA, [2014] BTC 37.167.Tại đoạn 51.168.Tại đoạn 65.169.Tại đoạn 53.170.Tại đoạn 51.171.Tại đoạn 41.172.</w:t>
      </w:r>
      <w:r>
        <w:rPr>
          <w:b w:val="0"/>
          <w:i/>
        </w:rPr>
        <w:t>Travel Document Service &amp; Ladbroke Group International v Revenue &amp; Customs</w:t>
      </w:r>
      <w:r>
        <w:rPr>
          <w:b w:val="0"/>
          <w:i w:val="0"/>
        </w:rPr>
        <w:t xml:space="preserve"> [2018] EWCACiv 549, [2018] STC 723, [2018] BTC 13, tại đoạn 48.173.</w:t>
      </w:r>
      <w:r>
        <w:rPr>
          <w:b w:val="0"/>
          <w:i/>
        </w:rPr>
        <w:t>Fidex Ltd v Revenue &amp; Customs Commissioners</w:t>
      </w:r>
      <w:r>
        <w:rPr>
          <w:b w:val="0"/>
          <w:i w:val="0"/>
        </w:rPr>
        <w:t xml:space="preserve"> [2016] EWCA Civ 385, [2016] STC 1920, [2016]BTC 16.</w:t>
      </w:r>
    </w:p>
    <w:p>
      <w:pPr>
        <w:spacing w:after="80"/>
      </w:pPr>
      <w:r>
        <w:rPr>
          <w:b w:val="0"/>
          <w:i w:val="0"/>
        </w:rPr>
        <w:t>515</w:t>
      </w:r>
    </w:p>
    <w:p>
      <w:pPr>
        <w:spacing w:after="80"/>
      </w:pPr>
      <w:r>
        <w:rPr>
          <w:b w:val="0"/>
          <w:i w:val="0"/>
        </w:rPr>
        <w:t xml:space="preserve">lợi ích hiệp ước nào được hưởng. Lập trường có thể khác theo cách tiếp cận được Tòa sơ thẩm (First-tier Tribunal) áp dụng trong </w:t>
      </w:r>
      <w:r>
        <w:rPr>
          <w:b w:val="0"/>
          <w:i/>
        </w:rPr>
        <w:t>Fidex</w:t>
      </w:r>
      <w:r>
        <w:rPr>
          <w:b w:val="0"/>
          <w:i w:val="0"/>
        </w:rPr>
        <w:t xml:space="preserve"> rằng mục đích tránh thuế chỉ tồn tại trong một số năm nhất định chứ không phải trong những năm khác. Người nộp thuế cũng lập luận rằng một mục đích tránh thuế chỉ tồn tại trong chốc lát thì không thể là mục đích chính. Những lập luận này đã bị từ bỏ tại Tòa phúc thẩm.</w:t>
      </w:r>
    </w:p>
    <w:p>
      <w:pPr>
        <w:spacing w:after="80"/>
      </w:pPr>
      <w:r>
        <w:rPr>
          <w:b/>
          <w:i w:val="0"/>
        </w:rPr>
        <w:t>§17.14 QUY TẮC XUYÊN THẤU</w:t>
      </w:r>
    </w:p>
    <w:p>
      <w:pPr>
        <w:spacing w:after="80"/>
      </w:pPr>
      <w:r>
        <w:rPr>
          <w:b w:val="0"/>
          <w:i w:val="0"/>
        </w:rPr>
        <w:t>Một giải pháp được OECD đề xuất nhắm vào việc từ chối các lợi ích hiệp ước cho một công ty nếu công ty đó không được sở hữu trực tiếp hoặc gián tiếp bởi các cư dân của quốc gia nơi chính công ty đó cư trú. Tổ chức này gợi ý rằng cách tiếp cận này có thể phù hợp với các hiệp ước với những quốc gia không có hoặc có mức thuế rất thấp và nơi thông thường sẽ có rất ít hoạt động kinh doanh thực chất được tiến hành.</w:t>
      </w:r>
    </w:p>
    <w:p>
      <w:pPr>
        <w:spacing w:after="80"/>
      </w:pPr>
      <w:r>
        <w:rPr>
          <w:b w:val="0"/>
          <w:i w:val="0"/>
        </w:rPr>
        <w:t>Một biến thể của học thuyết xuyên thấu là loại trừ các công ty cư trú tại một quốc gia ký kết khỏi các lợi ích theo một hiệp ước nếu công ty đó được sở hữu hoặc kiểm soát bởi các cư dân của một quốc gia thứ ba, những người mà bản thân họ sẽ không đủ điều kiện hưởng các lợi ích hiệp ước tương tự.</w:t>
      </w:r>
    </w:p>
    <w:p>
      <w:pPr>
        <w:spacing w:after="80"/>
      </w:pPr>
      <w:r>
        <w:rPr>
          <w:b w:val="0"/>
          <w:i w:val="0"/>
        </w:rPr>
        <w:t>OECD thừa nhận rằng việc sử dụng các điều khoản xuyên thấu là giải pháp triệt để nhất cho vấn đề các công ty dẫn vốn (conduit company). Vương quốc Anh đã sử dụng các quy tắc xuyên thấu ở mức rất hạn chế.174 Hiệp ước Iceland-Anh (1991) có một quy tắc như vậy liên quan đến cổ tức tại Điều 10(1)(d) và đối với lãi tại Điều 11(7)-(9), cũng như Điều 12(6)-(8), đối với tiền bản quyền. Cấu trúc cơ bản là tương tự trong mọi trường hợp. Quy tắc về lãi tại Điều 11 viết:</w:t>
      </w:r>
    </w:p>
    <w:p>
      <w:pPr>
        <w:spacing w:after="80"/>
      </w:pPr>
      <w:r>
        <w:rPr>
          <w:b w:val="0"/>
          <w:i w:val="0"/>
        </w:rPr>
        <w:t>11(7) Các quy định tại khoản (1) của Điều này sẽ không được áp dụng khi chủ sở hữu hưởng lợi của khoản lãi là một công ty không phải là công ty niêm yết, trừ khi công ty chứng minh rằng nó không bị kiểm soát bởi một người, hoặc hai hay nhiều người có liên kết hoặc có mối quan hệ với nhau cùng nhau, mà người đó hoặc bất kỳ ai trong số họ sẽ không được hưởng quyền giảm thuế theo khoản (1) của Điều này nếu người đó là chủ sở hữu hưởng lợi của khoản lãi.</w:t>
      </w:r>
    </w:p>
    <w:p>
      <w:pPr>
        <w:spacing w:after="80"/>
      </w:pPr>
      <w:r>
        <w:rPr>
          <w:b w:val="0"/>
          <w:i w:val="0"/>
        </w:rPr>
        <w:t>Trong trường hợp các công ty, các quyền lợi theo hiệp định bị từ chối trừ khi công ty liên quan đáp ứng một trong hai điều kiện kiểm tra:</w:t>
      </w:r>
    </w:p>
    <w:p>
      <w:pPr>
        <w:spacing w:after="80"/>
      </w:pPr>
      <w:r>
        <w:rPr>
          <w:b w:val="0"/>
          <w:i w:val="0"/>
        </w:rPr>
        <w:t>(1) Cổ phiếu của công ty phải được niêm yết chính thức trên một sàn giao dịch chứng khoán tại quốc gia cư trú tương ứng.175</w:t>
      </w:r>
    </w:p>
    <w:p>
      <w:pPr>
        <w:spacing w:after="80"/>
      </w:pPr>
      <w:r>
        <w:rPr>
          <w:b w:val="0"/>
          <w:i w:val="0"/>
        </w:rPr>
        <w:t>(2) Công ty có thể chứng minh rằng mình không bị kiểm soát bởi những người mà bản thân họ không được hưởng quyền lợi theo hiệp định. Nếu công ty bị kiểm soát bởi hai hoặc nhiều người có liên kết hoặc</w:t>
      </w:r>
    </w:p>
    <w:p>
      <w:pPr>
        <w:spacing w:after="80"/>
      </w:pPr>
      <w:r>
        <w:rPr>
          <w:b w:val="0"/>
          <w:i w:val="0"/>
        </w:rPr>
        <w:t>174. Một trong những điều khoản đầu tiên như vậy là Điều 10(3)(d) của Hiệp định Thuế Hà Lan – Vương quốc Anh (1980). Hiệp định này là một trong những hiệp định đầu tiên cho phép hoàn trả tín dụng thuế theo Điều 10(3). Hà Lan theo truyền thống là địa điểm chính cho các công ty dẫn vốn (conduit companies) nhằm giảm thuế tại quốc gia nguồn đối với cổ tức. Chỉ có ba hiệp định chứa các quy tắc xuyên qua (look-through rules) cổ điển. Điều này hiện chỉ còn mang ý nghĩa lịch sử vì tín dụng thuế không còn được hoàn trả nữa. 175. Công ước giữa Chính phủ Vương quốc Liên hiệp Anh và Bắc Ireland và Chính phủ Cộng hòa Iceland về Tránh đánh thuế hai lần và Ngăn ngừa trốn thuế tài khóa đối với Thuế Thu nhập và Lợi nhuận vốn, Công ước ngày 30 tháng 9 năm 1991 (SI 1991/2879), Điều 11(8)(a).</w:t>
      </w:r>
    </w:p>
    <w:p>
      <w:pPr>
        <w:spacing w:after="80"/>
      </w:pPr>
      <w:r>
        <w:rPr>
          <w:b w:val="0"/>
          <w:i w:val="0"/>
        </w:rPr>
        <w:t>516</w:t>
      </w:r>
    </w:p>
    <w:p>
      <w:pPr>
        <w:spacing w:after="80"/>
      </w:pPr>
      <w:r>
        <w:rPr>
          <w:b w:val="0"/>
          <w:i w:val="0"/>
        </w:rPr>
        <w:t>có liên kết với nhau, thì không người nào trong số đó bị loại trừ khỏi quyền lợi theo hiệp định.</w:t>
      </w:r>
    </w:p>
    <w:p>
      <w:pPr>
        <w:spacing w:after="80"/>
      </w:pPr>
      <w:r>
        <w:rPr>
          <w:b w:val="0"/>
          <w:i w:val="0"/>
        </w:rPr>
        <w:t>Vì mục đích này, một người hoặc hai hay nhiều người có liên kết hoặc có liên quan với nhau được coi là kiểm soát một công ty nếu, theo pháp luật của quốc gia nơi phát sinh lợi ích, họ có thể được coi là kiểm soát công ty đó vì bất kỳ mục đích nào. Tương tự, các cá nhân được coi là có liên kết hoặc có liên quan nếu, theo pháp luật đó, họ có thể được coi như vậy vì bất kỳ mục đích nào.176 Do đó, định nghĩa rộng nhất về kiểm soát hoặc liên kết theo pháp luật của quốc gia nguồn sẽ quyết định ý nghĩa của các thuật ngữ này. Khi một cá nhân nắm giữ không quá 10% tổng số cổ phiếu trong một công ty được coi là kiểm soát công ty đó chỉ vì lý do người đó nắm giữ cổ phiếu phổ thông trong công ty mang đầy đủ quyền biểu quyết và quyền nhận cổ tức, thì số cổ phiếu do người đó nắm giữ sẽ được loại ra khỏi việc xác định quyền kiểm soát, ngoại trừ việc không quá 25% tổng số cổ phiếu loại đó trong công ty có thể được loại ra theo cách này.</w:t>
      </w:r>
    </w:p>
    <w:p>
      <w:pPr>
        <w:spacing w:after="80"/>
      </w:pPr>
      <w:r>
        <w:rPr>
          <w:b w:val="0"/>
          <w:i w:val="0"/>
        </w:rPr>
        <w:t>Các quyền lợi theo hiệp định chỉ có sẵn nếu các chủ sở hữu hưởng lợi liên quan tự mình có thể tận dụng các quyền lợi theo hiệp định liên quan đến những khoản thu nhập đó theo điều khoản cụ thể của hiệp định đang được xét. Do đó, trên thực tế, việc loại bỏ thuế Vương quốc Anh đối với các khoản thanh toán lãi cho các công ty Iceland chưa niêm yết sẽ chỉ áp dụng khi những công ty đó tự chúng bị kiểm soát bởi cư dân Iceland.</w:t>
      </w:r>
    </w:p>
    <w:p>
      <w:pPr>
        <w:spacing w:after="80"/>
      </w:pPr>
      <w:r>
        <w:rPr>
          <w:b w:val="0"/>
          <w:i w:val="0"/>
        </w:rPr>
        <w:t xml:space="preserve">Những điều khoản này làm nổi bật những khó khăn mà OECD đã xác định trong Báo cáo về Công ty Dẫn vốn (Conduit Company Report) liên quan đến việc sử dụng phương pháp xuyên qua (look-through approach). Báo cáo cho rằng những điều khoản như vậy không tương thích với nguyên tắc về địa vị pháp lý của các thực thể doanh nghiệp được công nhận trong hệ thống pháp luật của tất cả các quốc gia thành viên OECD, ngoại trừ trường hợp lạm dụng trong Mẫu Hiệp định OECD (OECD Model). Báo cáo lưu ý rằng cơ chế để áp dụng điều khoản này cần phải đơn giản và chắc chắn, và điều này có thể đòi hỏi sự thay đổi trong việc phân bổ nghĩa vụ chứng minh. Trong tất cả những điều khoản này, nghĩa vụ chứng minh quyền hưởng quyền lợi theo hiệp định được đặt rõ ràng lên bên yêu cầu. Bên yêu cầu không chỉ phải chứng minh quyền hưởng </w:t>
      </w:r>
      <w:r>
        <w:rPr>
          <w:b w:val="0"/>
          <w:i/>
        </w:rPr>
        <w:t>primafacie</w:t>
      </w:r>
      <w:r>
        <w:rPr>
          <w:b w:val="0"/>
          <w:i w:val="0"/>
        </w:rPr>
        <w:t xml:space="preserve"> mà còn phải đồng thời chứng minh rằng yêu cầu đó không vi phạm những giới hạn do các điều khoản của điều luật áp đặt.</w:t>
      </w:r>
    </w:p>
    <w:p>
      <w:pPr>
        <w:spacing w:after="80"/>
      </w:pPr>
      <w:r>
        <w:rPr>
          <w:b w:val="0"/>
          <w:i w:val="0"/>
        </w:rPr>
        <w:t xml:space="preserve">Báo cáo về Công ty Dẫn vốn cũng lưu ý rằng những điều khoản như vậy đòi hỏi phải có những giải thích mở rộng đáng kể dựa trên thiện chí. Không có điều khoản nào trong số này trong các hiệp định của Vương quốc Anh chứa ngoại lệ đối với các giao dịch thương mại chính đáng. Mức độ nghiêm khắc của quy tắc này được minh họa qua phán quyết của Tòa án Cấp cao (High Court) trong vụ </w:t>
      </w:r>
      <w:r>
        <w:rPr>
          <w:b w:val="0"/>
          <w:i/>
        </w:rPr>
        <w:t>Steele v European Vinyls Corp (Holdings) BV</w:t>
      </w:r>
      <w:r>
        <w:rPr>
          <w:b w:val="0"/>
          <w:i w:val="0"/>
        </w:rPr>
        <w:t>.177</w:t>
      </w:r>
    </w:p>
    <w:p>
      <w:pPr>
        <w:spacing w:after="80"/>
      </w:pPr>
      <w:r>
        <w:rPr>
          <w:b w:val="0"/>
          <w:i w:val="0"/>
        </w:rPr>
        <w:t>Một ngoại lệ hạn chế đối với việc nắm giữ cổ phần thiểu số của các cá nhân được quy định tại Điều 11(9). Khi một cá nhân được coi là kiểm soát một công ty chỉ vì lý do người đó nắm giữ cổ phiếu phổ thông trong công ty mang đầy đủ quyền biểu quyết và quyền nhận cổ tức, thì số cổ phiếu do người đó nắm giữ có thể được loại ra khỏi việc xác định liệu công ty có bị kiểm soát bởi những người đủ điều kiện hay không – nếu cá nhân đó nắm giữ không quá 10% tổng số cổ phiếu trong công ty. Ngoài ra, không quá 25% tổng số cổ phiếu loại đó trong công ty có thể bị loại trừ trên cơ sở này.</w:t>
      </w:r>
    </w:p>
    <w:p>
      <w:pPr>
        <w:spacing w:after="80"/>
      </w:pPr>
      <w:r>
        <w:rPr>
          <w:b w:val="0"/>
          <w:i w:val="0"/>
        </w:rPr>
        <w:t xml:space="preserve">176. Hiệp định Thuế Iceland – Vương quốc Anh 1991, Điều 11(8)(b). 177. </w:t>
      </w:r>
      <w:r>
        <w:rPr>
          <w:b w:val="0"/>
          <w:i/>
        </w:rPr>
        <w:t>Steele v European Vinyls Corp (Holdings) BV</w:t>
      </w:r>
      <w:r>
        <w:rPr>
          <w:b w:val="0"/>
          <w:i w:val="0"/>
        </w:rPr>
        <w:t xml:space="preserve"> [1995] BTC 32; [1995] STC 31, Ch. D; [1996] BTC 425; [1996] STC 785, CA. Xem §17.16.</w:t>
      </w:r>
    </w:p>
    <w:p>
      <w:pPr>
        <w:spacing w:after="80"/>
      </w:pPr>
      <w:r>
        <w:rPr>
          <w:b w:val="0"/>
          <w:i w:val="0"/>
        </w:rPr>
        <w:t>517</w:t>
      </w:r>
    </w:p>
    <w:p>
      <w:pPr>
        <w:spacing w:after="80"/>
      </w:pPr>
      <w:r>
        <w:rPr>
          <w:b w:val="0"/>
          <w:i w:val="0"/>
        </w:rPr>
        <w:t xml:space="preserve">Sự loại trừ này khỏi các quy tắc giới hạn quyền lợi có phạm vi hẹp. Hơn nữa, việc bị loại trừ áp dụng cho một người, hoặc hai hay nhiều người có liên kết hoặc có liên quan với nhau, những người sẽ không được hưởng quyền lợi theo hiệp định đang được xét nếu người đó, hoặc những người đó, kiểm soát công ty Iceland. Kiểm soát vì mục đích này có nghĩa là kiểm soát vì bất kỳ mục đích nào của pháp luật thuế Vương quốc Anh. Một trong những tình huống mà những điều khoản này có tác động đáng kể là khi có một số cổ đông, trong đó một hoặc nhiều người không được hưởng quyền lợi theo hiệp định, như được minh họa trong vụ </w:t>
      </w:r>
      <w:r>
        <w:rPr>
          <w:b w:val="0"/>
          <w:i/>
        </w:rPr>
        <w:t>Euro Vinyls</w:t>
      </w:r>
      <w:r>
        <w:rPr>
          <w:b w:val="0"/>
          <w:i w:val="0"/>
        </w:rPr>
        <w:t>. Ở đó, việc áp dụng rất rộng khái niệm kiểm soát và liên kết phát sinh từ các điều khoản của một thỏa thuận cổ đông đã loại trừ công ty Hà Lan liên quan khỏi quyền lợi theo hiệp định do một cổ phần nhỏ của một công ty Ý, mà bản thân công ty này cũng không được hưởng tín dụng thuế.</w:t>
      </w:r>
    </w:p>
    <w:p>
      <w:pPr>
        <w:spacing w:after="80"/>
      </w:pPr>
      <w:r>
        <w:rPr>
          <w:b w:val="0"/>
          <w:i w:val="0"/>
        </w:rPr>
        <w:t>517</w:t>
      </w:r>
    </w:p>
    <w:p>
      <w:pPr>
        <w:spacing w:after="80"/>
      </w:pPr>
      <w:r>
        <w:rPr>
          <w:b w:val="0"/>
          <w:i w:val="0"/>
        </w:rPr>
        <w:t>Thisexclusionfromthelimitationofbenefitsrulesisnarrowinscope.Further-more,disqualificationappliestoaperson,ortwoormoreassociatedorconnectedpersons, who would not have been entitled to the treaty benefit in question if he or she,or they, controlled the Icelandic company. Control for this purpose means control forany purpose of UK tax law. One of the circumstances in which these provisions have asignificant impact is where there are a number of shareholders, one or more of whomis not entitled to treaty benefits, as illustrated in the</w:t>
      </w:r>
      <w:r>
        <w:rPr>
          <w:b w:val="0"/>
          <w:i/>
        </w:rPr>
        <w:t xml:space="preserve"> Euro Vinyls</w:t>
      </w:r>
      <w:r>
        <w:rPr>
          <w:b w:val="0"/>
          <w:i w:val="0"/>
        </w:rPr>
        <w:t xml:space="preserve"> case. There, the verywideapplicationofthemeaningofcontrolandofconnectionresultingfromtheprovisions of a shareholders agreement excluded the Dutch company in question fromtreaty benefits as a result of a small holding by an Italian company, which itself was notentitled to a tax credit.</w:t>
      </w:r>
    </w:p>
    <w:p>
      <w:pPr>
        <w:spacing w:after="80"/>
      </w:pPr>
      <w:r>
        <w:rPr>
          <w:b w:val="0"/>
          <w:i w:val="0"/>
        </w:rPr>
        <w:t xml:space="preserve">Khi đề xuất cách tiếp cận xuyên suốt (look-through approach), Báo cáo của Conduit Company coi các quy tắc như vậy là tương đối đơn giản và dễ hiểu. Mặc dù việc hạn chế các lợi ích hiệp ước đối với cư dân nước thứ ba như minh họa trong vụ </w:t>
      </w:r>
      <w:r>
        <w:rPr>
          <w:b w:val="0"/>
          <w:i/>
        </w:rPr>
        <w:t xml:space="preserve"> Euro Vinyls</w:t>
      </w:r>
      <w:r>
        <w:rPr>
          <w:b w:val="0"/>
          <w:i w:val="0"/>
        </w:rPr>
        <w:t xml:space="preserve"> là có thể, rõ ràng nó không áp dụng trong mọi hoàn cảnh. Ngoài ra, nó vẫn có thể không loại bỏ hoàn toàn việc mua bán hiệp ước (treaty shopping), trừ khi sử dụng các bài kiểm tra nghiêm ngặt nhất, chẳng hạn như những bài kiểm tra được tìm thấy trong Hiệp ước Đan Mạch-Anh. Điều này cũng sẽ có những tác động tiêu cực trong các trường hợp không nhằm trốn thuế. Tại một cuộc họp vào tháng 5 năm 1996 giữa đại diện của một số tổ chức nghề nghiệp và Cục Thuế Nội địa (Inland Revenue),178 Cục Thuế thông báo rằng các cuộc thảo luận đã diễn ra về các điều khoản chống lạm dụng trong các điều khoản về lãi và tiền bản quyền trong các hiệp ước Đan Mạch và Iceland. Cục Thuế xác nhận tại cuộc họp đó rằng cách diễn đạt cụ thể đó không có trong bất kỳ hiệp ước nào khác đang được đàm phán vào thời điểm đó. Có vẻ như cách tiếp cận xuyên suốt có khả năng đã bị đưa vào dĩ vãng của chính sách hiệp ước Vương quốc Anh cho đến khi ký kết Hiệp ước Anh-Mỹ (2001).</w:t>
      </w:r>
    </w:p>
    <w:p>
      <w:pPr>
        <w:spacing w:after="80"/>
      </w:pPr>
      <w:r>
        <w:rPr>
          <w:b/>
          <w:i w:val="0"/>
        </w:rPr>
        <w:t>§17.15 GIỚI HẠN LỢI ÍCH TRONG HIỆP ƯỚC HOA KỲ</w:t>
      </w:r>
    </w:p>
    <w:p>
      <w:pPr>
        <w:spacing w:after="80"/>
      </w:pPr>
      <w:r>
        <w:rPr>
          <w:b w:val="0"/>
          <w:i w:val="0"/>
        </w:rPr>
        <w:t>Hoa Kỳ đã nỗ lực phi thường trong việc soạn thảo một điều khoản giới hạn lợi ích theo cách tiếp cận xuyên suốt "không thể sai sót" được quy định trong Điều 26 của Hiệp ước Mẫu của mình. Mục đích duy nhất của biện pháp này là ngăn chặn việc mua bán hiệp ước bởi những người ở nước thứ ba. Vương quốc Anh đã đồng ý đưa một dạng sửa đổi của điều khoản này vào hiệp ước năm 2001 được ký vào ngày 24 tháng 7 năm 2001. Ngoài việc áp dụng cách tiếp cận xuyên suốt, hiệp ước này còn khác biệt so với chính sách hiệp ước hiện hành của Vương quốc Anh bằng cách áp dụng cho các lợi ích theo hiệp ước nói chung. Không giống như các hiệp ước khác, nơi các giới hạn lợi ích chỉ áp dụng cho các điều khoản cụ thể và nhắm vào các hành vi lạm dụng cụ thể, Điều 23(1) của Hiệp ước Thuế Thu nhập Anh-Mỹ (2001) chỉ cấp lợi ích cho cư dân của một quốc gia ký kết là "người đủ điều kiện". Điều khoản này dài và phức tạp. Các loại cư dân đủ điều kiện chính là:179</w:t>
      </w:r>
    </w:p>
    <w:p>
      <w:pPr>
        <w:spacing w:after="80"/>
      </w:pPr>
      <w:r>
        <w:rPr>
          <w:b w:val="0"/>
          <w:i w:val="0"/>
        </w:rPr>
        <w:t>(1) cá nhân; (2) một số thực thể chính phủ nhất định; (3) một số quỹ tín thác đơn vị (unit trusts) nhất định;</w:t>
      </w:r>
    </w:p>
    <w:p>
      <w:pPr>
        <w:spacing w:after="80"/>
      </w:pPr>
      <w:r>
        <w:rPr>
          <w:b w:val="0"/>
          <w:i w:val="0"/>
        </w:rPr>
        <w:t>178. Thông cáo Thuế Kỹ thuật của ICAEW (Tax 14/96).179. Hiệp ước Thuế Anh-Mỹ (2001), Điều 23(2).</w:t>
      </w:r>
    </w:p>
    <w:p>
      <w:pPr>
        <w:spacing w:after="80"/>
      </w:pPr>
      <w:r>
        <w:rPr>
          <w:b w:val="0"/>
          <w:i w:val="0"/>
        </w:rPr>
        <w:t>518</w:t>
      </w:r>
    </w:p>
    <w:p>
      <w:pPr>
        <w:spacing w:after="80"/>
      </w:pPr>
      <w:r>
        <w:rPr>
          <w:b w:val="0"/>
          <w:i w:val="0"/>
        </w:rPr>
        <w:t>(4) một số công ty nhất định:</w:t>
      </w:r>
    </w:p>
    <w:p>
      <w:pPr>
        <w:spacing w:after="80"/>
      </w:pPr>
      <w:r>
        <w:rPr>
          <w:b w:val="0"/>
          <w:i w:val="0"/>
        </w:rPr>
        <w:t>– có cổ phiếu được niêm yết trên Sở Giao dịch Chứng khoán được công nhận;– là công ty con trực tiếp hoặc gián tiếp được sở hữu thông qua một chuỗi</w:t>
      </w:r>
    </w:p>
    <w:p>
      <w:pPr>
        <w:spacing w:after="80"/>
      </w:pPr>
      <w:r>
        <w:rPr>
          <w:b w:val="0"/>
          <w:i w:val="0"/>
        </w:rPr>
        <w:t>các công ty cư trú; hoặc– được sở hữu chủ yếu bởi "người thụ hưởng tương đương" và ít hơn</w:t>
      </w:r>
    </w:p>
    <w:p>
      <w:pPr>
        <w:spacing w:after="80"/>
      </w:pPr>
      <w:r>
        <w:rPr>
          <w:b w:val="0"/>
          <w:i w:val="0"/>
        </w:rPr>
        <w:t>một nửa tổng thu nhập của công ty được khấu trừ khi thanh toán cho những người thụ hưởng không tương đương (Người thụ hưởng tương đương về cơ bản là cư dân của Liên minh Châu Âu (EU), Khu vực Kinh tế Châu Âu (EEA) hoặc Khu vực Thương mại Tự do Bắc Mỹ, nơi có các quy tắc giới hạn lợi ích tương đương về cơ bản và các lợi ích hiệp ước có thể so sánh được theo một hiệp ước với quốc gia nguồn.).180</w:t>
      </w:r>
    </w:p>
    <w:p>
      <w:pPr>
        <w:spacing w:after="80"/>
      </w:pPr>
      <w:r>
        <w:rPr>
          <w:b w:val="0"/>
          <w:i w:val="0"/>
        </w:rPr>
        <w:t>(5) các kế hoạch hưu trí chủ yếu vì lợi ích của các cá nhân cư trú; và (6) một số quỹ tín thác nhất định nơi những người thụ hưởng là cư dân đủ điều kiện hoặc người thụ hưởng tương đương</w:t>
      </w:r>
    </w:p>
    <w:p>
      <w:pPr>
        <w:spacing w:after="80"/>
      </w:pPr>
      <w:r>
        <w:rPr>
          <w:b w:val="0"/>
          <w:i w:val="0"/>
        </w:rPr>
        <w:t>.</w:t>
      </w:r>
    </w:p>
    <w:p>
      <w:pPr>
        <w:spacing w:after="80"/>
      </w:pPr>
      <w:r>
        <w:rPr>
          <w:b w:val="0"/>
          <w:i w:val="0"/>
        </w:rPr>
        <w:t>Tuy nhiên, các lợi ích hiệp ước có thể được cấp cho một cư dân không đủ điều kiện hưởng lợi ích nếu cơ quan có thẩm quyền xác định rằng việc thành lập, mua lại hoặc duy trì cư dân đó, và việc tiến hành các hoạt động của nó, không có một trong những mục đích chính là đạt được các lợi ích theo hiệp ước.181</w:t>
      </w:r>
    </w:p>
    <w:p>
      <w:pPr>
        <w:spacing w:after="80"/>
      </w:pPr>
      <w:r>
        <w:rPr>
          <w:b w:val="0"/>
          <w:i w:val="0"/>
        </w:rPr>
        <w:t>Kiểu giới hạn này hiện được đưa vào trong các lựa chọn trong Bình luận của OECD.182 Một điều khoản xuyên suốt toàn diện được mô phỏng theo Hiệp ước Mẫu của Hoa Kỳ cũng xuất hiện trong Hiệp ước Nhật-Anh.183 Chỉ cư dân của một quốc gia đáp ứng các yêu cầu của Điều 22 mới đủ điều kiện hưởng lợi ích theo các Điều 7 (Lợi nhuận kinh doanh), 12 (Tiền bản quyền), 13 (Lợi nhuận vốn) hoặc 21 (Thu nhập khác), và mức thuế suất bằng không đối với cổ tức (Điều 10(3)) và lãi (Điều 10(3)).</w:t>
      </w:r>
    </w:p>
    <w:p>
      <w:pPr>
        <w:spacing w:after="80"/>
      </w:pPr>
      <w:r>
        <w:rPr>
          <w:b/>
          <w:i w:val="0"/>
        </w:rPr>
        <w:t>§17.16 CÁC CÁCH TIẾP CẬN KHÁC</w:t>
      </w:r>
    </w:p>
    <w:p>
      <w:pPr>
        <w:spacing w:after="80"/>
      </w:pPr>
      <w:r>
        <w:rPr>
          <w:b w:val="0"/>
          <w:i w:val="0"/>
        </w:rPr>
        <w:t>Điều 11(6) của hiệp ước thuế hai lần Nhật-Anh trước đây (1969) có chứa một điều khoản giới hạn độc đáo so với các hiệp ước của Vương quốc Anh. Nó chỉ đơn giản tuyên bố rằng trong bối cảnh cổ tức, việc giảm thuế của một quốc gia ký kết phải chịu các giới hạn tương tự như những giới hạn được áp đặt đối với việc giảm hoặc miễn thuế theo luật của quốc gia ký kết bởi bất kỳ điều khoản nào được ban hành để duy trì sự phân bổ thuế phù hợp và ngăn chặn việc đạt được các lợi ích thuế không chính đáng. Điều khoản này đặc biệt kỳ lạ vì hiệp ước áp dụng một điều khoản thiện chí thuộc loại</w:t>
      </w:r>
    </w:p>
    <w:p>
      <w:pPr>
        <w:spacing w:after="80"/>
      </w:pPr>
      <w:r>
        <w:rPr>
          <w:b w:val="0"/>
          <w:i w:val="0"/>
        </w:rPr>
        <w:t>180.Hiệp định Thuế US-UK (2001), điều 23(7)(d). Việc mở rộng cho cư dân EU/EEA là để tuân thủ luật EU và EFTA. Một hệ quả của việc Anh rời EU là người Anh sẽ không còn là đối tượng thụ hưởng tương đương cho các hiệp định mà Hoa Kỳ đã ký kết với EU.181.Hiệp định Thuế US-UK (2001), điều 23(6). Trong</w:t>
      </w:r>
      <w:r>
        <w:rPr>
          <w:b w:val="0"/>
          <w:i/>
        </w:rPr>
        <w:t xml:space="preserve"> Aozora GMAC Investment Ltd, R (On the Application of)vRevenueandCustoms</w:t>
      </w:r>
      <w:r>
        <w:rPr>
          <w:b w:val="0"/>
          <w:i w:val="0"/>
        </w:rPr>
        <w:t>[2017]EWHC2881,[2018]STC11,[2017]BTC36,người nộp thuế đã tìm kiếm và bị từ chối cách đối xử như vậy bởi Cơ quan Thuế Nội địa Hoa Kỳ (IRS) (tại các đoạn 48-53). Xem thêm §17.04 và Chương 15, §15.03.182.Bình luận (2014) cho điều 1, đoạn 20.183.Hiệp định Thuế Japan-UK (2006), điều 22.</w:t>
      </w:r>
    </w:p>
    <w:p>
      <w:pPr>
        <w:spacing w:after="80"/>
      </w:pPr>
      <w:r>
        <w:rPr>
          <w:b w:val="0"/>
          <w:i w:val="0"/>
        </w:rPr>
        <w:t>519</w:t>
      </w:r>
    </w:p>
    <w:p>
      <w:pPr>
        <w:spacing w:after="80"/>
      </w:pPr>
      <w:r>
        <w:rPr>
          <w:b w:val="0"/>
          <w:i w:val="0"/>
        </w:rPr>
        <w:t>được mô tả ở trên trong trường hợp lãi và tiền bản quyền.Hiệu lực của điều 11(6) là để bảo toàn các quy định chống tránh thuế trong nước.Hiệp định hiện hành (2006) thích dựa vào các giới hạn về quyền lợi được nêu trong chính hiệp định.</w:t>
      </w:r>
    </w:p>
    <w:p>
      <w:pPr>
        <w:spacing w:after="80"/>
      </w:pPr>
      <w:r>
        <w:rPr>
          <w:b w:val="0"/>
          <w:i w:val="0"/>
        </w:rPr>
        <w:t>Hiệp định thuế hai lần Australia-UK chứa các quy định bất thường giải quyết việc áp dụng pháp luật chống tránh thuế trong nước. Điều 25(6) bảo lưu một số quy tắc trong nước khỏi điều khoản không phân biệt đối xử.184</w:t>
      </w:r>
    </w:p>
    <w:p>
      <w:pPr>
        <w:spacing w:after="80"/>
      </w:pPr>
      <w:r>
        <w:rPr>
          <w:b w:val="0"/>
          <w:i w:val="0"/>
        </w:rPr>
        <w:t>Có lẽ với những bình luận của tác giả tại §17.03 trong đầu, các nhà đàm phán của hiệp định thuế hai lần China-UK (2011) đã đưa vào 'quy tắc hỗn hợp' sau đây trong điều 23:</w:t>
      </w:r>
    </w:p>
    <w:p>
      <w:pPr>
        <w:spacing w:after="80"/>
      </w:pPr>
      <w:r>
        <w:rPr>
          <w:b w:val="0"/>
          <w:i w:val="0"/>
        </w:rPr>
        <w:t>Không có gì trong Hiệp định này sẽ phương hại đến quyền của mỗi Quốc gia Ký kết trong việc áp dụng luật pháp và biện pháp trong nước của mình liên quan đến việc ngăn chặn trốn thuế và tránh thuế, dù có được mô tả như vậy hay không, miễn là chúng không dẫn đến việc đánh thuế trái với Hiệp định này.</w:t>
      </w:r>
    </w:p>
    <w:p>
      <w:pPr>
        <w:spacing w:after="80"/>
      </w:pPr>
      <w:r>
        <w:rPr>
          <w:b w:val="0"/>
          <w:i w:val="0"/>
        </w:rPr>
        <w:t>Quy tắc mang tính cách mạng này thật đáng kinh ngạc về phạm vi tiềm năng và sự mơ hồ của ý nghĩa nó. Điều khoản này bảo lưu quyền của mỗi quốc gia không chỉ để áp dụng luật trong nước mà còn để áp dụng 'các biện pháp'.Việc xác định bất kỳ luật hoặc biện pháp cụ thể nào liên quan đến việc ngăn chặn trốn thuế hoặc tránh thuế chắc chắn sẽ gặp khó khăn vì biện pháp hoặc luật đó không cần được mô tả như vậy. Một khi đã được xác định, hiệu lực của các quy định đó có khả năng gây tranh cãi. Khi các quy định của một hiệp định chỉ đơn thuần bắt chước luật trong nước, thì không có vấn đề gì phát sinh. Tuy nhiên, trong phạm vi hiệp định quy định một sự sửa đổi luật trong nước, thì hiệp định phải được ưu tiên. Cách tiếp cận này đưa vào một mức độ không chắc chắn chưa từng có và phạm vi cho hành động hành chính, điều này làm suy yếu tính chắc chắn và khả năng dự đoán trong thuế xuyên biên giới mà các hiệp định thuế được thiết kế để tạo ra.</w:t>
      </w:r>
    </w:p>
    <w:p>
      <w:pPr>
        <w:spacing w:after="80"/>
      </w:pPr>
      <w:r>
        <w:rPr>
          <w:b/>
          <w:i w:val="0"/>
        </w:rPr>
        <w:t>§17.17CÁC PHƯƠNG PHÁP THỦ TỤC</w:t>
      </w:r>
    </w:p>
    <w:p>
      <w:pPr>
        <w:spacing w:after="80"/>
      </w:pPr>
      <w:r>
        <w:rPr>
          <w:b w:val="0"/>
          <w:i w:val="0"/>
        </w:rPr>
        <w:t>Vương quốc Anh đã cố gắng sử dụng các quy tắc thủ tục để chống lại việc tránh thuế. Một cuộc trao đổi công hàm liên quan đến việc sửa đổi Nghị định thư ngày 15 tháng 10 năm 1996 đối với hiệp định với Đan Mạch chứa một thỏa thuận bất thường. Thỏa thuận nêu rõ rằng khi một quốc gia ký kết tìm cách viện dẫn các quy định chống tránh thuế liên quan đến cổ tức, lãi hoặc tiền bản quyền, quốc gia đó nên thông báo cho quốc gia ký kết kia về điều đó. Quy định kỳ lạ này cũng được tìm thấy trong các hiệp định gần đây hơn, chẳng hạn như với Singapore. Điều 11(10) của Hiệp định Thuế Thu nhập Singapore-UK, ví dụ, đọc như sau:</w:t>
      </w:r>
    </w:p>
    <w:p>
      <w:pPr>
        <w:spacing w:after="80"/>
      </w:pPr>
      <w:r>
        <w:rPr>
          <w:b w:val="0"/>
          <w:i w:val="0"/>
        </w:rPr>
        <w:t>Trong trường hợp một cư dân của một quốc gia ký kết bị từ chối giảm thuế tại quốc gia ký kết kia vì lý do các quy định của khoản (9) của Điều này, cơ quan có thẩm quyền của quốc gia ký kết kia sẽ thông báo cho cơ quan có thẩm quyền của quốc gia ký kết được đề cập đầu tiên.</w:t>
      </w:r>
    </w:p>
    <w:p>
      <w:pPr>
        <w:spacing w:after="80"/>
      </w:pPr>
      <w:r>
        <w:rPr>
          <w:b w:val="0"/>
          <w:i w:val="0"/>
        </w:rPr>
        <w:t>Ngôn ngữ tương tự được tìm thấy trong Điều 28C mới được chèn vào Hiệp định Thuế Thu nhập India-UK (1993) bởi Điều VIII của Nghị định thư sửa đổi ngày 30 tháng 10 năm 2011.</w:t>
      </w:r>
    </w:p>
    <w:p>
      <w:pPr>
        <w:spacing w:after="80"/>
      </w:pPr>
      <w:r>
        <w:rPr>
          <w:b w:val="0"/>
          <w:i w:val="0"/>
        </w:rPr>
        <w:t>184.Xem Chương 16, §16.09.</w:t>
      </w:r>
    </w:p>
    <w:p>
      <w:pPr>
        <w:spacing w:after="80"/>
      </w:pPr>
      <w:r>
        <w:rPr>
          <w:b w:val="0"/>
          <w:i w:val="0"/>
        </w:rPr>
        <w:t>520</w:t>
      </w:r>
    </w:p>
    <w:p>
      <w:pPr>
        <w:spacing w:after="80"/>
      </w:pPr>
      <w:r>
        <w:rPr>
          <w:b w:val="0"/>
          <w:i w:val="0"/>
        </w:rPr>
        <w:t>Các hiệp định nơi từ ngữ này xuất hiện đều chứa các quy định trao đổi thông tin để bao quát điều này trong mọi trường hợp. Vậy tại sao từ ngữ này lại được chèn vào các hiệp định này? Không có giải thích công khai nào về nó được HMRC đưa ra cho đến nay. Do đó lý do là một vấn đề suy đoán. Trong các hiệp định trước đây, nó có thể được xem đơn giản như một lời cảnh báo cho những người có thể sử dụng hiệp định theo cách mà một cơ quan thuế coi là không được phép, rằng điều này sẽ không còn là vấn đề đơn phương. Quốc gia ký kết kia sẽ tham gia nếu việc giảm thuế theo hiệp định bị từ chối do các quy định này. Vì việc trao đổi thông tin hiệu quả đã trở thành tiêu chuẩn, điều này ít có thể giải thích hơn.</w:t>
      </w:r>
    </w:p>
    <w:p>
      <w:pPr>
        <w:spacing w:after="80"/>
      </w:pPr>
      <w:r>
        <w:rPr>
          <w:b w:val="0"/>
          <w:i w:val="0"/>
        </w:rPr>
        <w:t>Rõ ràng, việc sử dụng quá mức và không phù hợp các quy định chống lạm dụng rất rộng của một quốc gia ký kết sẽ dẫn đến việc quốc gia ký kết kia phải giảm thuế trong các trường hợp mà nó có thể không nhất thiết coi là lạm dụng.185Giải pháp thực sự nằm ở các cơ chế giải quyết tranh chấp được nêu trong hiệp định chứ không phải chỉ trao đổi thông tin đơn thuần.186</w:t>
      </w:r>
    </w:p>
    <w:p>
      <w:pPr>
        <w:spacing w:after="80"/>
      </w:pPr>
      <w:r>
        <w:rPr>
          <w:b/>
          <w:i w:val="0"/>
        </w:rPr>
        <w:t>§17.18CÁC CÁCH TIẾP CẬN TƯ PHÁP</w:t>
      </w:r>
    </w:p>
    <w:p>
      <w:pPr>
        <w:spacing w:after="80"/>
      </w:pPr>
      <w:r>
        <w:rPr>
          <w:b w:val="0"/>
          <w:i w:val="0"/>
        </w:rPr>
        <w:t>Mục này xem xét một vài phát biểu tư pháp có thể được coi là bày tỏ quan điểm về việc mua hiệp ước (treaty shopping), cũng như khả năng áp dụng các học thuyết chống lạm dụng (anti-avoidance) trong luật nội địa cho vấn đề này.</w:t>
      </w:r>
    </w:p>
    <w:p>
      <w:pPr>
        <w:spacing w:after="80"/>
      </w:pPr>
      <w:r>
        <w:rPr>
          <w:b/>
          <w:i w:val="0"/>
        </w:rPr>
        <w:t>[A]Commerzbank</w:t>
      </w:r>
    </w:p>
    <w:p>
      <w:pPr>
        <w:spacing w:after="80"/>
      </w:pPr>
      <w:r>
        <w:rPr>
          <w:b w:val="0"/>
          <w:i w:val="0"/>
        </w:rPr>
        <w:t xml:space="preserve">Đỉnh cao của sự khoan dung tư pháp đối với việc mua hiệp ước có lẽ là phán quyết trong vụ </w:t>
      </w:r>
      <w:r>
        <w:rPr>
          <w:b w:val="0"/>
          <w:i/>
        </w:rPr>
        <w:t>IRC v Commerzbank</w:t>
      </w:r>
      <w:r>
        <w:rPr>
          <w:b w:val="0"/>
          <w:i w:val="0"/>
        </w:rPr>
        <w:t>.187 Tòa án đã chấp thuận các lợi ích theo Hiệp ước Anh-Mỹ được trao cho các cư dân của Brazil và Đức. Cơ sở để điều này được cho phép bao gồm hai mệnh đề đơn giản. Thứ nhất, điều mà Cục Thuế Nội địa (Inland Revenue) đã thừa nhận tại Tòa án Cấp cao (High Court), là không có lý do pháp lý nào khiến một hiệp ước không thể giải quyết các quyền và nghĩa vụ của những người không phải là công dân, cư dân và công ty của các bên ký kết. Thứ hai là các từ ngữ của Điều XV trong Hiệp ước Anh-Mỹ đã rõ ràng. Ý nghĩa tự nhiên và thông thường của chúng là miễn thuế Anh đối với tiền lãi đã được các công ty Mỹ trả, ngoại trừ một số đối tượng nhận được ở Anh được chỉ định cụ thể. Không thể giải thích hiệp ước theo hướng mở rộng ngoại lệ vượt ra ngoài phạm trù những người nhận được mô tả trong điều khoản đó.</w:t>
      </w:r>
    </w:p>
    <w:p>
      <w:pPr>
        <w:spacing w:after="80"/>
      </w:pPr>
      <w:r>
        <w:rPr>
          <w:b/>
          <w:i w:val="0"/>
        </w:rPr>
        <w:t>[B]Padmore</w:t>
      </w:r>
    </w:p>
    <w:p>
      <w:pPr>
        <w:spacing w:after="80"/>
      </w:pPr>
      <w:r>
        <w:rPr>
          <w:b w:val="0"/>
          <w:i w:val="0"/>
        </w:rPr>
        <w:t xml:space="preserve">Một vụ án khác có thể được coi là sự cho phép của tư pháp đối với việc mua hiệp ước là </w:t>
      </w:r>
      <w:r>
        <w:rPr>
          <w:b w:val="0"/>
          <w:i/>
        </w:rPr>
        <w:t>Padmore v IRC</w:t>
      </w:r>
      <w:r>
        <w:rPr>
          <w:b w:val="0"/>
          <w:i w:val="0"/>
        </w:rPr>
        <w:t>.188 Trong vụ đó, một thành viên hợp danh cư trú tại Anh trong một công ty hợp danh được quản lý tại Jersey đã yêu cầu miễn thuế đối với phần lợi nhuận của mình từ công ty hợp danh theo</w:t>
      </w:r>
    </w:p>
    <w:p>
      <w:pPr>
        <w:spacing w:after="80"/>
      </w:pPr>
      <w:r>
        <w:rPr>
          <w:b w:val="0"/>
          <w:i w:val="0"/>
        </w:rPr>
        <w:t xml:space="preserve">185. Xem Chương 15. 186. Xem Chương 20. 187. </w:t>
      </w:r>
      <w:r>
        <w:rPr>
          <w:b w:val="0"/>
          <w:i/>
        </w:rPr>
        <w:t>Inland Revenue Commissioners v Commerzbank AG</w:t>
      </w:r>
      <w:r>
        <w:rPr>
          <w:b w:val="0"/>
          <w:i w:val="0"/>
        </w:rPr>
        <w:t xml:space="preserve"> [1990] BTC 172; [1990] STC 285. 188. </w:t>
      </w:r>
      <w:r>
        <w:rPr>
          <w:b w:val="0"/>
          <w:i/>
        </w:rPr>
        <w:t>Padmore v Inland Revenue Commissioners</w:t>
      </w:r>
      <w:r>
        <w:rPr>
          <w:b w:val="0"/>
          <w:i w:val="0"/>
        </w:rPr>
        <w:t xml:space="preserve"> [1987] BTC 3; [1987] STC 36, Ch. D.</w:t>
      </w:r>
    </w:p>
    <w:p>
      <w:pPr>
        <w:spacing w:after="80"/>
      </w:pPr>
      <w:r>
        <w:rPr>
          <w:b w:val="0"/>
          <w:i w:val="0"/>
        </w:rPr>
        <w:t>521</w:t>
      </w:r>
    </w:p>
    <w:p>
      <w:pPr>
        <w:spacing w:after="80"/>
      </w:pPr>
      <w:r>
        <w:rPr>
          <w:b w:val="0"/>
          <w:i w:val="0"/>
        </w:rPr>
        <w:t>Hiệp ước Jersey-Anh với lý do rằng công ty hợp danh là một doanh nghiệp Jersey đang tiến hành hoạt động kinh doanh tại Jersey mà không có cơ sở thường trú (permanent establishment) tại Anh.</w:t>
      </w:r>
    </w:p>
    <w:p>
      <w:pPr>
        <w:spacing w:after="80"/>
      </w:pPr>
      <w:r>
        <w:rPr>
          <w:b w:val="0"/>
          <w:i w:val="0"/>
        </w:rPr>
        <w:t>Cục Thuế Nội địa lập luận rằng một doanh nghiệp được tiến hành theo hình thức hợp danh giữa, ví dụ, các cư dân Jersey, cư dân Anh và cư dân nước thứ ba nên được xử lý theo hiệp ước như sau:</w:t>
      </w:r>
    </w:p>
    <w:p>
      <w:pPr>
        <w:spacing w:after="80"/>
      </w:pPr>
      <w:r>
        <w:rPr>
          <w:b w:val="0"/>
          <w:i w:val="0"/>
        </w:rPr>
        <w:t>– là một doanh nghiệp Jersey, trong phạm vi nó được tiến hành và lợi nhuận của nó thuộc về các</w:t>
      </w:r>
    </w:p>
    <w:p>
      <w:pPr>
        <w:spacing w:after="80"/>
      </w:pPr>
      <w:r>
        <w:rPr>
          <w:b w:val="0"/>
          <w:i w:val="0"/>
        </w:rPr>
        <w:t>cư dân Jersey; – là một doanh nghiệp Anh, trong phạm vi nó được tiến hành bởi và lợi nhuận của nó thuộc về các</w:t>
      </w:r>
    </w:p>
    <w:p>
      <w:pPr>
        <w:spacing w:after="80"/>
      </w:pPr>
      <w:r>
        <w:rPr>
          <w:b w:val="0"/>
          <w:i w:val="0"/>
        </w:rPr>
        <w:t>cư dân Anh; hoặc – không phải là doanh nghiệp Jersey cũng không phải là doanh nghiệp Anh, trong phạm vi nó được tiến hành bởi và</w:t>
      </w:r>
    </w:p>
    <w:p>
      <w:pPr>
        <w:spacing w:after="80"/>
      </w:pPr>
      <w:r>
        <w:rPr>
          <w:b w:val="0"/>
          <w:i w:val="0"/>
        </w:rPr>
        <w:t>lợi nhuận của nó thuộc về các cư dân nước thứ ba.</w:t>
      </w:r>
    </w:p>
    <w:p>
      <w:pPr>
        <w:spacing w:after="80"/>
      </w:pPr>
      <w:r>
        <w:rPr>
          <w:b w:val="0"/>
          <w:i w:val="0"/>
        </w:rPr>
        <w:t>Lập luận này đã bị bác bỏ với cơ sở rằng thu nhập từ công ty hợp danh được đánh giá cho các mục đích của Anh và Jersey trên một cơ sở nhân tạo (dưới tên của công ty hợp danh) đối với các thành viên hợp danh, những người cùng chịu trách nhiệm liên đới cho toàn bộ khoản thuế có thể phải nộp. Sau đó, có sự phân bổ thu nhập giữa các thành viên hợp danh để đi đến nghĩa vụ thuế của mỗi cá nhân.</w:t>
      </w:r>
    </w:p>
    <w:p>
      <w:pPr>
        <w:spacing w:after="80"/>
      </w:pPr>
      <w:r>
        <w:rPr>
          <w:b w:val="0"/>
          <w:i w:val="0"/>
        </w:rPr>
        <w:t>Tuy nhiên, phía Hoàng gia (Crown) lập luận rằng cách tiếp cận này không nhất quán với sơ đồ chung của hiệp ước. Người ta lập luận rằng phạm vi và mục đích của khoản 3(2) (điều khoản về lợi nhuận kinh doanh) là loại bỏ nghĩa vụ thuế Anh khỏi lợi nhuận của một doanh nghiệp Jersey kinh doanh tại Anh nhưng không thông qua một cơ sở thường trú, và rằng nó không nhắm đến và không áp dụng cho nghĩa vụ thuế Anh của một thành viên hợp danh nhận phần lợi nhuận của mình.</w:t>
      </w:r>
    </w:p>
    <w:p>
      <w:pPr>
        <w:spacing w:after="80"/>
      </w:pPr>
      <w:r>
        <w:rPr>
          <w:b w:val="0"/>
          <w:i w:val="0"/>
        </w:rPr>
        <w:t>Một lần nữa, Thẩm phán Peter Gibson đã giải quyết vấn đề trên cơ sở ý nghĩa rõ ràng của các từ ngữ trong hiệp ước. Hiệu lực của hiệp ước là tất cả lợi nhuận công nghiệp hoặc thương mại của một doanh nghiệp Jersey đều không phải chịu thuế Anh dù kiếm được ở Jersey, Anh hay nơi khác, ngoại trừ trong phạm vi chúng được quy cho một cơ sở thường trú tại Anh. Điều đó chỉ để lại Jersey, trong quan hệ giữa mình với Anh, được tự do đánh thuế những lợi nhuận đó. Ông kết luận rằng để đạt được kết quả mà phía Hoàng gia lập luận, cần thêm từ ngữ vào hiệp ước như những từ được tìm thấy trong Hiệp ước Thụy Sĩ. Hiệp ước đó quy định rằng trong trường hợp một công ty hợp danh, quyền đánh thuế của Anh đối với các thành viên hợp danh cư trú tại Anh trên phần thu nhập từ công ty hợp danh của họ không bị hạn chế. Lập luận của phía Hoàng gia rằng hiệp ước không nên được đọc theo cách tạo ra một lợi ích tình cờ hoặc bất thường cho người nộp thuế đã không được chấp nhận. Không có cơ sở nào để ngụ ý bất kỳ điều khoản bổ sung nào vào từ ngữ rõ ràng của hiệp ước.</w:t>
      </w:r>
    </w:p>
    <w:p>
      <w:pPr>
        <w:spacing w:after="80"/>
      </w:pPr>
      <w:r>
        <w:rPr>
          <w:b w:val="0"/>
          <w:i w:val="0"/>
        </w:rPr>
        <w:t xml:space="preserve">Ngoài những thay đổi trong luật nội địa của Vương quốc Anh tại Finance (No. 2) Act 1987, s.62, thực chất là ghi đè các quy định của hiệp ước, Vương quốc Anh sau đó đã thông qua cách diễn đạt có trong các hiệp ước gần đây. Một ví dụ là art.24 của Hiệp ước Ukraine-Vương quốc Anh, cho phép Vương quốc Anh đánh thuế các đối tác cư trú tại Vương quốc Anh của các công ty hợp danh Ukraine. Tuy nhiên, cách diễn đạt đó dường như không chấm dứt khả năng các đối tác cư trú tại các quốc gia thứ ba yêu cầu các quyền lợi theo hiệp ước thông qua công ty hợp danh khi công ty đó bị đánh thuế như một thực thể riêng biệt. </w:t>
      </w:r>
      <w:r>
        <w:rPr>
          <w:b w:val="0"/>
          <w:i/>
        </w:rPr>
        <w:t>Padmore</w:t>
      </w:r>
      <w:r>
        <w:rPr>
          <w:b w:val="0"/>
          <w:i w:val="0"/>
        </w:rPr>
        <w:t xml:space="preserve"> dường như ủng hộ quan điểm rằng miễn là một công ty hợp danh nước ngoài đủ điều kiện là một doanh nghiệp của một quốc gia ký kết khác, các đối tác không cư trú tại quốc gia ký kết đó có thể có khả năng yêu cầu các quyền lợi theo hiệp ước.</w:t>
      </w:r>
    </w:p>
    <w:p>
      <w:pPr>
        <w:spacing w:after="80"/>
      </w:pPr>
      <w:r>
        <w:rPr>
          <w:b w:val="0"/>
          <w:i w:val="0"/>
        </w:rPr>
        <w:t>522</w:t>
      </w:r>
    </w:p>
    <w:p>
      <w:pPr>
        <w:spacing w:after="80"/>
      </w:pPr>
      <w:r>
        <w:rPr>
          <w:b/>
          <w:i w:val="0"/>
        </w:rPr>
        <w:t>[C]European Vinyl</w:t>
      </w:r>
    </w:p>
    <w:p>
      <w:pPr>
        <w:spacing w:after="80"/>
      </w:pPr>
      <w:r>
        <w:rPr>
          <w:b w:val="0"/>
          <w:i w:val="0"/>
        </w:rPr>
        <w:t xml:space="preserve">Nếu vụ án </w:t>
      </w:r>
      <w:r>
        <w:rPr>
          <w:b w:val="0"/>
          <w:i/>
        </w:rPr>
        <w:t>Commerzbank</w:t>
      </w:r>
      <w:r>
        <w:rPr>
          <w:b w:val="0"/>
          <w:i w:val="0"/>
        </w:rPr>
        <w:t xml:space="preserve"> đại diện cho đỉnh cao của sự dễ dãi tư pháp đối với việc mua bán hiệp ước (treaty shopping), thì </w:t>
      </w:r>
      <w:r>
        <w:rPr>
          <w:b w:val="0"/>
          <w:i/>
        </w:rPr>
        <w:t>Steele v European Vinyl Corp (Holdings) BV</w:t>
      </w:r>
      <w:r>
        <w:rPr>
          <w:b w:val="0"/>
          <w:i w:val="0"/>
        </w:rPr>
        <w:t>189 là đáy thấp nhất. Trong vụ án đó, một liên doanh được thành lập giữa Imperial Chemical Industries plc, một cư dân Vương quốc Anh và EniChem SpA, một cư dân Ý. Phương tiện liên doanh là một công ty cư trú tại Hà Lan thực chất được sở hữu 50% bởi Tập đoàn ICI và 50% bởi EniChem. Công ty Hà Lan đã yêu cầu thanh toán các khoản tín dụng thuế theo art.10 của Hiệp ước Hà Lan năm 1980. Theo art.10(3)(d)(i), việc thanh toán chỉ được áp dụng nếu công ty Hà Lan có thể chứng minh rằng nó không bị kiểm soát bởi một người, hoặc hai hoặc nhiều người có liên kết hoặc có mối quan hệ với nhau cùng nhau, mà người đó, hoặc bất kỳ ai trong số họ, sẽ không được hưởng tín dụng thuế nếu người đó là chủ sở hữu hưởng lợi của cổ tức được trả. EniChem sẽ không được hưởng tín dụng thuế theo Hiệp ước Ý vào thời điểm đó. Người ta chấp nhận rằng các cổ đông không có liên kết và câu hỏi duy nhất là liệu họ có phải là những người có mối quan hệ với nhau hay không.</w:t>
      </w:r>
    </w:p>
    <w:p>
      <w:pPr>
        <w:spacing w:after="80"/>
      </w:pPr>
      <w:r>
        <w:rPr>
          <w:b w:val="0"/>
          <w:i w:val="0"/>
        </w:rPr>
        <w:t>Điều 10(3)(d)(ii) yêu cầu câu hỏi về việc liệu họ có mối quan hệ với nhau hay không phải được xác định cho mục đích này theo luật nội địa của Vương quốc Anh. Thẩm phán Lightman đã phán quyết rằng theo luật nội địa có liên quan,190 họ có mối quan hệ với nhau.</w:t>
      </w:r>
    </w:p>
    <w:p>
      <w:pPr>
        <w:spacing w:after="80"/>
      </w:pPr>
      <w:r>
        <w:rPr>
          <w:b w:val="0"/>
          <w:i w:val="0"/>
        </w:rPr>
        <w:t>Người nộp thuế tại Phòng Chancery đã lập luận rằng điều bất công mà các quy định này nhắm tới là việc ngăn chặn 'mua bán hiệp ước' (treaty shopping). Điều này sẽ được thực hiện đầy đủ nếu nó chỉ áp dụng cho những người thực sự có mối quan hệ với nhau. Điều đó có nghĩa là không phải chỉ thông qua sự trùng hợp ngẫu nhiên của việc họ cùng nhau thực hiện quyền kiểm soát một công ty. Người ta lập luận rằng sẽ là tùy tiện và bất công nếu từ chối tín dụng thuế cho một công ty chỉ vì các cổ đông của nó, vốn không có mối quan hệ với nhau, và hành động cùng nhau để thực hiện quyền kiểm soát các vấn đề của công ty, lại bị từ chối tín dụng thuế. Do đó, người ta đề xuất rằng trong các trường hợp này, 'mối quan hệ' được dự liệu trong hiệp ước nên được giới hạn ở 'các mối quan hệ thực sự và độc lập'. Do đó, các mối quan hệ chỉ nên đề cập đến các tiểu mục (2)-(6) của s. 839 của Taxes Act 1988 – không phải các yếu tố mở rộng hơn trong tiểu mục (7).</w:t>
      </w:r>
    </w:p>
    <w:p>
      <w:pPr>
        <w:spacing w:after="80"/>
      </w:pPr>
      <w:r>
        <w:rPr>
          <w:b w:val="0"/>
          <w:i w:val="0"/>
        </w:rPr>
        <w:t>Tuy nhiên, Tòa án đã bác bỏ lập luận này trên cơ sở rằng việc dẫn chiếu đến luật nội địa trong art. 10(3)(d) đề cập đến những người có mối quan hệ theo luật của Vương quốc Anh 'cho bất kỳ mục đích nào'. Những từ này yêu cầu áp dụng toàn bộ bài kiểm tra, thay vì một bài kiểm tra hạn chế hơn mà người nộp thuế lập luận.</w:t>
      </w:r>
    </w:p>
    <w:p>
      <w:pPr>
        <w:spacing w:after="80"/>
      </w:pPr>
      <w:r>
        <w:rPr>
          <w:b w:val="0"/>
          <w:i w:val="0"/>
        </w:rPr>
        <w:t xml:space="preserve">Khi kháng cáo lên Tòa phúc thẩm, người nộp thuế lập luận rằng trừ khi và cho đến khi s. 839 được áp dụng cho một số mục đích thuế thực chất phát sinh giữa Inland Revenue và người nộp thuế, định nghĩa trong s.839(7) không thể nằm trong art.10(3)(d)(ii) của hiệp ước. Người ta lập luận rằng phân tích của Thẩm phán Lightman là không chính xác dựa trên 'việc giải thích đúng đắn công ước vốn là một hiệp ước giữa Vương quốc Anh và Vương quốc Hà Lan'. Người ta lập luận rằng các nguyên tắc được nêu trong vụ án </w:t>
      </w:r>
      <w:r>
        <w:rPr>
          <w:b w:val="0"/>
          <w:i/>
        </w:rPr>
        <w:t>Commerzbank</w:t>
      </w:r>
      <w:r>
        <w:rPr>
          <w:b w:val="0"/>
          <w:i w:val="0"/>
        </w:rPr>
        <w:t xml:space="preserve"> nên được áp dụng.</w:t>
      </w:r>
    </w:p>
    <w:p>
      <w:pPr>
        <w:spacing w:after="80"/>
      </w:pPr>
      <w:r>
        <w:rPr>
          <w:b w:val="0"/>
          <w:i w:val="0"/>
        </w:rPr>
        <w:t>189.</w:t>
      </w:r>
      <w:r>
        <w:rPr>
          <w:b w:val="0"/>
          <w:i/>
        </w:rPr>
        <w:t>Steele v European Vinyl Corp (Holdings) BV</w:t>
      </w:r>
      <w:r>
        <w:rPr>
          <w:b w:val="0"/>
          <w:i w:val="0"/>
        </w:rPr>
        <w:t xml:space="preserve"> [1995] BTC 32; [1995] STC 31, Ch. D; [1996] BTC425; [1996] STC 785, CA.190.ICTA 1988, s. 839(7) và 416.</w:t>
      </w:r>
    </w:p>
    <w:p>
      <w:pPr>
        <w:spacing w:after="80"/>
      </w:pPr>
      <w:r>
        <w:rPr>
          <w:b w:val="0"/>
          <w:i w:val="0"/>
        </w:rPr>
        <w:t>523</w:t>
      </w:r>
    </w:p>
    <w:p>
      <w:pPr>
        <w:spacing w:after="80"/>
      </w:pPr>
      <w:r>
        <w:rPr>
          <w:b w:val="0"/>
          <w:i w:val="0"/>
        </w:rPr>
        <w:t>Tuy nhiên, Thẩm phán Morritt lưu ý rằng theo hiệp ước, chỉ cần các cổ đông của công ty Hà Lan 'có thể' được coi là có mối quan hệ theo luật nội địa của Vương quốc Anh là đủ.</w:t>
      </w:r>
    </w:p>
    <w:p>
      <w:pPr>
        <w:spacing w:after="80"/>
      </w:pPr>
      <w:r>
        <w:rPr>
          <w:b w:val="0"/>
          <w:i w:val="0"/>
        </w:rPr>
        <w:t>Do đó, vấn đề thiết yếu là ý nghĩa và mục đích thực sự của các từ bổ sung trong hiệp ước yêu cầu mối quan hệ 'cho bất kỳ mục đích nào'. Ông đã phán quyết rằng việc sử dụng từ 'có thể' kết hợp với 'bất kỳ mục đích nào' đã loại trừ bất kỳ yêu cầu nào rằng phải có một vấn đề thực chất giữa Cơ quan Thuế và người nộp thuế, ngoài việc có sẵn tín dụng thuế cho mục đích mà mối quan hệ phát sinh hoặc có liên quan. Nếu không có vấn đề nào khác, thì s. 839 nói chung nên được áp dụng, và không có cơ sở để ngụ ý một điều kiện rằng tiểu mục (7) nên bị loại trừ.</w:t>
      </w:r>
    </w:p>
    <w:p>
      <w:pPr>
        <w:spacing w:after="80"/>
      </w:pPr>
      <w:r>
        <w:rPr>
          <w:b w:val="0"/>
          <w:i w:val="0"/>
        </w:rPr>
        <w:t>Lập luận thứ hai là các quy định của s. 839 nói chung không thể được dự định áp dụng trong trường hợp không có gợi ý rằng công ty trung gian đã được thành lập với mục đích có được tín dụng thuế mà các thành viên của nó không được hưởng. Thêm vào đó, việc áp dụng điều khoản này sẽ loại bỏ quyền được hưởng tín dụng thuế của tất cả các thành viên, không chỉ của thành viên đó, người mà do một sự kiện lịch sử ngẫu nhiên, không được hưởng nó.</w:t>
      </w:r>
    </w:p>
    <w:p>
      <w:pPr>
        <w:spacing w:after="80"/>
      </w:pPr>
      <w:r>
        <w:rPr>
          <w:b w:val="0"/>
          <w:i w:val="0"/>
        </w:rPr>
        <w:t>Lập luận này cũng bị Tòa phúc thẩm bác bỏ tương tự. Tòa án đã phán quyết rằng yêu cầu là những người được đề cập có thể được coi là có mối quan hệ cho bất kỳ mục đích nào, không phải cho tất cả các mục đích. Bất kỳ mục đích nào sẽ bao gồm một mục đích hạn chế như mục đích được dự liệu bởi tiểu mục (7) qua các từ 'liên quan đến công ty', cũng như các mục đích không giới hạn được dự liệu bởi tiểu mục (1).</w:t>
      </w:r>
    </w:p>
    <w:p>
      <w:pPr>
        <w:spacing w:after="80"/>
      </w:pPr>
      <w:r>
        <w:rPr>
          <w:b w:val="0"/>
          <w:i w:val="0"/>
        </w:rPr>
        <w:t>Thẩm phán Morritt LJ nói rằng những kết luận này không phát sinh từ việc giải thích hiệp ước một cách quá nguyên văn. Ông nói rằng quy định được đề cập là một biện pháp chống tránh thuế được thiết kế để ngăn chặn việc tạo ra một cách nhân tạo quyền được hưởng tín dụng thuế theo luật của Vương quốc Anh. Luật đó có một số quy định liên quan đến kiểm soát, mối quan hệ và liên kết. Ông nói rằng thật là viển vông khi cho rằng người soạn thảo hiệp ước có ý định hạn chế việc áp dụng các quy định đó cho các trường hợp mà chúng đã được áp dụng hoặc giới hạn nó cho những trường hợp không áp dụng.</w:t>
      </w:r>
    </w:p>
    <w:p>
      <w:pPr>
        <w:spacing w:after="80"/>
      </w:pPr>
      <w:r>
        <w:rPr>
          <w:b w:val="0"/>
          <w:i w:val="0"/>
        </w:rPr>
        <w:t>Tòa án chấp nhận rằng thỏa thuận của các cổ đông và việc đưa EVC vào giữa các cổ đông của nó và công ty con tại Vương quốc Anh không phải là một phần của một kế hoạch được thiết kế với mục đích tạo ra quyền được hưởng tín dụng thuế mà nếu không thì sẽ không tồn tại. Việc không có mục đích như vậy không làm cho quy định chống tránh thuế trở nên không thể áp dụng.191</w:t>
      </w:r>
    </w:p>
    <w:p>
      <w:pPr>
        <w:spacing w:after="80"/>
      </w:pPr>
      <w:r>
        <w:rPr>
          <w:b w:val="0"/>
          <w:i w:val="0"/>
        </w:rPr>
        <w:t>Người nộp thuế lập luận rằng ngay cả khi định nghĩa trong tiết 839(7) được áp dụng, thì giới hạn trong đó – rằng các thành viên được coi là có liên hệ "liên quan đến công ty đó" – đã đưa nó ra khỏi phạm vi điều 10(3)(d) của hiệp định. Người ta lập luận rằng yêu cầu trong điều khoản đó của hiệp định là những người được đề cập có thể được coi là có liên hệ vì bất kỳ mục đích nào, chứ không phải vì mọi mục đích. Tuy nhiên, tòa án đã phán quyết rằng "bất kỳ mục đích nào" sẽ bao gồm cả một mục đích hạn chế, chẳng hạn như mục đích được quy định trong tiểu mục 839(7).</w:t>
      </w:r>
    </w:p>
    <w:p>
      <w:pPr>
        <w:spacing w:after="80"/>
      </w:pPr>
      <w:r>
        <w:rPr>
          <w:b w:val="0"/>
          <w:i w:val="0"/>
        </w:rPr>
        <w:t>191. Đáng chú ý là phương tiện liên doanh này là một công ty Hà Lan. Các cổ đông của nó là các công ty Ý, Đức, Thụy Sĩ và Anh. Không có mối liên hệ rõ ràng nào khác với Hà Lan. Thật vậy, trung tâm điều phối hay trụ sở hành chính của nó đặt tại Brussels. Rõ ràng là người ta đã dành một sự quan tâm nhất định đến các khía cạnh hoạch định thuế.</w:t>
      </w:r>
    </w:p>
    <w:p>
      <w:pPr>
        <w:spacing w:after="80"/>
      </w:pPr>
      <w:r>
        <w:rPr>
          <w:b w:val="0"/>
          <w:i w:val="0"/>
        </w:rPr>
        <w:t>524</w:t>
      </w:r>
    </w:p>
    <w:p>
      <w:pPr>
        <w:spacing w:after="80"/>
      </w:pPr>
      <w:r>
        <w:rPr>
          <w:b w:val="0"/>
          <w:i w:val="0"/>
        </w:rPr>
        <w:t>Người nộp thuế cũng lập luận rằng điều khoản của hiệp định nên được giải thích như một điều khoản chống tránh thuế (anti-avoidance provision). Ngoài ra, người nộp thuế lập luận rằng do đó nó không nên được áp dụng với lý do rằng thỏa thuận cổ đông và việc xen vào công ty Hà Lan giữa các thành viên của liên doanh và công ty con tại Anh không phải là một phần của một kế hoạch được thiết kế nhằm mục đích tạo ra quyền được hưởng tín dụng thuế (tax credit) khi mà lẽ ra không hề có quyền đó. Tòa phúc thẩm kết luận rằng điều 10(3)(d) mang tính áp dụng chung và không thể bị giới hạn chỉ trong các trường hợp "tránh thuế". Cách giải thích như vậy sẽ thu hẹp phạm vi áp dụng chung của điều khoản xuống một khu vực nhỏ hơn so với điều mà người soạn thảo hẳn đã hình dung. Phát biểu này, đặc biệt, khẳng định rằng các điều khoản giới hạn quyền lợi (limitation of benefit provisions) chỉ đơn thuần là một phần của văn bản hiệp định và là những điều kiện không thể tách rời phải được thỏa mãn để đủ điều kiện hưởng các quyền lợi theo hiệp định. Không có quy tắc giải thích đặc biệt nào được áp dụng chỉ vì lý do chúng là các điều khoản "chống tránh thuế".</w:t>
      </w:r>
    </w:p>
    <w:p>
      <w:pPr>
        <w:spacing w:after="80"/>
      </w:pPr>
      <w:r>
        <w:rPr>
          <w:b w:val="0"/>
          <w:i w:val="0"/>
        </w:rPr>
        <w:t xml:space="preserve">Điểm chung của các vụ án này là dường như không tồn tại một học thuyết chống mua bán hiệp định (anti-treaty shopping doctrine) chung nào theo luật Anh. Một số lý thuyết về việc áp dụng các hiệp định trong lĩnh vực này đã được cả cơ quan thuế (Revenue) lẫn người nộp thuế tranh luận trong các vụ án này. Tuy nhiên, các tòa án phần lớn dựa vào ý nghĩa rõ ràng của các từ ngữ để đi đến kết luận về việc liệu họ có ủng hộ việc cho phép hưởng quyền lợi theo hiệp định hay không. Trong vụ </w:t>
      </w:r>
      <w:r>
        <w:rPr>
          <w:b w:val="0"/>
          <w:i/>
        </w:rPr>
        <w:t>Euro Vinyls</w:t>
      </w:r>
      <w:r>
        <w:rPr>
          <w:b w:val="0"/>
          <w:i w:val="0"/>
        </w:rPr>
        <w:t xml:space="preserve">, các tòa án tập trung vào việc giải thích một điều khoản giới hạn quyền lợi. Trong vụ </w:t>
      </w:r>
      <w:r>
        <w:rPr>
          <w:b w:val="0"/>
          <w:i/>
        </w:rPr>
        <w:t>Commerzbank</w:t>
      </w:r>
      <w:r>
        <w:rPr>
          <w:b w:val="0"/>
          <w:i w:val="0"/>
        </w:rPr>
        <w:t xml:space="preserve">, họ tập trung vào việc giải thích một điều khoản của hiệp định vốn không bị giới hạn chỉ đối với các cư dân của các quốc gia ký kết. Một điểm chung nữa là các tòa án dựa vào ý nghĩa tự nhiên và thông thường của các từ ngữ. Việc áp dụng một cách tiếp cận theo mục đích (purposive approach) nhiều hơn, như đã được áp dụng trong </w:t>
      </w:r>
      <w:r>
        <w:rPr>
          <w:b w:val="0"/>
          <w:i/>
        </w:rPr>
        <w:t>IRC v Exxon Corporation</w:t>
      </w:r>
      <w:r>
        <w:rPr>
          <w:b w:val="0"/>
          <w:i w:val="0"/>
        </w:rPr>
        <w:t>,192 chẳng hạn, có thể đã đưa ra những kết quả khác.</w:t>
      </w:r>
    </w:p>
    <w:p>
      <w:pPr>
        <w:spacing w:after="80"/>
      </w:pPr>
      <w:r>
        <w:rPr>
          <w:b/>
          <w:i w:val="0"/>
        </w:rPr>
        <w:t>[D]Indofood</w:t>
      </w:r>
    </w:p>
    <w:p>
      <w:pPr>
        <w:spacing w:after="80"/>
      </w:pPr>
      <w:r>
        <w:rPr>
          <w:b w:val="0"/>
          <w:i w:val="0"/>
        </w:rPr>
        <w:t xml:space="preserve">Trong </w:t>
      </w:r>
      <w:r>
        <w:rPr>
          <w:b w:val="0"/>
          <w:i/>
        </w:rPr>
        <w:t>Indofood,</w:t>
      </w:r>
      <w:r>
        <w:rPr>
          <w:b w:val="0"/>
          <w:i w:val="0"/>
        </w:rPr>
        <w:t xml:space="preserve"> câu hỏi về mua bán hiệp định (từ góc nhìn của Indonesia) đã được nêu ra một cách rõ ràng. Tại Tòa phúc thẩm, Ngài Andrew Morritt nhận xét:193</w:t>
      </w:r>
    </w:p>
    <w:p>
      <w:pPr>
        <w:spacing w:after="80"/>
      </w:pPr>
      <w:r>
        <w:rPr>
          <w:b w:val="0"/>
          <w:i w:val="0"/>
        </w:rPr>
        <w:t>Như tôi đã đề cập, vào ngày 24 tháng 5 năm 2004, Cộng hòa Indonesia đã chấm dứt Hiệp định thuế song phương (DTA) với Mauritius, có hiệu lực từ ngày 1 tháng 1 năm 2005. Nước này đã ban hành một tuyên bố dài giải thích những vấn đề mà DTA với Mauritius đã gây ra. Về bản chất, chúng phát sinh từ quyết định của Chính phủ Mauritius vào năm 2001 cho phép những người không cư trú tại Mauritius sử dụng Luật Công ty để thành lập nhiều loại đại lý kinh doanh khác nhau, bao gồm cả các phương tiện có mục đích đặc biệt (special purpose vehicles), và qua đó tạo điều kiện cho: … 'các bên không cư trú tại Mauritius thực hiện việc mua bán hiệp định và lạm dụng thuế theo hiệp định bằng cách khai thác Hiệp định Tránh đánh thuế hai lần để trốn thuế tại quốc gia có thuế suất cao hơn (tức Indonesia)'.</w:t>
      </w:r>
    </w:p>
    <w:p>
      <w:pPr>
        <w:spacing w:after="80"/>
      </w:pPr>
      <w:r>
        <w:rPr>
          <w:b w:val="0"/>
          <w:i w:val="0"/>
        </w:rPr>
        <w:t>Nếu không có lợi ích từ Điều 11.2 của DTA với Mauritius, mức thuế khấu trừ mà Bên Bảo lãnh gốc (Parent Guarantor) phải chịu đối với khoản lãi phải trả cho Bên phát hành (Issuer) theo Hợp đồng Cho vay sẽ tăng lên mức thuế suất tiêu chuẩn là 20% kể từ ngày 1 tháng 1 năm 2005.</w:t>
      </w:r>
    </w:p>
    <w:p>
      <w:pPr>
        <w:spacing w:after="80"/>
      </w:pPr>
      <w:r>
        <w:rPr>
          <w:b w:val="0"/>
          <w:i w:val="0"/>
        </w:rPr>
        <w:t xml:space="preserve">192. </w:t>
      </w:r>
      <w:r>
        <w:rPr>
          <w:b w:val="0"/>
          <w:i/>
        </w:rPr>
        <w:t>IRC v Exxon Corporation</w:t>
      </w:r>
      <w:r>
        <w:rPr>
          <w:b w:val="0"/>
          <w:i w:val="0"/>
        </w:rPr>
        <w:t xml:space="preserve"> [1982] BTC 182; [1982] STC 356. Xem Chương 4, §4.04. 193. Tại đoạn 15.</w:t>
      </w:r>
    </w:p>
    <w:p>
      <w:pPr>
        <w:spacing w:after="80"/>
      </w:pPr>
      <w:r>
        <w:rPr>
          <w:b w:val="0"/>
          <w:i w:val="0"/>
        </w:rPr>
        <w:t>525</w:t>
      </w:r>
    </w:p>
    <w:p>
      <w:pPr>
        <w:spacing w:after="80"/>
      </w:pPr>
      <w:r>
        <w:rPr>
          <w:b w:val="0"/>
          <w:i w:val="0"/>
        </w:rPr>
        <w:t xml:space="preserve">Khi xem xét luật Indonesia về vấn đề này, ông lưu ý rằng 'không có nguyên tắc độc lập nào của luật Indonesia đòi hỏi một lợi ích dường như có được từ một kế hoạch tránh thuế phải bị từ chối đối với một người tham gia vào kế hoạch đó, mặc dù sự tồn tại của một kế hoạch tránh thuế có thể có liên quan đến các vấn đề giải thích lập pháp'.194 Để xác định liệu công ty được xen vào có phải là chủ sở hữu hưởng lợi (beneficial owner) hay không, cần phải kiểm tra xem liệu cấu trúc pháp lý, thương mại và thực tiễn đằng sau các trái phiếu cho vay (loan notes) có nhất quán với khái niệm rằng nó có thể hưởng lợi từ khoản thu nhập đó hay không.195 Ông phán quyết rằng nó không nhất quán và kết luận rằng kết quả này phù hợp với mục đích và đối tượng rõ ràng của các hiệp định. Trong khi tòa án Anh được yêu cầu quyết định xem một tòa án Indonesia sẽ làm gì trong hoàn cảnh đó, cách tiếp cận của Ngài Andrew Morritt phản ánh cách tiếp cận của Thượng viện (House of Lords) trong vụ </w:t>
      </w:r>
      <w:r>
        <w:rPr>
          <w:b w:val="0"/>
          <w:i/>
        </w:rPr>
        <w:t>Barclays Mercantile v Mawson</w:t>
      </w:r>
      <w:r>
        <w:rPr>
          <w:b w:val="0"/>
          <w:i w:val="0"/>
        </w:rPr>
        <w:t>196 liên quan đến luật trong nước.</w:t>
      </w:r>
    </w:p>
    <w:p>
      <w:pPr>
        <w:spacing w:after="80"/>
      </w:pPr>
      <w:r>
        <w:rPr>
          <w:b w:val="0"/>
          <w:i/>
        </w:rPr>
        <w:t>HMRC v Smallwood</w:t>
      </w:r>
      <w:r>
        <w:rPr>
          <w:b w:val="0"/>
          <w:i w:val="0"/>
        </w:rPr>
        <w:t>197 liên quan đến kế hoạch tránh thuế 'Vòng quanh Thế giới' (Round the World), theo đó, một quỹ tín thác không cư trú có lợi nhuận trên tài sản của mình sẽ chỉ định các ủy thác viên (trustees) người Mauritius trong một phần của năm thuế và thực hiện các khoản lợi nhuận trong khoảng thời gian quỹ tín thác cư trú tại Mauritius. Các ủy thác viên cư trú tại Anh được chỉ định trước khi kết thúc năm thuế, sau đó họ phân phối khoản lợi nhuận cho các thụ hưởng (beneficiaries). TCGA 1992, tiết 87, quy kết lợi nhuận của các quỹ tín thác không cư trú cho các thụ hưởng, không áp dụng nếu các ủy thác viên cư trú tại Anh trong bất kỳ phần nào của năm. Lợi nhuận sẽ bị đánh thuế đối với người lập quỹ (settlor) theo tiết 77(1)(c), nhưng điều 13(4) của Hiệp định ngăn Anh đánh thuế các khoản lợi nhuận này. Patten LJ mô tả lập luận của HMRC dựa trên mục đích của hiệp định như sau:</w:t>
      </w:r>
    </w:p>
    <w:p>
      <w:pPr>
        <w:spacing w:after="80"/>
      </w:pPr>
      <w:r>
        <w:rPr>
          <w:b w:val="0"/>
          <w:i w:val="0"/>
        </w:rPr>
        <w:t>Cả trong kháng cáo này lẫn trước thẩm phán, ông Brennan QC đại diện cho HMRC đã từ chối ủng hộ lập luận của các Ủy viên Đặc biệt (Special Commissioners), ít nhất là với tư cách là cách tiếp cận chính của ông đối với vấn đề trách nhiệm thuế. Ông lập luận rằng mục đích của DTA là để giảm nhẹ việc đánh thuế hai lần. Mục đích của nó đặc biệt không phải là tạo điều kiện cho việc tránh thuế ở cả hai khu vực tài phán. Điều này được thể hiện rõ qua phần mở đầu (pre-amble) của Văn bản Quy phạm pháp luật của Anh (UK Statutory Instrument), trong đó đề cập đến mục đích của DTA là tránh đánh thuế hai lần và ngăn ngừa trốn thuế (fiscal evasion) đối với các loại thuế đánh trên lợi nhuận vốn (capital gains). Do đó, nó cần được giải thích theo mục đích với mục tiêu chính đó trong đầu. Ông lập luận rằng kết quả mà các ủy thác viên mong muốn (và được thẩm phán xác nhận) không nhất quán với điều này.198</w:t>
      </w:r>
    </w:p>
    <w:p>
      <w:pPr>
        <w:spacing w:after="80"/>
      </w:pPr>
      <w:r>
        <w:rPr>
          <w:b w:val="0"/>
          <w:i w:val="0"/>
        </w:rPr>
        <w:t>Patten LJ không đặc biệt dựa vào lập luận này, nhưng cách phân tích không thỏa đáng về mặt pháp lý đối với các điều khoản của hiệp định199 chỉ có thể được giải thích bằng sự miễn cưỡng chấp nhận một kế hoạch như vậy. Theo cùng một hướng, quan điểm của Hughes LJ về nơi quản lý hiệu quả (place of effective management) cũng chỉ có thể được giải thích theo cùng một cách khi ông nói:</w:t>
      </w:r>
    </w:p>
    <w:p>
      <w:pPr>
        <w:spacing w:after="80"/>
      </w:pPr>
      <w:r>
        <w:rPr>
          <w:b w:val="0"/>
          <w:i w:val="0"/>
        </w:rPr>
        <w:t>Kế hoạch này được ông Smallwood thiết kế tại Vương quốc Anh theo lời khuyên của KPMG Bristol. Các bước được thực hiện trong kế hoạch đã được dàn dựng một cách cẩn thận</w:t>
      </w:r>
    </w:p>
    <w:p>
      <w:pPr>
        <w:spacing w:after="80"/>
      </w:pPr>
      <w:r>
        <w:rPr>
          <w:b w:val="0"/>
          <w:i w:val="0"/>
        </w:rPr>
        <w:t>194. Tại đoạn 24.195. Tại đoạn 43.196. Xem §17.02.197.</w:t>
      </w:r>
      <w:r>
        <w:rPr>
          <w:b w:val="0"/>
          <w:i/>
        </w:rPr>
        <w:t>RevenueandCustomsCommissionersvSmallwood&amp;Anor</w:t>
      </w:r>
      <w:r>
        <w:rPr>
          <w:b w:val="0"/>
          <w:i w:val="0"/>
        </w:rPr>
        <w:t>[2010]STC2045,[2010]BTC637[2010] EWCA Civ 778.198. Tại đoạn 23.199. Tại các đoạn 30-47.</w:t>
      </w:r>
    </w:p>
    <w:p>
      <w:pPr>
        <w:spacing w:after="80"/>
      </w:pPr>
      <w:r>
        <w:rPr>
          <w:b w:val="0"/>
          <w:i w:val="0"/>
        </w:rPr>
        <w:t>526</w:t>
      </w:r>
    </w:p>
    <w:p>
      <w:pPr>
        <w:spacing w:after="80"/>
      </w:pPr>
      <w:r>
        <w:rPr>
          <w:b w:val="0"/>
          <w:i w:val="0"/>
        </w:rPr>
        <w:t>xuyên suốt từ Vương quốc Anh, cả bởi KPMG và bởi Quilter. Và việc quỹ tín thác phải được xuất khẩu sang Mauritius chỉ trong một thời gian tạm thời ngắn rồi sau đó được đưa trở lại Vương quốc Anh trong cùng năm tài chính là một phần không thể tách rời của kế hoạch, và điều đó đã xảy ra. Ông Smallwood vẫn ở lại Vương quốc Anh suốt thời gian đó. Có một kế hoạch quản lý quỹ tín thác này vượt xa công việc quản lý hàng ngày do các người được ủy thác đương nhiệm thực hiện, và quyền kiểm soát nó nằm ở Vương quốc Anh.200</w:t>
      </w:r>
    </w:p>
    <w:p>
      <w:pPr>
        <w:spacing w:after="80"/>
      </w:pPr>
      <w:r>
        <w:rPr>
          <w:b w:val="0"/>
          <w:i w:val="0"/>
        </w:rPr>
        <w:t>Một lập luận tương tự về mục đích của Hiệp ước Hoa Kỳ - Vương quốc Anh (1975) đã được đưa ra trong</w:t>
      </w:r>
      <w:r>
        <w:rPr>
          <w:b w:val="0"/>
          <w:i/>
        </w:rPr>
        <w:t>BayfineUKvHMRC</w:t>
      </w:r>
      <w:r>
        <w:rPr>
          <w:b w:val="0"/>
          <w:i w:val="0"/>
        </w:rPr>
        <w:t>.201Ở đó, các thỏa thuận phức tạp liên quan đến hợp đồng kỳ hạn, được ký kết bởi các công ty trong tập đoàn cư trú tại Vương quốc Anh riêng biệt mà cuối cùng thuộc sở hữu của Morgan Stanley, một ngân hàng Hoa Kỳ, được thiết kế sao cho, tùy thuộc vào các sự kiện nhất định xảy ra, một trong hai công ty sẽ thu được lợi nhuận lớn, và công ty kia sẽ chịu lỗ lớn, nhưng ban đầu không biết công ty nào sẽ thu lợi nhuận và công ty nào sẽ chịu lỗ. Công ty phát sinh lợi nhuận được coi là minh bạch cho mục đích thuế Hoa Kỳ, vì vậy lợi nhuận được coi là của công ty mẹ Hoa Kỳ cho mục đích thuế Hoa Kỳ. Người ta thấy rằng thỏa thuận này không có mục đích thương mại nào khác ngoài việc tạo ra lợi nhuận và lỗ khớp nhau. Các thỏa thuận được thực hiện nhằm mục đích tận dụng sự đối xử khác nhau đối với lợi nhuận trong luật thuế Hoa Kỳ và Vương quốc Anh.202Cụ thể, chúng được thiết kế để đảm bảo khoản giảm trừ tín dụng thuế ở cả Hoa Kỳ và Vương quốc Anh. Sau khi trích dẫn ba nguyên tắc đầu tiên về giải thích hiệp ước trong</w:t>
      </w:r>
      <w:r>
        <w:rPr>
          <w:b w:val="0"/>
          <w:i/>
        </w:rPr>
        <w:t>Commerzbank</w:t>
      </w:r>
      <w:r>
        <w:rPr>
          <w:b w:val="0"/>
          <w:i w:val="0"/>
        </w:rPr>
        <w:t>203</w:t>
      </w:r>
    </w:p>
    <w:p>
      <w:pPr>
        <w:spacing w:after="80"/>
      </w:pPr>
      <w:r>
        <w:rPr>
          <w:b w:val="0"/>
          <w:i w:val="0"/>
        </w:rPr>
        <w:t>và phần mở đầu của hiệp ước, Thẩm phán Lady Justice Arden kết luận rằng các mục đích chính của hiệp ước là, một mặt, loại bỏ việc đánh thuế hai lần và, mặt khác, ngăn chặn việc trốn thuế.204Một lần nữa lập luận này không thỏa đáng205nhưng rõ ràng phản ánh sự không khoan nhượng của tòa án đối với những kế hoạch như vậy.</w:t>
      </w:r>
    </w:p>
    <w:p>
      <w:pPr>
        <w:spacing w:after="80"/>
      </w:pPr>
      <w:r>
        <w:rPr>
          <w:b w:val="0"/>
          <w:i w:val="0"/>
        </w:rPr>
        <w:t>HMRC trong quá khứ đã đưa ra một số dấu hiệu rằng họ sẽ tìm cách áp dụng học thuyết</w:t>
      </w:r>
      <w:r>
        <w:rPr>
          <w:b w:val="0"/>
          <w:i/>
        </w:rPr>
        <w:t xml:space="preserve"> Ramsay</w:t>
      </w:r>
      <w:r>
        <w:rPr>
          <w:b w:val="0"/>
          <w:i w:val="0"/>
        </w:rPr>
        <w:t>đối với việc mua sắm hiệp ước.206Có lẽ lời cuối cùng nên là của Lord Hoffman khi ông nói trong</w:t>
      </w:r>
      <w:r>
        <w:rPr>
          <w:b w:val="0"/>
          <w:i/>
        </w:rPr>
        <w:t xml:space="preserve"> MacNiven v Westmoreland Investments Ltd</w:t>
      </w:r>
      <w:r>
        <w:rPr>
          <w:b w:val="0"/>
          <w:i w:val="0"/>
        </w:rPr>
        <w:t>207liên quan đến luật trong nước:</w:t>
      </w:r>
    </w:p>
    <w:p>
      <w:pPr>
        <w:spacing w:after="80"/>
      </w:pPr>
      <w:r>
        <w:rPr>
          <w:b w:val="0"/>
          <w:i w:val="0"/>
        </w:rPr>
        <w:t>Suy cho cùng chỉ có một nguyên tắc giải thích, đó là, xác định ý của Nghị viện khi sử dụng ngôn ngữ của đạo luật. Tất cả các 'nguyên tắc giải thích' khác không thể hơn là những hướng dẫn mà các thẩm phán trong quá khứ đã đưa ra, một số hữu ích và sâu sắc hơn những cái khác, để hỗ trợ trong nhiệm vụ giải thích.</w:t>
      </w:r>
    </w:p>
    <w:p>
      <w:pPr>
        <w:spacing w:after="80"/>
      </w:pPr>
      <w:r>
        <w:rPr>
          <w:b w:val="0"/>
          <w:i w:val="0"/>
        </w:rPr>
        <w:t>200. Tại đoạn 70.201.</w:t>
      </w:r>
      <w:r>
        <w:rPr>
          <w:b w:val="0"/>
          <w:i/>
        </w:rPr>
        <w:t>BayfineUKvRevenueandCustomsCommissioners</w:t>
      </w:r>
      <w:r>
        <w:rPr>
          <w:b w:val="0"/>
          <w:i w:val="0"/>
        </w:rPr>
        <w:t>[2011]STC717,[2011]BTC242[2011]EWCA Civ 304.202. Tại đoạn 5.203. Xem Chương 4, §4.03.204. Tại các đoạn 14-17.205. Xem Chương 4, §4.04.206.</w:t>
      </w:r>
      <w:r>
        <w:rPr>
          <w:b w:val="0"/>
          <w:i/>
        </w:rPr>
        <w:t>RamsayvIRC</w:t>
      </w:r>
      <w:r>
        <w:rPr>
          <w:b w:val="0"/>
          <w:i w:val="0"/>
        </w:rPr>
        <w:t>(1979-1983)54TC10;[1982]AC300,HL. Xem HMRC, International Tax Handbook, ITH708.207.</w:t>
      </w:r>
      <w:r>
        <w:rPr>
          <w:b w:val="0"/>
          <w:i/>
        </w:rPr>
        <w:t>MacNiven v Westmoreland Investments Ltd</w:t>
      </w:r>
      <w:r>
        <w:rPr>
          <w:b w:val="0"/>
          <w:i w:val="0"/>
        </w:rPr>
        <w:t xml:space="preserve"> [2001] UKHL 6, [2001] BTC 44; [2001] STC 237, HL, tại đoạn 29.</w:t>
      </w:r>
    </w:p>
    <w:p>
      <w:pPr>
        <w:spacing w:after="80"/>
      </w:pPr>
      <w:r>
        <w:rPr>
          <w:b w:val="0"/>
          <w:i w:val="0"/>
        </w:rPr>
        <w:t>527</w:t>
      </w:r>
    </w:p>
    <w:p>
      <w:pPr>
        <w:spacing w:before="240" w:after="80"/>
      </w:pPr>
      <w:r>
        <w:rPr>
          <w:b/>
          <w:sz w:val="32"/>
        </w:rPr>
        <w:t>CHƯƠNG 18 Công ước đa phương để thực hiện các biện pháp liên quan đến hiệp ước thuế nhằm ngăn chặn xói mòn cơ sở thuế và chuyển dịch lợi nhuận</w:t>
      </w:r>
    </w:p>
    <w:p>
      <w:pPr>
        <w:spacing w:after="80"/>
      </w:pPr>
      <w:r>
        <w:rPr>
          <w:b/>
          <w:i w:val="0"/>
        </w:rPr>
        <w:t>§18.01 GIỚI THIỆU</w:t>
      </w:r>
    </w:p>
    <w:p>
      <w:pPr>
        <w:spacing w:after="80"/>
      </w:pPr>
      <w:r>
        <w:rPr>
          <w:b w:val="0"/>
          <w:i w:val="0"/>
        </w:rPr>
        <w:t>Vào tháng 11 năm 2012, Thủ tướng Tài chính Vương quốc Anh, cùng với các bộ trưởng tài chính của Đức và Pháp, đã kêu gọi hành động phối hợp để tăng cường các tiêu chuẩn thuế quốc tế sau mối lo ngại của công chúng rằng các doanh nghiệp đa quốc gia đang thực hiện kế hoạch thuế nhằm chuyển lợi nhuận ra khỏi cả các nền kinh tế phát triển và đang phát triển đến các khu vực tài phán nơi chúng được hưởng hiệp ước thuế hấp dẫn, dẫn đến xói mòn cơ sở thuế của các nước phát triển và đang phát triển. Điều này dẫn đến việc OECD công bố vào tháng 2 năm 2013 một nghiên cứu ngắn về Xói mòn cơ sở thuế và chuyển dịch lợi nhuận (BEPS) phát sinh từ các mô hình kinh doanh toàn cầu đã xuất hiện do sự di chuyển tự do của vốn và lao động, giảm rào cản thương mại, phát triển công nghệ và viễn thông, cũng như cạnh tranh thuế giữa các quốc gia.1Nghiên cứu nhận xét rằng các nguyên tắc cơ bản về đánh thuế hoạt động xuyên biên giới đã phát triển qua thế kỷ hai mươi2đã tạo ra khả năng chuyển lợi nhuận trong các doanh nghiệp đa quốc gia theo cách đồng thời làm giảm cơ sở thuế của nhiều khu vực tài phán. Những nguyên tắc này bao gồm các yếu tố cốt lõi của các hiệp ước đánh thuế hai lần.</w:t>
      </w:r>
    </w:p>
    <w:p>
      <w:pPr>
        <w:spacing w:after="80"/>
      </w:pPr>
      <w:r>
        <w:rPr>
          <w:b w:val="0"/>
          <w:i w:val="0"/>
        </w:rPr>
        <w:t>Một Kế hoạch hành động để chống lại BEPS đã sớm được đưa ra,3đề ra mười lăm lĩnh vực mà OECD coi là cần thay đổi cơ bản để ngăn chặn việc đánh thuế thấp hoặc không đánh thuế đối với lợi nhuận của các doanh nghiệp đa quốc gia đã áp dụng các chiến lược thuế được xác định trong nghiên cứu. Kế hoạch hành động BEPS kêu gọi các tiêu chuẩn mới để đảm bảo tính quốc tế</w:t>
      </w:r>
    </w:p>
    <w:p>
      <w:pPr>
        <w:spacing w:after="80"/>
      </w:pPr>
      <w:r>
        <w:rPr>
          <w:b w:val="0"/>
          <w:i w:val="0"/>
        </w:rPr>
        <w:t>1.OECD (2013), Addressing Base Erosion and Profit Shifting, OECD Publishing http://dx.doi.org/10.1787/9789264192744-en (‘OECD: Addressing BEPS’).2.OECD(2013),ActionPlanonBaseErosionandProfitShifting,OECDPublishinghttp://dx.doi.org/10.1787/9789264202719-en (‘BEPS Action Plan’).3.BEPS Action Plan, p. 15.</w:t>
      </w:r>
    </w:p>
    <w:p>
      <w:pPr>
        <w:spacing w:after="80"/>
      </w:pPr>
      <w:r>
        <w:rPr>
          <w:b w:val="0"/>
          <w:i w:val="0"/>
        </w:rPr>
        <w:t>529</w:t>
      </w:r>
    </w:p>
    <w:p>
      <w:pPr>
        <w:spacing w:after="80"/>
      </w:pPr>
      <w:r>
        <w:rPr>
          <w:b w:val="0"/>
          <w:i w:val="0"/>
        </w:rPr>
        <w:t>sự gắn kết của các hệ thống thuế thu nhập doanh nghiệp và sự điều chỉnh lại việc đánh thuế và bản chất liên quan để bắt kịp với các mô hình kinh doanh đang thay đổi và phát triển công nghệ.</w:t>
      </w:r>
    </w:p>
    <w:p>
      <w:pPr>
        <w:spacing w:after="80"/>
      </w:pPr>
      <w:r>
        <w:rPr>
          <w:b w:val="0"/>
          <w:i w:val="0"/>
        </w:rPr>
        <w:t>Several BEPS Actions đã kêu gọi sửa đổi các hiệp định thuế: Action 2 (Vô hiệu hóa các tác động của các thỏa thuận lai ghép),4 Action 6 (Ngăn chặn lạm dụng hiệp định),5</w:t>
      </w:r>
    </w:p>
    <w:p>
      <w:pPr>
        <w:spacing w:after="80"/>
      </w:pPr>
      <w:r>
        <w:rPr>
          <w:b w:val="0"/>
          <w:i w:val="0"/>
        </w:rPr>
        <w:t>Action 7 (Ngăn chặn việc tránh né một cách nhân tạo tư cách cơ sở thường trú (permanent establishment - PE))6 và Action 14 (Làm cho các cơ chế giải quyết tranh chấp hiệu quả hơn).7 Action 15 (Phát triển một công cụ đa phương)8 đã kêu gọi phát triển một công cụ đa phương được thiết kế để cho phép các quốc gia muốn làm như vậy có thể nhanh chóng sửa đổi các hiệp định thuế song phương, nhằm mang lại hiệu lực pháp lý cho các biện pháp BEPS liên quan đến hiệp định. Người ta lập luận rằng số lượng lớn các hiệp định đang có hiệu lực có thể khiến việc đàm phán lại từng hiệp định song phương để thực hiện các đề xuất BEPS trở nên rất dài dòng.</w:t>
      </w:r>
    </w:p>
    <w:p>
      <w:pPr>
        <w:spacing w:after="80"/>
      </w:pPr>
      <w:r>
        <w:rPr>
          <w:b w:val="0"/>
          <w:i w:val="0"/>
        </w:rPr>
        <w:t xml:space="preserve">Công ước Đa phương để Thực hiện các Biện pháp Liên quan đến Hiệp định Thuế nhằm Ngăn chặn Xói mòn Cơ sở Thuế và Chuyển dịch Lợi nhuận (Multilateral Convention to Implement Tax Treaty Related Measures to Prevent Base Erosion and Profit Shifting - MLI) được phát triển bởi một Nhóm </w:t>
      </w:r>
      <w:r>
        <w:rPr>
          <w:b w:val="0"/>
          <w:i/>
        </w:rPr>
        <w:t>ad hoc</w:t>
      </w:r>
      <w:r>
        <w:rPr>
          <w:b w:val="0"/>
          <w:i w:val="0"/>
        </w:rPr>
        <w:t xml:space="preserve"> được các quốc gia tham gia dự án phê duyệt. Công ước được mở để ký vào ngày 31 tháng 12 năm 2016 và được ký vào ngày 7 tháng 6 năm 2017 bởi sáu mươi tám quốc gia, bao gồm Ireland9 và Vương quốc Anh.10 Công ước Đa phương BEPS mở để các quốc gia cũng như 'các khu vực tài phán hoặc lãnh thổ' là thành viên của một hiệp định thuế hai lần 'và mà một quốc gia (là thành viên của Công ước Đa phương BEPS) chịu trách nhiệm về các quan hệ quốc tế của họ' có thể ký.11 Trong bối cảnh của Vương quốc Anh, ví dụ, điều này có nghĩa là các Lãnh thổ Phụ thuộc Vương miện và các Lãnh thổ Hải ngoại của Anh12 cũng có thể là thành viên một khi Vương quốc Anh là thành viên. Vương quốc Anh, Guernsey, Jersey và Đảo Man nằm trong số các bên ký kết ban đầu.</w:t>
      </w:r>
    </w:p>
    <w:p>
      <w:pPr>
        <w:spacing w:after="80"/>
      </w:pPr>
      <w:r>
        <w:rPr>
          <w:b w:val="0"/>
          <w:i w:val="0"/>
        </w:rPr>
        <w:t>Nếu MLI được các bên ký kết ban đầu phê chuẩn, hơn 1.100 hiệp định song phương có khả năng sẽ được sửa đổi để phù hợp với những thay đổi được đề xuất trong các biện pháp BEPS liên quan đến hiệp định. Điều này sẽ dẫn đến những thay đổi đối với ít nhất mười điều khoản của các hiệp định song phương theo Mô hình OECD, và ít nhất một điều khoản mới, cũng như những thay đổi để bao gồm một lời nói đầu. Các quy tắc được nêu trong MLI được mô phỏng theo những thay đổi được đưa vào Mô hình OECD 2017. Tuy nhiên, từ ngữ không giống hệt nhau vì MLI không chèn hoặc thay thế các điều khoản trong các hiệp định hiện có mà áp dụng song song với chúng.</w:t>
      </w:r>
    </w:p>
    <w:p>
      <w:pPr>
        <w:spacing w:after="80"/>
      </w:pPr>
      <w:r>
        <w:rPr>
          <w:b w:val="0"/>
          <w:i w:val="0"/>
        </w:rPr>
        <w:t>Hiệp định đa phương phức tạp này được quản lý bởi OECD. Tổng Thư ký của OECD được chỉ định làm Cơ quan Lưu chiểu.13 Tất cả các thông báo của các bên ký kết phải</w:t>
      </w:r>
    </w:p>
    <w:p>
      <w:pPr>
        <w:spacing w:after="80"/>
      </w:pPr>
      <w:r>
        <w:rPr>
          <w:b w:val="0"/>
          <w:i w:val="0"/>
        </w:rPr>
        <w:t>4. BEPS Action Plan, tr. 19. 5. BEPS Action Plan, tr. 19. 6. BEPS Action Plan, tr. 23. 7. BEPS Action Plan, tr. 24. 8. Điều 2(1)(a)(B) và 2(2). 9. Ireland đã nộp văn kiện phê chuẩn của mình vào ngày 29 tháng 1 năm 2019. TCA 1997, s. 826(1)(E) và Sch. 24A Part 5 đã được chèn bởi FA 2017, s. 80(1) để đặc biệt cho phép MLI sửa đổi các hiệp định hiện có. MLI được đưa vào hiệu lực trong luật nội địa Ireland bởi The Multilateral Convention to Implement Tax Treaty Related Measures Order 2018 (SI 440/2018). 10. Vương quốc Anh đã nộp văn kiện phê chuẩn của mình vào ngày 29 tháng 6 năm 2018. TIOPA 2010, s. 2A đã được chèn bởi FA 2018 s. 32(1) để nói chung cho phép các hiệp định sửa đổi 'hiệu lực' của các hiệp định hiện có. MLI được đưa vào hiệu lực trong luật nội địa Vương quốc Anh bởi Double Taxation Relief (Base Erosion and Profit Shifting) Order 2018 (SI 2018/630). 11. Xem Chương 2, §2.01. 12. Điều 39(1). 13. Điều 39(2).</w:t>
      </w:r>
    </w:p>
    <w:p>
      <w:pPr>
        <w:spacing w:after="80"/>
      </w:pPr>
      <w:r>
        <w:rPr>
          <w:b w:val="0"/>
          <w:i w:val="0"/>
        </w:rPr>
        <w:t>530</w:t>
      </w:r>
    </w:p>
    <w:p>
      <w:pPr>
        <w:spacing w:after="80"/>
      </w:pPr>
      <w:r>
        <w:rPr>
          <w:b w:val="0"/>
          <w:i w:val="0"/>
        </w:rPr>
        <w:t>được gửi đến Cơ quan Lưu chiểu, người phải thông báo cho tất cả các bên ký kết về việc ký kết hoặc nộp văn kiện phê chuẩn của bất kỳ quốc gia nào, cũng như bất kỳ bảo lưu hoặc rút khỏi Công ước.14 Cơ quan Lưu chiểu cũng được yêu cầu duy trì các danh sách công khai về các Hiệp định Thuế được Bảo hiểm và về các thông báo và bảo lưu của tất cả các bên. Để xác định ai đã đồng ý điều gì với ai, OECD đã đặt hàng phần mềm để xác định tính tương thích giữa các quan điểm của các bên ký kết và xác định các sửa đổi được thực hiện bởi Công ước Đa phương BEPS đối với từng Hiệp định Thuế được Bảo hiểm.15</w:t>
      </w:r>
    </w:p>
    <w:p>
      <w:pPr>
        <w:spacing w:after="80"/>
      </w:pPr>
      <w:r>
        <w:rPr>
          <w:b w:val="0"/>
          <w:i w:val="0"/>
        </w:rPr>
        <w:t>Công ước Đa phương BEPS sửa đổi 'Các Hiệp định Thuế được Bảo hiểm'.16 Một 'Hiệp định Thuế được Bảo hiểm' là một hiệp định thuế hai lần đang có hiệu lực giữa hai hoặc nhiều bên đã được thông báo như vậy cho Cơ quan Lưu chiểu.17 Không có số lượng tối thiểu các Hiệp định Thuế được Bảo hiểm cần được thông báo tại thời điểm ký kết hoặc phê chuẩn và các bên ký kết có thể thêm các hiệp định thuế hai lần vào danh sách Các Hiệp định Thuế được Bảo hiểm của họ bất cứ lúc nào.18</w:t>
      </w:r>
    </w:p>
    <w:p>
      <w:pPr>
        <w:spacing w:after="80"/>
      </w:pPr>
      <w:r>
        <w:rPr>
          <w:b/>
          <w:i w:val="0"/>
        </w:rPr>
        <w:t>§18.02 NGĂN CHẶN LẠM DỤNG HIỆP ĐỊNH: TIÊU CHUẨN TỐI THIỂU</w:t>
      </w:r>
    </w:p>
    <w:p>
      <w:pPr>
        <w:spacing w:after="80"/>
      </w:pPr>
      <w:r>
        <w:rPr>
          <w:b w:val="0"/>
          <w:i w:val="0"/>
        </w:rPr>
        <w:t>Nền tảng của các hành động liên quan đến hiệp định là mối lo ngại rằng các hiệp định song phương nhằm ngăn chặn đánh thuế hai lần không ngăn chặn được việc không đánh thuế hai lần phát sinh từ sự tương tác giữa nhiều hơn hai quốc gia, đặc biệt là sự tham gia của các quốc gia thứ ba trong khuôn khổ song phương.19</w:t>
      </w:r>
    </w:p>
    <w:p>
      <w:pPr>
        <w:spacing w:after="80"/>
      </w:pPr>
      <w:r>
        <w:rPr>
          <w:b w:val="0"/>
          <w:i w:val="0"/>
        </w:rPr>
        <w:t>Tất cả các bên ký kết MLI được yêu cầu thông qua hai điều khoản tạo thành một tiêu chuẩn tối thiểu để bảo vệ chống lại việc lạm dụng các hiệp định thuế theo BEPS Action 6.20 Điều 6 của MLI yêu cầu thông qua một lời nói đầu cho mỗi Hiệp định Thuế được Bảo hiểm nêu rõ mục đích của hiệp định, và điều 7 yêu cầu thông qua một quy tắc chống lạm dụng chung hoặc một điều khoản hạn chế quyền lợi (limitation on benefits - LOB) để hạn chế việc mua bán hiệp định.</w:t>
      </w:r>
    </w:p>
    <w:p>
      <w:pPr>
        <w:spacing w:after="80"/>
      </w:pPr>
      <w:r>
        <w:rPr>
          <w:b/>
          <w:i w:val="0"/>
        </w:rPr>
        <w:t>[A] Lời nói đầu</w:t>
      </w:r>
    </w:p>
    <w:p>
      <w:pPr>
        <w:spacing w:after="80"/>
      </w:pPr>
      <w:r>
        <w:rPr>
          <w:b w:val="0"/>
          <w:i w:val="0"/>
        </w:rPr>
        <w:t>Để tuyên bố rõ ràng rằng các hiệp định thuế không nhằm mục đích được sử dụng để tạo ra việc không đánh thuế hai lần như yêu cầu của BEPS Action 6, Báo cáo Cuối cùng, điều 6(1) sửa đổi Các Hiệp định Thuế được Bảo hiểm để bao gồm những điều sau đây như một lời nói đầu.</w:t>
      </w:r>
    </w:p>
    <w:p>
      <w:pPr>
        <w:spacing w:after="80"/>
      </w:pPr>
      <w:r>
        <w:rPr>
          <w:b w:val="0"/>
          <w:i w:val="0"/>
        </w:rPr>
        <w:t>Với ý định loại bỏ việc đánh thuế hai lần đối với các loại thuế được bảo hiểm bởi hiệp định này mà không tạo ra cơ hội cho việc không đánh thuế hoặc giảm thuế</w:t>
      </w:r>
    </w:p>
    <w:p>
      <w:pPr>
        <w:spacing w:after="80"/>
      </w:pPr>
      <w:r>
        <w:rPr>
          <w:b w:val="0"/>
          <w:i w:val="0"/>
        </w:rPr>
        <w:t>14. Xem trang web OECD http://www.oecd.org/ctp/treaties/mli-matching-database.htm. 15. Điều 1. 16. Điều 2. 17. Điều 30(5). 18. OECD (2015), Preventing the Granting of Treaty Benefits in Inappropriate Circumstances, Action 6 – 2015 Final Report, OECD/G20 Base Erosion and Profit Shifting Project ('BEPS Action 6, Final Report'), Tóm tắt Điều hành. 19. BEPS Action 6, Final Report, đoạn 5. 20. Điều 6(2).</w:t>
      </w:r>
    </w:p>
    <w:p>
      <w:pPr>
        <w:spacing w:after="80"/>
      </w:pPr>
      <w:r>
        <w:rPr>
          <w:b w:val="0"/>
          <w:i w:val="0"/>
        </w:rPr>
        <w:t>531</w:t>
      </w:r>
    </w:p>
    <w:p>
      <w:pPr>
        <w:spacing w:after="80"/>
      </w:pPr>
      <w:r>
        <w:rPr>
          <w:b w:val="0"/>
          <w:i w:val="0"/>
        </w:rPr>
        <w:t>thông qua trốn thuế hoặc tránh thuế (bao gồm thông qua các thỏa thuận mua bán hiệp ước nhằm mục đích hưởng các ưu đãi được quy định trong hiệp định này vì lợi ích gián tiếp của cư dân các khu vực tài phán thứ ba).</w:t>
      </w:r>
    </w:p>
    <w:p>
      <w:pPr>
        <w:spacing w:after="80"/>
      </w:pPr>
      <w:r>
        <w:rPr>
          <w:b w:val="0"/>
          <w:i w:val="0"/>
        </w:rPr>
        <w:t>Đoạn văn này được đặt thay thế, hoặc trong trường hợp không có, bất kỳ lời nói đầu hiện hành nào đề cập đến ý định loại bỏ việc đánh thuế hai lần, bất kể ngôn ngữ hiện hành có đề cập đến ý định không tạo cơ hội cho việc không bị đánh thuế hoặc giảm thuế hay không.21 Các quốc gia có thể bảo lưu quyền không áp dụng đoạn văn này cho các Hiệp định Thuế được Bảo hiểm (Covered Tax Agreement) đã có lời nói đầu có hiệu lực tương tự.22 Vương quốc Anh cho rằng có chín mươi tư hiệp ước chứa ngôn ngữ lời nói đầu tương thích.23 Ireland đã không đưa ra bảo lưu nào đối với điều khoản này.24</w:t>
      </w:r>
    </w:p>
    <w:p>
      <w:pPr>
        <w:spacing w:after="80"/>
      </w:pPr>
      <w:r>
        <w:rPr>
          <w:b w:val="0"/>
          <w:i w:val="0"/>
        </w:rPr>
        <w:t>Các quốc gia có thể, theo Điều 6(6), cũng chọn đưa nội dung sau vào lời nói đầu của bất kỳ Hiệp định Thuế được Bảo hiểm nào:</w:t>
      </w:r>
    </w:p>
    <w:p>
      <w:pPr>
        <w:spacing w:after="80"/>
      </w:pPr>
      <w:r>
        <w:rPr>
          <w:b w:val="0"/>
          <w:i w:val="0"/>
        </w:rPr>
        <w:t>Mong muốn phát triển hơn nữa mối quan hệ kinh tế của mình và tăng cường hợp tác trong các vấn đề thuế.</w:t>
      </w:r>
    </w:p>
    <w:p>
      <w:pPr>
        <w:spacing w:after="80"/>
      </w:pPr>
      <w:r>
        <w:rPr>
          <w:b w:val="0"/>
          <w:i w:val="0"/>
        </w:rPr>
        <w:t>Điều này thể hiện, một cách khái quát, rằng các hiệp định thuế được ký kết vì những mục đích khác ngoài các vấn đề thuế cụ thể mà chúng đề cập. Mục đích của việc yêu cầu một lời nói đầu được diễn đạt theo những thuật ngữ này là để tác động đến việc giải thích các Hiệp định Thuế được Bảo hiểm dựa trên các mục đích đã được nêu rõ của chúng.25 Cả Ireland và Vương quốc Anh đều cho rằng phần lớn các hiệp ước của họ không chứa ngôn ngữ lời nói đầu tùy chọn này và đã chọn áp dụng Điều 6(3) để đưa nội dung đó vào các Hiệp định Thuế được Bảo hiểm đó.26</w:t>
      </w:r>
    </w:p>
    <w:p>
      <w:pPr>
        <w:spacing w:after="80"/>
      </w:pPr>
      <w:r>
        <w:rPr>
          <w:b/>
          <w:i w:val="0"/>
        </w:rPr>
        <w:t>[B]Quy tắc chống lạm dụng chung</w:t>
      </w:r>
    </w:p>
    <w:p>
      <w:pPr>
        <w:spacing w:after="80"/>
      </w:pPr>
      <w:r>
        <w:rPr>
          <w:b w:val="0"/>
          <w:i w:val="0"/>
        </w:rPr>
        <w:t xml:space="preserve">Báo cáo cuối cùng về Hành động 6 của BEPS (BEPS Action 6, Final Report) đề xuất, trên thực tế, ba quy tắc chống lạm dụng hiệp ước. Thứ nhất, bài kiểm tra mục đích chính (principal purpose test - PPT), mà ở một số khía cạnh, bám sát quy tắc chống lạm dụng nội địa của Vương quốc Anh trong </w:t>
      </w:r>
      <w:r>
        <w:rPr>
          <w:b w:val="0"/>
          <w:i/>
        </w:rPr>
        <w:t>Finance Act</w:t>
      </w:r>
      <w:r>
        <w:rPr>
          <w:b w:val="0"/>
          <w:i w:val="0"/>
        </w:rPr>
        <w:t xml:space="preserve"> 2013, Phần 5,27 là một quy tắc chống lạm dụng chung dựa trên mục đích chính của các giao dịch hoặc thỏa thuận. Đây là quy tắc mặc định được quy định trong MLI. Thứ hai, Hành động 6 của BEPS dự kiến hai phiên bản của một điều khoản LOB – một phiên bản đơn giản hóa và một phiên bản chi tiết – nhằm hạn chế các lợi ích hiệp ước đối với những người là cư dân của một quốc gia ký kết và đáp ứng các điều kiện đủ tiêu chuẩn. MLI cho phép một trong hai phiên bản như một giải pháp thay thế cho PPT trong những điều kiện nhất định.</w:t>
      </w:r>
    </w:p>
    <w:p>
      <w:pPr>
        <w:spacing w:after="80"/>
      </w:pPr>
      <w:r>
        <w:rPr>
          <w:b w:val="0"/>
          <w:i w:val="0"/>
        </w:rPr>
        <w:t>PPT trong Điều 7(1) của MLI có nội dung như sau:</w:t>
      </w:r>
    </w:p>
    <w:p>
      <w:pPr>
        <w:spacing w:after="80"/>
      </w:pPr>
      <w:r>
        <w:rPr>
          <w:b w:val="0"/>
          <w:i w:val="0"/>
        </w:rPr>
        <w:t>21. Điều 6(4). 22. Vương quốc Liên hiệp Anh và Bắc Ireland, Danh sách Bảo lưu và Thông báo khi nộp văn kiện phê chuẩn tại Thời điểm Ký kết ('Bảo lưu và Thông báo của Vương quốc Anh'), Thông báo về Ngôn ngữ Lời nói đầu Hiện hành trong các Hiệp định được Liệt kê theo Điều 6(4) và (5). 23. Xem Chương 4, §4.04 về bối cảnh, đối tượng và mục đích. 24. Ireland, Danh sách Bảo lưu và Thông báo khi nộp văn kiện phê chuẩn tại Thời điểm Ký kết ('Bảo lưu và Thông báo của Ireland') Điều 6. 25. Bảo lưu và Thông báo của Vương quốc Anh, Thông báo về Lựa chọn các Điều khoản Tùy chọn theo Điều 6(6). Bảo lưu và Thông báo của Ireland, Thông báo về Lựa chọn các Điều khoản Tùy chọn theo Điều 6(6). 26. Xem Chương 17, §17.03. 27. Điều 7(2).</w:t>
      </w:r>
    </w:p>
    <w:p>
      <w:pPr>
        <w:spacing w:after="80"/>
      </w:pPr>
      <w:r>
        <w:rPr>
          <w:b w:val="0"/>
          <w:i w:val="0"/>
        </w:rPr>
        <w:t>532</w:t>
      </w:r>
    </w:p>
    <w:p>
      <w:pPr>
        <w:spacing w:after="80"/>
      </w:pPr>
      <w:r>
        <w:rPr>
          <w:b w:val="0"/>
          <w:i w:val="0"/>
        </w:rPr>
        <w:t>Bất kể các quy định nào của một Hiệp định Thuế được Bảo hiểm, một lợi ích theo Hiệp định Thuế được Bảo hiểm sẽ không được cấp đối với một khoản thu nhập hoặc vốn nếu có thể kết luận một cách hợp lý, sau khi xem xét tất cả các sự kiện và tình huống liên quan, rằng việc đạt được lợi ích đó là một trong những mục đích chính của bất kỳ thỏa thuận hoặc giao dịch nào dẫn trực tiếp hoặc gián tiếp đến lợi ích đó, trừ khi có thể chứng minh rằng việc cấp lợi ích đó trong những tình huống này sẽ phù hợp với đối tượng và mục đích của các quy định liên quan của Hiệp định Thuế được Bảo hiểm.</w:t>
      </w:r>
    </w:p>
    <w:p>
      <w:pPr>
        <w:spacing w:after="80"/>
      </w:pPr>
      <w:r>
        <w:rPr>
          <w:b w:val="0"/>
          <w:i w:val="0"/>
        </w:rPr>
        <w:t>Quy tắc này được áp dụng thay thế, hoặc trong trường hợp không có, các quy định hiệp ước hiện hành phủ nhận toàn bộ hoặc một phần các lợi ích hiệp ước khi mục đích chính hoặc một trong những mục đích chính của bất kỳ thỏa thuận hoặc giao dịch nào, hoặc của bất kỳ người nào liên quan đến một thỏa thuận hoặc giao dịch, là để đạt được những lợi ích đó.28 Về việc giải thích điều khoản này, xem phần thảo luận về các quy định tương tự trong luật nội địa của Vương quốc Anh và các hiệp ước hiện hành của Vương quốc Anh tại Chương 17.29 Các bên ký kết áp dụng PPT cũng có thể chọn đưa vào một điều khoản cho phép các cơ quan có thẩm quyền cấp các lợi ích hiệp ước trong những trường hợp mà nếu không thì chúng bị PPT từ chối, với nội dung như sau:</w:t>
      </w:r>
    </w:p>
    <w:p>
      <w:pPr>
        <w:spacing w:after="80"/>
      </w:pPr>
      <w:r>
        <w:rPr>
          <w:b w:val="0"/>
          <w:i w:val="0"/>
        </w:rPr>
        <w:t>Khi một lợi ích theo một Hiệp định Thuế được Bảo hiểm bị từ chối đối với một người theo các quy định của Hiệp định Thuế được Bảo hiểm (như có thể được sửa đổi bởi Công ước này) phủ nhận toàn bộ hoặc một phần các lợi ích mà nếu không thì sẽ được cung cấp theo Hiệp định Thuế được Bảo hiểm khi mục đích chính hoặc một trong những mục đích chính của bất kỳ thỏa thuận hoặc giao dịch nào, hoặc của bất kỳ người nào liên quan đến một thỏa thuận hoặc giao dịch, là để đạt được những lợi ích đó, thì cơ quan có thẩm quyền của Khu vực Tài phán Ký kết mà nếu không thì sẽ cấp lợi ích này vẫn phải đối xử với người đó như là được hưởng lợi ích này, hoặc các lợi ích khác nhau đối với một khoản thu nhập hoặc vốn cụ thể … .30</w:t>
      </w:r>
    </w:p>
    <w:p>
      <w:pPr>
        <w:spacing w:after="80"/>
      </w:pPr>
      <w:r>
        <w:rPr>
          <w:b w:val="0"/>
          <w:i w:val="0"/>
        </w:rPr>
        <w:t>Thẩm quyền cho phép này chứa các yêu cầu và điều kiện về thủ tục của riêng nó:</w:t>
      </w:r>
    </w:p>
    <w:p>
      <w:pPr>
        <w:spacing w:after="80"/>
      </w:pPr>
      <w:r>
        <w:rPr>
          <w:b w:val="0"/>
          <w:i w:val="0"/>
        </w:rPr>
        <w:t>nếu cơ quan có thẩm quyền đó, theo yêu cầu của người đó và sau khi xem xét các sự kiện và tình huống liên quan, xác định rằng những lợi ích đó lẽ ra đã được cấp cho người đó nếu không có giao dịch hoặc thỏa thuận đó. Cơ quan có thẩm quyền của Khu vực Tài phán Ký kết mà một yêu cầu đã được gửi đến theo khoản này bởi một cư dân của Khu vực Tài phán Ký kết kia phải tham khảo ý kiến của cơ quan có thẩm quyền của Khu vực Tài phán Ký kết kia trước khi từ chối yêu cầu đó.</w:t>
      </w:r>
    </w:p>
    <w:p>
      <w:pPr>
        <w:spacing w:after="80"/>
      </w:pPr>
      <w:r>
        <w:rPr>
          <w:b w:val="0"/>
          <w:i w:val="0"/>
        </w:rPr>
        <w:t>Cả Vương quốc Anh và Ireland đều đã chọn đưa quyền tùy ý này vào.31</w:t>
      </w:r>
    </w:p>
    <w:p>
      <w:pPr>
        <w:spacing w:after="80"/>
      </w:pPr>
      <w:r>
        <w:rPr>
          <w:b w:val="0"/>
          <w:i w:val="0"/>
        </w:rPr>
        <w:t>Các quốc gia có thể chọn không áp dụng PPT trong hai trường hợp. Thứ nhất, nếu quốc gia đó dự định áp dụng kết hợp một điều khoản LOB chi tiết và một trong các quy tắc để xử lý cấu trúc tài trợ trung gian hoặc một PPT, qua đó đáp ứng tiêu chuẩn tối thiểu để ngăn chặn lạm dụng hiệp ước theo gói OECD/G20 BEPS. Trong những trường hợp như vậy, các quốc gia ký kết liên quan phải nỗ lực đạt được một giải pháp thỏa đáng cho cả đôi bên</w:t>
      </w:r>
    </w:p>
    <w:p>
      <w:pPr>
        <w:spacing w:after="80"/>
      </w:pPr>
      <w:r>
        <w:rPr>
          <w:b w:val="0"/>
          <w:i w:val="0"/>
        </w:rPr>
        <w:t>28.§17.03 và §17.12.29.Điều 7(4).30.Điều 7(15)(a).31.Bảo lưu và Thông báo của Vương quốc Anh, theo Điều 7(17)(b). Bảo lưu và Thông báo của Ireland, theo Điều 7(17)(b).</w:t>
      </w:r>
    </w:p>
    <w:p>
      <w:pPr>
        <w:spacing w:after="80"/>
      </w:pPr>
      <w:r>
        <w:rPr>
          <w:b w:val="0"/>
          <w:i w:val="0"/>
        </w:rPr>
        <w:t>533</w:t>
      </w:r>
    </w:p>
    <w:p>
      <w:pPr>
        <w:spacing w:after="80"/>
      </w:pPr>
      <w:r>
        <w:rPr>
          <w:b w:val="0"/>
          <w:i w:val="0"/>
        </w:rPr>
        <w:t>đáp ứng tiêu chuẩn tối thiểu đó.32Thứ hai, nếu Hiệp định Thuế được Bảo hiểm liên quan đã chứa các điều khoản từ chối tất cả các lợi ích mà nếu không thì sẽ được cung cấp theo Hiệp định Thuế được Bảo hiểm khi mục đích chính hoặc một trong các mục đích chính của bất kỳ thỏa thuận hay giao dịch nào, hoặc của bất kỳ người nào liên quan đến một thỏa thuận hay giao dịch, là để có được những lợi ích đó.33Khi chọn cách tiếp cận này, quyền hạn được trao cho các cơ quan có thẩm quyền để cho phép các lợi ích hiệp ước cũng áp dụng cho những người nộp thuế bị ảnh hưởng bởi các điều khoản dựa trên mục đích hiện có.34</w:t>
      </w:r>
    </w:p>
    <w:p>
      <w:pPr>
        <w:spacing w:after="80"/>
      </w:pPr>
      <w:r>
        <w:rPr>
          <w:b w:val="0"/>
          <w:i w:val="0"/>
        </w:rPr>
        <w:t>Vương quốc Anh đã chọn áp dụng PPT trong Điều 7(1).35Vương quốc Anh có nhiều hiệp ước từ chối toàn bộ hoặc một phần các lợi ích khi mục đích chính hoặc một trong các mục đích chính của bất kỳ thỏa thuận nào là để có được những lợi ích đó36nhưng đã chọn áp dụng PPT trong Điều 7(1) thay cho chúng.37Ireland cũng đã chọn PPT.38</w:t>
      </w:r>
    </w:p>
    <w:p>
      <w:pPr>
        <w:spacing w:after="80"/>
      </w:pPr>
      <w:r>
        <w:rPr>
          <w:b/>
          <w:i w:val="0"/>
        </w:rPr>
        <w:t>[C]LOB Đơn giản hóa</w:t>
      </w:r>
    </w:p>
    <w:p>
      <w:pPr>
        <w:spacing w:after="80"/>
      </w:pPr>
      <w:r>
        <w:rPr>
          <w:b w:val="0"/>
          <w:i w:val="0"/>
        </w:rPr>
        <w:t>Một bên cũng có thể chọn áp dụng 'Điều khoản Giới hạn Lợi ích Đơn giản hóa' có trong Điều 7(8)-(13) ngoài PPT. Điều khoản LOB Đơn giản hóa chỉ áp dụng cho một Hiệp định Thuế được Bảo hiểm khi cả hai bên của Hiệp định Thuế được Bảo hiểm liên quan đều đã chọn áp dụng nó.39Tuy nhiên, Điều 7(7) cho phép Điều khoản LOB Đơn giản hóa được áp dụng không đối xứng cho một hiệp ước để một quốc gia có thể áp dụng cả PPT và Điều khoản LOB Đơn giản hóa, trong khi quốc gia kia chỉ áp dụng PPT nếu các quốc gia chọn như vậy.40</w:t>
      </w:r>
    </w:p>
    <w:p>
      <w:pPr>
        <w:spacing w:after="80"/>
      </w:pPr>
      <w:r>
        <w:rPr>
          <w:b w:val="0"/>
          <w:i w:val="0"/>
        </w:rPr>
        <w:t>Khi Điều khoản LOB Đơn giản hóa đã được chọn, nó áp dụng thay cho hoặc trong trường hợp không có các điều khoản hiện có tương tự trong một Hiệp định Thuế được Bảo hiểm. Các điều khoản được coi là tương tự nếu chúng 'sẽ giới hạn các lợi ích của Hiệp định Thuế được Bảo hiểm (hoặc sẽ giới hạn các lợi ích khác ngoài lợi ích theo các điều khoản của Hiệp định Thuế được Bảo hiểm liên quan đến cư trú, các doanh nghiệp liên kết hoặc không phân biệt đối xử hoặc một lợi ích không chỉ dành riêng cho cư dân của một Khu vực Tài phán Ký kết) chỉ cho một cư dân đủ điều kiện cho các lợi ích đó bằng cách đáp ứng một hoặc nhiều bài kiểm tra phân loại'.41Một bên cũng có thể chọn không áp dụng Điều khoản LOB Đơn giản hóa cho các Hiệp định Thuế được Bảo hiểm của mình nếu chúng đã chứa một điều khoản tương tự như vậy.</w:t>
      </w:r>
    </w:p>
    <w:p>
      <w:pPr>
        <w:spacing w:after="80"/>
      </w:pPr>
      <w:r>
        <w:rPr>
          <w:b w:val="0"/>
          <w:i w:val="0"/>
        </w:rPr>
        <w:t>32.Điều 7(15)(b).Các ví dụ của Vương quốc Anh bao gồm: Hiệp định Thuế Thu nhập Ấn Độ-Vương quốc Anh, Điều 28C và Hiệp định Tây Ban Nha-Vương quốc Anh, Điều 23(2) được thảo luận trong Chương 17, §17.13.33.Điều 7(5).34.Bảo lưu và Thông báo của Vương quốc Anh, Thông báo về Lựa chọn Các Điều khoản Tùy chọn theo Điều 7(7)(b).35.Xem Chương 17, §17.13.36.Bảo lưu và Thông báo của Vương quốc Anh, Thông báo về Các Điều khoản Hiện có trong Các Hiệp định được Liệt kê theo Điều 7(7)(a).37.Điều 7(6).38.Bảo lưu và Thông báo của Ireland, theo Điều 7.39.Điều 7(17)(c),(d) và (e).40.Điều 7(14). Cả Ireland và Vương quốc Anh đều không chọn áp dụng Điều khoản Giới hạn Lợi ích Đơn giản hóa. Xem Chương 17, §17.15 về LOB của Hoa Kỳ.41.Điều 7(15)(c).</w:t>
      </w:r>
    </w:p>
    <w:p>
      <w:pPr>
        <w:spacing w:after="80"/>
      </w:pPr>
      <w:r>
        <w:rPr>
          <w:b w:val="0"/>
          <w:i w:val="0"/>
        </w:rPr>
        <w:t>534</w:t>
      </w:r>
    </w:p>
    <w:p>
      <w:pPr>
        <w:spacing w:after="80"/>
      </w:pPr>
      <w:r>
        <w:rPr>
          <w:b/>
          <w:i w:val="0"/>
        </w:rPr>
        <w:t>§18.03CÁC ĐIỀU KHOẢN ẢNH HƯỞNG ĐẾN TÌNH TRẠNG PHÁP LÝ</w:t>
      </w:r>
    </w:p>
    <w:p>
      <w:pPr>
        <w:spacing w:after="80"/>
      </w:pPr>
      <w:r>
        <w:rPr>
          <w:b w:val="0"/>
          <w:i w:val="0"/>
        </w:rPr>
        <w:t>Hai điều khoản được thiết kế để thay đổi căn bản việc phân bổ quyền đánh thuế giữa các bên của Hiệp định Thuế được Bảo hiểm. Điều thứ nhất giải quyết những khó khăn phát sinh từ các cách tiếp cận khác nhau trong việc xác định đặc điểm của các thực thể là minh bạch hay không minh bạch. Điều thứ hai nhắm vào các trường hợp mà một hiệp ước phân bổ quyền đánh thuế độc quyền đối với thu nhập cho quốc gia cư trú của một người (theo xác định của hiệp ước) nhưng quốc gia kia lại đánh thuế một người khác, cư trú tại quốc gia kia.</w:t>
      </w:r>
    </w:p>
    <w:p>
      <w:pPr>
        <w:spacing w:after="80"/>
      </w:pPr>
      <w:r>
        <w:rPr>
          <w:b/>
          <w:i w:val="0"/>
        </w:rPr>
        <w:t>[A]Các Thực thể Minh bạch</w:t>
      </w:r>
    </w:p>
    <w:p>
      <w:pPr>
        <w:spacing w:after="80"/>
      </w:pPr>
      <w:r>
        <w:rPr>
          <w:b w:val="0"/>
          <w:i w:val="0"/>
        </w:rPr>
        <w:t>Các lợi ích của hiệp ước thuế hai lần chỉ áp dụng cho 'các cá nhân'.42Sự khác biệt trong việc xác định đặc điểm của các thực thể bởi các quốc gia ký kết có thể dẫn đến sự không khớp có thể gây ra đánh thuế hai lần hoặc không đánh thuế. Hành động 2 của BEPS, Báo cáo Cuối cùng đã kêu gọi thay đổi hiệp ước để đảm bảo rằng các thực thể lai (những thực thể có đặc điểm không khớp) không được sử dụng để có được các lợi ích của hiệp ước một cách không chính đáng.43Điều 3 của MLI nhằm xác định khi nào các lợi ích của hiệp ước thuế sẽ được cấp trong những trường hợp như vậy và cũng để đảm bảo rằng những lợi ích này không được cấp khi cả hai quốc gia ký kết đều không coi thu nhập của một thực thể là thu nhập của một trong các cư dân của mình theo luật trong nước của họ như sau:</w:t>
      </w:r>
    </w:p>
    <w:p>
      <w:pPr>
        <w:spacing w:after="80"/>
      </w:pPr>
      <w:r>
        <w:rPr>
          <w:b/>
          <w:i w:val="0"/>
        </w:rPr>
        <w:t>Điều 3 – Các Thực thể Minh bạch</w:t>
      </w:r>
    </w:p>
    <w:p>
      <w:pPr>
        <w:spacing w:after="80"/>
      </w:pPr>
      <w:r>
        <w:rPr>
          <w:b w:val="0"/>
          <w:i w:val="0"/>
        </w:rPr>
        <w:t>Vì mục đích của một Hiệp định thuế được bảo đảm (Covered Tax Agreement), thu nhập có được từ hoặc thông qua một thực thể (entity) hay thỏa thuận (arrangement) được coi là minh bạch về thuế toàn phần hoặc một phần theo luật thuế của bất kỳ Thẩm quyền ký kết (Contracting Jurisdiction) nào đều được coi là thu nhập của một cư dân của một Thẩm quyền ký kết, nhưng chỉ trong phạm vi mà thu nhập đó được coi, vì mục đích đánh thuế bởi Thẩm quyền ký kết đó, là thu nhập của một cư dân của Thẩm quyền ký kết đó.</w:t>
      </w:r>
    </w:p>
    <w:p>
      <w:pPr>
        <w:spacing w:after="80"/>
      </w:pPr>
      <w:r>
        <w:rPr>
          <w:b w:val="0"/>
          <w:i w:val="0"/>
        </w:rPr>
        <w:t>Vương quốc Anh đã chọn áp dụng quy định này cho các Hiệp định thuế được bảo đảm của mình và đã thông báo một số hiệp định đã có sẵn quy định như vậy.44 Ireland đã chọn áp dụng Điều 3(2).45</w:t>
      </w:r>
    </w:p>
    <w:p>
      <w:pPr>
        <w:spacing w:after="80"/>
      </w:pPr>
      <w:r>
        <w:rPr>
          <w:b/>
          <w:i w:val="0"/>
        </w:rPr>
        <w:t>[B]Quy định bảo lưu (Savings Provision)</w:t>
      </w:r>
    </w:p>
    <w:p>
      <w:pPr>
        <w:spacing w:after="80"/>
      </w:pPr>
      <w:r>
        <w:rPr>
          <w:b w:val="0"/>
          <w:i w:val="0"/>
        </w:rPr>
        <w:t>Quy định bảo lưu tại Điều 11 bảo tồn (hay bảo lưu) quyền của một quốc gia được đánh thuế cư dân của chính mình như thể Hiệp định thuế được bảo đảm đang xét không tồn tại. Sự</w:t>
      </w:r>
    </w:p>
    <w:p>
      <w:pPr>
        <w:spacing w:after="80"/>
      </w:pPr>
      <w:r>
        <w:rPr>
          <w:b w:val="0"/>
          <w:i w:val="0"/>
        </w:rPr>
        <w:t>42. OECD Model Convention, Điều 1. Xem Chương 6, §6.02. 43. OECD (2015), Neutralising the Effects of Hybrid Mismatch Arrangements, Action 2 – 2015 Final Report, OECD/G20 Base Erosion and Profit Shifting Project (BEPS Action 2, Final Report). UK Reservations and Notifications, Notification of Existing Provisions in Listed Agreements Pursuant to art. 3(6). 44. UK Reservations and Notifications, Notification of Existing Provisions in Listed Agreements Pursuant to art. 3(6). 45. Irish Reservations and Notifications, Pursuant to Article 3(5)(f).</w:t>
      </w:r>
    </w:p>
    <w:p>
      <w:pPr>
        <w:spacing w:after="80"/>
      </w:pPr>
      <w:r>
        <w:rPr>
          <w:b w:val="0"/>
          <w:i w:val="0"/>
        </w:rPr>
        <w:t>535</w:t>
      </w:r>
    </w:p>
    <w:p>
      <w:pPr>
        <w:spacing w:after="80"/>
      </w:pPr>
      <w:r>
        <w:rPr>
          <w:b w:val="0"/>
          <w:i w:val="0"/>
        </w:rPr>
        <w:t>sự rời xa khỏi sơ đồ tổng thể của các hiệp định đánh thuế hai lần chắc chắn sẽ cho phép đánh thuế hai lần.46 Với ý nghĩ đó, Điều 11 đưa ra mười ngoại lệ:</w:t>
      </w:r>
    </w:p>
    <w:p>
      <w:pPr>
        <w:spacing w:after="80"/>
      </w:pPr>
      <w:r>
        <w:rPr>
          <w:b/>
          <w:i w:val="0"/>
        </w:rPr>
        <w:t>Điều 11 – Áp dụng các Hiệp định thuế để hạn chế quyền đánh thuế cư dân của chính một Bên</w:t>
      </w:r>
    </w:p>
    <w:p>
      <w:pPr>
        <w:spacing w:after="80"/>
      </w:pPr>
      <w:r>
        <w:rPr>
          <w:b w:val="0"/>
          <w:i w:val="0"/>
        </w:rPr>
        <w:t>1. Một Hiệp định thuế được bảo đảm sẽ không ảnh hưởng đến việc đánh thuế của một Thẩm quyền ký kết đối với cư dân của mình, ngoại trừ đối với các lợi ích được cấp theo các quy định của Hiệp định thuế được bảo đảm: (a) yêu cầu Thẩm quyền ký kết đó cấp cho một doanh nghiệp</w:t>
      </w:r>
    </w:p>
    <w:p>
      <w:pPr>
        <w:spacing w:after="80"/>
      </w:pPr>
      <w:r>
        <w:rPr>
          <w:b w:val="0"/>
          <w:i w:val="0"/>
        </w:rPr>
        <w:t>của Thẩm quyền ký kết đó một điều chỉnh tương ứng hoặc tương đương sau một điều chỉnh ban đầu được thực hiện bởi Thẩm quyền ký kết kia, phù hợp với Hiệp định thuế được bảo đảm, đối với số thuế đánh tại Thẩm quyền ký kết được đề cập trước đó trên lợi nhuận của một cơ sở thường trú (permanent establishment) của doanh nghiệp hoặc lợi nhuận của một doanh nghiệp liên kết; (b) có thể ảnh hưởng đến cách Thẩm quyền ký kết đó đánh thuế một cá nhân</w:t>
      </w:r>
    </w:p>
    <w:p>
      <w:pPr>
        <w:spacing w:after="80"/>
      </w:pPr>
      <w:r>
        <w:rPr>
          <w:b w:val="0"/>
          <w:i w:val="0"/>
        </w:rPr>
        <w:t>là cư dân của Thẩm quyền ký kết đó nếu cá nhân đó có thu nhập liên quan đến các dịch vụ được cung cấp cho Thẩm quyền ký kết kia hoặc một phân khu chính trị hay chính quyền địa phương hay cơ quan tương đương khác của Thẩm quyền đó; (c) có thể ảnh hưởng đến cách Thẩm quyền ký kết đó đánh thuế một cá nhân</w:t>
      </w:r>
    </w:p>
    <w:p>
      <w:pPr>
        <w:spacing w:after="80"/>
      </w:pPr>
      <w:r>
        <w:rPr>
          <w:b w:val="0"/>
          <w:i w:val="0"/>
        </w:rPr>
        <w:t>là cư dân của Thẩm quyền ký kết đó nếu cá nhân đó cũng là sinh viên, người học việc kinh doanh hoặc thực tập sinh, các điều kiện của Hiệp định thuế được bảo đảm; (d) yêu cầu Thẩm quyền ký kết đó cung cấp một khoản tín dụng thuế hoặc miễn thuế</w:t>
      </w:r>
    </w:p>
    <w:p>
      <w:pPr>
        <w:spacing w:after="80"/>
      </w:pPr>
      <w:r>
        <w:rPr>
          <w:b w:val="0"/>
          <w:i w:val="0"/>
        </w:rPr>
        <w:t>cho cư dân của Thẩm quyền ký kết đó đối với thu nhập mà Thẩm quyền ký kết kia có thể đánh thuế phù hợp với Hiệp định thuế được bảo đảm (bao gồm lợi nhuận được quy cho một cơ sở thường trú nằm tại Thẩm quyền ký kết kia phù hợp với Hiệp định thuế được bảo đảm); (e) bảo vệ cư dân của Thẩm quyền ký kết đó chống lại một số</w:t>
      </w:r>
    </w:p>
    <w:p>
      <w:pPr>
        <w:spacing w:after="80"/>
      </w:pPr>
      <w:r>
        <w:rPr>
          <w:b w:val="0"/>
          <w:i w:val="0"/>
        </w:rPr>
        <w:t>thực tiễn đánh thuế phân biệt đối xử nhất định bởi Thẩm quyền ký kết đó; (f) cho phép cư dân của Thẩm quyền ký kết đó yêu cầu rằng</w:t>
      </w:r>
    </w:p>
    <w:p>
      <w:pPr>
        <w:spacing w:after="80"/>
      </w:pPr>
      <w:r>
        <w:rPr>
          <w:b w:val="0"/>
          <w:i w:val="0"/>
        </w:rPr>
        <w:t>cơ quan có thẩm quyền của Thẩm quyền ký kết đó hoặc của một trong hai Thẩm quyền ký kết xem xét các trường hợp đánh thuế không phù hợp với Hiệp định thuế được bảo đảm; (g) có thể ảnh hưởng đến cách Thẩm quyền ký kết đó đánh thuế một cá nhân</w:t>
      </w:r>
    </w:p>
    <w:p>
      <w:pPr>
        <w:spacing w:after="80"/>
      </w:pPr>
      <w:r>
        <w:rPr>
          <w:b w:val="0"/>
          <w:i w:val="0"/>
        </w:rPr>
        <w:t>là cư dân của Thẩm quyền ký kết đó khi cá nhân đó là thành viên của một phái đoàn ngoại giao, phái đoàn chính phủ hoặc cơ quan lãnh sự của Thẩm quyền ký kết kia; (h) quy định rằng lương hưu hoặc các khoản thanh toán khác được thực hiện theo</w:t>
      </w:r>
    </w:p>
    <w:p>
      <w:pPr>
        <w:spacing w:after="80"/>
      </w:pPr>
      <w:r>
        <w:rPr>
          <w:b w:val="0"/>
          <w:i w:val="0"/>
        </w:rPr>
        <w:t>quy định pháp luật về an ninh của Cơ quan ký kết hợp đồng kia thì chỉ bị đánh thuế tại Cơ quan ký kết hợp đồng kia;(i)quy định rằng lương hưu và các khoản thanh toán tương tự, niên kim, tiền cấp dưỡng</w:t>
      </w:r>
    </w:p>
    <w:p>
      <w:pPr>
        <w:spacing w:after="80"/>
      </w:pPr>
      <w:r>
        <w:rPr>
          <w:b w:val="0"/>
          <w:i w:val="0"/>
        </w:rPr>
        <w:t>hoặc các khoản thanh toán bảo trì khác phát sinh tại Cơ quan ký kết hợp đồng kia thì chỉ bị đánh thuế tại Cơ quan ký kết hợp đồng kia; hoặc (j)quy định rõ ràng bằng cách khác việc giới hạn quyền đánh thuế của một Cơ quan ký kết hợp đồng đối với</w:t>
      </w:r>
    </w:p>
    <w:p>
      <w:pPr>
        <w:spacing w:after="80"/>
      </w:pPr>
      <w:r>
        <w:rPr>
          <w:b w:val="0"/>
          <w:i w:val="0"/>
        </w:rPr>
        <w:t>cư dân của chính mình hoặc quy định rõ ràng rằng Cơ quan ký kết hợp đồng nơi phát sinh một khoản thu nhập có quyền đánh thuế độc quyền đối với khoản thu nhập đó.</w:t>
      </w:r>
    </w:p>
    <w:p>
      <w:pPr>
        <w:spacing w:after="80"/>
      </w:pPr>
      <w:r>
        <w:rPr>
          <w:b w:val="0"/>
          <w:i w:val="0"/>
        </w:rPr>
        <w:t>46.Xem Chương 6, §6.06.</w:t>
      </w:r>
    </w:p>
    <w:p>
      <w:pPr>
        <w:spacing w:after="80"/>
      </w:pPr>
      <w:r>
        <w:rPr>
          <w:b w:val="0"/>
          <w:i w:val="0"/>
        </w:rPr>
        <w:t>536</w:t>
      </w:r>
    </w:p>
    <w:p>
      <w:pPr>
        <w:spacing w:after="80"/>
      </w:pPr>
      <w:r>
        <w:rPr>
          <w:b w:val="0"/>
          <w:i w:val="0"/>
        </w:rPr>
        <w:t>Vương quốc Anh áp dụng các quy tắc này và cho rằng một số Thỏa thuận Thuế được Bảo hiểm của mình có chứa các điều khoản tương thích.47 Ireland chọn không áp dụng điều khoản tiết kiệm cho các hiệp ước của mình.48</w:t>
      </w:r>
    </w:p>
    <w:p>
      <w:pPr>
        <w:spacing w:after="80"/>
      </w:pPr>
      <w:r>
        <w:rPr>
          <w:b/>
          <w:i w:val="0"/>
        </w:rPr>
        <w:t>§18.04CÁC ĐIỀU KHOẢN ẢNH HƯỞNG ĐẾN TƯ CÁCH CƯ TRÚ THEO HIỆP ƯỚC</w:t>
      </w:r>
    </w:p>
    <w:p>
      <w:pPr>
        <w:spacing w:after="80"/>
      </w:pPr>
      <w:r>
        <w:rPr>
          <w:b w:val="0"/>
          <w:i w:val="0"/>
        </w:rPr>
        <w:t>BEPS Action 2, Báo cáo Cuối cùng và BEPS Action 6, Báo cáo Cuối cùng49 đều đề xuất bãi bỏ nơi quản lý hiệu quả như là quy tắc để giải quyết các câu hỏi về tư cách cư trú kép cho mục đích hiệp ước. Thay vào đó, thủ tục thỏa thuận song phương (MAP) là con đường duy nhất để giải quyết vấn đề này. Do đó, các hiệp ước theo mô hình art.4(3) của OECD Model50 sẽ không còn hiệu lực và những điều sau đây sẽ được áp dụng thay thế:</w:t>
      </w:r>
    </w:p>
    <w:p>
      <w:pPr>
        <w:spacing w:after="80"/>
      </w:pPr>
      <w:r>
        <w:rPr>
          <w:b/>
          <w:i w:val="0"/>
        </w:rPr>
        <w:t>Điều 4 – Các Thực thể Cư trú Kép</w:t>
      </w:r>
    </w:p>
    <w:p>
      <w:pPr>
        <w:spacing w:after="80"/>
      </w:pPr>
      <w:r>
        <w:rPr>
          <w:b w:val="0"/>
          <w:i w:val="0"/>
        </w:rPr>
        <w:t>1. Khi vì lý do các quy định của một Thỏa thuận Thuế được Bảo hiểm, một người không phải là cá nhân là cư dân của nhiều hơn một Cơ quan ký kết hợp đồng, các cơ quan có thẩm quyền của các Cơ quan ký kết hợp đồng sẽ cố gắng xác định bằng thỏa thuận song phương Cơ quan ký kết hợp đồng mà người đó được coi là cư dân cho mục đích của Thỏa thuận Thuế được Bảo hiểm, có xét đến nơi quản lý hiệu quả của người đó, nơi người đó được thành lập hoặc thành lập theo cách khác và bất kỳ yếu tố liên quan nào khác. Trong trường hợp không có thỏa thuận như vậy, người đó sẽ không được hưởng bất kỳ khoản giảm trừ hoặc miễn thuế nào theo Thỏa thuận Thuế được Bảo hiểm, ngoại trừ trong phạm vi và theo cách thức mà các cơ quan có thẩm quyền của các Cơ quan ký kết hợp đồng có thể đồng ý.</w:t>
      </w:r>
    </w:p>
    <w:p>
      <w:pPr>
        <w:spacing w:after="80"/>
      </w:pPr>
      <w:r>
        <w:rPr>
          <w:b w:val="0"/>
          <w:i w:val="0"/>
        </w:rPr>
        <w:t>Tác động của sự thay đổi này được thảo luận trong Chương 6, §6.05–</w:t>
      </w:r>
      <w:r>
        <w:rPr>
          <w:b w:val="0"/>
          <w:i/>
        </w:rPr>
        <w:t>Giải quyết hành chính về cư trú kép</w:t>
      </w:r>
      <w:r>
        <w:rPr>
          <w:b w:val="0"/>
          <w:i w:val="0"/>
        </w:rPr>
        <w:t>. Vương quốc Anh áp dụng các quy tắc này và cho rằng một số Thỏa thuận Thuế được Bảo hiểm của mình có chứa các điều khoản tương thích nhưng chọn áp dụng art.4(1) thay thế.51 Ireland chọn áp dụng art.4(1) ngoại trừ các Thỏa thuận Thuế được Bảo hiểm mà nước này thông báo là có điều khoản như vậy hoặc khi bên ký kết hợp đồng kia đã chọn loại trừ các hiệp ước trong trường hợp bên kia muốn loại trừ tất cả các lợi ích hiệp ước khi không đạt được thỏa thuận về cư trú.52</w:t>
      </w:r>
    </w:p>
    <w:p>
      <w:pPr>
        <w:spacing w:after="80"/>
      </w:pPr>
      <w:r>
        <w:rPr>
          <w:b/>
          <w:i w:val="0"/>
        </w:rPr>
        <w:t>§18.05CÁC ĐIỀU KHOẢN ẢNH HƯỞNG ĐẾN Ý NGHĨA CỦA CƠ SỞ THƯỜNG TRÚ</w:t>
      </w:r>
    </w:p>
    <w:p>
      <w:pPr>
        <w:spacing w:after="80"/>
      </w:pPr>
      <w:r>
        <w:rPr>
          <w:b w:val="0"/>
          <w:i w:val="0"/>
        </w:rPr>
        <w:t>BEPS Action 7, Báo cáo Cuối cùng kêu gọi thay đổi định nghĩa về cơ sở thường trú để ngăn chặn việc tránh né nhân tạo tư cách đó liên quan đến BEPS,</w:t>
      </w:r>
    </w:p>
    <w:p>
      <w:pPr>
        <w:spacing w:after="80"/>
      </w:pPr>
      <w:r>
        <w:rPr>
          <w:b w:val="0"/>
          <w:i w:val="0"/>
        </w:rPr>
        <w:t>47.Bảo lưu và Thông báo của Vương quốc Anh, Thông báo về các Điều khoản Hiện có theo Điều 11(4).48.Bảo lưu và Thông báo của Ireland, theo Điều 11(3)(a).49.OECD (2015), Ngăn chặn việc Cấp các Lợi ích Hiệp ước trong các Trường hợp Không phù hợp, Action6–Báo cáo Cuối cùng 2015, Dự án Xói mòn Cơ sở Thuế và Chuyển dịch Lợi nhuận của OECD/G20 http://dx.doi.org/10.1787/9789264241695-en ('BEPS Action 6, Báo cáo Cuối cùng').50.Xem Chương 6, §6.05.51.Bảo lưu và Thông báo của Vương quốc Anh, Thông báo về các Điều khoản Hiện có theo Điều 4(4).52.Bảo lưu và Thông báo của Ireland, Bảo lưu theo Điều 4(3)(b), Điều 4(3)(f) và Điều 4(4).</w:t>
      </w:r>
    </w:p>
    <w:p>
      <w:pPr>
        <w:spacing w:after="80"/>
      </w:pPr>
      <w:r>
        <w:rPr>
          <w:b w:val="0"/>
          <w:i w:val="0"/>
        </w:rPr>
        <w:t>537</w:t>
      </w:r>
    </w:p>
    <w:p>
      <w:pPr>
        <w:spacing w:after="80"/>
      </w:pPr>
      <w:r>
        <w:rPr>
          <w:b w:val="0"/>
          <w:i w:val="0"/>
        </w:rPr>
        <w:t>bao gồm thông qua việc sử dụng các thỏa thuận ủy thác và các miễn trừ hoạt động cụ thể.53</w:t>
      </w:r>
    </w:p>
    <w:p>
      <w:pPr>
        <w:spacing w:after="80"/>
      </w:pPr>
      <w:r>
        <w:rPr>
          <w:b w:val="0"/>
          <w:i w:val="0"/>
        </w:rPr>
        <w:t>Những thay đổi về ý nghĩa của Cơ sở thường trú (Permanent Establishment) được đề xuất trong BEPS Action 7 tạo ra những thay đổi đáng kể đối với định nghĩa về cơ sở thường trú đại lý (agency permanent establishment), bao gồm định nghĩa về đại lý độc lập (independent agent), cũng như đối với cách vận hành các quy tắc về công trường xây dựng hoặc dự án xây dựng hay lắp đặt, và đối với các trường hợp mà một địa điểm hay hoạt động chỉ mang tính chuẩn bị hoặc hỗ trợ.</w:t>
      </w:r>
    </w:p>
    <w:p>
      <w:pPr>
        <w:spacing w:after="80"/>
      </w:pPr>
      <w:r>
        <w:rPr>
          <w:b/>
          <w:i w:val="0"/>
        </w:rPr>
        <w:t>[A]Cơ sở thường trú đại lý</w:t>
      </w:r>
    </w:p>
    <w:p>
      <w:pPr>
        <w:spacing w:after="80"/>
      </w:pPr>
      <w:r>
        <w:rPr>
          <w:b w:val="0"/>
          <w:i w:val="0"/>
        </w:rPr>
        <w:t>Đa số các Tòa án Tối cao ở các nước dân luật châu Âu đã phán quyết rằng các commissionaire (đại lý hoa hồng) không phải là cơ sở thường trú đại lý.54 Điều này dựa trên cơ sở rằng commissionaire không có thẩm quyền cũng như không ký kết hợp đồng thay mặt cho một bên giao đại lý (principal). Để đưa các commissionaire vào định nghĩa cơ sở thường trú đại lý, thứ nhất, art. 12(1) mở rộng vai trò của người này từ việc ký kết hợp đồng sang việc đóng "vai trò chính dẫn đến việc ký kết các hợp đồng thường được ký kết mà không có sự sửa đổi quan trọng nào bởi doanh nghiệp". Thứ hai, art. 12(1)(b) bao gồm các hợp đồng được ký kết như vậy "để chuyển giao quyền sở hữu, hoặc để cấp quyền sử dụng, tài sản thuộc sở hữu của doanh nghiệp đó hoặc mà doanh nghiệp đó có quyền sử dụng". Cách diễn đạt này cũng mở rộng phạm vi của "đại lý" sang việc cho thuê hoặc cấp phép tài sản.</w:t>
      </w:r>
    </w:p>
    <w:p>
      <w:pPr>
        <w:spacing w:after="80"/>
      </w:pPr>
      <w:r>
        <w:rPr>
          <w:b w:val="0"/>
          <w:i w:val="0"/>
        </w:rPr>
        <w:t>Cơ sở thường trú đại lý cũng được mở rộng sang các hợp đồng cung cấp dịch vụ bởi art. 12(1)(c). Trước đây, cần phải có một cơ sở thường trú vật chất55 hoặc một cơ sở thường trú dịch vụ56 khi dịch vụ được cung cấp. Nội dung của art. 12 như sau:</w:t>
      </w:r>
    </w:p>
    <w:p>
      <w:pPr>
        <w:spacing w:after="80"/>
      </w:pPr>
      <w:r>
        <w:rPr>
          <w:b/>
          <w:i w:val="0"/>
        </w:rPr>
        <w:t>Article 12 – Tránh né nhân tạo tình trạng Cơ sở thường trú thông qua các thỏa thuận commissionaire và các chiến lược tương tự</w:t>
      </w:r>
    </w:p>
    <w:p>
      <w:pPr>
        <w:spacing w:after="80"/>
      </w:pPr>
      <w:r>
        <w:rPr>
          <w:b w:val="0"/>
          <w:i w:val="0"/>
        </w:rPr>
        <w:t>1. Bất kể các quy định của một Hiệp định thuế được bảo hiểm (Covered Tax Agreement) định nghĩa thuật ngữ "cơ sở thường trú", nhưng tùy thuộc vào khoản 2, khi một người đang hành động tại một Khu vực tài phán ký kết của một Hiệp định thuế được bảo hiểm thay mặt cho một doanh nghiệp và, khi làm như vậy, thường xuyên ký kết các hợp đồng, hoặc thường xuyên đóng vai trò chính dẫn đến việc ký kết các hợp đồng thường được ký kết mà không có sự sửa đổi quan trọng nào bởi doanh nghiệp, và các hợp đồng này là: (a) nhân danh doanh nghiệp; hoặc (b) để chuyển giao quyền sở hữu, hoặc để cấp quyền</w:t>
      </w:r>
    </w:p>
    <w:p>
      <w:pPr>
        <w:spacing w:after="80"/>
      </w:pPr>
      <w:r>
        <w:rPr>
          <w:b w:val="0"/>
          <w:i w:val="0"/>
        </w:rPr>
        <w:t>sử dụng, tài sản thuộc sở hữu của doanh nghiệp đó hoặc mà doanh nghiệp đó có quyền sử dụng; hoặc (c) để cung cấp dịch vụ bởi doanh nghiệp đó,</w:t>
      </w:r>
    </w:p>
    <w:p>
      <w:pPr>
        <w:spacing w:after="80"/>
      </w:pPr>
      <w:r>
        <w:rPr>
          <w:b w:val="0"/>
          <w:i w:val="0"/>
        </w:rPr>
        <w:t>53. OECD (2015), Preventing the Artificial Avoidance of Permanent Establishment Status, Action 7 – Báo cáo cuối cùng năm 2015, Dự án OECD/G20 về Xói mòn cơ sở thuế và chuyển dịch lợi nhuận http://dx.doi.org/10.1787/9789264241220-en ('BEPS Action 7, Báo cáo cuối cùng'). 54. Xem Chương 7, §7.09. 55. Xem Chương 7, §7.04. 56. Xem Chương 7, §7.11.</w:t>
      </w:r>
    </w:p>
    <w:p>
      <w:pPr>
        <w:spacing w:after="80"/>
      </w:pPr>
      <w:r>
        <w:rPr>
          <w:b w:val="0"/>
          <w:i w:val="0"/>
        </w:rPr>
        <w:t>538</w:t>
      </w:r>
    </w:p>
    <w:p>
      <w:pPr>
        <w:spacing w:after="80"/>
      </w:pPr>
      <w:r>
        <w:rPr>
          <w:b w:val="0"/>
          <w:i w:val="0"/>
        </w:rPr>
        <w:t>thì doanh nghiệp đó được coi là có một cơ sở thường trú tại Khu vực tài phán ký kết đó đối với bất kỳ hoạt động nào mà người đó thực hiện cho doanh nghiệp, trừ khi các hoạt động này, nếu chúng được doanh nghiệp thực hiện thông qua một địa điểm kinh doanh cố định của doanh nghiệp đó nằm tại Khu vực tài phán ký kết đó, sẽ không khiến địa điểm kinh doanh cố định đó được coi là cấu thành một cơ sở thường trú theo định nghĩa về cơ sở thường trú được bao gồm trong Hiệp định thuế được bảo hiểm (như có thể được sửa đổi bởi Công ước này). 2. Khoản 1 sẽ không áp dụng khi người hành động tại một Khu vực tài phán ký kết của một Hiệp định thuế được bảo hiểm thay mặt cho một doanh nghiệp của Khu vực tài phán ký kết kia tiến hành kinh doanh tại Khu vực tài phán ký kết được đề cập đầu tiên với tư cách là một đại lý độc lập và hành động cho doanh nghiệp trong quá trình kinh doanh thông thường của mình. Tuy nhiên, khi một người hành động độc quyền hoặc gần như độc quyền thay mặt cho một hoặc nhiều doanh nghiệp mà người đó có quan hệ mật thiết, thì người đó sẽ không được coi là một đại lý độc lập theo nghĩa của khoản này đối với bất kỳ doanh nghiệp nào như vậy.</w:t>
      </w:r>
    </w:p>
    <w:p>
      <w:pPr>
        <w:spacing w:after="80"/>
      </w:pPr>
      <w:r>
        <w:rPr>
          <w:b w:val="0"/>
          <w:i w:val="0"/>
        </w:rPr>
        <w:t>Các định nghĩa truyền thống về đại lý độc lập đã đề cập đến "một nhà môi giới, đại lý hoa hồng tổng hợp hoặc bất kỳ đại lý nào khác có tư cách độc lập, với điều kiện những người đó đang hành động trong quá trình kinh doanh thông thường của họ".57 Article 12(2) loại bỏ khỏi định nghĩa "một nhà môi giới, đại lý hoa hồng tổng hợp" và thay vào đó giờ đây quy định rằng một đại lý độc lập là một người "tiến hành kinh doanh … với tư cách là một đại lý độc lập và hành động cho doanh nghiệp trong quá trình kinh doanh thông thường của mình". Đáng chú ý hơn, [k]hi, tuy nhiên, một người hành động độc quyền hoặc gần như độc quyền thay mặt cho một hoặc nhiều doanh nghiệp mà người đó có quan hệ mật thiết, thì người đó không thể là một đại lý độc lập.</w:t>
      </w:r>
    </w:p>
    <w:p>
      <w:pPr>
        <w:spacing w:after="80"/>
      </w:pPr>
      <w:r>
        <w:rPr>
          <w:b w:val="0"/>
          <w:i w:val="0"/>
        </w:rPr>
        <w:t>Cả Ireland lẫn Vương quốc Anh đều không chọn không áp dụng quy định này cho các Hiệp định thuế được bảo hiểm của mình.58</w:t>
      </w:r>
    </w:p>
    <w:p>
      <w:pPr>
        <w:spacing w:after="80"/>
      </w:pPr>
      <w:r>
        <w:rPr>
          <w:b/>
          <w:i w:val="0"/>
        </w:rPr>
        <w:t>[B]Người có quan hệ mật thiết với một doanh nghiệp</w:t>
      </w:r>
    </w:p>
    <w:p>
      <w:pPr>
        <w:spacing w:after="80"/>
      </w:pPr>
      <w:r>
        <w:rPr>
          <w:b w:val="0"/>
          <w:i w:val="0"/>
        </w:rPr>
        <w:t>BEPS Action 7 đưa thuật ngữ mới "người có quan hệ mật thiết với một doanh nghiệp" vào định nghĩa về cơ sở thường trú. Câu hỏi liệu một người có "quan hệ mật thiết" với một doanh nghiệp hay không không chỉ liên quan đến việc kiểm tra xem một đại lý có độc lập hay không mà còn liên quan đến các quy tắc chống phân mảnh mới áp dụng cho các công trường xây dựng, dự án xây dựng hoặc lắp đặt và cho các hoạt động chuẩn bị hoặc hỗ trợ, cả hai đều được thảo luận dưới đây.</w:t>
      </w:r>
    </w:p>
    <w:p>
      <w:pPr>
        <w:spacing w:after="80"/>
      </w:pPr>
      <w:r>
        <w:rPr>
          <w:b w:val="0"/>
          <w:i w:val="0"/>
        </w:rPr>
        <w:t>Một người có quan hệ mật thiết với một doanh nghiệp theo art. 15 của MLI, nếu một bên kiểm soát bên kia hoặc cả hai đều nằm dưới sự kiểm soát của cùng một người hoặc doanh nghiệp. Đây là một vấn đề thực tế. Một người được coi là có quan hệ mật thiết với một doanh nghiệp nếu:</w:t>
      </w:r>
    </w:p>
    <w:p>
      <w:pPr>
        <w:spacing w:after="80"/>
      </w:pPr>
      <w:r>
        <w:rPr>
          <w:b w:val="0"/>
          <w:i w:val="0"/>
        </w:rPr>
        <w:t>(a) một bên sở hữu trực tiếp hoặc gián tiếp hơn 50% quyền lợi hưởng lợi</w:t>
      </w:r>
    </w:p>
    <w:p>
      <w:pPr>
        <w:spacing w:after="80"/>
      </w:pPr>
      <w:r>
        <w:rPr>
          <w:b w:val="0"/>
          <w:i w:val="0"/>
        </w:rPr>
        <w:t>ở bên kia (hoặc, trong trường hợp là một công ty, hơn 50% tổng</w:t>
      </w:r>
    </w:p>
    <w:p>
      <w:pPr>
        <w:spacing w:after="80"/>
      </w:pPr>
      <w:r>
        <w:rPr>
          <w:b w:val="0"/>
          <w:i w:val="0"/>
        </w:rPr>
        <w:t>57.Xem Chương 7, §7.10.58. Bảo lưu và thông báo của Vương quốc Anh, Bảo lưu theo Điều 12(4). Bảo lưu và thông báo của Ireland, Bảo lưu theo Điều 12(4).</w:t>
      </w:r>
    </w:p>
    <w:p>
      <w:pPr>
        <w:spacing w:after="80"/>
      </w:pPr>
      <w:r>
        <w:rPr>
          <w:b w:val="0"/>
          <w:i w:val="0"/>
        </w:rPr>
        <w:t>539</w:t>
      </w:r>
    </w:p>
    <w:p>
      <w:pPr>
        <w:spacing w:after="80"/>
      </w:pPr>
      <w:r>
        <w:rPr>
          <w:b w:val="0"/>
          <w:i w:val="0"/>
        </w:rPr>
        <w:t>quyền biểu quyết và giá trị cổ phần của công ty hoặc lợi ích vốn chủ sở hữu thụ hưởng trong công ty);(b) một người khác sở hữu trực tiếp hoặc gián tiếp hơn 50%</w:t>
      </w:r>
    </w:p>
    <w:p>
      <w:pPr>
        <w:spacing w:after="80"/>
      </w:pPr>
      <w:r>
        <w:rPr>
          <w:b w:val="0"/>
          <w:i w:val="0"/>
        </w:rPr>
        <w:t>lợi ích vốn chủ sở hữu thụ hưởng (hoặc, trong trường hợp là một công ty, hơn 50% tổng quyền biểu quyết và giá trị cổ phần của công ty hoặc lợi ích vốn chủ sở hữu thụ hưởng trong công ty) trong người đó và doanh nghiệp:59</w:t>
      </w:r>
    </w:p>
    <w:p>
      <w:pPr>
        <w:spacing w:after="80"/>
      </w:pPr>
      <w:r>
        <w:rPr>
          <w:b/>
          <w:i w:val="0"/>
        </w:rPr>
        <w:t>Điều 15 – Định nghĩa về một người có quan hệ gần gũi với một doanh nghiệp</w:t>
      </w:r>
    </w:p>
    <w:p>
      <w:pPr>
        <w:spacing w:after="80"/>
      </w:pPr>
      <w:r>
        <w:rPr>
          <w:b w:val="0"/>
          <w:i w:val="0"/>
        </w:rPr>
        <w:t>1. Nhằm mục đích áp dụng các quy định của một Hiệp định thuế được điều chỉnh bởi khoản 2 Điều 12 (Ngăn chặn nhân tạo tình trạng cơ sở thường trú thông qua các thỏa thuận đại lý hoa hồng và các chiến lược tương tự), khoản 4 Điều 13 (Ngăn chặn nhân tạo tình trạng cơ sở thường trú thông qua các trường hợp miễn trừ hoạt động cụ thể), hoặc khoản 1 Điều 14 (Chia tách hợp đồng), một người được coi là có quan hệ gần gũi với một doanh nghiệp nếu, dựa trên tất cả các sự kiện và hoàn cảnh liên quan, một bên kiểm soát bên kia hoặc cả hai đều nằm dưới sự kiểm soát của cùng một người hoặc doanh nghiệp. Trong mọi trường hợp, một người được coi là có quan hệ gần gũi với một doanh nghiệp nếu một bên sở hữu trực tiếp hoặc gián tiếp hơn 50% lợi ích thụ hưởng trong bên kia (hoặc, trong trường hợp là một công ty, hơn 50% tổng quyền biểu quyết và giá trị cổ phần của công ty hoặc lợi ích vốn chủ sở hữu thụ hưởng trong công ty) hoặc nếu một người khác sở hữu trực tiếp hoặc gián tiếp hơn 50% lợi ích thụ hưởng (hoặc, trong trường hợp là một công ty, hơn 50% tổng quyền biểu quyết và giá trị cổ phần của công ty hoặc lợi ích vốn chủ sở hữu thụ hưởng trong công ty) trong người đó và doanh nghiệp.</w:t>
      </w:r>
    </w:p>
    <w:p>
      <w:pPr>
        <w:spacing w:after="80"/>
      </w:pPr>
      <w:r>
        <w:rPr>
          <w:rFonts w:ascii="Consolas" w:hAnsi="Consolas"/>
          <w:b/>
          <w:i w:val="0"/>
          <w:sz w:val="19"/>
        </w:rPr>
        <w:t>Công trường xây dựng, dự án xây dựng hoặc lắp đặt</w:t>
      </w:r>
    </w:p>
    <w:p>
      <w:pPr>
        <w:spacing w:after="80"/>
      </w:pPr>
      <w:r>
        <w:rPr>
          <w:b w:val="0"/>
          <w:i w:val="0"/>
        </w:rPr>
        <w:t>Các hiệp định quy định rõ ràng về công trường xây dựng, dự án xây dựng hoặc lắp đặt sẽ ấn định thời hạn tối thiểu để các hoạt động đó tạo thành một cơ sở thường trú.60 OECD đã lưu ý rằng đôi khi người ta phát hiện ra rằng các hợp đồng của họ đã bị chia thành nhiều phần, mỗi phần bao gồm một khoảng thời gian dưới mười hai tháng và mỗi phần được thực hiện bởi một công ty khác nhau trong một tập đoàn thuộc cùng quyền sở hữu.61</w:t>
      </w:r>
    </w:p>
    <w:p>
      <w:pPr>
        <w:spacing w:after="80"/>
      </w:pPr>
      <w:r>
        <w:rPr>
          <w:b w:val="0"/>
          <w:i w:val="0"/>
        </w:rPr>
        <w:t>Để giải quyết vấn đề này, Điều 14(1) quy định khi nào thời hạn đã bị vượt quá, sau đó một dự án hoặc hoạt động sẽ tạo thành một cơ sở thường trú. Khi (a) một doanh nghiệp thực hiện các hoạt động liên quan trong một hoặc nhiều khoảng thời gian tổng cộng vượt quá ba mươi ngày, mà không vượt quá khoảng thời gian được quy định trong Hiệp định thuế được điều chỉnh và (b) các hoạt động có liên quan được thực hiện tại quốc gia đó, tại hoặc liên quan đến cùng một địa điểm hoặc dự án trong các khoảng thời gian khác nhau, mỗi khoảng thời gian vượt quá ba mươi ngày, bởi một hoặc nhiều doanh nghiệp có quan hệ gần gũi với doanh nghiệp được đề cập đầu tiên, tất cả các khoảng thời gian này được cộng lại với nhau để đo tổng thời gian mà doanh nghiệp được đề cập đầu tiên đã thực hiện các hoạt động.</w:t>
      </w:r>
    </w:p>
    <w:p>
      <w:pPr>
        <w:spacing w:after="80"/>
      </w:pPr>
      <w:r>
        <w:rPr>
          <w:b w:val="0"/>
          <w:i w:val="0"/>
        </w:rPr>
        <w:t>59. Điều 15(1).60. Xem Chương 7, §7.08.61. OECD đoạn 18 của Bình luận về Điều 5.</w:t>
      </w:r>
    </w:p>
    <w:p>
      <w:pPr>
        <w:spacing w:after="80"/>
      </w:pPr>
      <w:r>
        <w:rPr>
          <w:b w:val="0"/>
          <w:i w:val="0"/>
        </w:rPr>
        <w:t>540</w:t>
      </w:r>
    </w:p>
    <w:p>
      <w:pPr>
        <w:spacing w:after="80"/>
      </w:pPr>
      <w:r>
        <w:rPr>
          <w:b w:val="0"/>
          <w:i w:val="0"/>
        </w:rPr>
        <w:t>Định nghĩa về một người có quan hệ gần gũi với một doanh nghiệp trong Điều 15(1) được mô tả ở trên, được áp dụng cho mục đích này:</w:t>
      </w:r>
    </w:p>
    <w:p>
      <w:pPr>
        <w:spacing w:after="80"/>
      </w:pPr>
      <w:r>
        <w:rPr>
          <w:b/>
          <w:i w:val="0"/>
        </w:rPr>
        <w:t>Điều 14 – Chia tách hợp đồng</w:t>
      </w:r>
    </w:p>
    <w:p>
      <w:pPr>
        <w:spacing w:after="80"/>
      </w:pPr>
      <w:r>
        <w:rPr>
          <w:b w:val="0"/>
          <w:i w:val="0"/>
        </w:rPr>
        <w:t>1. Chỉ nhằm mục đích xác định liệu khoảng thời gian (hoặc các khoảng thời gian) được đề cập trong một quy định của một Hiệp định thuế được điều chỉnh quy định một khoảng thời gian (hoặc các khoảng thời gian) sau đó các dự án hoặc hoạt động cụ thể sẽ tạo thành một cơ sở thường trú đã bị vượt quá hay chưa:(a) khi một doanh nghiệp của một Khu vực tài phán ký kết thực hiện các hoạt động tại</w:t>
      </w:r>
    </w:p>
    <w:p>
      <w:pPr>
        <w:spacing w:after="80"/>
      </w:pPr>
      <w:r>
        <w:rPr>
          <w:b w:val="0"/>
          <w:i w:val="0"/>
        </w:rPr>
        <w:t>Khu vực tài phán ký kết kia tại một địa điểm tạo thành một công trường xây dựng, dự án xây dựng, dự án lắp đặt hoặc dự án cụ thể khác được xác định trong quy định liên quan của Hiệp định thuế được điều chỉnh, hoặc thực hiện các hoạt động giám sát hoặc tư vấn liên quan đến địa điểm đó, trong trường hợp một quy định của Hiệp định thuế được điều chỉnh đề cập đến các hoạt động đó, và các hoạt động này được thực hiện trong một hoặc nhiều khoảng thời gian mà tổng cộng vượt quá 30 ngày mà không vượt quá khoảng thời gian hoặc các khoảng thời gian được đề cập trong quy định liên quan của Hiệp định thuế được điều chỉnh; và (b) khi các hoạt động có liên quan được thực hiện tại Khu vực tài phán ký kết kia</w:t>
      </w:r>
    </w:p>
    <w:p>
      <w:pPr>
        <w:spacing w:after="80"/>
      </w:pPr>
      <w:r>
        <w:rPr>
          <w:b w:val="0"/>
          <w:i w:val="0"/>
        </w:rPr>
        <w:t>Cơ quan thuế có thẩm quyền (hoặc, khi quy định liên quan của Hiệp định thuế được điều chỉnh áp dụng cho các hoạt động giám sát hoặc tư vấn, liên quan đến) cùng một địa điểm xây dựng, dự án xây dựng hoặc lắp đặt, hoặc địa điểm khác được xác định trong quy định liên quan của Hiệp định thuế được điều chỉnh trong các khoảng thời gian khác nhau, mỗi khoảng thời gian vượt quá 30 ngày, bởi một hoặc nhiều doanh nghiệp có quan hệ mật thiết với doanh nghiệp được đề cập đầu tiên,</w:t>
      </w:r>
    </w:p>
    <w:p>
      <w:pPr>
        <w:spacing w:after="80"/>
      </w:pPr>
      <w:r>
        <w:rPr>
          <w:b w:val="0"/>
          <w:i w:val="0"/>
        </w:rPr>
        <w:t>các khoảng thời gian khác nhau này sẽ được cộng vào tổng thời gian mà doanh nghiệp được đề cập đầu tiên đã tiến hành các hoạt động tại địa điểm xây dựng, dự án xây dựng hoặc lắp đặt, hoặc địa điểm khác được xác định trong quy định liên quan của Hiệp định thuế được điều chỉnh.</w:t>
      </w:r>
    </w:p>
    <w:p>
      <w:pPr>
        <w:spacing w:after="80"/>
      </w:pPr>
      <w:r>
        <w:rPr>
          <w:b w:val="0"/>
          <w:i w:val="0"/>
        </w:rPr>
        <w:t>Vương quốc Anh đã chọn không áp dụng quy định này cho các Hiệp định thuế được điều chỉnh của mình.62</w:t>
      </w:r>
    </w:p>
    <w:p>
      <w:pPr>
        <w:spacing w:after="80"/>
      </w:pPr>
      <w:r>
        <w:rPr>
          <w:b w:val="0"/>
          <w:i w:val="0"/>
        </w:rPr>
        <w:t>Ireland đã chọn không áp dụng Điều 14 cho việc thăm dò hoặc khai thác tài nguyên thiên nhiên.63</w:t>
      </w:r>
    </w:p>
    <w:p>
      <w:pPr>
        <w:spacing w:after="80"/>
      </w:pPr>
      <w:r>
        <w:rPr>
          <w:b/>
          <w:i w:val="0"/>
        </w:rPr>
        <w:t>[D]Các trường hợp loại trừ mang tính chuẩn bị hoặc hỗ trợ</w:t>
      </w:r>
    </w:p>
    <w:p>
      <w:pPr>
        <w:spacing w:after="80"/>
      </w:pPr>
      <w:r>
        <w:rPr>
          <w:b w:val="0"/>
          <w:i w:val="0"/>
        </w:rPr>
        <w:t>Một địa điểm kinh doanh cố định hoặc hoạt động mang tính chuẩn bị hoặc hỗ trợ, bao gồm cả những trường hợp được coi là như vậy, đều bị loại trừ khỏi việc cấu thành cơ sở thường trú.64</w:t>
      </w:r>
    </w:p>
    <w:p>
      <w:pPr>
        <w:spacing w:after="80"/>
      </w:pPr>
      <w:r>
        <w:rPr>
          <w:b w:val="0"/>
          <w:i w:val="0"/>
        </w:rPr>
        <w:t>OECD lưu ý trong BEPS Action 7, Báo cáo cuối kỳ rằng 'các hoạt động trước đây được coi là chỉ mang tính chuẩn bị hoặc hỗ trợ về bản chất thì ngày nay có thể tương ứng với các hoạt động kinh doanh cốt lõi'. Báo cáo cuối kỳ cũng ghi nhận những lo ngại của BEPS liên quan đến việc phân tách một hoạt động kinh doanh gắn kết thành nhiều hoạt động riêng biệt với mục đích</w:t>
      </w:r>
    </w:p>
    <w:p>
      <w:pPr>
        <w:spacing w:after="80"/>
      </w:pPr>
      <w:r>
        <w:rPr>
          <w:b w:val="0"/>
          <w:i w:val="0"/>
        </w:rPr>
        <w:t>62. Bảo lưu và thông báo của Vương quốc Anh, Bảo lưu theo Điều 14(3)(a).63. Bảo lưu và thông báo của Ireland, theo Điều 14(3)(b).64. Xem Chương 7, §7.13.</w:t>
      </w:r>
    </w:p>
    <w:p>
      <w:pPr>
        <w:spacing w:after="80"/>
      </w:pPr>
      <w:r>
        <w:rPr>
          <w:b w:val="0"/>
          <w:i w:val="0"/>
        </w:rPr>
        <w:t>541</w:t>
      </w:r>
    </w:p>
    <w:p>
      <w:pPr>
        <w:spacing w:after="80"/>
      </w:pPr>
      <w:r>
        <w:rPr>
          <w:b w:val="0"/>
          <w:i w:val="0"/>
        </w:rPr>
        <w:t>để được hưởng lợi từ các trường hợp loại trừ trong Điều 5(4) khỏi định nghĩa về cơ sở thường trú, với lý do rằng mỗi hoạt động riêng biệt chỉ thực hiện hoạt động mang tính chuẩn bị hoặc hỗ trợ.65 Mỗi lo ngại này đều được giải quyết trong các quy định tùy chọn tại Điều 13. Phương án A yêu cầu rằng tất cả các địa điểm và hoạt động đã được coi là mang tính chuẩn bị hoặc hỗ trợ về bản chất không còn tự động được coi như vậy nữa. Mỗi địa điểm hoặc hoạt động phải, và các hoạt động khi được xem xét tổng thể phải, mang tính chất chuẩn bị hoặc hỗ trợ để phủ nhận sự tồn tại của cơ sở thường trú.66</w:t>
      </w:r>
    </w:p>
    <w:p>
      <w:pPr>
        <w:spacing w:after="80"/>
      </w:pPr>
      <w:r>
        <w:rPr>
          <w:b w:val="0"/>
          <w:i w:val="0"/>
        </w:rPr>
        <w:t>Phương án B duy trì tính chất chuẩn bị hoặc hỗ trợ được coi là mặc định của các địa điểm và hoạt động bất kể hoạt động đó có thực sự mang tính chuẩn bị hoặc hỗ trợ hay không (trừ trường hợp Hiệp định thuế được điều chỉnh đang xét yêu cầu rõ ràng về tính chất chuẩn bị hoặc hỗ trợ thực tế).67 Do đó, Phương án B bảo toàn ngoại lệ về tính chuẩn bị hoặc hỗ trợ trước BEPS Action 7, Báo cáo cuối kỳ.</w:t>
      </w:r>
    </w:p>
    <w:p>
      <w:pPr>
        <w:spacing w:after="80"/>
      </w:pPr>
      <w:r>
        <w:rPr>
          <w:b w:val="0"/>
          <w:i w:val="0"/>
        </w:rPr>
        <w:t>Ngoài ra, Điều 13(4) thiết lập một quy tắc chống phân tách: ngoại lệ về tính chuẩn bị hoặc hỗ trợ sẽ không áp dụng cho một địa điểm hoặc các hoạt động của một doanh nghiệp nếu:</w:t>
      </w:r>
    </w:p>
    <w:p>
      <w:pPr>
        <w:spacing w:after="80"/>
      </w:pPr>
      <w:r>
        <w:rPr>
          <w:b w:val="0"/>
          <w:i w:val="0"/>
        </w:rPr>
        <w:t>cùng một doanh nghiệp hoặc một doanh nghiệp có quan hệ mật thiết tiến hành các hoạt động kinh doanh tại cùng một địa điểm hoặc tại một địa điểm khác trong cùng một quốc gia và:</w:t>
      </w:r>
    </w:p>
    <w:p>
      <w:pPr>
        <w:spacing w:after="80"/>
      </w:pPr>
      <w:r>
        <w:rPr>
          <w:b w:val="0"/>
          <w:i w:val="0"/>
        </w:rPr>
        <w:t>(a) địa điểm đó hoặc địa điểm khác đó cấu thành cơ sở thường trú cho</w:t>
      </w:r>
    </w:p>
    <w:p>
      <w:pPr>
        <w:spacing w:after="80"/>
      </w:pPr>
      <w:r>
        <w:rPr>
          <w:b w:val="0"/>
          <w:i w:val="0"/>
        </w:rPr>
        <w:t>doanh nghiệp hoặc doanh nghiệp có quan hệ mật thiết theo định nghĩa về cơ sở thường trú trong Hiệp định thuế được điều chỉnh; hoặc (b) hoạt động tổng thể phát sinh từ sự kết hợp của các hoạt động được tiến hành</w:t>
      </w:r>
    </w:p>
    <w:p>
      <w:pPr>
        <w:spacing w:after="80"/>
      </w:pPr>
      <w:r>
        <w:rPr>
          <w:b w:val="0"/>
          <w:i w:val="0"/>
        </w:rPr>
        <w:t>bởi hai doanh nghiệp tại cùng một địa điểm, hoặc bởi cùng một doanh nghiệp hoặc các doanh nghiệp có quan hệ mật thiết tại hai địa điểm, không mang tính chuẩn bị hoặc hỗ trợ,</w:t>
      </w:r>
    </w:p>
    <w:p>
      <w:pPr>
        <w:spacing w:after="80"/>
      </w:pPr>
      <w:r>
        <w:rPr>
          <w:b w:val="0"/>
          <w:i w:val="0"/>
        </w:rPr>
        <w:t>với điều kiện là các hoạt động kinh doanh được thực hiện bởi hai doanh nghiệp tại cùng một địa điểm, hoặc bởi cùng một doanh nghiệp hoặc các doanh nghiệp có liên quan chặt chẽ với nhau tại hai địa điểm, tạo thành các chức năng bổ trợ cho nhau và là một phần của một hoạt động kinh doanh gắn kết.68</w:t>
      </w:r>
    </w:p>
    <w:p>
      <w:pPr>
        <w:spacing w:after="80"/>
      </w:pPr>
      <w:r>
        <w:rPr>
          <w:b w:val="0"/>
          <w:i w:val="0"/>
        </w:rPr>
        <w:t>Vương quốc Anh đã chọn chỉ áp dụng quy tắc chống phân mảnh trong Điều 13(4) cho các Hiệp định thuế được bảo hiểm (Covered Tax Agreements) của mình và cho rằng hầu hết các Hiệp định thuế được bảo hiểm của mình đều có một điều khoản tương thích liên quan đến các miễn trừ cho hoạt động cụ thể.69 Ireland đã chọn Phương án B và quy tắc chống phân mảnh.70</w:t>
      </w:r>
    </w:p>
    <w:p>
      <w:pPr>
        <w:spacing w:after="80"/>
      </w:pPr>
      <w:r>
        <w:rPr>
          <w:b w:val="0"/>
          <w:i w:val="0"/>
        </w:rPr>
        <w:t>65. BEPS Action 7, Báo cáo cuối cùng, tr. 10. 66. Điều 13(2). 67. Điều 13(3). 68. Điều 13(4). 69. Bảo lưu và Thông báo của Vương quốc Anh, Thông báo về các Điều khoản hiện hành trong các Hiệp định được liệt kê theo Điều 13(8). 70. Bảo lưu và Thông báo của Ireland, Thông báo về việc Lựa chọn các Điều khoản tùy chọn theo Điều 13(7).</w:t>
      </w:r>
    </w:p>
    <w:p>
      <w:pPr>
        <w:spacing w:after="80"/>
      </w:pPr>
      <w:r>
        <w:rPr>
          <w:b w:val="0"/>
          <w:i w:val="0"/>
        </w:rPr>
        <w:t>542</w:t>
      </w:r>
    </w:p>
    <w:p>
      <w:pPr>
        <w:spacing w:after="80"/>
      </w:pPr>
      <w:r>
        <w:rPr>
          <w:b/>
          <w:i w:val="0"/>
        </w:rPr>
        <w:t>§18.06 CÁC ĐIỀU KHOẢN ẢNH HƯỞNG ĐẾN QUY TẮC PHÂN CHIA</w:t>
      </w:r>
    </w:p>
    <w:p>
      <w:pPr>
        <w:spacing w:after="80"/>
      </w:pPr>
      <w:r>
        <w:rPr>
          <w:b w:val="0"/>
          <w:i w:val="0"/>
        </w:rPr>
        <w:t>Công ước đa phương BEPS đưa ra bốn điều khoản tùy chọn liên quan đến các quy tắc phân chia trong các hiệp định song phương. Một điều khoản nhằm ngăn ngừa đánh thuế hai lần về mặt kinh tế khi có điều chỉnh giá chuyển nhượng. Ba điều khoản còn lại hướng đến các giao dịch hoặc thỏa thuận cụ thể. Trong mỗi trường hợp, OECD cho rằng có thể thực hiện các giao dịch hoặc thỏa thuận đó để đáp ứng các điều kiện được hưởng ưu đãi trong các điều khoản cụ thể của hiệp định trong những tình huống mà cơ quan thuế cho rằng việc cấp các ưu đãi hiệp định liên quan là không phù hợp.71 Không có điều khoản nào trong số này là mới. Chúng xuất hiện dưới nhiều hình thức khác nhau trong các hiệp định của Vương quốc Anh.72</w:t>
      </w:r>
    </w:p>
    <w:p>
      <w:pPr>
        <w:spacing w:after="80"/>
      </w:pPr>
      <w:r>
        <w:rPr>
          <w:b/>
          <w:i w:val="0"/>
        </w:rPr>
        <w:t>[A] Các doanh nghiệp liên kết: Điều chỉnh tương ứng</w:t>
      </w:r>
    </w:p>
    <w:p>
      <w:pPr>
        <w:spacing w:after="80"/>
      </w:pPr>
      <w:r>
        <w:rPr>
          <w:b w:val="0"/>
          <w:i w:val="0"/>
        </w:rPr>
        <w:t>Khi một quốc gia thực hiện điều chỉnh giá chuyển nhượng được cho phép bởi Điều 9(1) của Mẫu OECD, Điều 9(2) yêu cầu quốc gia kia thực hiện điều chỉnh tương ứng để tránh việc đánh thuế hai lần nếu không sẽ xảy ra.73 Một điều chỉnh tương ứng tương tự cũng được yêu cầu liên quan đến việc phân bổ lợi nhuận cho một cơ sở thường trú theo Điều 7(3) của Mẫu OECD (2010).74 Các điều khoản về điều chỉnh tương ứng không có trong tất cả các hiệp định cho phép điều chỉnh giá chuyển nhượng và một số quốc gia cho rằng, nếu không có các điều khoản đó, họ không có nghĩa vụ thực hiện các điều chỉnh như vậy. Báo cáo cuối cùng của BEPS Action 14 khuyến nghị đưa các điều khoản yêu cầu điều chỉnh tương ứng vào như một thông lệ tốt nhất để giải quyết tranh chấp hiệu quả hơn.75 Điều 17(1) của Công ước đa phương BEPS thể hiện Điều 9(2) của Mẫu OECD, nhằm thực thi thông lệ tốt nhất này. Mặc dù các điều chỉnh tương ứng được đề cập trong Báo cáo cuối cùng của BEPS Action 14 về việc làm cho các cơ chế giải quyết tranh chấp hiệu quả hơn, quy tắc này mang tính nội dung hơn là thủ tục.</w:t>
      </w:r>
    </w:p>
    <w:p>
      <w:pPr>
        <w:spacing w:after="80"/>
      </w:pPr>
      <w:r>
        <w:rPr>
          <w:b w:val="0"/>
          <w:i w:val="0"/>
        </w:rPr>
        <w:t>Phần lớn các hiệp định thuế hai lần giữa Vương quốc Anh và Ireland đều có một điều khoản tương đương với Điều 9(2) của Mẫu OECD.76 Trong các hiệp định đó, Điều 17(1) của MLI thay thế các điều khoản hiện hành chỉ trong phạm vi chúng không tương thích với Điều 17(1).77</w:t>
      </w:r>
    </w:p>
    <w:p>
      <w:pPr>
        <w:spacing w:after="80"/>
      </w:pPr>
      <w:r>
        <w:rPr>
          <w:b w:val="0"/>
          <w:i w:val="0"/>
        </w:rPr>
        <w:t>71. OECD (2014), Ngăn chặn việc cấp ưu đãi hiệp định trong các tình huống không phù hợp, Dự án BEPS của OECD/G20, Nhà xuất bản OECD, đoạn 18. 72. Xem tổng quát Chương 9, §9.17; Chương 10, §10.03, §10.02, §10.05; Chương 12, §12.07. 73. Xem Chương 9, §9.17. 74. Xem Chương 9, §9.07. 75. OECD (2015), Làm cho các cơ chế giải quyết tranh chấp hiệu quả hơn, Action 14 – Báo cáo cuối cùng 2015, Dự án BEPS của OECD/G20 http://dx.doi.org/10.1787/9789264241633-en (BEPS Action 14, Báo cáo cuối cùng), đoạn 43. 76. Bảo lưu và Thông báo của Vương quốc Anh, Thông báo về các Điều khoản hiện hành trong các Hiệp định được liệt kê theo Điều 17(4). Bảo lưu và Thông báo của Ireland, Thông báo về các Điều khoản hiện hành trong các Hiệp định được liệt kê theo Điều 17(4). 77. Điều 17(4).</w:t>
      </w:r>
    </w:p>
    <w:p>
      <w:pPr>
        <w:spacing w:after="80"/>
      </w:pPr>
      <w:r>
        <w:rPr>
          <w:b w:val="0"/>
          <w:i w:val="0"/>
        </w:rPr>
        <w:t>543</w:t>
      </w:r>
    </w:p>
    <w:p>
      <w:pPr>
        <w:spacing w:after="80"/>
      </w:pPr>
      <w:r>
        <w:rPr>
          <w:b/>
          <w:i w:val="0"/>
        </w:rPr>
        <w:t>[B] Các giao dịch chuyển nhượng cổ tức</w:t>
      </w:r>
    </w:p>
    <w:p>
      <w:pPr>
        <w:spacing w:after="80"/>
      </w:pPr>
      <w:r>
        <w:rPr>
          <w:b w:val="0"/>
          <w:i w:val="0"/>
        </w:rPr>
        <w:t>Các điều khoản về cổ tức theo Điều 10 của Mẫu OECD không yêu cầu cổ phần của công ty trả cổ tức phải được nắm giữ trong bất kỳ khoảng thời gian tối thiểu nào để đủ điều kiện được giảm thuế suất tại quốc gia nguồn.78 OECD đã quan sát thấy các giao dịch, ví dụ, đối với cổ phần khi một hiệp định quy định thuế suất thấp hơn cho các cổ đông là quỹ hưu trí so với các cổ đông danh mục đầu tư khác. Những giao dịch này có thể liên quan đến việc bán một cổ phần sắp được trả cổ tức cho một quỹ hưu trí và sau đó mua lại cổ phần đó sau khi cổ tức đã được trả (và đã chịu mức thuế thấp hơn tại quốc gia nguồn).79</w:t>
      </w:r>
    </w:p>
    <w:p>
      <w:pPr>
        <w:spacing w:after="80"/>
      </w:pPr>
      <w:r>
        <w:rPr>
          <w:b w:val="0"/>
          <w:i w:val="0"/>
        </w:rPr>
        <w:t>Để chống lại các giao dịch như vậy, Điều 8(1) của MLI giới hạn thuế suất giảm tại quốc gia nguồn đối với cổ tức khi chủ sở hữu hưởng lợi hoặc người nhận là một công ty. Trong trường hợp đó, thuế suất giảm chỉ áp dụng nếu quyền sở hữu phần vốn góp đủ điều kiện được nắm giữ trong suốt khoảng thời gian 365 ngày bao gồm cả ngày trả cổ tức. Ngoại lệ, những thay đổi về quyền sở hữu xuất phát trực tiếp từ việc tái cơ cấu công ty, chẳng hạn như sáp nhập hoặc tái cơ cấu chia tách, của công ty nắm giữ cổ phần hoặc công ty trả cổ tức sẽ được bỏ qua khi tính khoảng thời gian 365 ngày.</w:t>
      </w:r>
    </w:p>
    <w:p>
      <w:pPr>
        <w:spacing w:after="80"/>
      </w:pPr>
      <w:r>
        <w:rPr>
          <w:b w:val="0"/>
          <w:i w:val="0"/>
        </w:rPr>
        <w:t>Vương quốc Anh đã chọn không áp dụng điều khoản này cho các Hiệp định thuế được bảo hiểm của mình.80</w:t>
      </w:r>
    </w:p>
    <w:p>
      <w:pPr>
        <w:spacing w:after="80"/>
      </w:pPr>
      <w:r>
        <w:rPr>
          <w:b w:val="0"/>
          <w:i w:val="0"/>
        </w:rPr>
        <w:t>Ireland đã không đưa ra bảo lưu. Do đó, điều khoản này áp dụng cho một số hiệp định của Ireland.81</w:t>
      </w:r>
    </w:p>
    <w:p>
      <w:pPr>
        <w:spacing w:after="80"/>
      </w:pPr>
      <w:r>
        <w:rPr>
          <w:b/>
          <w:i w:val="0"/>
        </w:rPr>
        <w:t>[C]Lợi nhuận từ việc chuyển nhượng cổ phần hoặc quyền lợi trong các thực thể có giá trị chủ yếu bắt nguồn từ bất động sản</w:t>
      </w:r>
    </w:p>
    <w:p>
      <w:pPr>
        <w:spacing w:after="80"/>
      </w:pPr>
      <w:r>
        <w:rPr>
          <w:b w:val="0"/>
          <w:i w:val="0"/>
        </w:rPr>
        <w:t>Cổ phần và các quyền lợi khác thường không phải là bất động sản, nhưng các hiệp định áp dụng Điều 13(4) của OECD Model sẽ đồng nhất hóa cổ phần trong các thực thể mà giá trị chủ yếu dựa trên bất động sản với bất động sản cơ sở nằm tại một quốc gia ký kết.82</w:t>
      </w:r>
    </w:p>
    <w:p>
      <w:pPr>
        <w:spacing w:after="80"/>
      </w:pPr>
      <w:r>
        <w:rPr>
          <w:b w:val="0"/>
          <w:i w:val="0"/>
        </w:rPr>
        <w:t>Mặc dù không được xem xét trong các tài liệu thảo luận về việc ngăn chặn việc cấp các lợi ích hiệp định trong những trường hợp không thích hợp,83 BEPS Action 6, Báo cáo cuối cùng đề cập đến các giao dịch liên quan đến việc góp tài sản vào một thực thể ngay trước khi bán cổ phần hoặc các quyền lợi khác trong thực thể đó nhằm pha loãng tỷ lệ giá trị của các cổ phần này bắt nguồn từ bất động sản nằm tại một</w:t>
      </w:r>
    </w:p>
    <w:p>
      <w:pPr>
        <w:spacing w:after="80"/>
      </w:pPr>
      <w:r>
        <w:rPr>
          <w:b w:val="0"/>
          <w:i w:val="0"/>
        </w:rPr>
        <w:t>78.Xem Chương 10, §10.03. Các hiệp định của Vương quốc Anh trong một số trường hợp có quy định thời gian nắm giữ tối thiểu (xem Thuế khấu trừ tại nguồn). Xem Chương 17, §17.12 về các ngoại lệ thiện chí.79.OECD (2014), Ngăn chặn việc cấp các lợi ích hiệp định trong những trường hợp không thích hợp, Dự án chống xói mòn cơ sở thuế và chuyển dịch lợi nhuận của OECD/G20 http://dx.doi.org/10.1787/9789264219120-en ('Dự thảo thảo luận về Hành động 6') đoạn 25 và 26.80.Bảo lưu và thông báo của Vương quốc Anh, Bảo lưu theo Điều 8(3)(a).81.Bảo lưu và thông báo của Ireland, Thông báo về các quy định hiện hành trong các hiệp định được liệt kê theo Điều 8(4).82.Xem Chương 12, §12.07.83.Dự thảo thảo luận về Hành động 6. Dự án chống xói mòn cơ sở thuế và chuyển dịch lợi nhuận.</w:t>
      </w:r>
    </w:p>
    <w:p>
      <w:pPr>
        <w:spacing w:after="80"/>
      </w:pPr>
      <w:r>
        <w:rPr>
          <w:b w:val="0"/>
          <w:i w:val="0"/>
        </w:rPr>
        <w:t>544</w:t>
      </w:r>
    </w:p>
    <w:p>
      <w:pPr>
        <w:spacing w:after="80"/>
      </w:pPr>
      <w:r>
        <w:rPr>
          <w:b w:val="0"/>
          <w:i w:val="0"/>
        </w:rPr>
        <w:t>quốc gia ký kết xuống dưới ngưỡng cho phép quốc gia đó đánh thuế đối với việc bán cổ phần.84</w:t>
      </w:r>
    </w:p>
    <w:p>
      <w:pPr>
        <w:spacing w:after="80"/>
      </w:pPr>
      <w:r>
        <w:rPr>
          <w:b w:val="0"/>
          <w:i w:val="0"/>
        </w:rPr>
        <w:t>Để đối phó với các giao dịch như vậy, Điều 9(1)(a) của MLI quy định rằng ngưỡng để xác định liệu việc bán cổ phần có thể bị đánh thuế tại quốc gia nơi bất động sản tọa lạc nếu ngưỡng giá trị liên quan được đáp ứng tại bất kỳ thời điểm nào trong 365 ngày trước khi chuyển nhượng. Điều 9(1)(b) mở rộng quyền đánh thuế của quốc gia nơi bất động sản tọa lạc đối với 'cổ phần hoặc các quyền lợi tương đương, chẳng hạn như quyền lợi trong một công ty hợp danh hoặc quỹ tín thác (trong phạm vi các cổ phần hoặc quyền lợi đó chưa được đề cập) ngoài bất kỳ cổ phần hoặc quyền nào đã được các quy định đề cập'.</w:t>
      </w:r>
    </w:p>
    <w:p>
      <w:pPr>
        <w:spacing w:after="80"/>
      </w:pPr>
      <w:r>
        <w:rPr>
          <w:b w:val="0"/>
          <w:i w:val="0"/>
        </w:rPr>
        <w:t>Vương quốc Anh đã chọn không áp dụng quy định này cho các Hiệp định thuế được bảo hiểm của mình.85</w:t>
      </w:r>
    </w:p>
    <w:p>
      <w:pPr>
        <w:spacing w:after="80"/>
      </w:pPr>
      <w:r>
        <w:rPr>
          <w:b w:val="0"/>
          <w:i w:val="0"/>
        </w:rPr>
        <w:t>Ireland áp dụng Điều 9 cho các Hiệp định thuế được bảo hiểm của mình.86</w:t>
      </w:r>
    </w:p>
    <w:p>
      <w:pPr>
        <w:spacing w:after="80"/>
      </w:pPr>
      <w:r>
        <w:rPr>
          <w:b/>
          <w:i w:val="0"/>
        </w:rPr>
        <w:t>[D]Các trường hợp tam giác: Cơ sở thường trú nằm tại quốc gia thứ ba</w:t>
      </w:r>
    </w:p>
    <w:p>
      <w:pPr>
        <w:spacing w:after="80"/>
      </w:pPr>
      <w:r>
        <w:rPr>
          <w:b w:val="0"/>
          <w:i w:val="0"/>
        </w:rPr>
        <w:t>Khi một quốc gia ký kết loại bỏ việc đánh thuế hai lần bằng cách miễn thuế đối với lợi nhuận của một cơ sở thường trú ở nước ngoài,87 việc không đánh thuế hoặc đánh thuế hạn chế có thể phát sinh nếu (a) cổ phần, trái quyền, quyền hoặc tài sản khác được nắm giữ bởi một cơ sở thường trú tại quốc gia thứ ba nơi đánh thuế rất ít hoặc không đánh thuế đối với thu nhập từ các tài sản đó, và (b) quốc gia nguồn của thu nhập từ các tài sản đó được yêu cầu bởi hiệp định với quốc gia cư trú phải miễn thuế đối với thu nhập đó.88</w:t>
      </w:r>
    </w:p>
    <w:p>
      <w:pPr>
        <w:spacing w:after="80"/>
      </w:pPr>
      <w:r>
        <w:rPr>
          <w:b w:val="0"/>
          <w:i w:val="0"/>
        </w:rPr>
        <w:t>Trong những trường hợp như vậy, Điều 10(1) của MLI từ chối các lợi ích hiệp định đối với thu nhập mà thuế tại quốc gia thứ ba thấp hơn 60% mức thuế sẽ được áp dụng tại quốc gia cư trú đối với khoản thu nhập đó nếu cơ sở thường trú đó nằm tại quốc gia cư trú. Điều này không áp dụng cho thu nhập bắt nguồn từ quốc gia nguồn liên quan đến hoặc phụ thuộc vào việc tiến hành hoạt động kinh doanh một cách tích cực thông qua cơ sở thường trú tại quốc gia nguồn. Ngoại lệ này không áp dụng cho hoạt động kinh doanh tạo lập, quản lý hoặc đơn thuần nắm giữ các khoản đầu tư cho tài khoản của chính doanh nghiệp trừ khi các hoạt động này là hoạt động ngân hàng, bảo hiểm hoặc chứng khoán được thực hiện bởi một ngân hàng, doanh nghiệp bảo hiểm hoặc đại lý chứng khoán đã đăng ký tương ứng.89</w:t>
      </w:r>
    </w:p>
    <w:p>
      <w:pPr>
        <w:spacing w:after="80"/>
      </w:pPr>
      <w:r>
        <w:rPr>
          <w:b w:val="0"/>
          <w:i w:val="0"/>
        </w:rPr>
        <w:t>Một số hiệp định mà Vương quốc Anh là thành viên có các quy định mang lại hiệu lực đó đối với các loại thu nhập cụ thể.90 Điều 10(1) của MLI áp dụng quy tắc này cho tất cả các loại thu nhập. Cả Vương quốc Anh và Ireland đều không chọn áp dụng quy định này cho các Hiệp định thuế được bảo hiểm của mình.91</w:t>
      </w:r>
    </w:p>
    <w:p>
      <w:pPr>
        <w:spacing w:after="80"/>
      </w:pPr>
      <w:r>
        <w:rPr>
          <w:b w:val="0"/>
          <w:i w:val="0"/>
        </w:rPr>
        <w:t>84.BEPS Hành động 6, Báo cáo cuối cùng, đoạn 41-44.85.Bảo lưu và thông báo của Vương quốc Anh, Bảo lưu theo Điều 9(6)(a).86.Bảo lưu và thông báo của Ireland, Bảo lưu theo Điều 9(6)(e) và Thông báo về việc lựa chọn các quy định tùy chọn theo Điều 9(8).87.Xem Chương 15, §15.01.88.BEPS Hành động 6, Báo cáo cuối cùng, đoạn 49-52.89.Điều 10(2).90.Xem Chương 10, §10.03, §10.02, §10.05 (Cơ sở thường trú tại quốc gia thứ ba).91.Bảo lưu và thông báo của Vương quốc Anh, Bảo lưu theo Điều 10(5)(a). Bảo lưu và thông báo của Ireland, Bảo lưu theo Điều 10(5)(a).</w:t>
      </w:r>
    </w:p>
    <w:p>
      <w:pPr>
        <w:spacing w:after="80"/>
      </w:pPr>
      <w:r>
        <w:rPr>
          <w:b w:val="0"/>
          <w:i w:val="0"/>
        </w:rPr>
        <w:t>545</w:t>
      </w:r>
    </w:p>
    <w:p>
      <w:pPr>
        <w:spacing w:after="80"/>
      </w:pPr>
      <w:r>
        <w:rPr>
          <w:b/>
          <w:i w:val="0"/>
        </w:rPr>
        <w:t>§18.07 CÁC QUY ĐỊNH ẢNH HƯỞNG ĐẾN VIỆC LOẠI BỎ ĐÁNH THUẾ HAI LẦN</w:t>
      </w:r>
    </w:p>
    <w:p>
      <w:pPr>
        <w:spacing w:after="80"/>
      </w:pPr>
      <w:r>
        <w:rPr>
          <w:b w:val="0"/>
          <w:i w:val="0"/>
        </w:rPr>
        <w:t>BEPS Action 2, Báo cáo cuối kỳ92bao gồm các khuyến nghị nhằm ngăn chặn việc sử dụng các công cụ tài chính lai (hybrid financial instruments) để đạt được khoản khấu trừ khi tính lợi nhuận ở quốc gia thanh toán nhưng không tính vào thu nhập ở quốc gia nhận thanh toán theo công cụ đó (kết quả khấu trừ/không tính vào thu nhập (deduction/no inclusion - D/NI)). Nếu không có các biện pháp được khuyến nghị, có thể dẫn đến tình trạng không bị đánh thuế hai lần (double non-taxation). Trong bối cảnh này, việc giảm trừ thuế hai lần bằng phương pháp khấu trừ (credit) hoặc miễn thuế (exemption) có thể tạo ra tình trạng không bị đánh thuế hai lần tương tự.</w:t>
      </w:r>
    </w:p>
    <w:p>
      <w:pPr>
        <w:spacing w:after="80"/>
      </w:pPr>
      <w:r>
        <w:rPr>
          <w:b w:val="0"/>
          <w:i w:val="0"/>
        </w:rPr>
        <w:t>Các vấn đề đánh thuế hai lần liên quan đến các thực thể minh bạch (transparent entities) được đề cập trong BEPS Action 6, Báo cáo cuối kỳ93, trong đó giải quyết rộng hơn vấn đề các quốc gia bảo lưu quyền đánh thuế cư dân của mình.</w:t>
      </w:r>
    </w:p>
    <w:p>
      <w:pPr>
        <w:spacing w:after="80"/>
      </w:pPr>
      <w:r>
        <w:rPr>
          <w:b/>
          <w:i w:val="0"/>
        </w:rPr>
        <w:t>[A]Loại bỏ đánh thuế hai lần và sự không khớp lai (Hybrid Mismatches)</w:t>
      </w:r>
    </w:p>
    <w:p>
      <w:pPr>
        <w:spacing w:after="80"/>
      </w:pPr>
      <w:r>
        <w:rPr>
          <w:b w:val="0"/>
          <w:i w:val="0"/>
        </w:rPr>
        <w:t>Khi xử lý sự tương tác giữa các thay đổi được khuyến nghị đối với cách xử lý theo luật trong nước đối với các công cụ tài chính lai và các khoản thanh toán lai (hybrid entity payments) một mặt, và các hiệp định mặt khác, hai khuyến nghị đề xuất sửa đổi các quy tắc điều chỉnh việc loại bỏ đánh thuế hai lần bởi quốc gia cư trú tại Điều 23 của OECD Model nhằm ngăn chặn các kết quả D/NI.</w:t>
      </w:r>
    </w:p>
    <w:p>
      <w:pPr>
        <w:spacing w:after="80"/>
      </w:pPr>
      <w:r>
        <w:rPr>
          <w:b w:val="0"/>
          <w:i w:val="0"/>
        </w:rPr>
        <w:t>Để ngăn chặn các kết quả D/NI phát sinh từ một công cụ tài chính, việc miễn thuế cổ tức (dividend exemption) được cung cấp để giảm trừ đánh thuế hai lần về kinh tế không nên được áp dụng theo luật trong nước trong phạm vi khoản thanh toán cổ tức được bên trả khấu trừ. Tương tự, các khu vực tài phán nên xem xét áp dụng các hạn chế tương tự đối với các loại giảm trừ cổ tức khác được cấp để giảm đánh thuế hai lần về kinh tế đối với lợi nhuận cơ sở.</w:t>
      </w:r>
    </w:p>
    <w:p>
      <w:pPr>
        <w:spacing w:after="80"/>
      </w:pPr>
      <w:r>
        <w:rPr>
          <w:b w:val="0"/>
          <w:i w:val="0"/>
        </w:rPr>
        <w:t>Để ngăn chặn việc nhân đôi tín dụng thuế (tax credits) trong một giao dịch chuyển nhượng lai (hybrid transfer), bất kỳ khu vực tài phán nào cấp giảm trừ cho thuế khấu trừ tại nguồn đối với khoản thanh toán được thực hiện theo một giao dịch chuyển nhượng lai nên hạn chế lợi ích của việc giảm trừ đó tương ứng với thu nhập chịu thuế ròng của người nộp thuế theo thỏa thuận đó.94</w:t>
      </w:r>
    </w:p>
    <w:p>
      <w:pPr>
        <w:spacing w:after="80"/>
      </w:pPr>
      <w:r>
        <w:rPr>
          <w:b w:val="0"/>
          <w:i w:val="0"/>
        </w:rPr>
        <w:t>Điều 5 của MLI đưa ra ba cách tiếp cận có thể được áp dụng để hạn chế việc giảm trừ thuế hai lần mà nếu không sẽ có sẵn theo các hiệp định khi một quốc gia ký kết áp dụng phương pháp miễn thuế để loại bỏ đánh thuế hai lần.95</w:t>
      </w:r>
    </w:p>
    <w:p>
      <w:pPr>
        <w:spacing w:after="80"/>
      </w:pPr>
      <w:r>
        <w:rPr>
          <w:b w:val="0"/>
          <w:i w:val="0"/>
        </w:rPr>
        <w:t>Phương án A96 loại trừ khỏi việc miễn thuế tại quốc gia cư trú (cũng là quốc gia nhận), bất kỳ thu nhập hoặc vốn nào được hưởng lợi từ việc miễn thuế hoặc giảm thuế suất tại quốc gia nguồn (cũng là quốc gia thanh toán) theo Hiệp định Thuế được Bảo hiểm (Covered Tax Agreement) đang xét. Nó áp dụng chung cho bất kỳ khoản mục nào đủ điều kiện hưởng lợi ích hiệp định tại quốc gia nguồn. Như vậy, nó vượt xa các trường hợp không khớp lai để bao gồm bất kỳ loại thu nhập hoặc lợi nhuận nào mà quốc gia cư trú có quyền đánh thuế độc quyền hoặc nơi quốc gia nguồn được yêu cầu giảm thuế suất.</w:t>
      </w:r>
    </w:p>
    <w:p>
      <w:pPr>
        <w:spacing w:after="80"/>
      </w:pPr>
      <w:r>
        <w:rPr>
          <w:b w:val="0"/>
          <w:i w:val="0"/>
        </w:rPr>
        <w:t>92. BEPS Action 2, Báo cáo cuối kỳ. 93. BEPS Action 6, Báo cáo cuối kỳ, đoạn 64. 94. BEPS Action 2, Báo cáo cuối kỳ, đoạn 440. 95. Điều 5(3), (5) và (7). Về phương pháp miễn thuế, xem Chương 15, §15.13. 96. Điều 5(2).</w:t>
      </w:r>
    </w:p>
    <w:p>
      <w:pPr>
        <w:spacing w:after="80"/>
      </w:pPr>
      <w:r>
        <w:rPr>
          <w:b w:val="0"/>
          <w:i w:val="0"/>
        </w:rPr>
        <w:t>546</w:t>
      </w:r>
    </w:p>
    <w:p>
      <w:pPr>
        <w:spacing w:after="80"/>
      </w:pPr>
      <w:r>
        <w:rPr>
          <w:b w:val="0"/>
          <w:i w:val="0"/>
        </w:rPr>
        <w:t>Phương án B97 được nhắm mục tiêu hẹp hơn vào các công cụ tài chính lai mà thông thường là cổ tức trong tay người nhận nhưng là lãi trong tay bên trả. Nó xử lý thu nhập mà một cư dân của một quốc gia ký kết (cũng là quốc gia nhận) có được, mà nếu không sẽ được coi là thu nhập cổ tức được miễn thuế tại quốc gia đó nhưng lại được coi là khoản thanh toán được khấu trừ bởi quốc gia kia (cũng là quốc gia thanh toán).</w:t>
      </w:r>
    </w:p>
    <w:p>
      <w:pPr>
        <w:spacing w:after="80"/>
      </w:pPr>
      <w:r>
        <w:rPr>
          <w:b w:val="0"/>
          <w:i w:val="0"/>
        </w:rPr>
        <w:t>Phương pháp miễn thuế bị tắt và phương pháp khấu trừ được bật theo cả Phương án A và Phương án B. Do đó, quốc gia nhận không được áp dụng phương pháp miễn thuế đối với cổ tức được khấu trừ tại quốc gia thanh toán. Thay vào đó, bất kỳ thuế thu nhập nào đã nộp tại quốc gia thanh toán phải được khấu trừ vào nghĩa vụ thuế thu nhập của người nhận tại quốc gia nhận.</w:t>
      </w:r>
    </w:p>
    <w:p>
      <w:pPr>
        <w:spacing w:after="80"/>
      </w:pPr>
      <w:r>
        <w:rPr>
          <w:b w:val="0"/>
          <w:i w:val="0"/>
        </w:rPr>
        <w:t>Phương án C98 thay thế hoàn toàn phương pháp miễn thuế bằng phương pháp khấu trừ để loại bỏ đánh thuế hai lần. Nó cũng đưa ra giới hạn về mức độ mà quốc gia cư trú được yêu cầu cấp tín dụng thuế cho khoản thuế mà quốc gia kia áp đặt theo luật trong nước và được quyền áp đặt theo Hiệp định Thuế được Bảo hiểm đang xét. Do đó, không cần phải cấp tín dụng thuế trong phạm vi mà Hiệp định Thuế được Bảo hiểm đang xét cho phép quốc gia kia đánh thuế chỉ vì thu nhập đó cũng là thu nhập mà một cư dân của quốc gia kia có được. Mặc dù MLI không, về mặt ngôn từ, liên kết Phương án C với Điều 11, điều bảo lưu quyền của các quốc gia đánh thuế cư dân của mình, nhưng hai điều này gắn bó chặt chẽ với nhau. Sự không khớp trong những trường hợp như vậy chỉ phát sinh từ việc cả hai quốc gia đánh thuế trên cơ sở cư trú chứ không phải từ bất kỳ thỏa thuận nào mà người nộp thuế đã dàn xếp.</w:t>
      </w:r>
    </w:p>
    <w:p>
      <w:pPr>
        <w:spacing w:after="80"/>
      </w:pPr>
      <w:r>
        <w:rPr>
          <w:b w:val="0"/>
          <w:i w:val="0"/>
        </w:rPr>
        <w:t>Vương quốc Anh và Ireland đã chọn không áp dụng bất kỳ phương án nào trong số này cho các Hiệp định Thuế được Bảo hiểm của họ.99 Lựa chọn này của Vương quốc Anh chỉ áp dụng cho người nộp thuế cư trú tại Vương quốc Anh và không ngăn cản các bên khác chọn áp dụng một trong các phương án này cho cư dân của họ liên quan đến hiệp định của họ với Vương quốc Anh. Sự bất đối xứng này trong các phương pháp giảm trừ đánh thuế hai lần còn lại không phải là điều bất thường trong các hiệp định của Vương quốc Anh.100</w:t>
      </w:r>
    </w:p>
    <w:p>
      <w:pPr>
        <w:spacing w:after="80"/>
      </w:pPr>
      <w:r>
        <w:rPr>
          <w:b/>
          <w:i w:val="0"/>
        </w:rPr>
        <w:t>[B]Loại bỏ đánh thuế hai lần và các thực thể minh bạch</w:t>
      </w:r>
    </w:p>
    <w:p>
      <w:pPr>
        <w:spacing w:after="80"/>
      </w:pPr>
      <w:r>
        <w:rPr>
          <w:b w:val="0"/>
          <w:i w:val="0"/>
        </w:rPr>
        <w:t>Một sự loại trừ chung tương tự khỏi nghĩa vụ loại bỏ đánh thuế hai lần tại quốc gia cư trú, khi quốc gia kia bảo lưu quyền của các quốc gia đánh thuế cư dân của mình, cũng có thể được các quốc gia áp dụng Điều 3(2) lựa chọn. Điều đó quy định rằng các quy định về khấu trừ hoặc miễn thuế của Hiệp định Thuế được Bảo hiểm sẽ không áp dụng trong phạm vi hiệp định đang xét cho phép quốc gia kia đánh thuế chỉ vì thu nhập đó cũng là thu nhập mà một cư dân của quốc gia kia có được.</w:t>
      </w:r>
    </w:p>
    <w:p>
      <w:pPr>
        <w:spacing w:after="80"/>
      </w:pPr>
      <w:r>
        <w:rPr>
          <w:b w:val="0"/>
          <w:i w:val="0"/>
        </w:rPr>
        <w:t>Mặc dù art.3(2) là một phần của điều khoản liên quan đến các thực thể minh bạch (transparent entities), nhưng xét về mặt câu chữ, nó không chỉ giới hạn trong các trường hợp mà một thực thể được một quốc gia coi là minh bạch nhưng lại được quốc gia kia coi là một cá nhân và là đối tượng cư trú. Tuy nhiên, vì các lựa chọn hiện có cho phép các quốc gia áp dụng toàn bộ art.3, hoặc chỉ art.3(1) mà không áp dụng riêng art.3(2), nên</w:t>
      </w:r>
    </w:p>
    <w:p>
      <w:pPr>
        <w:spacing w:after="80"/>
      </w:pPr>
      <w:r>
        <w:rPr>
          <w:b w:val="0"/>
          <w:i w:val="0"/>
        </w:rPr>
        <w:t>97. Art. 5(4). 98. Art. 5(6). Về phương pháp tín dụng (credit method), xem Chương 15, §15.02. 99. Art. 5(1) và (10). Bảo lưu và Thông báo của Vương quốc Anh, Thông báo về Lựa chọn các Điều khoản Tùy chọn. Bảo lưu và Thông báo của Ireland, Thông báo về Lựa chọn các Điều khoản Tùy chọn. 100. Xem Chương 15, §15.01.</w:t>
      </w:r>
    </w:p>
    <w:p>
      <w:pPr>
        <w:spacing w:after="80"/>
      </w:pPr>
      <w:r>
        <w:rPr>
          <w:b w:val="0"/>
          <w:i w:val="0"/>
        </w:rPr>
        <w:t>547</w:t>
      </w:r>
    </w:p>
    <w:p>
      <w:pPr>
        <w:spacing w:after="80"/>
      </w:pPr>
      <w:r>
        <w:rPr>
          <w:b w:val="0"/>
          <w:i w:val="0"/>
        </w:rPr>
        <w:t>ngữ cảnh gợi ý rằng khi art. 3 được áp dụng toàn bộ, thì art. 3(2) phải được giải thích là chỉ áp dụng trong các trường hợp thuộc phạm vi art. 3(1).101</w:t>
      </w:r>
    </w:p>
    <w:p>
      <w:pPr>
        <w:spacing w:after="80"/>
      </w:pPr>
      <w:r>
        <w:rPr>
          <w:b w:val="0"/>
          <w:i w:val="0"/>
        </w:rPr>
        <w:t>Vương quốc Anh đã chọn không áp dụng điều khoản này cho các Hiệp định Thuế được Bảo hiểm (Covered Tax Agreements) của mình.102</w:t>
      </w:r>
    </w:p>
    <w:p>
      <w:pPr>
        <w:spacing w:after="80"/>
      </w:pPr>
      <w:r>
        <w:rPr>
          <w:b/>
          <w:i w:val="0"/>
        </w:rPr>
        <w:t>§18.08 GIẢI QUYẾT TRANH CHẤP HIỆU QUẢ: TIÊU CHUẨN TỐI THIỂU</w:t>
      </w:r>
    </w:p>
    <w:p>
      <w:pPr>
        <w:spacing w:after="80"/>
      </w:pPr>
      <w:r>
        <w:rPr>
          <w:b w:val="0"/>
          <w:i w:val="0"/>
        </w:rPr>
        <w:t>Thành phần chính của tiêu chuẩn tối thiểu nhằm đảm bảo việc giải quyết các tranh chấp liên quan đến hiệp định một cách kịp thời, hiệu quả và hiệu suất là việc đưa vào Thủ tục Thỏa thuận Song phương (MAP - Mutual Agreement Procedure) được quy định tại art. 25(1)-(3) của OECD Model103 trong các hiệp định thuế của họ.104 Những điều khoản này được tái bản trong art. 16(1)-(3) của MLI. Article 16(1) cũng bao gồm một cải tiến đối với MAP ở chỗ nó cho phép một vụ việc được trình lên cơ quan có thẩm quyền của một trong hai quốc gia, thay vì yêu cầu vụ việc chỉ được trình lên cơ quan có thẩm quyền của quốc gia cư trú của người trình.</w:t>
      </w:r>
    </w:p>
    <w:p>
      <w:pPr>
        <w:spacing w:after="80"/>
      </w:pPr>
      <w:r>
        <w:rPr>
          <w:b w:val="0"/>
          <w:i w:val="0"/>
        </w:rPr>
        <w:t>Là một yếu tố của tiêu chuẩn tối thiểu, art. 16(1)-(3) được quy định áp dụng thay thế hoặc trong trường hợp không có các điều khoản như vậy trong mỗi Hiệp định Thuế được Bảo hiểm.105 Tiêu chuẩn tối thiểu của BEPS Action 14, Báo cáo Cuối cùng cho phép hai biến thể đối với các quy tắc này. Thứ nhất, khi một hiệp định không cho phép yêu cầu MAP được gửi đến một trong hai quốc gia, các bên phải thực hiện một quy trình thông báo hoặc tham vấn song phương cho các trường hợp mà cơ quan có thẩm quyền nơi vụ việc MAP được trình lên không xem xét phản đối của người nộp thuế là chính đáng. Việc tham vấn này không thể được hiểu là tham vấn về cách giải quyết vụ việc. Mục đích của thông báo này là đảm bảo rằng cả hai cơ quan có thẩm quyền đều biết về các yêu cầu MAP và đều có thể đưa ra quan điểm của mình về việc liệu yêu cầu đó được chấp nhận hay bị từ chối.106</w:t>
      </w:r>
    </w:p>
    <w:p>
      <w:pPr>
        <w:spacing w:after="80"/>
      </w:pPr>
      <w:r>
        <w:rPr>
          <w:b w:val="0"/>
          <w:i w:val="0"/>
        </w:rPr>
        <w:t>Các quốc gia không đồng ý rằng các thỏa thuận MAP phải được thực hiện bất chấp mọi giới hạn thời gian theo luật trong nước, nên chấp nhận các điều khoản hiệp định thay thế nhằm giới hạn khoảng thời gian mà một quốc gia có thể thực hiện điều chỉnh theo Article 9(1) (Các Doanh nghiệp Liên kết)107 hoặc Article 7(2) (phân bổ lợi nhuận cho một cơ sở thường trú)108 để tránh những điều chỉnh muộn mà sẽ không có biện pháp giảm nhẹ MAP nào available.109</w:t>
      </w:r>
    </w:p>
    <w:p>
      <w:pPr>
        <w:spacing w:after="80"/>
      </w:pPr>
      <w:r>
        <w:rPr>
          <w:b w:val="0"/>
          <w:i w:val="0"/>
        </w:rPr>
        <w:t>Một bên ký kết có thể đáp ứng khía cạnh này của tiêu chuẩn tối thiểu của Action 14 trên cơ sở rằng họ 'có ý định đáp ứng tiêu chuẩn tối thiểu trong các Hiệp định Thuế được Bảo hiểm của mình'.110</w:t>
      </w:r>
    </w:p>
    <w:p>
      <w:pPr>
        <w:spacing w:after="80"/>
      </w:pPr>
      <w:r>
        <w:rPr>
          <w:b w:val="0"/>
          <w:i w:val="0"/>
        </w:rPr>
        <w:t>Các quốc gia không muốn đồng ý rằng các thỏa thuận MAP phải được thực hiện bất chấp mọi giới hạn thời gian theo luật trong nước được phép tuân thủ nếu họ 'có ý định' đáp ứng tiêu chuẩn tối thiểu bằng cách chấp nhận, trong các cuộc đàm phán hiệp định song phương, một điều khoản hiệp định</w:t>
      </w:r>
    </w:p>
    <w:p>
      <w:pPr>
        <w:spacing w:after="80"/>
      </w:pPr>
      <w:r>
        <w:rPr>
          <w:b w:val="0"/>
          <w:i w:val="0"/>
        </w:rPr>
        <w:t>101. Art. 3(5). 102. Bảo lưu và Thông báo của Vương quốc Anh, Bảo lưu theo Art. 3(5)(f). 103. Xem Chương 20, §20.04. 104. BEPS Action 14, Báo cáo Cuối cùng, đoạn 9. 105. Art. 16(4). 106. BEPS Action 14, Báo cáo Cuối cùng, đoạn 35. 107. Xem Chương 9, §9.17. 108. Xem Chương 9, §§9.04 và tiếp theo. 109. BEPS Action 14, Báo cáo Cuối cùng, đoạn 38 và 39. 110. Art. 16(5)(a), (b) và (c)(i).</w:t>
      </w:r>
    </w:p>
    <w:p>
      <w:pPr>
        <w:spacing w:after="80"/>
      </w:pPr>
      <w:r>
        <w:rPr>
          <w:b w:val="0"/>
          <w:i w:val="0"/>
        </w:rPr>
        <w:t>548</w:t>
      </w:r>
    </w:p>
    <w:p>
      <w:pPr>
        <w:spacing w:after="80"/>
      </w:pPr>
      <w:r>
        <w:rPr>
          <w:b w:val="0"/>
          <w:i w:val="0"/>
        </w:rPr>
        <w:t>ngăn cản việc điều chỉnh theo art. 9(1) (các doanh nghiệp liên kết) hoặc art. 7(2) (phân bổ lợi nhuận cho một cơ sở thường trú) sau một khoảng thời gian được cả hai quốc gia đồng ý. Giới hạn thời gian này được quy định là không áp dụng trong trường hợp gian lận, sơ suất nghiêm trọng hoặc cố ý vi phạm.111</w:t>
      </w:r>
    </w:p>
    <w:p>
      <w:pPr>
        <w:spacing w:after="80"/>
      </w:pPr>
      <w:r>
        <w:rPr>
          <w:b w:val="0"/>
          <w:i w:val="0"/>
        </w:rPr>
        <w:t>Article 16(6) yêu cầu các bên thông báo chi tiết về các điều khoản trong Hiệp định Thuế được Bảo hiểm, ở mức độ mà các bên đó xem xét liệu có tuân thủ hay không tuân thủ tiêu chuẩn tối thiểu. Hầu hết các hiệp định của Vương quốc Anh đều có MAP về cơ bản phù hợp với OECD Model. Điều này cũng đúng với Ireland.112 Công ước Trọng tài của Liên minh Châu Âu (EU)113 không phải là một Hiệp định Thuế được Bảo hiểm, do đó MAP trong công ước đó không được thông báo hoặc sửa đổi bởi MLI.</w:t>
      </w:r>
    </w:p>
    <w:p>
      <w:pPr>
        <w:spacing w:after="80"/>
      </w:pPr>
      <w:r>
        <w:rPr>
          <w:b/>
          <w:i w:val="0"/>
        </w:rPr>
        <w:t>§18.09 TRỌNG TÀI</w:t>
      </w:r>
    </w:p>
    <w:p>
      <w:pPr>
        <w:spacing w:after="80"/>
      </w:pPr>
      <w:r>
        <w:rPr>
          <w:b w:val="0"/>
          <w:i w:val="0"/>
        </w:rPr>
        <w:t>BEPS Action 14, Báo cáo cuối kỳ nhằm cải thiện quy trình giải quyết tranh chấp thuế quốc tế. Theo truyền thống, các tranh chấp trong lĩnh vực hiệp định thuế được giải quyết bằng thủ tục thỏa thuận song phương (MAP) giữa các cơ quan có thẩm quyền của các quốc gia ký kết, phù hợp với Điều 25 của OECD Model Tax Convention. Hạn chế quan trọng nhất đối với hiệu quả của quy trình này là các cơ quan có thẩm quyền không thể bị buộc phải giải quyết tranh chấp.</w:t>
      </w:r>
    </w:p>
    <w:p>
      <w:pPr>
        <w:spacing w:after="80"/>
      </w:pPr>
      <w:r>
        <w:rPr>
          <w:b w:val="0"/>
          <w:i w:val="0"/>
        </w:rPr>
        <w:t>Phần VI của MLI thiết lập trọng tài ràng buộc bắt buộc để xử lý các trường hợp mà MAP không giải quyết được tranh chấp hiệp định. Nó áp dụng cho các Covered Tax Agreement (Thỏa thuận thuế được bảo hiểm) khi cả hai bên lựa chọn như vậy.114</w:t>
      </w:r>
    </w:p>
    <w:p>
      <w:pPr>
        <w:spacing w:after="80"/>
      </w:pPr>
      <w:r>
        <w:rPr>
          <w:b/>
          <w:i w:val="0"/>
        </w:rPr>
        <w:t>[A]Trọng tài ràng buộc bắt buộc</w:t>
      </w:r>
    </w:p>
    <w:p>
      <w:pPr>
        <w:spacing w:after="80"/>
      </w:pPr>
      <w:r>
        <w:rPr>
          <w:b w:val="0"/>
          <w:i w:val="0"/>
        </w:rPr>
        <w:t>Bất kỳ vấn đề thuế nào không phù hợp với các quy định của Covered Tax Agreement mà vẫn chưa được giải quyết trong vòng hai năm kể từ ngày bắt đầu phải được đưa ra trọng tài nếu người nộp thuế yêu cầu. Quyết định của trọng tài viên nói chung là ràng buộc đối với các quốc gia trừ khi người nộp thuế không chấp nhận quyết định đó. Khung trọng tài cơ bản trong Điều 25(5) của OECD Model115 do đó được tuân theo nhưng phải chịu những sửa đổi đáng kể.</w:t>
      </w:r>
    </w:p>
    <w:p>
      <w:pPr>
        <w:spacing w:after="80"/>
      </w:pPr>
      <w:r>
        <w:rPr>
          <w:b w:val="0"/>
          <w:i w:val="0"/>
        </w:rPr>
        <w:t>Phù hợp với OECD Model, các bên có thể bảo lưu rằng một vấn đề chưa được giải quyết sẽ không đủ điều kiện để đưa ra trọng tài nếu quyết định về vấn đề đó đã được tòa án hoặc cơ quan tài phán hành chính của một trong hai quốc gia ký kết đưa ra.116</w:t>
      </w:r>
    </w:p>
    <w:p>
      <w:pPr>
        <w:spacing w:after="80"/>
      </w:pPr>
      <w:r>
        <w:rPr>
          <w:b w:val="0"/>
          <w:i w:val="0"/>
        </w:rPr>
        <w:t>111. Điều 15(5)(c)(ii). 112. Xem Chương 20, §20.04 đến §20.11. Bảo lưu và Thông báo của Vương quốc Anh, Thông báo theo Điều 16(6)(a), 16(6)(b)(i), 16(6)(b)(ii), 16(6)(c)(i), 16(6)(c)(ii), 16(6)(d)(i) và 16(6)(d)(ii). Bảo lưu và Thông báo của Ireland, Thông báo theo Điều 16(6)(a), 16(6)(b)(i), 16(6)(b)(ii), 16(6)(c)(i), 16(6)(c)(ii), 16(6)(d)(i) và 16(6)(d)(ii). 113. Công ước 90/436 về việc loại bỏ đánh thuế hai lần liên quan đến việc điều chỉnh lợi nhuận của các doanh nghiệp liên kết (ngày 23 tháng 7 năm 1990, OJ 1990 L225/10). Xem Chương 21, §21.01. 114. Điều 18. 115. Xem Chương 20, §20.13. 116. Điều 19(12)(a).</w:t>
      </w:r>
    </w:p>
    <w:p>
      <w:pPr>
        <w:spacing w:after="80"/>
      </w:pPr>
      <w:r>
        <w:rPr>
          <w:b w:val="0"/>
          <w:i w:val="0"/>
        </w:rPr>
        <w:t>549</w:t>
      </w:r>
    </w:p>
    <w:p>
      <w:pPr>
        <w:spacing w:after="80"/>
      </w:pPr>
      <w:r>
        <w:rPr>
          <w:b w:val="0"/>
          <w:i w:val="0"/>
        </w:rPr>
        <w:t>Trọng tài theo MLI cũng bị loại trừ đối với các trường hợp mà nếu không thì thuộc phạm vi của nó nếu cùng một vấn đề là đối tượng của một vụ việc mà một hội đồng trọng tài hoặc cơ quan tương tự đã được thành lập theo một hiệp định song phương hoặc đa phương quy định trọng tài ràng buộc bắt buộc đối với vấn đề đó.117 Điều này sẽ bao gồm các trường hợp thuộc Công ước Trọng tài EU118 hoặc các hiệp định đầu tư song phương nhưng không bao gồm Chỉ thị của EU về Cơ chế Giải quyết Tranh chấp Đánh thuế Hai lần trong EU.</w:t>
      </w:r>
    </w:p>
    <w:p>
      <w:pPr>
        <w:spacing w:after="80"/>
      </w:pPr>
      <w:r>
        <w:rPr>
          <w:b w:val="0"/>
          <w:i w:val="0"/>
        </w:rPr>
        <w:t>Khác với Điều 25(5) của OECD Model, nơi thời hạn hai năm bắt đầu từ khi người bị ảnh hưởng trình bày vụ việc, thời hạn theo Phần VI của MLI chỉ bắt đầu chạy sau khi thủ tục quy định tại Điều 19(5)-(9) hoàn tất. Hiệu quả thường sẽ là kéo dài thời hạn đáng kể so với các hiệp định áp dụng Điều 25(5)(b) của OECD Model. Thủ tục như sau.</w:t>
      </w:r>
    </w:p>
    <w:p>
      <w:pPr>
        <w:spacing w:after="80"/>
      </w:pPr>
      <w:r>
        <w:rPr>
          <w:b w:val="0"/>
          <w:i w:val="0"/>
        </w:rPr>
        <w:t>Khi Phần VI của MLI áp dụng cho một Covered Tax Agreement, cơ quan có thẩm quyền nhận được yêu cầu ban đầu cho một MAP phải xác nhận đã nhận được yêu cầu và thông báo cho cơ quan có thẩm quyền kia về yêu cầu đó, cùng với một bản sao của yêu cầu, trong vòng hai tháng dương lịch kể từ khi nhận được yêu cầu.119</w:t>
      </w:r>
    </w:p>
    <w:p>
      <w:pPr>
        <w:spacing w:after="80"/>
      </w:pPr>
      <w:r>
        <w:rPr>
          <w:b w:val="0"/>
          <w:i w:val="0"/>
        </w:rPr>
        <w:t>Trong vòng ba tháng dương lịch kể từ khi nhận được yêu cầu cho một MAP, cơ quan có thẩm quyền phải thông báo cho người nộp thuế và cơ quan có thẩm quyền kia rằng mình đã nhận được thông tin cần thiết để tiến hành xem xét thực chất vụ việc, hoặc yêu cầu thêm thông tin từ người nộp thuế cho mục đích đó. Cơ quan có thẩm quyền của quốc gia kia phải thực hiện thông báo tương tự hoặc yêu cầu thêm thông tin trong vòng ba tháng dương lịch kể từ khi nhận được bản sao của yêu cầu cho MAP.120 Khi thông tin bổ sung đã được yêu cầu, cơ quan có thẩm quyền đã yêu cầu thông tin bổ sung phải, trong vòng ba tháng dương lịch kể từ khi nhận được thông tin đó, thông báo cho người nộp thuế và cơ quan có thẩm quyền kia rằng mình đã nhận được thông tin được yêu cầu hoặc rằng một số thông tin vẫn còn thiếu (đây cũng tự động là một yêu cầu thông tin bổ sung).121</w:t>
      </w:r>
    </w:p>
    <w:p>
      <w:pPr>
        <w:spacing w:after="80"/>
      </w:pPr>
      <w:r>
        <w:rPr>
          <w:b w:val="0"/>
          <w:i w:val="0"/>
        </w:rPr>
        <w:t>Các quốc gia có thể chọn áp dụng thời hạn ba năm để các cơ quan có thẩm quyền đạt được thỏa thuận thay cho thời hạn hai năm.122 Bất kể thời hạn được quy định trong một Covered Tax Agreement, các cơ quan có thẩm quyền có thể đồng ý một thời hạn khác đối với một vụ việc cụ thể trước khi hết thời hạn quy định cho Covered Tax Agreement nếu họ đã thông báo cho người đã trình bày vụ việc.123</w:t>
      </w:r>
    </w:p>
    <w:p>
      <w:pPr>
        <w:spacing w:after="80"/>
      </w:pPr>
      <w:r>
        <w:rPr>
          <w:b w:val="0"/>
          <w:i w:val="0"/>
        </w:rPr>
        <w:t>Thời hạn để các cơ quan có thẩm quyền đạt được thỏa thuận bắt đầu chạy, trong các trường hợp không có thông tin bổ sung nào được yêu cầu bởi bất kỳ cơ quan có thẩm quyền nào, vào thời điểm sớm hơn của: (a) ngày mà cả hai cơ quan có thẩm quyền đã thông báo cho người đã trình bày vụ việc rằng họ có thông tin cần thiết; và (b) ba</w:t>
      </w:r>
    </w:p>
    <w:p>
      <w:pPr>
        <w:spacing w:after="80"/>
      </w:pPr>
      <w:r>
        <w:rPr>
          <w:b w:val="0"/>
          <w:i w:val="0"/>
        </w:rPr>
        <w:t>117. Điều 26(2). 118. Xem Chương 20. 119. Điều 19(5). 120. Điều 19(6). 121. Điều 19(9). 122. Điều 19(11). 123. Điều 19(1)(b).</w:t>
      </w:r>
    </w:p>
    <w:p>
      <w:pPr>
        <w:spacing w:after="80"/>
      </w:pPr>
      <w:r>
        <w:rPr>
          <w:b w:val="0"/>
          <w:i w:val="0"/>
        </w:rPr>
        <w:t>550</w:t>
      </w:r>
    </w:p>
    <w:p>
      <w:pPr>
        <w:spacing w:after="80"/>
      </w:pPr>
      <w:r>
        <w:rPr>
          <w:b w:val="0"/>
          <w:i w:val="0"/>
        </w:rPr>
        <w:t>tháng dương lịch sau khi cơ quan có thẩm quyền nhận được yêu cầu MAP ban đầu đã thông báo cho cơ quan có thẩm quyền kia.124</w:t>
      </w:r>
    </w:p>
    <w:p>
      <w:pPr>
        <w:spacing w:after="80"/>
      </w:pPr>
      <w:r>
        <w:rPr>
          <w:b w:val="0"/>
          <w:i w:val="0"/>
        </w:rPr>
        <w:t>Thời hạn để các cơ quan có thẩm quyền đạt được thỏa thuận bắt đầu tính từ thời điểm, trong trường hợp một trong hai cơ quan có thẩm quyền yêu cầu cung cấp thêm thông tin, vào ngày sớm hơn của: (a) ngày muộn nhất mà các cơ quan có thẩm quyền đã yêu cầu cung cấp thêm thông tin đã thông báo cho người trình bày vụ việc và cơ quan có thẩm quyền kia rằng họ đã nhận được thông tin cần thiết; và (b) ba tháng dương lịch sau khi cả hai cơ quan có thẩm quyền đã nhận được tất cả thông tin mà một trong hai cơ quan có thẩm quyền yêu cầu từ người trình bày vụ việc.</w:t>
      </w:r>
    </w:p>
    <w:p>
      <w:pPr>
        <w:spacing w:after="80"/>
      </w:pPr>
      <w:r>
        <w:rPr>
          <w:b w:val="0"/>
          <w:i w:val="0"/>
        </w:rPr>
        <w:t>Cũng như Điều 25(5) của OECD Model, các cơ quan có thẩm quyền của các quốc gia ký kết phải giải quyết phương thức áp dụng các quy định trọng tài bằng thỏa thuận. Khác với OECD Model, phương thức này phải được thỏa thuận trước ngày mà các vấn đề chưa được giải quyết đủ điều kiện để được đệ trình lên trọng tài. Sau khi đã thỏa thuận, phương thức áp dụng các quy định trọng tài có thể được sửa đổi tùy từng thời điểm.125 Phương thức áp dụng bao gồm thông tin tối thiểu cần thiết để mỗi cơ quan có thẩm quyền tiến hành xem xét thực chất vụ việc. Không rõ việc thỏa thuận về thông tin tối thiểu tương tác như thế nào với các thủ tục thông báo và thu thập thông tin trong Điều 19(6) và (7) cũng như các thời hạn để đạt được thỏa thuận về vụ việc được trình bày.</w:t>
      </w:r>
    </w:p>
    <w:p>
      <w:pPr>
        <w:spacing w:after="80"/>
      </w:pPr>
      <w:r>
        <w:rPr>
          <w:b/>
          <w:i w:val="0"/>
        </w:rPr>
        <w:t>[B]Thủ tục Trọng tài</w:t>
      </w:r>
    </w:p>
    <w:p>
      <w:pPr>
        <w:spacing w:after="80"/>
      </w:pPr>
      <w:r>
        <w:rPr>
          <w:b w:val="0"/>
          <w:i w:val="0"/>
        </w:rPr>
        <w:t>Phần VI của MLI đưa ra các quy tắc và thủ tục chi tiết vượt xa những gì được quy định tại Điều 25(5) của OECD Model. Các nội dung được đề cập tại Điều 20 (chỉ định trọng tài viên), Điều 21 (bảo mật thủ tục trọng tài), Điều 23 (loại hình quy trình trọng tài) và Điều 25 (chi phí thủ tục trọng tài) giúp loại bỏ nhu cầu các cơ quan có thẩm quyền phải giải quyết những vấn đề này khi thỏa thuận phương thức áp dụng các quy định trọng tài. Tuy nhiên, các quốc gia ký kết vẫn có thể đồng ý áp dụng các quy tắc về trọng tài viên,126 loại hình quy trình trọng tài127 và chi phí128 khác với các quy tắc mặc định.</w:t>
      </w:r>
    </w:p>
    <w:p>
      <w:pPr>
        <w:spacing w:after="80"/>
      </w:pPr>
      <w:r>
        <w:rPr>
          <w:b/>
          <w:i w:val="0"/>
        </w:rPr>
        <w:t>[C]Trọng tài viên</w:t>
      </w:r>
    </w:p>
    <w:p>
      <w:pPr>
        <w:spacing w:after="80"/>
      </w:pPr>
      <w:r>
        <w:rPr>
          <w:b w:val="0"/>
          <w:i w:val="0"/>
        </w:rPr>
        <w:t>Hội đồng trọng tài phải bao gồm ba thành viên cá nhân có chuyên môn hoặc kinh nghiệm về các vấn đề thuế quốc tế. Các thành viên của hội đồng phải khách quan và độc lập với các cơ quan có thẩm quyền, cơ quan thuế và bộ tài chính của các quốc gia ký kết là bên tranh chấp. Họ cũng phải độc lập với tất cả những người bị ảnh hưởng trực tiếp bởi vụ việc và các cố vấn của những người đó. Sự khách quan và độc lập này phải tồn tại vào thời điểm chấp nhận được chỉ định và</w:t>
      </w:r>
    </w:p>
    <w:p>
      <w:pPr>
        <w:spacing w:after="80"/>
      </w:pPr>
      <w:r>
        <w:rPr>
          <w:b w:val="0"/>
          <w:i w:val="0"/>
        </w:rPr>
        <w:t>124. Điều 19(8). 125. Điều 19(10). 126. Điều 20(1). 127. Điều 23(1). 128. Điều 25.</w:t>
      </w:r>
    </w:p>
    <w:p>
      <w:pPr>
        <w:spacing w:after="80"/>
      </w:pPr>
      <w:r>
        <w:rPr>
          <w:b w:val="0"/>
          <w:i w:val="0"/>
        </w:rPr>
        <w:t>551</w:t>
      </w:r>
    </w:p>
    <w:p>
      <w:pPr>
        <w:spacing w:after="80"/>
      </w:pPr>
      <w:r>
        <w:rPr>
          <w:b w:val="0"/>
          <w:i w:val="0"/>
        </w:rPr>
        <w:t>trong suốt quá trình tố tụng. Các thành viên cũng phải tránh mọi hành vi, trong một khoảng thời gian hợp lý sau đó, có thể làm tổn hại đến hình ảnh khách quan và độc lập của các trọng tài viên đối với quá trình tố tụng.129 Ngoài ra, chủ tịch hội đồng trọng tài không được là quốc tịch hoặc cư dân của một trong hai quốc gia ký kết.130</w:t>
      </w:r>
    </w:p>
    <w:p>
      <w:pPr>
        <w:spacing w:after="80"/>
      </w:pPr>
      <w:r>
        <w:rPr>
          <w:b w:val="0"/>
          <w:i w:val="0"/>
        </w:rPr>
        <w:t>Khi cần thành lập hội đồng trọng tài, mỗi cơ quan có thẩm quyền phải chỉ định một thành viên hội đồng trong vòng sáu mươi ngày kể từ ngày có yêu cầu trọng tài. Trong vòng sáu mươi ngày kể từ ngày được chỉ định, hai thành viên hội đồng phải chỉ định một thành viên thứ ba làm chủ tịch hội đồng trọng tài.</w:t>
      </w:r>
    </w:p>
    <w:p>
      <w:pPr>
        <w:spacing w:after="80"/>
      </w:pPr>
      <w:r>
        <w:rPr>
          <w:b w:val="0"/>
          <w:i w:val="0"/>
        </w:rPr>
        <w:t>Nếu cơ quan có thẩm quyền của một khu vực tài phán ký kết không chỉ định được một thành viên của hội đồng theo yêu cầu (hoặc theo thỏa thuận của hai cơ quan có thẩm quyền), quan chức cấp cao nhất của Trung tâm Chính sách và Quản lý Thuế của OECD, người không mang quốc tịch của một trong hai quốc gia ký kết, phải chỉ định một thành viên thay mặt cho cơ quan có thẩm quyền đã không làm được điều đó.131 Tương tự, cùng quan chức OECD đó phải chỉ định một chủ tịch nếu hai thành viên ban đầu của hội đồng trọng tài không chỉ định được Chủ tịch theo yêu cầu.132</w:t>
      </w:r>
    </w:p>
    <w:p>
      <w:pPr>
        <w:spacing w:after="80"/>
      </w:pPr>
      <w:r>
        <w:rPr>
          <w:b/>
          <w:i w:val="0"/>
        </w:rPr>
        <w:t>[D]Bảo mật</w:t>
      </w:r>
    </w:p>
    <w:p>
      <w:pPr>
        <w:spacing w:after="80"/>
      </w:pPr>
      <w:r>
        <w:rPr>
          <w:b w:val="0"/>
          <w:i w:val="0"/>
        </w:rPr>
        <w:t>Thẩm quyền của các cơ quan có thẩm quyền trong việc tiết lộ thông tin cho hội đồng trọng tài và để hội đồng liên lạc với các cơ quan có thẩm quyền, nhằm mục đích trọng tài, được xử lý theo cách tương tự như các quy định trao đổi thông tin trong hiệp định thuế.133</w:t>
      </w:r>
    </w:p>
    <w:p>
      <w:pPr>
        <w:spacing w:after="80"/>
      </w:pPr>
      <w:r>
        <w:rPr>
          <w:b w:val="0"/>
          <w:i w:val="0"/>
        </w:rPr>
        <w:t>Các thành viên của hội đồng trọng tài, tối đa ba nhân viên cho mỗi thành viên và các trọng tài viên tiềm năng, chỉ trong phạm vi cần thiết để xác minh khả năng đáp ứng các yêu cầu của trọng tài viên, được coi là những người hoặc cơ quan mà các cơ quan có thẩm quyền có thể tiết lộ thông tin cho họ. Thẩm quyền này chỉ nhằm mục đích áp dụng các quy định trọng tài của BEPS Multilateral Convention, cũng như các quy tắc của Covered Tax Agreement liên quan và pháp luật trong nước của các quốc gia ký kết liên quan đến trao đổi thông tin, bảo mật và hỗ trợ hành chính. Thông tin mà hội đồng trọng tài hoặc các trọng tài viên tiềm năng nhận được và thông tin mà các cơ quan có thẩm quyền nhận được từ hội đồng trọng tài được coi là thông tin được trao đổi theo các quy định của Covered Tax Agreement liên quan đến trao đổi thông tin và hỗ trợ hành chính.134 Hiệu lực của các quy định này là áp đặt các nghĩa vụ liên quan đến thông tin lên hội đồng trọng tài giống như nghĩa vụ được áp đặt lên các cơ quan có thẩm quyền theo Covered Tax Agreement liên quan.</w:t>
      </w:r>
    </w:p>
    <w:p>
      <w:pPr>
        <w:spacing w:after="80"/>
      </w:pPr>
      <w:r>
        <w:rPr>
          <w:b w:val="0"/>
          <w:i w:val="0"/>
        </w:rPr>
        <w:t>129. Điều 20(2)(a) và (c). 130. Điều 20(2)(b). 131. Điều 20(3). 132. Điều 20(4). 133. Xem Chương 22, §22.06 về nghĩa vụ bảo mật và §22.11 về trao đổi thông tin theo hiệp định. 134. Điều 21(1).</w:t>
      </w:r>
    </w:p>
    <w:p>
      <w:pPr>
        <w:spacing w:after="80"/>
      </w:pPr>
      <w:r>
        <w:rPr>
          <w:b w:val="0"/>
          <w:i w:val="0"/>
        </w:rPr>
        <w:t>552</w:t>
      </w:r>
    </w:p>
    <w:p>
      <w:pPr>
        <w:spacing w:after="80"/>
      </w:pPr>
      <w:r>
        <w:rPr>
          <w:b w:val="0"/>
          <w:i w:val="0"/>
        </w:rPr>
        <w:t>Việc thực thi các nghĩa vụ bảo mật đối với hội đồng trọng tài và nhân viên của họ thuộc thẩm quyền của các cơ quan có thẩm quyền của các quốc gia ký kết. Theo đó, cả hai cơ quan có thẩm quyền phải thu thập cam kết bảo mật và không tiết lộ bằng văn bản từ các thành viên hội đồng và nhân viên của họ trước khi họ tham gia vào bất kỳ thủ tục trọng tài nào.135</w:t>
      </w:r>
    </w:p>
    <w:p>
      <w:pPr>
        <w:spacing w:after="80"/>
      </w:pPr>
      <w:r>
        <w:rPr>
          <w:b w:val="0"/>
          <w:i w:val="0"/>
        </w:rPr>
        <w:t>Các bên có quyền lựa chọn áp đặt nghĩa vụ bảo mật đối với người trình bày vụ việc cho MAP và cố vấn của họ. Khi một bên chọn làm như vậy, các quy tắc này sẽ áp dụng liên quan đến cả hai quốc gia ký kết khi chỉ một trong số họ đã đưa ra lựa chọn này đối với một Hiệp định Thuế được Bảo hiểm.136 Mặc dù một quốc gia có thể chọn để các quy định liên quan đến các nghĩa vụ này không áp dụng cho một số Hiệp định Thuế được Bảo hiểm của mình,137 một quốc gia chọn các quy định này có thể bảo lưu rằng cơ chế trọng tài trong Phần VI không áp dụng cho một Hiệp định Thuế được Bảo hiểm khi quốc gia kia không chọn tùy chọn này.138 Do đó, khi một quốc gia muốn áp đặt bảo mật đối với người nộp thuế và cố vấn của họ, quốc gia kia phải tuân theo lựa chọn đó và các quốc gia có thể đơn phương đặt điều kiện trọng tài dựa trên việc áp dụng các quy tắc này.</w:t>
      </w:r>
    </w:p>
    <w:p>
      <w:pPr>
        <w:spacing w:after="80"/>
      </w:pPr>
      <w:r>
        <w:rPr>
          <w:b w:val="0"/>
          <w:i w:val="0"/>
        </w:rPr>
        <w:t>Khi chọn bảo mật cho người nộp thuế, việc vi phạm nghiêm trọng cam kết bảo mật bởi người trình bày vụ việc cho MAP hoặc cố vấn của họ, trong khoảng thời gian từ khi yêu cầu trọng tài đến trước khi các trọng tài viên đưa ra phán quyết, sẽ dẫn đến việc tự động chấm dứt MAP và các thủ tục trọng tài liên quan đến vụ việc đó.139</w:t>
      </w:r>
    </w:p>
    <w:p>
      <w:pPr>
        <w:spacing w:after="80"/>
      </w:pPr>
      <w:r>
        <w:rPr>
          <w:b/>
          <w:i w:val="0"/>
        </w:rPr>
        <w:t>[E]Quy trình Trọng tài</w:t>
      </w:r>
    </w:p>
    <w:p>
      <w:pPr>
        <w:spacing w:after="80"/>
      </w:pPr>
      <w:r>
        <w:rPr>
          <w:b w:val="0"/>
          <w:i w:val="0"/>
        </w:rPr>
        <w:t>Công ước Đa phương BEPS áp dụng trọng tài đề nghị cuối cùng tốt nhất ('bóng chày') làm thủ tục mặc định. Một thủ tục ý kiến có lý có thể được áp dụng thay thế. Đây là lựa chọn được ăn cả ngã về không. Khi các lựa chọn của hai quốc gia không giống nhau, không thể tiến hành trọng tài giữa họ trừ khi các cơ quan có thẩm quyền đồng ý về loại quy trình trọng tài.140</w:t>
      </w:r>
    </w:p>
    <w:p>
      <w:pPr>
        <w:spacing w:after="80"/>
      </w:pPr>
      <w:r>
        <w:rPr>
          <w:b/>
          <w:i w:val="0"/>
        </w:rPr>
        <w:t>[F]Trọng tài Đề nghị Cuối cùng Tốt nhất</w:t>
      </w:r>
    </w:p>
    <w:p>
      <w:pPr>
        <w:spacing w:after="80"/>
      </w:pPr>
      <w:r>
        <w:rPr>
          <w:b w:val="0"/>
          <w:i w:val="0"/>
        </w:rPr>
        <w:t>Theo thủ tục đề nghị cuối cùng tốt nhất, cơ quan có thẩm quyền của mỗi quốc gia ký kết phải đệ trình một đề xuất giải quyết lên hội đồng trọng tài. Đề xuất giải quyết phải giải quyết tất cả các vấn đề chưa được giải quyết trong vụ việc (có tính đến tất cả các thỏa thuận đã đạt được trước đó trong vụ việc đó giữa các cơ quan có thẩm quyền). Đề xuất giải quyết phải được giới hạn trong việc định đoạt các khoản tiền cụ thể, chẳng hạn như thu nhập hoặc chi phí, hoặc, khi được chỉ định, mức thuế tối đa được áp dụng theo Hiệp định Thuế được Bảo hiểm, cho mỗi điều chỉnh hoặc vấn đề tương tự trong vụ việc. Khi một</w:t>
      </w:r>
    </w:p>
    <w:p>
      <w:pPr>
        <w:spacing w:after="80"/>
      </w:pPr>
      <w:r>
        <w:rPr>
          <w:b w:val="0"/>
          <w:i w:val="0"/>
        </w:rPr>
        <w:t>135. Điều 21(2). 136. Điều 23(4). 137. Điều 23(6). 138. Điều 23(7). 139. Điều 23(5). 140. Điều 23(3).</w:t>
      </w:r>
    </w:p>
    <w:p>
      <w:pPr>
        <w:spacing w:after="80"/>
      </w:pPr>
      <w:r>
        <w:rPr>
          <w:b w:val="0"/>
          <w:i w:val="0"/>
        </w:rPr>
        <w:t>553</w:t>
      </w:r>
    </w:p>
    <w:p>
      <w:pPr>
        <w:spacing w:after="80"/>
      </w:pPr>
      <w:r>
        <w:rPr>
          <w:b w:val="0"/>
          <w:i w:val="0"/>
        </w:rPr>
        <w:t>vấn đề chưa được giải quyết là một 'câu hỏi ngưỡng', tức là một vấn đề liên quan đến các điều kiện để áp dụng một quy định của Hiệp định Thuế được Bảo hiểm có liên quan, chẳng hạn như liệu một cá nhân có phải là cư dân hay liệu một cơ sở thường trú có tồn tại hay không, các cơ quan có thẩm quyền có thể đệ trình các đề xuất giải quyết thay thế đối với các vấn đề mà việc xác định phụ thuộc vào việc giải quyết các câu hỏi ngưỡng.141</w:t>
      </w:r>
    </w:p>
    <w:p>
      <w:pPr>
        <w:spacing w:after="80"/>
      </w:pPr>
      <w:r>
        <w:rPr>
          <w:b w:val="0"/>
          <w:i w:val="0"/>
        </w:rPr>
        <w:t>Các tài liệu lập luận hỗ trợ tùy chọn có thể được đệ trình lên hội đồng trọng tài bởi mỗi cơ quan có thẩm quyền.</w:t>
      </w:r>
    </w:p>
    <w:p>
      <w:pPr>
        <w:spacing w:after="80"/>
      </w:pPr>
      <w:r>
        <w:rPr>
          <w:b w:val="0"/>
          <w:i w:val="0"/>
        </w:rPr>
        <w:t>Thủ tục bắt đầu sau khi vụ việc được gửi đến trọng tài và dự kiến rằng các thời hạn nộp các bản biện hộ của cả hai cơ quan có thẩm quyền nên được xác định bằng thỏa thuận giữa họ và yêu cầu rằng các thời hạn đã thỏa thuận phải được tuân thủ. Mỗi cơ quan có thẩm quyền phải cung cấp một bản sao của mỗi bản biện hộ cho cơ quan kia cùng lúc với việc bản biện hộ được đệ trình lên hội đồng trọng tài.142</w:t>
      </w:r>
    </w:p>
    <w:p>
      <w:pPr>
        <w:spacing w:after="80"/>
      </w:pPr>
      <w:r>
        <w:rPr>
          <w:b w:val="0"/>
          <w:i w:val="0"/>
        </w:rPr>
        <w:t>Để giải quyết tranh chấp, hội đồng trọng tài được yêu cầu chọn một trong các đề xuất giải quyết cho vụ việc do các cơ quan có thẩm quyền đệ trình liên quan đến từng vấn đề và bất kỳ câu hỏi ngưỡng nào. Hội đồng không được đưa ra lý do hoặc giải thích cho quyết định.143 Phương pháp giải quyết này khuyến khích các cơ quan có thẩm quyền áp dụng cách tiếp cận hợp lý trong việc xây dựng các đề xuất giải quyết của họ. Vì các trọng tài viên không thể thay thế phán đoán của riêng họ, lập trường hợp lý và thuyết phục hơn có nhiều khả năng được chọn hơn.</w:t>
      </w:r>
    </w:p>
    <w:p>
      <w:pPr>
        <w:spacing w:after="80"/>
      </w:pPr>
      <w:r>
        <w:rPr>
          <w:b/>
          <w:i w:val="0"/>
        </w:rPr>
        <w:t>[G]Trọng tài Ý kiến có Lý</w:t>
      </w:r>
    </w:p>
    <w:p>
      <w:pPr>
        <w:spacing w:after="80"/>
      </w:pPr>
      <w:r>
        <w:rPr>
          <w:b w:val="0"/>
          <w:i w:val="0"/>
        </w:rPr>
        <w:t>Khi thủ tục ý kiến có lý được áp dụng, sau khi vụ việc được gửi đến trọng tài, mỗi cơ quan có thẩm quyền được yêu cầu cung cấp bất kỳ thông tin nào có thể cần thiết cho quyết định trọng tài cho hội đồng trọng tài mà không chậm trễ quá mức. Trừ khi các cơ quan có thẩm quyền đồng ý khác, bất kỳ thông tin nào không có sẵn cho cả hai trước khi yêu cầu trọng tài được cả hai nhận được có thể không được các trọng tài viên xem xét.144 Không giống như thủ tục đề nghị cuối cùng tốt nhất, việc không có bất kỳ thủ tục có cấu trúc nào về thời gian nộp bài, hoặc bất kỳ nghĩa vụ nào để trao đổi thông tin hoặc đệ trình luật có nghĩa là các cơ quan có thẩm quyền sẽ cần đồng ý về các thủ tục cho việc này.</w:t>
      </w:r>
    </w:p>
    <w:p>
      <w:pPr>
        <w:spacing w:after="80"/>
      </w:pPr>
      <w:r>
        <w:rPr>
          <w:b w:val="0"/>
          <w:i w:val="0"/>
        </w:rPr>
        <w:t>Hội đồng trọng tài được yêu cầu quyết định các vấn đề được đệ trình lên trọng tài theo các quy định hiện hành của Hiệp định Thuế được Bảo hiểm và luật trong nước của các quốc gia ký kết. Các quy định của hiệp ước được yêu cầu phải ưu tiên hơn luật trong nước. Hội đồng cũng được yêu cầu xem xét bất kỳ nguồn nào khác mà các cơ quan có thẩm quyền xác định rõ ràng bằng thỏa thuận giữa họ.145 Điều này có thể buộc các trọng tài viên phải xem xét tài liệu bổ sung, việc sử dụng tài liệu này là tùy ý trong việc giải thích các hiệp ước theo Điều 32 của Công ước Vienna về Luật Hiệp ước (VCLT). Các phiên bản cụ thể của Bình luận OECD đối với Mô hình</w:t>
      </w:r>
    </w:p>
    <w:p>
      <w:pPr>
        <w:spacing w:after="80"/>
      </w:pPr>
      <w:r>
        <w:rPr>
          <w:b w:val="0"/>
          <w:i w:val="0"/>
        </w:rPr>
        <w:t>141. Điều 23(1)(a).142. Điều 23(1)(b).143. Điều 23(1)(c).144. Điều 23(2)(a).145. Điều 23(2)(b).</w:t>
      </w:r>
    </w:p>
    <w:p>
      <w:pPr>
        <w:spacing w:after="80"/>
      </w:pPr>
      <w:r>
        <w:rPr>
          <w:b w:val="0"/>
          <w:i w:val="0"/>
        </w:rPr>
        <w:t>554</w:t>
      </w:r>
    </w:p>
    <w:p>
      <w:pPr>
        <w:spacing w:after="80"/>
      </w:pPr>
      <w:r>
        <w:rPr>
          <w:b w:val="0"/>
          <w:i w:val="0"/>
        </w:rPr>
        <w:t>Công ước có thể được quy định theo điều khoản này.146 Hội đồng trọng tài phải đưa ra lý do bao gồm các nguồn luật được dựa vào cho quyết định của mình.147</w:t>
      </w:r>
    </w:p>
    <w:p>
      <w:pPr>
        <w:spacing w:after="80"/>
      </w:pPr>
      <w:r>
        <w:rPr>
          <w:b/>
          <w:i w:val="0"/>
        </w:rPr>
        <w:t>[H]Giải quyết trong Quá trình Trọng tài</w:t>
      </w:r>
    </w:p>
    <w:p>
      <w:pPr>
        <w:spacing w:after="80"/>
      </w:pPr>
      <w:r>
        <w:rPr>
          <w:b w:val="0"/>
          <w:i w:val="0"/>
        </w:rPr>
        <w:t>Thủ tục trọng tài sẽ chấm dứt nếu các cơ quan có thẩm quyền đạt được thỏa thuận về vấn đề này trước khi các trọng tài viên đưa ra quyết định của họ, hoặc nếu người nộp thuế rút yêu cầu về MAP hoặc về trọng tài. Điều này cũng sẽ kết thúc MAP.148 Các bên có thể bảo lưu rằng thủ tục trọng tài cũng sẽ chấm dứt nếu một quyết định về vấn đề này được đưa ra bởi tòa án hoặc cơ quan tài phán hành chính của một trong các quốc gia ký kết trước khi các trọng tài viên đã đưa ra quyết định của họ cho các cơ quan có thẩm quyền.149</w:t>
      </w:r>
    </w:p>
    <w:p>
      <w:pPr>
        <w:spacing w:after="80"/>
      </w:pPr>
      <w:r>
        <w:rPr>
          <w:b/>
          <w:i w:val="0"/>
        </w:rPr>
        <w:t>[I]Quyết định Trọng tài</w:t>
      </w:r>
    </w:p>
    <w:p>
      <w:pPr>
        <w:spacing w:after="80"/>
      </w:pPr>
      <w:r>
        <w:rPr>
          <w:b w:val="0"/>
          <w:i w:val="0"/>
        </w:rPr>
        <w:t>Các quyết định theo một trong hai hình thức trọng tài phải được đưa ra bởi đa số đơn giản của các thành viên hội đồng. Những quyết định này phải được lập thành văn bản và gửi đến các cơ quan có thẩm quyền của cả hai quốc gia ký kết. Các quyết định trọng tài không có giá trị tiền lệ.150</w:t>
      </w:r>
    </w:p>
    <w:p>
      <w:pPr>
        <w:spacing w:after="80"/>
      </w:pPr>
      <w:r>
        <w:rPr>
          <w:b w:val="0"/>
          <w:i w:val="0"/>
        </w:rPr>
        <w:t>Các quyết định là cuối cùng và phải được thực hiện như một thỏa thuận chung đã được giải quyết.151</w:t>
      </w:r>
    </w:p>
    <w:p>
      <w:pPr>
        <w:spacing w:after="80"/>
      </w:pPr>
      <w:r>
        <w:rPr>
          <w:b w:val="0"/>
          <w:i w:val="0"/>
        </w:rPr>
        <w:t>Quyết định trọng tài có tính ràng buộc đối với cả hai quốc gia ký kết.152 Tuy nhiên, MLI có nhiều ngoại lệ mở rộng hơn đối với nguyên tắc này và cách xử lý chi tiết hơn về các ngoại lệ so với những gì được tìm thấy trong Điều 25(5) của OECD Model.</w:t>
      </w:r>
    </w:p>
    <w:p>
      <w:pPr>
        <w:spacing w:after="80"/>
      </w:pPr>
      <w:r>
        <w:rPr>
          <w:b w:val="0"/>
          <w:i w:val="0"/>
        </w:rPr>
        <w:t>Quyết định không có tính ràng buộc nếu một người bị ảnh hưởng trực tiếp bởi vụ việc không chấp nhận 'thỏa thuận chung thực hiện quyết định trọng tài'. Việc không chấp nhận khiến vụ việc không đủ điều kiện để được các cơ quan có thẩm quyền xem xét thêm. Nếu bất kỳ người nào bị ảnh hưởng trực tiếp bởi vụ việc không rút lại hoặc chấm dứt tất cả các vấn đề đã được giải quyết khỏi bất kỳ thủ tục giải quyết tranh chấp trong nước nào theo cách phù hợp với quyết định, trong vòng sáu mươi ngày kể từ ngày thông báo được gửi đến người đó, quyết định được coi là không được chấp nhận. Các thủ tục giải quyết tranh chấp trong nước bao gồm bất kỳ tòa án, cơ quan tài phán hành chính hoặc thủ tục hành chính nào.153 Tương tự, nếu một người bị ảnh hưởng trực tiếp bởi vụ việc theo đuổi kiện tụng về cùng các vấn đề tại bất kỳ tòa án hoặc cơ quan tài phán hành chính nào, quyết định không có tính ràng buộc.154</w:t>
      </w:r>
    </w:p>
    <w:p>
      <w:pPr>
        <w:spacing w:after="80"/>
      </w:pPr>
      <w:r>
        <w:rPr>
          <w:b w:val="0"/>
          <w:i w:val="0"/>
        </w:rPr>
        <w:t>Nếu tòa án của một trong các quốc gia ký kết giữ, trong một quyết định cuối cùng, rằng quyết định trọng tài là không hợp lệ, thì yêu cầu trọng tài được coi là chưa được đưa ra và quá trình trọng tài được coi là chưa diễn ra, ngoại trừ cho các mục đích</w:t>
      </w:r>
    </w:p>
    <w:p>
      <w:pPr>
        <w:spacing w:after="80"/>
      </w:pPr>
      <w:r>
        <w:rPr>
          <w:b w:val="0"/>
          <w:i w:val="0"/>
        </w:rPr>
        <w:t>146. Chương 4, §4.06.147. Điều 23(2)(b).148. Điều 22.149. Điều 19(12)(b).150. Điều 23(1)(c); Điều 23(2)(c).151. Điều 19(4)(a).152. Điều 19(4)(a).153. Điều 19(4)(b)(i).154. Điều 19(4)(b)(iii).</w:t>
      </w:r>
    </w:p>
    <w:p>
      <w:pPr>
        <w:spacing w:after="80"/>
      </w:pPr>
      <w:r>
        <w:rPr>
          <w:b w:val="0"/>
          <w:i w:val="0"/>
        </w:rPr>
        <w:t>555</w:t>
      </w:r>
    </w:p>
    <w:p>
      <w:pPr>
        <w:spacing w:after="80"/>
      </w:pPr>
      <w:r>
        <w:rPr>
          <w:b w:val="0"/>
          <w:i w:val="0"/>
        </w:rPr>
        <w:t>bảo mật và chi phí. Khi điều này xảy ra, một yêu cầu trọng tài mới có thể được đưa ra trừ khi các cơ quan có thẩm quyền đồng ý rằng yêu cầu đó không nên được cho phép.155</w:t>
      </w:r>
    </w:p>
    <w:p>
      <w:pPr>
        <w:spacing w:after="80"/>
      </w:pPr>
      <w:r>
        <w:rPr>
          <w:b w:val="0"/>
          <w:i w:val="0"/>
        </w:rPr>
        <w:t>MLI cung cấp cho các quốc gia một sự chọn không tham gia (opt-out) thêm đối với tính ràng buộc của trọng tài. Do đó, các quốc gia có thể chọn rằng quyết định của các trọng tài viên 'sẽ không được thực hiện' nếu các cơ quan có thẩm quyền đồng ý về một giải pháp khác trong vòng ba tháng kể từ quyết định của các trọng tài viên. Sự chọn không tham gia này có thể liên quan đến tất cả các trọng tài hoặc chỉ liên quan đến các trọng tài có ý kiến lý giải.156</w:t>
      </w:r>
    </w:p>
    <w:p>
      <w:pPr>
        <w:spacing w:after="80"/>
      </w:pPr>
      <w:r>
        <w:rPr>
          <w:b w:val="0"/>
          <w:i w:val="0"/>
        </w:rPr>
        <w:t>Quyền hạn duy nhất được trao cho các trọng tài viên theo MLI là đưa ra quyết định giải quyết vụ việc. Không giống như các thủ tục trọng tài khác, các trọng tài viên không có quyền đưa ra các chỉ dẫn cho việc tiến hành trọng tài. Các quy tắc thủ tục hạn chế có nghĩa là các cơ quan có thẩm quyền chắc chắn sẽ được yêu cầu đồng ý về khuôn khổ đầy đủ hơn cho việc tiến hành bất kỳ trọng tài nào.</w:t>
      </w:r>
    </w:p>
    <w:p>
      <w:pPr>
        <w:spacing w:after="80"/>
      </w:pPr>
      <w:r>
        <w:rPr>
          <w:b/>
          <w:i w:val="0"/>
        </w:rPr>
        <w:t>[J]Chi phí</w:t>
      </w:r>
    </w:p>
    <w:p>
      <w:pPr>
        <w:spacing w:after="80"/>
      </w:pPr>
      <w:r>
        <w:rPr>
          <w:b w:val="0"/>
          <w:i w:val="0"/>
        </w:rPr>
        <w:t>Cách xử lý mặc định đối với các chi phí và phí tổn liên quan đến thủ tục trọng tài là mỗi quốc gia ký kết tự chịu chi phí của mình và chi phí của thành viên hội đồng do mình bổ nhiệm. Hàm ý ở đây bao gồm cả thành viên được bổ nhiệm thay mặt quốc gia đó bởi OECD. Chi phí của hội đồng và các phí tổn khác gắn với việc tiến hành thủ tục trọng tài được các quốc gia ký kết chia đều. Các cơ quan có thẩm quyền được tự do thỏa thuận một cách sắp xếp khác về các chi phí này.157</w:t>
      </w:r>
    </w:p>
    <w:p>
      <w:pPr>
        <w:spacing w:after="80"/>
      </w:pPr>
      <w:r>
        <w:rPr>
          <w:b/>
          <w:i w:val="0"/>
        </w:rPr>
        <w:t>[K]Lập trường của Vương quốc Anh và Ireland về trọng tài</w:t>
      </w:r>
    </w:p>
    <w:p>
      <w:pPr>
        <w:spacing w:after="80"/>
      </w:pPr>
      <w:r>
        <w:rPr>
          <w:b w:val="0"/>
          <w:i w:val="0"/>
        </w:rPr>
        <w:t>Cả Vương quốc Anh và Ireland đều có lập trường tương tự nhau đối với trọng tài theo MLI. Cả hai đều chọn áp dụng trọng tài theo Phần VI cho các hiệp định của mình.158 Điều này không áp dụng cho hầu hết các Hiệp định thuế được điều chỉnh (Covered Tax Agreement) vốn đã bao gồm trọng tài.159 Cả hai cũng đã chọn áp dụng Điều 23(5) (cam kết bảo mật của người nộp thuế và cố vấn như một điều kiện tiên quyết để tiến hành trọng tài).160 Cả hai đều chọn đưa vào quyền không thi hành phán quyết của trọng tài viên bằng cách các cơ quan có thẩm quyền đồng ý một giải pháp khác trong vòng ba tháng kể từ ngày có phán quyết.161 Ireland loại trừ khỏi trọng tài những trường hợp có liên quan đến các khoản phạt do hành vi cố ý theo TCA 1997, mục 1077E hoặc Quy tắc chống lạm dụng thuế chung trong nước tại mục 811 và Mục 811A.162</w:t>
      </w:r>
    </w:p>
    <w:p>
      <w:pPr>
        <w:spacing w:after="80"/>
      </w:pPr>
      <w:r>
        <w:rPr>
          <w:b w:val="0"/>
          <w:i w:val="0"/>
        </w:rPr>
        <w:t>155. Điều 19(4)(b)(ii).156. Điều 24.157. Điều 25.158. Bảo lưu và thông báo của Vương quốc Anh; Bảo lưu và thông báo của Ireland, Thông báo theo Điều 18.159. Bảo lưu và thông báo của Vương quốc Anh; Bảo lưu và thông báo của Ireland, Thông báo theo Điều 26(4). Các hiệp định có trọng tài mà Phần VI áp dụng cũng được thông báo theo Điều 26(1).160. Bảo lưu và thông báo của Vương quốc Anh; Bảo lưu và thông báo của Ireland; Thông báo theo Điều 23(4).161. Bảo lưu và thông báo của Vương quốc Anh; Bảo lưu và thông báo của Ireland, Thông báo theo Điều 24(1).162. Bảo lưu và thông báo của Ireland, Bảo lưu theo Điều 28(2)(a).</w:t>
      </w:r>
    </w:p>
    <w:p>
      <w:pPr>
        <w:spacing w:after="80"/>
      </w:pPr>
      <w:r>
        <w:rPr>
          <w:b w:val="0"/>
          <w:i w:val="0"/>
        </w:rPr>
        <w:t>556</w:t>
      </w:r>
    </w:p>
    <w:p>
      <w:pPr>
        <w:spacing w:after="80"/>
      </w:pPr>
      <w:r>
        <w:rPr>
          <w:b/>
          <w:i w:val="0"/>
        </w:rPr>
        <w:t>§18.10 GIẢI THÍCH</w:t>
      </w:r>
    </w:p>
    <w:p>
      <w:pPr>
        <w:spacing w:after="80"/>
      </w:pPr>
      <w:r>
        <w:rPr>
          <w:b w:val="0"/>
          <w:i w:val="0"/>
        </w:rPr>
        <w:t>Các nguyên tắc giải thích hiệp định đã thảo luận trong Chương 4 cũng áp dụng tương tự cho MLI. Tuy nhiên, tính chất khác thường của Công ước này làm nảy sinh một số vấn đề về giải thích, cả đối với chính nó lẫn đối với các Hiệp định thuế được điều chỉnh mà nó sửa đổi.</w:t>
      </w:r>
    </w:p>
    <w:p>
      <w:pPr>
        <w:spacing w:after="80"/>
      </w:pPr>
      <w:r>
        <w:rPr>
          <w:b w:val="0"/>
          <w:i w:val="0"/>
        </w:rPr>
        <w:t>Thứ nhất, MLI được thiết kế để sửa đổi các Hiệp định thuế được điều chỉnh do các quốc gia ký kết lựa chọn, thay vì cách sửa đổi truyền thống hơn đối với các hiệp định thuế song phương bằng các nghị định thư mà thường xóa bỏ các điều khoản khỏi hiệp định mà chúng sửa đổi và đưa vào các điều khoản mới để thay thế các điều khoản hoặc văn bản bị xóa bỏ, hoặc để bổ sung vào hiệp định hiện có. Thay vào đó, các điều khoản sửa đổi phải được đọc cùng với một Hiệp định thuế được điều chỉnh để hiểu được nó được sửa đổi như thế nào.</w:t>
      </w:r>
    </w:p>
    <w:p>
      <w:pPr>
        <w:spacing w:after="80"/>
      </w:pPr>
      <w:r>
        <w:rPr>
          <w:b w:val="0"/>
          <w:i w:val="0"/>
        </w:rPr>
        <w:t>Thứ hai, các điều khoản của MLI thuộc hai loại lớn. Loại thứ nhất là các điều khoản sửa đổi mang tính nội dung, làm thay đổi các Hiệp định thuế được điều chỉnh. Loại thứ hai là các điều khoản mang tính cơ chế, cung cấp các phương tiện pháp lý để thực hiện những thay đổi về nội dung. Các điều khoản sửa đổi mang tính nội dung trong MLI dựa trên các điều khoản dự thảo xuất hiện trong các báo cáo cuối cùng liên quan đến hiệp định của BEPS để đưa vào OECD Model nhưng không tái tạo lại chúng. Thay vào đó, chúng giải thích cách một Hiệp định thuế được điều chỉnh cụ thể được sửa đổi. Do đó, để hiểu được một Hiệp định thuế được điều chỉnh sẽ đọc như thế nào nếu nó được sửa đổi, cần phải tham chiếu đến văn bản nguồn trong các báo cáo cuối cùng liên quan đến hiệp định của BEPS hoặc OECD Model Convention 2017.</w:t>
      </w:r>
    </w:p>
    <w:p>
      <w:pPr>
        <w:spacing w:after="80"/>
      </w:pPr>
      <w:r>
        <w:rPr>
          <w:b w:val="0"/>
          <w:i w:val="0"/>
        </w:rPr>
        <w:t>Các sửa đổi đối với những điều khoản cụ thể của Hiệp định thuế được điều chỉnh được thực hiện bằng một trong các cơ chế sau:</w:t>
      </w:r>
    </w:p>
    <w:p>
      <w:pPr>
        <w:spacing w:after="80"/>
      </w:pPr>
      <w:r>
        <w:rPr>
          <w:b w:val="0"/>
          <w:i w:val="0"/>
        </w:rPr>
        <w:t>– Điều khoản MLI áp dụng ‘thay cho’ một điều khoản hiện có trong một Hiệp định thuế được điều chỉnh và do đó thay thế điều khoản hiện có đó.– Điều khoản sửa đổi mang tính nội dung ‘áp dụng cho’ một điều khoản hiện có trong một hiệp định thuế được điều chỉnh. Ở đây, điều khoản MLI thay đổi cách áp dụng của một điều khoản hiện có mà không thay thế hoàn toàn nó.– Điều khoản sửa đổi mang tính nội dung ‘sửa đổi’ một điều khoản hiện có trong một Hiệp định thuế được điều chỉnh và do đó thay đổi một điều khoản hiện có mà không thay thế nó.– Điều khoản sửa đổi mang tính nội dung áp dụng ‘trong trường hợp không có’ một điều khoản hiện có trong một Hiệp định thuế được điều chỉnh và do đó là một bổ sung cho hiệp định đó.163</w:t>
      </w:r>
    </w:p>
    <w:p>
      <w:pPr>
        <w:spacing w:after="80"/>
      </w:pPr>
      <w:r>
        <w:rPr>
          <w:b w:val="0"/>
          <w:i w:val="0"/>
        </w:rPr>
        <w:t>Agreement and therefore replaces that existing provision.–Thesubstantivemodifyingprovision‘appliesto’anexistingprovisionina</w:t>
      </w:r>
    </w:p>
    <w:p>
      <w:pPr>
        <w:spacing w:after="80"/>
      </w:pPr>
      <w:r>
        <w:rPr>
          <w:b w:val="0"/>
          <w:i w:val="0"/>
        </w:rPr>
        <w:t>Covered Tax Agreement treaty. Here, the MLI provision changes the applica-tion of an existing provision without entirely replacing it.–Thesubstantivemodifyingprovision‘modifies’anexistingprovisionina</w:t>
      </w:r>
    </w:p>
    <w:p>
      <w:pPr>
        <w:spacing w:after="80"/>
      </w:pPr>
      <w:r>
        <w:rPr>
          <w:b w:val="0"/>
          <w:i w:val="0"/>
        </w:rPr>
        <w:t>Covered Tax Agreement and therefore changes an existing provision withoutreplacing it.–Thesubstantivemodifyingprovisionapplies‘intheabsenceof’anexisting</w:t>
      </w:r>
    </w:p>
    <w:p>
      <w:pPr>
        <w:spacing w:after="80"/>
      </w:pPr>
      <w:r>
        <w:rPr>
          <w:b w:val="0"/>
          <w:i w:val="0"/>
        </w:rPr>
        <w:t>provisioninaCoveredTaxAgreementandisthereforeanadditiontothattreaty.163</w:t>
      </w:r>
    </w:p>
    <w:p>
      <w:pPr>
        <w:spacing w:after="80"/>
      </w:pPr>
      <w:r>
        <w:rPr>
          <w:b w:val="0"/>
          <w:i w:val="0"/>
        </w:rPr>
        <w:t>Vì không phải lúc nào cũng rõ cơ chế nào là phù hợp để sửa đổi một điều khoản cụ thể trong bất kỳ Hiệp định Thuế được Điều chỉnh (Covered Tax Agreement) cụ thể nào, nên người ta thường dùng nhiều cơ chế kết hợp với nhau liên quan đến một điều khoản sửa đổi mang tính nội dung.</w:t>
      </w:r>
    </w:p>
    <w:p>
      <w:pPr>
        <w:spacing w:after="80"/>
      </w:pPr>
      <w:r>
        <w:rPr>
          <w:b w:val="0"/>
          <w:i w:val="0"/>
        </w:rPr>
        <w:t>Như với bất kỳ hiệp ước nào khác, về nguyên tắc, chỉ có thể có một ý nghĩa đúng duy nhất cho bất kỳ điều khoản nào trong MLI, được xác định dựa trên các nguyên tắc tại Điều 31 và 32 của</w:t>
      </w:r>
    </w:p>
    <w:p>
      <w:pPr>
        <w:spacing w:after="80"/>
      </w:pPr>
      <w:r>
        <w:rPr>
          <w:b w:val="0"/>
          <w:i w:val="0"/>
        </w:rPr>
        <w:t>163.Ghi chú của Ban Giám đốc OECD.</w:t>
      </w:r>
    </w:p>
    <w:p>
      <w:pPr>
        <w:spacing w:after="80"/>
      </w:pPr>
      <w:r>
        <w:rPr>
          <w:b w:val="0"/>
          <w:i w:val="0"/>
        </w:rPr>
        <w:t>557</w:t>
      </w:r>
    </w:p>
    <w:p>
      <w:pPr>
        <w:spacing w:after="80"/>
      </w:pPr>
      <w:r>
        <w:rPr>
          <w:b w:val="0"/>
          <w:i w:val="0"/>
        </w:rPr>
        <w:t>VCLT.164 Do đó, Công ước phải có cách giải thích thống nhất bất kể quốc gia nào có tòa án được yêu cầu xác định ý nghĩa của nó. Tuy nhiên, MLI chứa một quy tắc giải thích đặc biệt đối với các thuật ngữ không được định nghĩa, dựa trên Điều 3(2) của Mẫu OECD (OECD Model), với nội dung như sau:</w:t>
      </w:r>
    </w:p>
    <w:p>
      <w:pPr>
        <w:spacing w:after="80"/>
      </w:pPr>
      <w:r>
        <w:rPr>
          <w:b w:val="0"/>
          <w:i w:val="0"/>
        </w:rPr>
        <w:t>Điều 2(2). Về việc áp dụng Công ước này vào bất kỳ thời điểm nào bởi một Bên, bất kỳ thuật ngữ nào không được định nghĩa trong đây sẽ, trừ khi ngữ cảnh đòi hỏi khác, mang ý nghĩa mà nó có vào thời điểm đó theo Hiệp định Thuế được Điều chỉnh liên quan.</w:t>
      </w:r>
    </w:p>
    <w:p>
      <w:pPr>
        <w:spacing w:after="80"/>
      </w:pPr>
      <w:r>
        <w:rPr>
          <w:b w:val="0"/>
          <w:i w:val="0"/>
        </w:rPr>
        <w:t>MLI chứa rất ít định nghĩa.165 Mặc dù có thể kỳ vọng một cách giải thích chung cho các hiệp ước song phương áp dụng ngôn ngữ chung có trong các hiệp ước mẫu, nhiều hiệp ước lại có định nghĩa riêng và dẫn chiếu đến luật trong nước. Nếu đọc theo nghĩa rộng nhất, Điều 2(2) là một lời mời gọi gán những ý nghĩa khác nhau cho MLI, tùy thuộc vào tòa án nào được yêu cầu áp dụng nó. Ngữ cảnh sẽ đòi hỏi rằng Điều 2(2) chỉ có khả năng áp dụng cho các điều khoản sửa đổi mang tính nội dung chứ không áp dụng cho các điều khoản mang tính cơ chế. Điều này là bởi vì các điều khoản sửa đổi mang tính nội dung nhằm thay đổi việc phân bổ quyền đánh thuế và các quyền, nghĩa vụ khác có trong các hiệp ước cụ thể, trong khi các điều khoản mang tính cơ chế là những phần của MLI vẫn giữ nguyên chung cho tất cả các bên tham gia. Cách tiếp cận này nhất quán với Điều 32(1) của MLI, điều khoản này mở rộng cơ chế giải quyết tranh chấp trong Điều 24(3) của Mẫu OECD và Điều 16(3) cho việc giải thích hoặc thực thi các điều khoản của một Hiệp định Thuế được Điều chỉnh khi chúng được sửa đổi bởi MLI như sau:</w:t>
      </w:r>
    </w:p>
    <w:p>
      <w:pPr>
        <w:spacing w:after="80"/>
      </w:pPr>
      <w:r>
        <w:rPr>
          <w:b/>
          <w:i w:val="0"/>
        </w:rPr>
        <w:t>Giải thích và Thực thi</w:t>
      </w:r>
    </w:p>
    <w:p>
      <w:pPr>
        <w:spacing w:after="80"/>
      </w:pPr>
      <w:r>
        <w:rPr>
          <w:b w:val="0"/>
          <w:i w:val="0"/>
        </w:rPr>
        <w:t>Điều 32(1) Bất kỳ câu hỏi nào phát sinh về việc giải thích hoặc thực thi các điều khoản của một Hiệp định Thuế được Điều chỉnh khi chúng được sửa đổi bởi Công ước này sẽ được xác định theo (các) điều khoản của Hiệp định Thuế được Điều chỉnh liên quan đến việc giải quyết bằng thỏa thuận song phương các câu hỏi về giải thích hoặc áp dụng Hiệp định Thuế được Điều chỉnh (khi những điều khoản đó có thể được sửa đổi bởi Công ước này).</w:t>
      </w:r>
    </w:p>
    <w:p>
      <w:pPr>
        <w:spacing w:after="80"/>
      </w:pPr>
      <w:r>
        <w:rPr>
          <w:b w:val="0"/>
          <w:i w:val="0"/>
        </w:rPr>
        <w:t>Thật đáng tiếc khi một hiệp ước đa phương quan trọng như vậy lại không quy định việc chuyển các câu hỏi giải thích lên Tòa án Công lý Quốc tế (International Court of Justice).166</w:t>
      </w:r>
    </w:p>
    <w:p>
      <w:pPr>
        <w:spacing w:after="80"/>
      </w:pPr>
      <w:r>
        <w:rPr>
          <w:b w:val="0"/>
          <w:i w:val="0"/>
        </w:rPr>
        <w:t>Thay vào đó, bất kỳ câu hỏi nào phát sinh về việc giải thích hoặc thực thi MLI có thể được giải quyết bởi một hội nghị các bên được triệu tập theo Điều 31(3).167</w:t>
      </w:r>
    </w:p>
    <w:p>
      <w:pPr>
        <w:spacing w:after="80"/>
      </w:pPr>
      <w:r>
        <w:rPr>
          <w:b w:val="0"/>
          <w:i w:val="0"/>
        </w:rPr>
        <w:t>Cách tiếp cận này sẽ dẫn đến việc giải thích thực chất được thực hiện bởi nhánh hành pháp của chính phủ các bên tham gia MLI, thay vì bởi cơ quan tư pháp.</w:t>
      </w:r>
    </w:p>
    <w:p>
      <w:pPr>
        <w:spacing w:after="80"/>
      </w:pPr>
      <w:r>
        <w:rPr>
          <w:b w:val="0"/>
          <w:i w:val="0"/>
        </w:rPr>
        <w:t>Thứ ba, mặc dù các điều khoản sửa đổi mang tính nội dung dựa trên những thay đổi được đề xuất cho Mẫu OECD trong các hành động liên quan đến hiệp ước của BEPS, chúng được soạn thảo để đọc cùng với các hiệp ước hiện có. Cách diễn đạt không giống hệt với các điều khoản tương đương trong Mẫu OECD và do đó, không thể chỉ đơn giản được chèn vào hoặc thay thế</w:t>
      </w:r>
    </w:p>
    <w:p>
      <w:pPr>
        <w:spacing w:after="80"/>
      </w:pPr>
      <w:r>
        <w:rPr>
          <w:b w:val="0"/>
          <w:i w:val="0"/>
        </w:rPr>
        <w:t>164.</w:t>
      </w:r>
      <w:r>
        <w:rPr>
          <w:b w:val="0"/>
          <w:i/>
        </w:rPr>
        <w:t>RvSecretaryofStatefortheHomeDepartment,expAdan</w:t>
      </w:r>
      <w:r>
        <w:rPr>
          <w:b w:val="0"/>
          <w:i w:val="0"/>
        </w:rPr>
        <w:t>[2001]2WLR143. Xem Chương 4, đặc biệt là §4.06.165.Điều 2(1).166.Xem Chương 1, §1.02.167.Một ý kiến như vậy đã được một hội nghị các bên thông qua: Vào ngày 15 tháng 3 năm 2021, một hội nghị đã thông qua một Ghi chú của Ban Thư ký OECD về việc giải thích và áp dụng Điều 35 của MLI về việc các điều khoản của nó có hiệu lực. Xem §18.11.</w:t>
      </w:r>
    </w:p>
    <w:p>
      <w:pPr>
        <w:spacing w:after="80"/>
      </w:pPr>
      <w:r>
        <w:rPr>
          <w:b w:val="0"/>
          <w:i w:val="0"/>
        </w:rPr>
        <w:t>558</w:t>
      </w:r>
    </w:p>
    <w:p>
      <w:pPr>
        <w:spacing w:after="80"/>
      </w:pPr>
      <w:r>
        <w:rPr>
          <w:b w:val="0"/>
          <w:i w:val="0"/>
        </w:rPr>
        <w:t>các điều khoản hiệp ước hiện có. Báo cáo Cuối cùng về Hành động 15 của BEPS đã dự liệu việc các bên chuẩn bị và công bố các phiên bản hợp nhất của các hiệp ước song phương của họ để phản ánh 'những thay đổi cụ thể' được thực hiện đối với hiệp ước thuế song phương hiện có và, khi thích hợp, mức độ cam kết mà các bên đảm nhận khi MLI cho phép sự linh hoạt.168 Các văn bản hợp nhất sẽ không phải là công cụ pháp lý có thể áp dụng giữa các đối tác hiệp ước (những công cụ đó vẫn sẽ là hiệp ước song phương và MLI).169 Trong trường hợp không có các phiên bản hợp nhất như vậy được đưa ra như những hiệp ước có hiệu lực thi hành thỏa thuận đạt được về một Hiệp định Thuế được Điều chỉnh cụ thể, việc hợp nhất sẽ làm nảy sinh các vấn đề giải thích riêng của chúng tùy thuộc vào tình trạng pháp lý của công cụ được chọn, thay vì mang lại sự rõ ràng và minh bạch như được tuyên bố.170 Để hỗ trợ việc áp dụng MLI cho các Hiệp định Thuế được Điều chỉnh, OECD đã ủng hộ việc tạo ra các 'văn bản tổng hợp' (synthesised texts) của các hiệp ước được sửa đổi bởi MLI.171 Cả Cơ quan Thuế Ireland (Irish Revenue) và HMRC đều tạo ra những văn bản như vậy khi MLI có hiệu lực đối với một hiệp ước cụ thể. Đây là những bản đồ chỉ dẫn hữu ích để chỉ ra các sửa đổi nhưng không phải là công cụ pháp lý và tuyên bố miễn trừ rằng văn bản tổng hợp không có giá trị pháp lý.172</w:t>
      </w:r>
    </w:p>
    <w:p>
      <w:pPr>
        <w:spacing w:after="80"/>
      </w:pPr>
      <w:r>
        <w:rPr>
          <w:b w:val="0"/>
          <w:i w:val="0"/>
        </w:rPr>
        <w:t>Thứ tư, MLI được thực hiện bằng tiếng Anh và tiếng Pháp với cả hai văn bản đều có giá trị như nhau. Do đó, Điều 33 của VCLT được viện dẫn để giải quyết việc sử dụng cả hai ngôn ngữ trong việc giải thích.173 Khi một Thỏa thuận Thuế được Điều chỉnh được ký kết với một văn bản có giá trị như nhau bằng một ngôn ngữ khác ngoài tiếng Anh hoặc tiếng Pháp, thỏa thuận đó vẫn sẽ được sửa đổi bởi một thỏa thuận bằng tiếng Anh và tiếng Pháp.</w:t>
      </w:r>
    </w:p>
    <w:p>
      <w:pPr>
        <w:spacing w:after="80"/>
      </w:pPr>
      <w:r>
        <w:rPr>
          <w:b/>
          <w:i w:val="0"/>
        </w:rPr>
        <w:t>[A]Tài liệu Giải thích</w:t>
      </w:r>
    </w:p>
    <w:p>
      <w:pPr>
        <w:spacing w:after="80"/>
      </w:pPr>
      <w:r>
        <w:rPr>
          <w:b w:val="0"/>
          <w:i w:val="0"/>
        </w:rPr>
        <w:t>Vì MLI là sản phẩm của dự án BEPS, một lượng lớn tài liệu bổ sung có sẵn để hỗ trợ việc giải thích. Mỗi điều khoản sửa đổi thực chất và bản thân MLI đều là kết quả của việc xác định các vấn đề BEPS,174 việc xây dựng kế hoạch hành động,175 và một loạt báo cáo về từng hành động liên quan đến hiệp ước, với sự tham vấn công khai, dẫn đến các báo cáo cuối cùng. Tài liệu này giải thích các hoàn cảnh dẫn đến việc ký kết MLI và bao gồm công việc chuẩn bị của hiệp ước. Do đó, đây là tài liệu bổ sung thuộc phạm vi Điều 32 của VCLT.176</w:t>
      </w:r>
    </w:p>
    <w:p>
      <w:pPr>
        <w:spacing w:after="80"/>
      </w:pPr>
      <w:r>
        <w:rPr>
          <w:b w:val="0"/>
          <w:i w:val="0"/>
        </w:rPr>
        <w:t xml:space="preserve">Một tuyên bố giải thích kèm theo Công ước đã được chuẩn bị bởi các thành viên tham gia </w:t>
      </w:r>
      <w:r>
        <w:rPr>
          <w:b w:val="0"/>
          <w:i/>
        </w:rPr>
        <w:t>Nhóm đặc biệt</w:t>
      </w:r>
      <w:r>
        <w:rPr>
          <w:b w:val="0"/>
          <w:i w:val="0"/>
        </w:rPr>
        <w:t xml:space="preserve"> đã phát triển MLI, và Tiểu nhóm về</w:t>
      </w:r>
    </w:p>
    <w:p>
      <w:pPr>
        <w:spacing w:after="80"/>
      </w:pPr>
      <w:r>
        <w:rPr>
          <w:b w:val="0"/>
          <w:i w:val="0"/>
        </w:rPr>
        <w:t xml:space="preserve">168. BEPS Action 15, Báo cáo Cuối cùng, đoạn 61 và 62. 169. Ghi chú của Ban Giám đốc OECD, đoạn 33. Ghi chú này cũng đề cập đến khả năng các văn bản hợp nhất như là các thỏa thuận được thực hiện theo MAP (chú thích 27). 170. Ghi chú của Ban Giám đốc OECD, đoạn 32. 171. Với tính phức tạp của MLI và ngôn ngữ phức tạp được sử dụng, OECD đã sản xuất tài liệu để hỗ trợ quá trình này: Bộ công cụ để Áp dụng Công cụ Đa phương cho các Biện pháp Liên quan đến Hiệp ước Thuế BEPS </w:t>
      </w:r>
      <w:r>
        <w:rPr>
          <w:b w:val="0"/>
          <w:i/>
        </w:rPr>
        <w:t>s</w:t>
      </w:r>
      <w:r>
        <w:rPr>
          <w:b w:val="0"/>
          <w:i w:val="0"/>
        </w:rPr>
        <w:t xml:space="preserve"> https://www.oecd.org/tax/treaties/application-toolkit-multilateral-instrument-for-beps-tax-treaty-measures.htm. 172. OECD (2018), Hướng dẫn phát triển các văn bản tổng hợp, Công ước Đa phương để Thực hiện các Biện pháp Hiệp ước Thuế nhằm Ngăn chặn BEPS, đoạn 19. 173. Xem Chương 4, §4.09. 174. OECD: Giải quyết BEPS. 175. Kế hoạch Hành động BEPS. 176. Xem Chương 4, §4.06.</w:t>
      </w:r>
    </w:p>
    <w:p>
      <w:pPr>
        <w:spacing w:after="80"/>
      </w:pPr>
      <w:r>
        <w:rPr>
          <w:b w:val="0"/>
          <w:i w:val="0"/>
        </w:rPr>
        <w:t>559</w:t>
      </w:r>
    </w:p>
    <w:p>
      <w:pPr>
        <w:spacing w:after="80"/>
      </w:pPr>
      <w:r>
        <w:rPr>
          <w:b w:val="0"/>
          <w:i w:val="0"/>
        </w:rPr>
        <w:t>Trọng tài, để cung cấp sự làm rõ về cách tiếp cận được thực hiện trong Công ước và cách mỗi điều khoản dự kiến sẽ ảnh hưởng đến các Thỏa thuận Thuế được Điều chỉnh.177 Tuyên bố giải thích nêu rằng nó 'phản ánh sự hiểu biết đã được thống nhất của các nhà đàm phán liên quan đến Công ước' và bao gồm các mô tả về các loại điều khoản hiệp ước dự kiến sẽ được điều chỉnh và các cách thức mà chúng dự kiến sẽ được sửa đổi. Đây cũng là tài liệu bổ sung thuộc phạm vi Điều 32 của VCLT. Một Ghi chú của Ban Giám đốc OECD về Các vấn đề Pháp lý178 nêu ra một số khía cạnh của bối cảnh và các khái niệm pháp lý và được nêu rõ là phải được đọc cùng với tuyên bố giải thích cũng có thể được xem là tài liệu bổ sung.</w:t>
      </w:r>
    </w:p>
    <w:p>
      <w:pPr>
        <w:spacing w:after="80"/>
      </w:pPr>
      <w:r>
        <w:rPr>
          <w:b/>
          <w:i w:val="0"/>
        </w:rPr>
        <w:t>§18.11 HIỆU LỰC VÀ TÁC ĐỘNG</w:t>
      </w:r>
    </w:p>
    <w:p>
      <w:pPr>
        <w:spacing w:after="80"/>
      </w:pPr>
      <w:r>
        <w:rPr>
          <w:b w:val="0"/>
          <w:i w:val="0"/>
        </w:rPr>
        <w:t>MLI sẽ có hiệu lực ba tháng dương lịch sau khi văn kiện phê chuẩn, chấp nhận hoặc phê duyệt thứ năm được nộp cho Cơ quan Lưu chiểu.179 Nó cũng sẽ có hiệu lực tương tự đối với các bên nộp văn kiện phê chuẩn, chấp nhận hoặc phê duyệt sau đó, ba tháng dương lịch sau khi nộp văn kiện phê chuẩn, chấp nhận hoặc phê duyệt của họ.180 Do đó, các Thỏa thuận Thuế được Điều chỉnh riêng lẻ sẽ được sửa đổi vào ngày MLI có hiệu lực đối với cả hai bên của Thỏa thuận Thuế được Điều chỉnh đang xét. Cách thức và mức độ sửa đổi sẽ được xác định bằng cách đối chiếu các quan điểm được bảo lưu theo Điều 28 và được thông báo theo Điều 29 bởi cả hai bên.</w:t>
      </w:r>
    </w:p>
    <w:p>
      <w:pPr>
        <w:spacing w:after="80"/>
      </w:pPr>
      <w:r>
        <w:rPr>
          <w:b w:val="0"/>
          <w:i w:val="0"/>
        </w:rPr>
        <w:t>Khi một bên đã nộp văn kiện phê chuẩn, chấp nhận hoặc phê duyệt nhưng các quốc gia khác là thành viên của các hiệp ước với quốc gia đó chưa nộp, thì quốc gia đã phê chuẩn, trên thực tế, đang đưa ra một đề nghị cho các quốc gia khác để sửa đổi các hiệp ước đã được thông báo phù hợp với quan điểm của quốc gia đó. Điều 38 cho phép một quốc gia rút khỏi MLI, nhưng một quốc gia rút khỏi vẫn sẽ bị ràng buộc bởi các sửa đổi đối với các Thỏa thuận Thuế được Điều chỉnh của mình đã được thực hiện trước khi thông báo rút khỏi được Cơ quan Lưu chiểu nhận được. Các quốc gia được tự do sửa đổi thêm bất kỳ Thỏa thuận Thuế được Điều chỉnh nào đã được MLI sửa đổi bằng một thỏa thuận tiếp theo giữa họ.181</w:t>
      </w:r>
    </w:p>
    <w:p>
      <w:pPr>
        <w:spacing w:after="80"/>
      </w:pPr>
      <w:r>
        <w:rPr>
          <w:b w:val="0"/>
          <w:i w:val="0"/>
        </w:rPr>
        <w:t>Quy tắc cơ bản về hiệu lực của các sửa đổi đối với một Thỏa thuận Thuế được Điều chỉnh tuân theo mô hình trong Điều 31 của OECD Model.182 Một Thỏa thuận Thuế được Điều chỉnh thông thường sẽ có hiệu lực đối với thuế khấu trừ tại nguồn đối với các khoản tiền được trả hoặc ghi có cho người không cư trú từ đầu năm dương lịch tiếp theo bắt đầu vào hoặc sau ngày muộn nhất mà Thỏa thuận Thuế được Điều chỉnh đó</w:t>
      </w:r>
    </w:p>
    <w:p>
      <w:pPr>
        <w:spacing w:after="80"/>
      </w:pPr>
      <w:r>
        <w:rPr>
          <w:b w:val="0"/>
          <w:i w:val="0"/>
        </w:rPr>
        <w:t>177. Tuyên bố Giải thích cho Công ước Đa phương để Thực hiện các Biện pháp Liên quan đến Hiệp ước Thuế nhằm Ngăn chặn Xói mòn Cơ sở Thuế và Chuyển dịch Lợi nhuận, ngày 24 tháng 11 năm 2016 ('Tuyên bố Giải thích'). 178. Công ước Đa phương để Thực hiện các Biện pháp Liên quan đến Hiệp ước Thuế nhằm Ngăn chặn Xói mòn Cơ sở Thuế và Chuyển dịch Lợi nhuận: Hoạt động theo luật quốc tế công cộng; Ghi chú của Ban Giám đốc OECD về Các vấn đề Pháp lý, ngày 19 tháng 6 năm 2017 ('Ghi chú của Ban Giám đốc OECD'). 179. Điều 34(1). 180. Điều 34(2). MLI có hiệu lực đối với Vương quốc Anh vào ngày 1 tháng 10 năm 2018 và đối với Ireland vào ngày 1 tháng 5 năm 2019. 181. Điều 33. 182. Xem Chương 5, §5.04.</w:t>
      </w:r>
    </w:p>
    <w:p>
      <w:pPr>
        <w:spacing w:after="80"/>
      </w:pPr>
      <w:r>
        <w:rPr>
          <w:b w:val="0"/>
          <w:i w:val="0"/>
        </w:rPr>
        <w:t>560</w:t>
      </w:r>
    </w:p>
    <w:p>
      <w:pPr>
        <w:spacing w:after="80"/>
      </w:pPr>
      <w:r>
        <w:rPr>
          <w:b w:val="0"/>
          <w:i w:val="0"/>
        </w:rPr>
        <w:t>có hiệu lực đối với mỗi quốc gia ký kết liên quan.183 Một Thỏa thuận Thuế được Điều chỉnh thông thường sẽ có hiệu lực liên quan đến các loại thuế khác đối với các kỳ tính thuế bắt đầu sáu tháng dương lịch sau ngày muộn nhất mà Thỏa thuận Thuế được Điều chỉnh đó có hiệu lực đối với mỗi quốc gia ký kết liên quan.184 Nhiều lựa chọn có sẵn để các quốc gia chọn nhằm rút ngắn hoặc kéo dài thời gian trước khi có hiệu lực và điều chỉnh thời gian cho phù hợp với các quy định trong nước.185</w:t>
      </w:r>
    </w:p>
    <w:p>
      <w:pPr>
        <w:spacing w:after="80"/>
      </w:pPr>
      <w:r>
        <w:rPr>
          <w:b/>
          <w:i w:val="0"/>
        </w:rPr>
        <w:t>[A]Hiệu lực: MAP</w:t>
      </w:r>
    </w:p>
    <w:p>
      <w:pPr>
        <w:spacing w:after="80"/>
      </w:pPr>
      <w:r>
        <w:rPr>
          <w:b w:val="0"/>
          <w:i w:val="0"/>
        </w:rPr>
        <w:t>Một quy tắc đặc biệt áp dụng cho hiệu lực của MAP trong Điều 16 được yêu cầu như một phần của tiêu chuẩn tối thiểu cho việc giải quyết tranh chấp.186 Điều 16 (MAP) sẽ có hiệu lực đối với một trường hợp được trình lên cơ quan có thẩm quyền của một quốc gia ký kết kể từ ngày muộn hơn trong các ngày MLI có hiệu lực đối với mỗi quốc gia ký kết Thỏa thuận Thuế được Điều chỉnh, ngoại trừ các trường hợp không đủ điều kiện cho MAP vào ngày đó theo Thỏa thuận Thuế được Điều chỉnh trước khi được MLI sửa đổi, bất kể kỳ tính thuế mà trường hợp đó liên quan.187 Mục đích của quy tắc này là cho phép các trường hợp được trình lên cho MAP sau khi MLI có hiệu lực, ngay cả khi chúng liên quan đến các kỳ tính thuế trước khi nó có hiệu lực.188</w:t>
      </w:r>
    </w:p>
    <w:p>
      <w:pPr>
        <w:spacing w:after="80"/>
      </w:pPr>
      <w:r>
        <w:rPr>
          <w:b/>
          <w:i w:val="0"/>
        </w:rPr>
        <w:t>[B]Hiệu lực: Trọng tài</w:t>
      </w:r>
    </w:p>
    <w:p>
      <w:pPr>
        <w:spacing w:after="80"/>
      </w:pPr>
      <w:r>
        <w:rPr>
          <w:b w:val="0"/>
          <w:i w:val="0"/>
        </w:rPr>
        <w:t>Các quy tắc đặc biệt cũng áp dụng cho việc bắt đầu có hiệu lực của các điều khoản trọng tài trong Phần VI.189</w:t>
      </w:r>
    </w:p>
    <w:p>
      <w:pPr>
        <w:spacing w:after="80"/>
      </w:pPr>
      <w:r>
        <w:rPr>
          <w:b w:val="0"/>
          <w:i w:val="0"/>
        </w:rPr>
        <w:t>Quy tắc chung là các điều khoản trọng tài có hiệu lực đối với các trường hợp được trình lên cơ quan có thẩm quyền của một quốc gia ký kết kể từ sau ngày muộn hơn trong số các ngày mà MLI có hiệu lực đối với mỗi quốc gia đó.190 Do đó, trọng tài có thể được yêu cầu đối với các trường hợp được trình lên để giải quyết theo thủ tục thỏa thuận song phương (MAP) vào thời điểm đó.</w:t>
      </w:r>
    </w:p>
    <w:p>
      <w:pPr>
        <w:spacing w:after="80"/>
      </w:pPr>
      <w:r>
        <w:rPr>
          <w:b w:val="0"/>
          <w:i w:val="0"/>
        </w:rPr>
        <w:t>Trọng tài cũng có thể áp dụng cho các trường hợp được trình lên để giải quyết theo thủ tục MAP trước thời điểm đó.191 Các điều khoản trọng tài sẽ áp dụng cho những trường hợp như vậy vào ngày mà cả hai quốc gia ký kết</w:t>
      </w:r>
    </w:p>
    <w:p>
      <w:pPr>
        <w:spacing w:after="80"/>
      </w:pPr>
      <w:r>
        <w:rPr>
          <w:b w:val="0"/>
          <w:i w:val="0"/>
        </w:rPr>
        <w:t>183. Một ghi chú của Ban Thư ký OECD được Hội nghị các Bên phê duyệt rằng MLI sẽ có hiệu lực đối với thuế khấu trừ tại nguồn khi MLI có hiệu lực đối với một Hiệp định được bảo hộ vào ngày 1 tháng 1 cùng ngày chứ không phải ngày 1 tháng 1 của năm sau https://www.oecd.org/tax/treaties/beps-mli-secretariat-note-entry-into-effect-under-article-35-1-a.pdf. 184. Điều 35(1). MLI sẽ bắt đầu có hiệu lực tại Vương quốc Anh vào ngày 1 tháng 1 năm 2019, đối với thuế khấu trừ tại nguồn vào ngày 1 tháng 4 năm 2019 đối với Thuế Doanh nghiệp và ngày 6 tháng 4 năm 2019 đối với Thuế Thu nhập và Thuế Lợi tức Vốn. Tại Ireland, nó sẽ bắt đầu có hiệu lực đối với thuế khấu trừ tại nguồn từ ngày 1 tháng 1 năm 2020 và đối với tất cả các loại thuế khác do Ireland đánh cho các kỳ tính thuế bắt đầu từ hoặc sau ngày 1 tháng 11 năm 2019. Các ngày mà MLI có hiệu lực để sửa đổi từng hiệp định riêng lẻ phụ thuộc vào thời điểm các bên khác của MLI nộp văn kiện phê chuẩn của họ. 185. Điều 35(2), (3), (5), (6) và (7). 186. Xem §18.08 ở trên. 187. Điều 35(4). 188. Tuyên bố Giải thích, đoạn 333. 189. §18.09 ở trên. 190. Điều 36(1)(a). 191. Ireland đã chọn tùy chọn này: Bảo lưu và Thông báo của Ireland, Bảo lưu theo Điều 36(2).</w:t>
      </w:r>
    </w:p>
    <w:p>
      <w:pPr>
        <w:spacing w:after="80"/>
      </w:pPr>
      <w:r>
        <w:rPr>
          <w:b w:val="0"/>
          <w:i w:val="0"/>
        </w:rPr>
        <w:t>561</w:t>
      </w:r>
    </w:p>
    <w:p>
      <w:pPr>
        <w:spacing w:after="80"/>
      </w:pPr>
      <w:r>
        <w:rPr>
          <w:b w:val="0"/>
          <w:i w:val="0"/>
        </w:rPr>
        <w:t>các quốc gia đã thông báo cho Cơ quan Lưu chiểu rằng họ đã đạt được thỏa thuận về phương thức áp dụng trọng tài theo Phần VI theo Điều 19(10). Thỏa thuận này phải bao gồm thông tin liên quan đến ngày hoặc các ngày mà những trường hợp như vậy được coi là đã được trình lên để giải quyết theo thủ tục MAP theo các điều khoản của thỏa thuận đó. Các cơ quan có thẩm quyền có thể đồng ý về một ngày áp dụng cho tất cả các trường hợp hoặc một ngày cụ thể cho từng trường hợp riêng lẻ.192</w:t>
      </w:r>
    </w:p>
    <w:p>
      <w:pPr>
        <w:spacing w:after="80"/>
      </w:pPr>
      <w:r>
        <w:rPr>
          <w:b w:val="0"/>
          <w:i w:val="0"/>
        </w:rPr>
        <w:t>192. Điều 36(1)(b).</w:t>
      </w:r>
    </w:p>
    <w:p>
      <w:pPr>
        <w:spacing w:after="80"/>
      </w:pPr>
      <w:r>
        <w:rPr>
          <w:b w:val="0"/>
          <w:i w:val="0"/>
        </w:rPr>
        <w:t>562</w:t>
      </w:r>
    </w:p>
    <w:p>
      <w:pPr>
        <w:spacing w:before="240" w:after="80"/>
      </w:pPr>
      <w:r>
        <w:rPr>
          <w:b/>
          <w:sz w:val="32"/>
        </w:rPr>
        <w:t>CHƯƠNG 19 Quản lý Hiệp định</w:t>
      </w:r>
    </w:p>
    <w:p>
      <w:pPr>
        <w:spacing w:after="80"/>
      </w:pPr>
      <w:r>
        <w:rPr>
          <w:b/>
          <w:i w:val="0"/>
        </w:rPr>
        <w:t>§19.01 GIỚI THIỆU</w:t>
      </w:r>
    </w:p>
    <w:p>
      <w:pPr>
        <w:spacing w:after="80"/>
      </w:pPr>
      <w:r>
        <w:rPr>
          <w:b w:val="0"/>
          <w:i w:val="0"/>
        </w:rPr>
        <w:t>Người nộp thuế muốn hưởng lợi từ việc áp dụng các hiệp định phải đối mặt với một loạt các thủ tục khác nhau tùy thuộc vào bản chất của thu nhập hoặc lợi tức, lợi ích được tìm kiếm và, trong một số trường hợp, hiệp định cụ thể đang được xét đến.</w:t>
      </w:r>
    </w:p>
    <w:p>
      <w:pPr>
        <w:spacing w:after="80"/>
      </w:pPr>
      <w:r>
        <w:rPr>
          <w:b w:val="0"/>
          <w:i w:val="0"/>
        </w:rPr>
        <w:t xml:space="preserve">Lord Dunedin đã nổi tiếng giải thích ba yếu tố của hệ thống thuế trong </w:t>
      </w:r>
      <w:r>
        <w:rPr>
          <w:b w:val="0"/>
          <w:i/>
        </w:rPr>
        <w:t>Whitney v IRC</w:t>
      </w:r>
      <w:r>
        <w:rPr>
          <w:b w:val="0"/>
          <w:i w:val="0"/>
        </w:rPr>
        <w:t>, khi ông nói:1</w:t>
      </w:r>
    </w:p>
    <w:p>
      <w:pPr>
        <w:spacing w:after="80"/>
      </w:pPr>
      <w:r>
        <w:rPr>
          <w:b w:val="0"/>
          <w:i w:val="0"/>
        </w:rPr>
        <w:t xml:space="preserve">Có ba giai đoạn trong việc áp đặt một loại thuế: có tuyên bố về nghĩa vụ thuế, đó là phần của luật xác định những người nào đối với tài sản nào phải chịu thuế. Tiếp theo, có việc đánh giá thuế. Nghĩa vụ thuế không phụ thuộc vào việc đánh giá. Điều đó, </w:t>
      </w:r>
      <w:r>
        <w:rPr>
          <w:b w:val="0"/>
          <w:i/>
        </w:rPr>
        <w:t>theo giả định</w:t>
      </w:r>
      <w:r>
        <w:rPr>
          <w:b w:val="0"/>
          <w:i w:val="0"/>
        </w:rPr>
        <w:t>, đã được xác định rồi… Cuối cùng, đến các phương thức thu hồi, nếu người bị đánh thuế không tự nguyện nộp.</w:t>
      </w:r>
    </w:p>
    <w:p>
      <w:pPr>
        <w:spacing w:after="80"/>
      </w:pPr>
      <w:r>
        <w:rPr>
          <w:b w:val="0"/>
          <w:i w:val="0"/>
        </w:rPr>
        <w:t>Theo quy định chung, các cơ chế giảm bớt đánh thuế hai lần bằng cách phân bổ quyền đánh thuế và loại bỏ đánh thuế hai lần (được xem xét trong Chương 8, §8.01 và Chương 15, §15.12) chỉ giải quyết giai đoạn đầu tiên (xác định nghĩa vụ thuế). Với ít ngoại lệ, giai đoạn đánh giá thuế thứ hai là vấn đề của luật và thực tiễn trong nước. Trao đổi thông tin có thể hỗ trợ cho giai đoạn đánh giá thuế và các hiệp định cho phép thu thuế xuyên biên giới có liên quan đến giai đoạn thu hồi thứ ba. Cả hai đều được xem xét trong Chương 22.</w:t>
      </w:r>
    </w:p>
    <w:p>
      <w:pPr>
        <w:spacing w:after="80"/>
      </w:pPr>
      <w:r>
        <w:rPr>
          <w:b/>
          <w:i w:val="0"/>
        </w:rPr>
        <w:t>§19.02 CÁC THỦ TỤC DỰA TRÊN HIỆP ĐỊNH</w:t>
      </w:r>
    </w:p>
    <w:p>
      <w:pPr>
        <w:spacing w:after="80"/>
      </w:pPr>
      <w:r>
        <w:rPr>
          <w:b w:val="0"/>
          <w:i w:val="0"/>
        </w:rPr>
        <w:t>Một số hiệp định có chứa các quy tắc thủ tục để áp dụng chúng. Chẳng hạn, Điều 23 của Hiệp định đánh thuế hai lần Áo – Vương quốc Anh quy định rằng:</w:t>
      </w:r>
    </w:p>
    <w:p>
      <w:pPr>
        <w:spacing w:after="80"/>
      </w:pPr>
      <w:r>
        <w:rPr>
          <w:b w:val="0"/>
          <w:i w:val="0"/>
        </w:rPr>
        <w:t>1.</w:t>
      </w:r>
      <w:r>
        <w:rPr>
          <w:b w:val="0"/>
          <w:i/>
        </w:rPr>
        <w:t>Whitney v Inland Revenue Commissioners</w:t>
      </w:r>
      <w:r>
        <w:rPr>
          <w:b w:val="0"/>
          <w:i w:val="0"/>
        </w:rPr>
        <w:t xml:space="preserve"> (1924-26) 10 TC 88; [1926] AC 37 tại 52.</w:t>
      </w:r>
    </w:p>
    <w:p>
      <w:pPr>
        <w:spacing w:after="80"/>
      </w:pPr>
      <w:r>
        <w:rPr>
          <w:b w:val="0"/>
          <w:i w:val="0"/>
        </w:rPr>
        <w:t>563</w:t>
      </w:r>
    </w:p>
    <w:p>
      <w:pPr>
        <w:spacing w:after="80"/>
      </w:pPr>
      <w:r>
        <w:rPr>
          <w:b w:val="0"/>
          <w:i w:val="0"/>
        </w:rPr>
        <w:t>Khi thuế đã được khấu trừ tại nguồn từ cổ tức, tiền lãi hoặc tiền bản quyền vượt quá số thuế phải chịu theo các quy định của Điều 10, 11 hoặc 12, thì phần thuế vượt quá đó sẽ được hoàn lại khi có đơn yêu cầu gửi đến cơ quan có thẩm quyền liên quan trong vòng ba năm kể từ ngày kết thúc năm dương lịch mà cổ tức, tiền lãi hoặc tiền bản quyền đó phải được thanh toán.</w:t>
      </w:r>
    </w:p>
    <w:p>
      <w:pPr>
        <w:spacing w:after="80"/>
      </w:pPr>
      <w:r>
        <w:rPr>
          <w:b w:val="0"/>
          <w:i w:val="0"/>
        </w:rPr>
        <w:t>Theo những thỏa thuận như vậy, việc hoàn lại các khoản bị khấu trừ vượt quá mức thuế suất theo hiệp định được hiệp định bảo đảm nếu đơn yêu cầu được gửi trong thời hạn quy định. Một số thỏa thuận khác, chẳng hạn như Hiệp định Vương quốc Anh – Ý, tuy cũng bảo đảm việc hoàn lại nhưng lại áp dụng các thời hạn nội địa cùng những yêu cầu thủ tục khác, như việc quốc gia cư trú phải chứng nhận rằng người nộp thuế đã đáp ứng các điều kiện cần thiết để được hoàn lại.2</w:t>
      </w:r>
    </w:p>
    <w:p>
      <w:pPr>
        <w:spacing w:after="80"/>
      </w:pPr>
      <w:r>
        <w:rPr>
          <w:b w:val="0"/>
          <w:i w:val="0"/>
        </w:rPr>
        <w:t>Điều 29 của Hiệp định đánh thuế hai lần Đức – Vương quốc Anh (2010), kết hợp với Điều 5 của Nghị định thư kèm theo hiệp định đó, đưa ra hệ thống quy tắc thủ tục riêng cho việc đánh thuế tại nguồn. Quyền khấu trừ tại nguồn được giữ nguyên, kèm theo nghĩa vụ cụ thể phải hoàn lại các khoản bị khấu trừ vượt quá mức mà hiệp định cho phép, khi có yêu cầu trong thời hạn theo hiệp định là bốn năm kể từ năm diễn ra việc khấu trừ. Mỗi quốc gia được tự do áp dụng các cơ chế để giảm hoặc loại bỏ việc đánh thuế tại nguồn. Quyền của các quốc gia ký kết trong việc yêu cầu chứng nhận nơi cư trú của người yêu cầu được ghi nhận trong hiệp định, trong đó dự liệu các phương thức thực hiện thay thế theo thỏa thuận giữa các quốc gia. Khả năng của các nhà quản lý đầu tư trong việc đưa ra yêu cầu thay mặt cho những người tham gia các chương trình đầu tư được đề cập một cách rõ ràng, cùng với việc loại trừ quyền của nhà đầu tư được yêu cầu hưởng cùng một khoản giảm trừ đó. Bộ quy tắc này về cơ bản phản ánh thông lệ của Vương quốc Anh trong mọi trường hợp. Đối với tiền lãi và tiền bản quyền, có thể cần xem xét tính tương thích của các quy định này với chỉ thị về tiền lãi và tiền bản quyền.3</w:t>
      </w:r>
    </w:p>
    <w:p>
      <w:pPr>
        <w:spacing w:after="80"/>
      </w:pPr>
      <w:r>
        <w:rPr>
          <w:b w:val="0"/>
          <w:i w:val="0"/>
        </w:rPr>
        <w:t>Việc quản lý các hiệp định có thể được giải quyết bằng thỏa thuận giữa các cơ quan có thẩm quyền. Trong một số trường hợp, hiệp định sẽ cho phép điều này một cách rõ ràng. Điều 12(2) của Hiệp định Turkmenistan – Vương quốc Anh (theo mẫu Điều 12(2) của UN Model) quy định, liên quan đến việc giảm thuế tại quốc gia nguồn đối với tiền bản quyền, rằng: ‘Các cơ quan có thẩm quyền của các Quốc gia ký kết sẽ thông qua thỏa thuận chung để ấn định phương thức áp dụng giới hạn này.’ Trong các trường hợp khác, thỏa thuận như vậy được thực hiện theo thủ tục thỏa thuận chung.4</w:t>
      </w:r>
    </w:p>
    <w:p>
      <w:pPr>
        <w:spacing w:after="80"/>
      </w:pPr>
      <w:r>
        <w:rPr>
          <w:b w:val="0"/>
          <w:i w:val="0"/>
        </w:rPr>
        <w:t>Giai đoạn thứ hai và thứ ba làm nảy sinh những cân nhắc đặc biệt trong bối cảnh hoạt động quốc tế, do việc các cơ quan thuế trong lịch sử không thể mở rộng phạm vi hoạt động ra ngoài biên giới quốc gia.5 Những cân nhắc này nhìn chung dẫn đến nhu cầu về các cơ chế đánh giá và thu thuế nằm trong thẩm quyền của tòa án Vương quốc Anh. Do đó, các giai đoạn đánh giá và thu thuế thường được kết hợp thành một quy trình duy nhất trong bối cảnh người không cư trú. Vì vậy,</w:t>
      </w:r>
    </w:p>
    <w:p>
      <w:pPr>
        <w:spacing w:after="80"/>
      </w:pPr>
      <w:r>
        <w:rPr>
          <w:b w:val="0"/>
          <w:i w:val="0"/>
        </w:rPr>
        <w:t>2.Hiệp định thuế Ý – Vương quốc Anh (1988), Điều 29(1) và (2).3.Chỉ thị 2011/96 về hệ thống thuế chung áp dụng cho các khoản thanh toán tiền lãi và tiền bản quyền giữa các công ty liên kết của các Quốc gia thành viên khác nhau. Xem Chương 14, §14.07.4.Xem Chương 20, §20.04. Xem ví dụ, thỏa thuận chung Áo – Vương quốc Anh về việc tiếp tục áp dụng các quy tắc hành chính để miễn thuế khấu trừ cổ tức của Áo theo Chỉ thị Công ty mẹ – Công ty con (2011/96/EU) sau khi kết thúc giai đoạn chuyển tiếp Brexit, đối với Điều 10(2)(b)(i) của Hiệp định Áo – Vương quốc Anh.5.Xem Chương 22, §22.01.</w:t>
      </w:r>
    </w:p>
    <w:p>
      <w:pPr>
        <w:spacing w:after="80"/>
      </w:pPr>
      <w:r>
        <w:rPr>
          <w:b w:val="0"/>
          <w:i w:val="0"/>
        </w:rPr>
        <w:t>564</w:t>
      </w:r>
    </w:p>
    <w:p>
      <w:pPr>
        <w:spacing w:after="80"/>
      </w:pPr>
      <w:r>
        <w:rPr>
          <w:b w:val="0"/>
          <w:i w:val="0"/>
        </w:rPr>
        <w:t>hệ thống đánh giá thuế trực thu của Vương quốc Anh, vốn nhìn chung được chia thành tự khai thuế và khấu trừ tại nguồn, đặc biệt dựa vào khấu trừ tại nguồn đối với thu nhập, lợi nhuận và lợi tức của người không cư trú.</w:t>
      </w:r>
    </w:p>
    <w:p>
      <w:pPr>
        <w:spacing w:after="80"/>
      </w:pPr>
      <w:r>
        <w:rPr>
          <w:b/>
          <w:i w:val="0"/>
        </w:rPr>
        <w:t>§19.03 TỰ KHAI THUẾ VÀ KHẤU TRỪ TẠI NGUỒN</w:t>
      </w:r>
    </w:p>
    <w:p>
      <w:pPr>
        <w:spacing w:after="80"/>
      </w:pPr>
      <w:r>
        <w:rPr>
          <w:b w:val="0"/>
          <w:i w:val="0"/>
        </w:rPr>
        <w:t>Bất kỳ người nào phải chịu thuế thu nhập hoặc thuế lợi tức vốn cho một năm đánh giá đều được yêu cầu, qua thông báo, phải hoàn thành tờ khai hoặc gửi thông báo về nghĩa vụ chịu thuế.6 Tương tự, một công ty phải chịu thuế doanh nghiệp cho một kỳ kế toán cũng được yêu cầu, qua thông báo, phải hoàn thành tờ khai hoặc thông báo rằng mình phải chịu thuế.7 Trong mỗi trường hợp, tờ khai phải bao gồm việc tự khai thuế đối với nghĩa vụ thuế của người nộp thuế.8 Tự khai thuế đòi hỏi phải nộp tờ khai thuế trước một ngày ấn định và thanh toán toàn bộ thuế thu nhập và thuế lợi tức vốn, hoặc lợi nhuận đối với các công ty, cho năm đó trước những ngày ấn định. Quan trọng hơn, tự khai thuế đòi hỏi người nộp thuế phải tự đưa ra kết luận về nghĩa vụ thuế của mình và báo cáo những kết luận đó dưới dạng thu nhập và lợi tức được khai trên tờ khai thuế. Việc tuân thủ được giám sát thông qua các cuộc điều tra tờ khai, và người nộp thuế sẽ phải lưu giữ hồ sơ và thông tin để chứng minh cơ sở mà dựa vào đó thu nhập và lợi tức được khai.</w:t>
      </w:r>
    </w:p>
    <w:p>
      <w:pPr>
        <w:spacing w:after="80"/>
      </w:pPr>
      <w:r>
        <w:rPr>
          <w:b/>
          <w:i w:val="0"/>
        </w:rPr>
        <w:t>[A]Khấu trừ tại nguồn</w:t>
      </w:r>
    </w:p>
    <w:p>
      <w:pPr>
        <w:spacing w:after="80"/>
      </w:pPr>
      <w:r>
        <w:rPr>
          <w:b w:val="0"/>
          <w:i w:val="0"/>
        </w:rPr>
        <w:t xml:space="preserve">Việc khấu trừ thuế tại nguồn đối với một số khoản mục được quy định chung trong </w:t>
      </w:r>
      <w:r>
        <w:rPr>
          <w:b w:val="0"/>
          <w:i/>
        </w:rPr>
        <w:t>Income Tax Act</w:t>
      </w:r>
      <w:r>
        <w:rPr>
          <w:b w:val="0"/>
          <w:i w:val="0"/>
        </w:rPr>
        <w:t xml:space="preserve"> 2007, Phần 15, và cụ thể liên quan đến thu nhập từ việc làm và lương hưu, trong ITEPA 2003, Phần 11. Một người có các nguồn thu nhập được đánh thuế hoàn toàn bằng cách khấu trừ tại nguồn thì không bắt buộc phải thông báo về nghĩa vụ chịu thuế.9</w:t>
      </w:r>
    </w:p>
    <w:p>
      <w:pPr>
        <w:spacing w:after="80"/>
      </w:pPr>
      <w:r>
        <w:rPr>
          <w:b/>
          <w:i w:val="0"/>
        </w:rPr>
        <w:t>§19.04 YÊU CẦU HOẶC TỰ KHAI CÁC QUYỀN LỢI THEO HIỆP ĐỊNH</w:t>
      </w:r>
    </w:p>
    <w:p>
      <w:pPr>
        <w:spacing w:after="80"/>
      </w:pPr>
      <w:r>
        <w:rPr>
          <w:b w:val="0"/>
          <w:i w:val="0"/>
        </w:rPr>
        <w:t>Cách thức mà các hiệp định có hiệu lực rất khác nhau, tùy thuộc vào loại thu nhập hoặc lợi nhuận cụ thể đang được đề cập. Ngôn ngữ tối nghĩa của TIOPA 2010, s.6, làm nảy sinh những câu hỏi về cơ chế đánh giá, càng phức tạp hơn bởi vì nó ra đời trước cả luật tự khai thuế (self-assessment) hiện đại khá lâu. Theo s.6(2), các hiệp định có hiệu lực trong phạm vi chúng quy định (trong số những điều khác):</w:t>
      </w:r>
    </w:p>
    <w:p>
      <w:pPr>
        <w:spacing w:after="80"/>
      </w:pPr>
      <w:r>
        <w:rPr>
          <w:b w:val="0"/>
          <w:i w:val="0"/>
        </w:rPr>
        <w:t>(1) việc đánh thuế thu nhập của những người không cư trú tại Vương quốc Anh (non-UK residents) từ các nguồn ở Vương quốc Anh;10</w:t>
      </w:r>
    </w:p>
    <w:p>
      <w:pPr>
        <w:spacing w:after="80"/>
      </w:pPr>
      <w:r>
        <w:rPr>
          <w:b w:val="0"/>
          <w:i w:val="0"/>
        </w:rPr>
        <w:t>(2) việc đánh thuế các khoản lợi tức chịu thuế (chargeable gains) phát sinh cho những người không cư trú tại Vương quốc Anh khi chuyển nhượng</w:t>
      </w:r>
    </w:p>
    <w:p>
      <w:pPr>
        <w:spacing w:after="80"/>
      </w:pPr>
      <w:r>
        <w:rPr>
          <w:b w:val="0"/>
          <w:i w:val="0"/>
        </w:rPr>
        <w:t>tài sản ở Vương quốc Anh;11</w:t>
      </w:r>
    </w:p>
    <w:p>
      <w:pPr>
        <w:spacing w:after="80"/>
      </w:pPr>
      <w:r>
        <w:rPr>
          <w:b w:val="0"/>
          <w:i w:val="0"/>
        </w:rPr>
        <w:t>(3) việc xác định thu nhập hoặc lợi tức chịu thuế được quy cho:</w:t>
      </w:r>
    </w:p>
    <w:p>
      <w:pPr>
        <w:spacing w:after="80"/>
      </w:pPr>
      <w:r>
        <w:rPr>
          <w:b w:val="0"/>
          <w:i w:val="0"/>
        </w:rPr>
        <w:t>6. TMA 1970, s. 7(1). 7. FA 1998, Sch. 18, para. 2(1). 8. TMA 1970, s. 9, và, trong trường hợp các công ty, FA 1998, Sch. 18, para. 7(1). 9. TMA 1970, s. 7(3). 10. TIOPA 2010, s. 6(2)(b). 11. TIOPA 2010, s. 6(2)(c).</w:t>
      </w:r>
    </w:p>
    <w:p>
      <w:pPr>
        <w:spacing w:after="80"/>
      </w:pPr>
      <w:r>
        <w:rPr>
          <w:b w:val="0"/>
          <w:i w:val="0"/>
        </w:rPr>
        <w:t>565</w:t>
      </w:r>
    </w:p>
    <w:p>
      <w:pPr>
        <w:spacing w:after="80"/>
      </w:pPr>
      <w:r>
        <w:rPr>
          <w:b w:val="0"/>
          <w:i w:val="0"/>
        </w:rPr>
        <w:t>– những người không cư trú và các đại lý, chi nhánh hoặc cơ sở của họ ở Vương quốc Anh;12</w:t>
      </w:r>
    </w:p>
    <w:p>
      <w:pPr>
        <w:spacing w:after="80"/>
      </w:pPr>
      <w:r>
        <w:rPr>
          <w:b w:val="0"/>
          <w:i w:val="0"/>
        </w:rPr>
        <w:t>hoặc – những người cư trú có mối quan hệ đặc biệt với những người không cư trú.13</w:t>
      </w:r>
    </w:p>
    <w:p>
      <w:pPr>
        <w:spacing w:after="80"/>
      </w:pPr>
      <w:r>
        <w:rPr>
          <w:b w:val="0"/>
          <w:i w:val="0"/>
        </w:rPr>
        <w:t>Ngôn ngữ này mang theo hàm ý rằng các hiệp định sửa đổi luật trong nước bằng cách thay thế các quy định pháp luật trong nước liên quan bằng các quy định của hiệp định tương ứng, từ đó tuyên bố rằng nghĩa vụ thuế được thể hiện đúng như trong hiệp định. Trong những trường hợp như vậy, toàn bộ hàm ý của việc tự khai thuế (self-assessment) đối với nghĩa vụ thuế, khi được suy luận đến tận cùng logic, đặc biệt đáng chú ý liên quan đến những người không cư trú mà, nếu không có các quy định của một hiệp định, sẽ phải chịu thuế theo luật trong nước và khi không có thuế nào được khấu trừ tại nguồn đối với các khoản thanh toán cho họ. Khi các quy định liên quan của một hiệp định có thể được coi là quy định việc 'đánh thuế' hoặc xác định thu nhập hoặc lợi tức chịu thuế của những người không cư trú và loại trừ mọi nghĩa vụ thuế đối với Vương quốc Anh, thì không nên phát sinh nghĩa vụ thông báo về việc phải chịu thuế. Minh họa quan trọng và cấp thiết nhất về điều này nảy sinh liên quan đến câu hỏi liệu một người không cư trú đang kinh doanh tại Vương quốc Anh, nhưng nhờ một hiệp định mà không có cơ sở thường trú (permanent establishment), có bắt buộc phải thông báo về việc phải chịu thuế và nộp tờ khai thuế hay không. Theo cách tiếp cận này, người không cư trú đó không thuộc phạm vi chịu thuế thu nhập hoặc thuế doanh nghiệp vì lý do này và không cần thông báo về việc phải chịu thuế cũng như không cần nộp tờ khai.</w:t>
      </w:r>
    </w:p>
    <w:p>
      <w:pPr>
        <w:spacing w:after="80"/>
      </w:pPr>
      <w:r>
        <w:rPr>
          <w:b w:val="0"/>
          <w:i w:val="0"/>
        </w:rPr>
        <w:t>Mục 6(2)(a) làm cho các hiệp định có hiệu lực khi chúng quy định 'việc giảm trừ thuế thu nhập hoặc thuế doanh nghiệp đối với thu nhập hoặc lợi tức chịu thuế'. Mục 6(6) bổ sung một phần phụ về thủ tục cho điều này, quy định rằng việc giảm trừ theo khoản 2(a) … đòi hỏi phải có một yêu cầu (claim). Vậy trong những trường hợp nào thì cần phải làm một 'yêu cầu' để được hưởng lợi từ một hiệp định? Từ 'giảm trừ' (relief) không phải là một thuật ngữ chuyên môn mà đã được dùng trong pháp luật thuế để chỉ một quy định làm giảm số thuế lẽ ra phải nộp.14</w:t>
      </w:r>
    </w:p>
    <w:p>
      <w:pPr>
        <w:spacing w:after="80"/>
      </w:pPr>
      <w:r>
        <w:rPr>
          <w:b w:val="0"/>
          <w:i w:val="0"/>
        </w:rPr>
        <w:t>Mặc dù, như đã thấy, các hiệp định nói chung mang tính chất giảm trừ, nhưng khi hiệp định tuyên bố rằng nghĩa vụ thuế phù hợp với các điều khoản của nó, thì việc gọi quy định của hiệp định là một sự giảm trừ theo nghĩa này có phần nào mang tính vòng tròn.</w:t>
      </w:r>
    </w:p>
    <w:p>
      <w:pPr>
        <w:spacing w:after="80"/>
      </w:pPr>
      <w:r>
        <w:rPr>
          <w:b w:val="0"/>
          <w:i w:val="0"/>
        </w:rPr>
        <w:t>Do đó, phần lớn khó khăn là do việc sử dụng một số ít cách diễn đạt được dùng với nhiều hơn một nghĩa và ý nghĩa của chúng có thể đã thay đổi theo thời gian. Pháp luật không nhất quán về việc cần phải làm yêu cầu ở đâu và, ở một số nơi, giả định thay vì bắt buộc rằng một yêu cầu là thích hợp.15 Những giả định như vậy có thể là di tích của hệ thống trước thời tự khai thuế. Quan điểm đúng đắn hơn về quy định tiền thân, ICTA 1988, s. 788(6), 'trừ trường hợp yêu cầu một khoản trợ cấp dưới hình thức tín dụng theo Chương II của Phần này, yêu cầu giảm trừ theo khoản phụ (3)(a) ở trên phải được gửi đến Ban (the Board)' có nghĩa là khi một yêu cầu là thích hợp, nó chỉ</w:t>
      </w:r>
    </w:p>
    <w:p>
      <w:pPr>
        <w:spacing w:after="80"/>
      </w:pPr>
      <w:r>
        <w:rPr>
          <w:b w:val="0"/>
          <w:i w:val="0"/>
        </w:rPr>
        <w:t xml:space="preserve">12. TIOPA 2010, s. 6(2)(c). 13. TIOPA 2010, s. 6(2)(f). 14. Lord Hoffmann trong </w:t>
      </w:r>
      <w:r>
        <w:rPr>
          <w:b w:val="0"/>
          <w:i/>
        </w:rPr>
        <w:t>Taylor (HMIT) v MEPC Holdings Ltd</w:t>
      </w:r>
      <w:r>
        <w:rPr>
          <w:b w:val="0"/>
          <w:i w:val="0"/>
        </w:rPr>
        <w:t xml:space="preserve"> [2003] UKHL 70; [2004] BTC 20; [2004] STC 123, tại đoạn 10. Xem thêm </w:t>
      </w:r>
      <w:r>
        <w:rPr>
          <w:b w:val="0"/>
          <w:i/>
        </w:rPr>
        <w:t>Sheppard and another (Trustees of the Woodland Trust) v Inland Revenue Commissioners (No.2)</w:t>
      </w:r>
      <w:r>
        <w:rPr>
          <w:b w:val="0"/>
          <w:i w:val="0"/>
        </w:rPr>
        <w:t xml:space="preserve"> [1993] BTC 113; [1993] STC 240 tại đoạn 254, và </w:t>
      </w:r>
      <w:r>
        <w:rPr>
          <w:b w:val="0"/>
          <w:i/>
        </w:rPr>
        <w:t>Inland Revenue Commissioners v Universities Superannuation Scheme Ltd</w:t>
      </w:r>
      <w:r>
        <w:rPr>
          <w:b w:val="0"/>
          <w:i w:val="0"/>
        </w:rPr>
        <w:t xml:space="preserve"> [1997] BTC 3; [1997] STC 1 tại các đoạn 17-18. 15. CTA 2009, s. 18(4), điều khoản này đưa ra giả định rằng một yêu cầu đã được thực hiện.</w:t>
      </w:r>
    </w:p>
    <w:p>
      <w:pPr>
        <w:spacing w:after="80"/>
      </w:pPr>
      <w:r>
        <w:rPr>
          <w:b w:val="0"/>
          <w:i w:val="0"/>
        </w:rPr>
        <w:t>566</w:t>
      </w:r>
    </w:p>
    <w:p>
      <w:pPr>
        <w:spacing w:after="80"/>
      </w:pPr>
      <w:r>
        <w:rPr>
          <w:b w:val="0"/>
          <w:i w:val="0"/>
        </w:rPr>
        <w:t>quy định yêu cầu đó phải được gửi cho ai.16 Điều này gợi ý rằng người viết lại quy định đó thành TIOPA 2010, s. 6(6) có thể đã hiểu sai quy tắc.</w:t>
      </w:r>
    </w:p>
    <w:p>
      <w:pPr>
        <w:spacing w:after="80"/>
      </w:pPr>
      <w:r>
        <w:rPr>
          <w:b w:val="0"/>
          <w:i w:val="0"/>
        </w:rPr>
        <w:t xml:space="preserve">Lập luận cho rằng sự tồn tại hay không tồn tại của một cơ sở thường trú (permanent establishment) là một điều khoản để ‘đánh thuế thu nhập Vương quốc Anh’ đối với người không cư trú theo mục 6(2)(b) và rằng việc không tồn tại cơ sở thường trú sẽ phủ nhận nghĩa vụ chịu thuế là rất thuyết phục (mặc dù đây cũng là một sự miễn trừ khỏi phạm vi các quy định trong nước). Cuốn </w:t>
      </w:r>
      <w:r>
        <w:rPr>
          <w:b w:val="0"/>
          <w:i/>
        </w:rPr>
        <w:t>International Tax Handbook</w:t>
      </w:r>
      <w:r>
        <w:rPr>
          <w:b w:val="0"/>
          <w:i w:val="0"/>
        </w:rPr>
        <w:t xml:space="preserve"> cũ của cơ quan thuế (được viết trước thời kỳ tự khai thuế) có thể đã cung cấp một số hỗ trợ ngầm cho điều này. Cuốn sách giải thích rằng các cụm từ ‘charged’ (bị đánh thuế) và ‘chargeable’ (thuộc diện chịu thuế) được dùng theo hai cách trong các đạo luật thuế. Cách thứ nhất mang nghĩa ‘liable’ (có nghĩa vụ) hoặc ‘within the charge’ (thuộc diện chịu thuế) như trong thuế đánh trên thu nhập (theo Sch. D). Cách thứ hai mang nghĩa ‘assessable’ (có thể bị ấn định thuế), như khi thuế (theo Sch. D) được đánh lên người nhận hoặc người được hưởng thu nhập. Vì, chẳng hạn, trong bối cảnh cơ sở thường trú, các điều khoản hiệp ước thường không tác động đến bộ máy ấn định thuế, nên sự tồn tại hay không tồn tại của một cơ sở thường trú dường như thực sự liên quan đến ý nghĩa của ‘chargeable’ theo cách hiểu thứ nhất mà cơ quan thuế đề cập.17 Cuốn sổ tay của cơ quan thuế cũng đề cập đến sự tồn tại của các cơ sở thường trú như là ‘the treaty charge’ (nghĩa vụ thuế theo hiệp ước).18 Mặt khác, Help Sheet HS304 (Non-residents relief under double taxation agreements – Miễn trừ cho người không cư trú theo các hiệp định đánh thuế hai lần) được viết trên cơ sở rằng cần phải có một yêu cầu (claim). Việc sử dụng cụm từ ‘claim’ trong bối cảnh này – vốn thực chất chỉ là một sự khẳng định trong tờ khai tự đánh thuế về việc áp dụng một hiệp ước – phần nào đã lỗi thời và gây nhầm lẫn.</w:t>
      </w:r>
    </w:p>
    <w:p>
      <w:pPr>
        <w:spacing w:after="80"/>
      </w:pPr>
      <w:r>
        <w:rPr>
          <w:b w:val="0"/>
          <w:i w:val="0"/>
        </w:rPr>
        <w:t>Thực tiễn hiện tại của HMRC là yêu cầu những cá nhân không cư trú sau đây phải hoàn thành tờ khai tự đánh thuế:</w:t>
      </w:r>
    </w:p>
    <w:p>
      <w:pPr>
        <w:spacing w:after="80"/>
      </w:pPr>
      <w:r>
        <w:rPr>
          <w:b w:val="0"/>
          <w:i w:val="0"/>
        </w:rPr>
        <w:t>– Các nhà bảo hiểm Lloyd’s; – Các thành viên trong một hợp danh Vương quốc Anh và đang kinh doanh tại Vương quốc Anh; và – Những người có hoạt động kinh doanh bất động sản tại Vương quốc Anh.</w:t>
      </w:r>
    </w:p>
    <w:p>
      <w:pPr>
        <w:spacing w:after="80"/>
      </w:pPr>
      <w:r>
        <w:rPr>
          <w:b w:val="0"/>
          <w:i w:val="0"/>
        </w:rPr>
        <w:t>Trong lĩnh vực việc làm, các giám đốc của một công ty Vương quốc Anh hoặc nhân viên thực hiện nhiệm vụ tại Vương quốc Anh có thể bị yêu cầu (cũng như bất kỳ ai thực hiện lợi nhuận vốn hoặc phải chịu thuế suất cao hơn) hoặc có thể được hưởng mức giảm trừ thuế theo tuổi được giảm bớt.</w:t>
      </w:r>
    </w:p>
    <w:p>
      <w:pPr>
        <w:spacing w:after="80"/>
      </w:pPr>
      <w:r>
        <w:rPr>
          <w:b w:val="0"/>
          <w:i w:val="0"/>
        </w:rPr>
        <w:t>Một bộ quy tắc độc lập và chi tiết dành cho những người không cư trú chuyển nhượng đất đai tại Vương quốc Anh, trực tiếp hoặc gián tiếp19 yêu cầu phải nộp các tờ khai riêng cho những giao dịch chuyển nhượng này và cho các cuộc điều tra về những tờ khai đó của HMRC.20</w:t>
      </w:r>
    </w:p>
    <w:p>
      <w:pPr>
        <w:spacing w:after="80"/>
      </w:pPr>
      <w:r>
        <w:rPr>
          <w:b/>
          <w:i w:val="0"/>
        </w:rPr>
        <w:t>§19.05 CÁC YÊU CẦU (CLAIMS)</w:t>
      </w:r>
    </w:p>
    <w:p>
      <w:pPr>
        <w:spacing w:after="80"/>
      </w:pPr>
      <w:r>
        <w:rPr>
          <w:b w:val="0"/>
          <w:i w:val="0"/>
        </w:rPr>
        <w:t>Khi một yêu cầu được thực hiện, nó phải tuân theo thủ tục dành cho các yêu cầu nói chung được quy định trong TMA 1970, mục 42, và FA 1998, Sch. 18, các đoạn 9 và 10, và Phần VII, đối với thuế công ty. Nói chung, một yêu cầu về miễn trừ hoặc hoàn thuế phải</w:t>
      </w:r>
    </w:p>
    <w:p>
      <w:pPr>
        <w:spacing w:after="80"/>
      </w:pPr>
      <w:r>
        <w:rPr>
          <w:b w:val="0"/>
          <w:i w:val="0"/>
        </w:rPr>
        <w:t>16. HMRC, International Tax Manual, INTM157030. 17. HMRC, International Tax Handbook, ITH902. 18. HMRC, International Tax Handbook, ITH849. 19. Xem Chương 4, §4.07. 20. FA 2019, mục 14 và Sch. 2.</w:t>
      </w:r>
    </w:p>
    <w:p>
      <w:pPr>
        <w:spacing w:after="80"/>
      </w:pPr>
      <w:r>
        <w:rPr>
          <w:b w:val="0"/>
          <w:i w:val="0"/>
        </w:rPr>
        <w:t>567</w:t>
      </w:r>
    </w:p>
    <w:p>
      <w:pPr>
        <w:spacing w:after="80"/>
      </w:pPr>
      <w:r>
        <w:rPr>
          <w:b w:val="0"/>
          <w:i w:val="0"/>
        </w:rPr>
        <w:t>là với một số tiền được định lượng tại thời điểm khi yêu cầu được thực hiện.21 Một bộ quy tắc riêng được cung cấp cho các yêu cầu không được đưa vào tờ khai.22</w:t>
      </w:r>
    </w:p>
    <w:p>
      <w:pPr>
        <w:spacing w:after="80"/>
      </w:pPr>
      <w:r>
        <w:rPr>
          <w:b w:val="0"/>
          <w:i w:val="0"/>
        </w:rPr>
        <w:t>Cách sử dụng chính của HMRC đối với từ ‘claim’ trong bối cảnh hiệp ước là để chỉ việc nhận lại khoản tiền mà người nộp thuế tìm cách hoàn lại thuế thu nhập Vương quốc Anh đã bị người trả khấu trừ tại nguồn.23</w:t>
      </w:r>
    </w:p>
    <w:p>
      <w:pPr>
        <w:spacing w:after="80"/>
      </w:pPr>
      <w:r>
        <w:rPr>
          <w:b/>
          <w:i w:val="0"/>
        </w:rPr>
        <w:t>[A] Thời hạn</w:t>
      </w:r>
    </w:p>
    <w:p>
      <w:pPr>
        <w:spacing w:after="80"/>
      </w:pPr>
      <w:r>
        <w:rPr>
          <w:b w:val="0"/>
          <w:i w:val="0"/>
        </w:rPr>
        <w:t>Thời hạn để thực hiện các yêu cầu được quy định chung bởi TMA 1970, mục 43. Trong trường hợp thuế thu nhập, một yêu cầu phải được thực hiện trong vòng bốn năm sau khi kết thúc năm đánh giá mà nó liên quan. Trong trường hợp thuế công ty, một yêu cầu phải được thực hiện trong vòng bốn năm kể từ khi kết thúc kỳ kế toán mà nó liên quan.24 Các thời hạn tương tự cũng được áp đặt riêng liên quan đến các yêu cầu về tín dụng thuế nước ngoài được cung cấp bởi các hiệp ước theo TIOPA 2010, mục 19. Các yêu cầu về tín dụng cho thuế nước ngoài đối với thu nhập hoặc lợi nhuận chịu thuế cho một năm thuế phải được thực hiện trước ngày kỷ niệm thứ tư của năm thuế đó, hoặc nếu muộn hơn, là ngày 31 tháng 1 sau năm thuế mà thuế nước ngoài được nộp. Trong trường hợp thuế công ty, yêu cầu phải được thực hiện không quá bốn năm sau khi kết thúc kỳ kế toán hoặc, nếu muộn hơn, một năm sau khi kết thúc kỳ kế toán mà thuế nước ngoài được nộp. Việc không yêu cầu kịp thời sẽ dẫn đến mất quyền miễn trừ theo hiệp ước.25 Việc gia hạn thời hạn dựa trên năm nộp thuế nước ngoài được thực hiện do kết quả của những kiến nghị liên quan đến các tình huống bất thường khi thuế nước ngoài có thể được nộp quá muộn để có thể yêu cầu miễn trừ tín dụng trong thời hạn thông thường. Ví dụ, khi tiền lãi được nhận từ một khoản vay, hợp đồng cho vay có thể quy định rằng tiền lãi được trả tám năm sau khi khoản vay được thực hiện. Chỉ đến lúc đó thuế nước ngoài mới được nộp thông qua việc khấu trừ từ khoản thanh toán tiền lãi. Thuế có thể đã được đánh tại Vương quốc Anh trên tiền lãi theo cơ sở tích lũy (accruals basis) ngay từ khi khoản vay bắt đầu. Khi thuế nước ngoài cuối cùng được nộp vào năm thứ tám, một yêu cầu về miễn trừ tín dụng liên quan đến phần tiền lãi đó trong những năm đầu tiên sẽ nằm ngoài thời hạn bốn năm thông thường.26</w:t>
      </w:r>
    </w:p>
    <w:p>
      <w:pPr>
        <w:spacing w:after="80"/>
      </w:pPr>
      <w:r>
        <w:rPr>
          <w:b/>
          <w:i w:val="0"/>
        </w:rPr>
        <w:t>[B] Tài liệu</w:t>
      </w:r>
    </w:p>
    <w:p>
      <w:pPr>
        <w:spacing w:after="80"/>
      </w:pPr>
      <w:r>
        <w:rPr>
          <w:b w:val="0"/>
          <w:i w:val="0"/>
        </w:rPr>
        <w:t>Không có thủ tục phi thuế nào, chẳng hạn như đăng ký với các cơ quan khác, là điều kiện tiên quyết để được hưởng quyền miễn trừ theo hiệp ước. Nói chung, tài liệu hạn chế hoặc</w:t>
      </w:r>
    </w:p>
    <w:p>
      <w:pPr>
        <w:spacing w:after="80"/>
      </w:pPr>
      <w:r>
        <w:rPr>
          <w:b w:val="0"/>
          <w:i w:val="0"/>
        </w:rPr>
        <w:t xml:space="preserve">21. TMA 1970, mục 42(1A) và FA 1998, Sch. 18, đoạn 54, đối với thuế công ty. 22. TMA 1970, mục 42(11) và Sch. 1. 23. HMRC, International Manual, INTM330120. 24. FA 1998, Sch. 18, đoạn 55. 25. </w:t>
      </w:r>
      <w:r>
        <w:rPr>
          <w:b w:val="0"/>
          <w:i/>
        </w:rPr>
        <w:t>Uddin v Revenue &amp; Customs</w:t>
      </w:r>
      <w:r>
        <w:rPr>
          <w:b w:val="0"/>
          <w:i w:val="0"/>
        </w:rPr>
        <w:t xml:space="preserve"> [2020] UKFTT 441 (TC) [2020] TC 07918. Giới hạn năm năm đối với quyền miễn trừ cho sinh viên trong điều 19(2) của Hiệp ước Bangladesh-Vương quốc Anh không kéo dài thời hạn để yêu cầu. Nó chỉ giới hạn khoảng thời gian mà quyền miễn trừ được áp dụng. 26. Hiệu lực của cách diễn đạt trước FA 2000, khi việc gia hạn được đưa ra, đã được Tòa án Phúc thẩm xem xét trong </w:t>
      </w:r>
      <w:r>
        <w:rPr>
          <w:b w:val="0"/>
          <w:i/>
        </w:rPr>
        <w:t>Commercial Union Assurance Co v Shaw</w:t>
      </w:r>
      <w:r>
        <w:rPr>
          <w:b w:val="0"/>
          <w:i w:val="0"/>
        </w:rPr>
        <w:t xml:space="preserve"> [1999] BTC 12; [1999] STC 109 tại 117.</w:t>
      </w:r>
    </w:p>
    <w:p>
      <w:pPr>
        <w:spacing w:after="80"/>
      </w:pPr>
      <w:r>
        <w:rPr>
          <w:b w:val="0"/>
          <w:i w:val="0"/>
        </w:rPr>
        <w:t>568</w:t>
      </w:r>
    </w:p>
    <w:p>
      <w:pPr>
        <w:spacing w:after="80"/>
      </w:pPr>
      <w:r>
        <w:rPr>
          <w:b w:val="0"/>
          <w:i w:val="0"/>
        </w:rPr>
        <w:t>cần có bằng chứng để hỗ trợ cho một khiếu nại. Tuy nhiên, không giống như cách tiếp cận đối với việc tự đánh giá (self-assessment) liên quan đến luật trong nước, bằng chứng hỗ trợ được yêu cầu trong một số trường hợp.</w:t>
      </w:r>
    </w:p>
    <w:p>
      <w:pPr>
        <w:spacing w:after="80"/>
      </w:pPr>
      <w:r>
        <w:rPr>
          <w:b w:val="0"/>
          <w:i w:val="0"/>
        </w:rPr>
        <w:t>Các tài liệu chính thức của cơ quan thuế (Revenue) đã công bố, bao gồm cả mẫu khiếu nại, chỉ ra các giấy tờ cần thiết cho các khiếu nại thông thường liên quan đến cổ tức, tiền lãi và tiền bản quyền. Cơ quan thuế có quyền rộng rãi trong việc yêu cầu cung cấp tài liệu cho mục đích điều tra.27 Khi một khiếu nại được thực hiện mà không được đưa vào tờ khai liên quan đến nơi cư trú, nơi cư trú thông thường hoặc quốc tịch, bằng chứng có thể được yêu cầu dưới dạng bản khai có tuyên thệ (affidavit).28</w:t>
      </w:r>
    </w:p>
    <w:p>
      <w:pPr>
        <w:spacing w:after="80"/>
      </w:pPr>
      <w:r>
        <w:rPr>
          <w:b w:val="0"/>
          <w:i w:val="0"/>
        </w:rPr>
        <w:t xml:space="preserve">Khi HMRC đặt câu hỏi về tính hợp lệ của khiếu nại, có thể cần thêm bằng chứng để chứng minh rằng người khiếu nại đã đáp ứng các yêu cầu của hiệp định. Nếu vấn đề bị tranh chấp khi kháng cáo lên Tòa án Sơ thẩm (First-tier Tribunal), các quy tắc về bằng chứng có thể được áp dụng.29 Trong </w:t>
      </w:r>
      <w:r>
        <w:rPr>
          <w:b w:val="0"/>
          <w:i/>
        </w:rPr>
        <w:t xml:space="preserve"> Forth Investments Ltd v IRC</w:t>
      </w:r>
      <w:r>
        <w:rPr>
          <w:b w:val="0"/>
          <w:i w:val="0"/>
        </w:rPr>
        <w:t>,30 Inland Revenue đã từ chối một khiếu nại theo Hiệp định Barbados-UK về việc hoàn trả tín dụng thuế cổ tức với lý do rằng họ không hài lòng rằng công ty khiếu nại là cư dân của Barbados. Khi vấn đề được đưa ra trước các Ủy viên Đặc biệt (Special Commissioners), người khiếu nại đã tìm cách dựa vào các tuyên bố của thư ký công ty về nơi cư trú của công ty và một giấy chứng nhận cư trú được ký bởi Phó Ủy viên của Inland Revenue tại Barbados. Các Ủy viên Đặc biệt đã phán quyết rằng cả hai tài liệu đều là lời kể lại (hearsay) và do đó không được chấp nhận làm bằng chứng về nơi cư trú của công ty. Họ cũng từ chối thực hiện quyền tùy ý của mình theo các quy tắc của tòa án31 để chấp nhận chúng làm bằng chứng vì công ty đã trì hoãn quá lâu trong việc theo đuổi kháng cáo của mình và không tuân thủ các quy tắc thủ tục cho phép chấp nhận bằng chứng lời kể lại (hearsay) trên cơ sở tùy ý. Tòa án Cấp cao (High Court) đã giữ nguyên quyết định của các Ủy viên và phán quyết rằng việc thực hiện quyền tùy ý không chấp nhận các tài liệu theo các quy tắc của tòa án là không vô lý trong hoàn cảnh đó.</w:t>
      </w:r>
    </w:p>
    <w:p>
      <w:pPr>
        <w:spacing w:after="80"/>
      </w:pPr>
      <w:r>
        <w:rPr>
          <w:b w:val="0"/>
          <w:i w:val="0"/>
        </w:rPr>
        <w:t xml:space="preserve">Các Ủy viên Đặc biệt, trong quyết định của mình, đã ghi nhận với sự ngạc nhiên về lập luận của Inland Revenue rằng một giấy chứng nhận cư trú do cơ quan thuế của một quốc gia ký kết cung cấp, với mẫu do chính Inland Revenue quy định, lại nên bị loại trừ vì là lời kể lại (hearsay). Họ thấy thật bất hợp lý khi một giấy chứng nhận như vậy lại có thể được cung cấp làm bằng chứng cho Inland Revenue nhưng lại bị từ chối cho cơ quan kháng cáo mà chức năng của nó là xem xét lại các quyết định của Inland Revenue. Tuy nhiên, họ kết luận rằng giấy chứng nhận đó là lời kể lại (hearsay) theo luật hiện hành. Quy tắc chống lại lời kể lại (hearsay) đã bị bãi bỏ bởi </w:t>
      </w:r>
      <w:r>
        <w:rPr>
          <w:b w:val="0"/>
          <w:i/>
        </w:rPr>
        <w:t>Civil Evidence Act</w:t>
      </w:r>
      <w:r>
        <w:rPr>
          <w:b w:val="0"/>
          <w:i w:val="0"/>
        </w:rPr>
        <w:t xml:space="preserve"> 1995, mặc dù đạo luật này vẫn tiếp tục áp đặt các yêu cầu về thủ tục đối với loại bằng chứng đó. Các quy tắc về bằng chứng trước Tòa án Sơ thẩm (First-tier Tribunal) ít trang trọng hơn, và cơ quan thuế sẽ thấy khó khăn hơn trong việc loại trừ</w:t>
      </w:r>
    </w:p>
    <w:p>
      <w:pPr>
        <w:spacing w:after="80"/>
      </w:pPr>
      <w:r>
        <w:rPr>
          <w:b w:val="0"/>
          <w:i w:val="0"/>
        </w:rPr>
        <w:t xml:space="preserve">27. FA 2008, Sch. 36, Part 1.28. TMA 1970, Sch. 1A, para. 2(6).29. </w:t>
      </w:r>
      <w:r>
        <w:rPr>
          <w:b w:val="0"/>
          <w:i/>
        </w:rPr>
        <w:t>Tribunal Procedure (First-tier Tribunal) (Tax Chamber) Rules</w:t>
      </w:r>
      <w:r>
        <w:rPr>
          <w:b w:val="0"/>
          <w:i w:val="0"/>
        </w:rPr>
        <w:t xml:space="preserve"> 2009 (SI 2009/273), rule 15(2).30. </w:t>
      </w:r>
      <w:r>
        <w:rPr>
          <w:b w:val="0"/>
          <w:i/>
        </w:rPr>
        <w:t>Forth Investments Ltd v Inland Revenue Commissioners</w:t>
      </w:r>
      <w:r>
        <w:rPr>
          <w:b w:val="0"/>
          <w:i w:val="0"/>
        </w:rPr>
        <w:t xml:space="preserve"> (1971-1977) 50 TC 617; [1976] STC 399Ch. D.31. Nay là Civil Procedure Rules 1998, CPR 32.1. Quyền hạn tương tự được trao cho Tòa án Sơ thẩm (xem chú thích 25).</w:t>
      </w:r>
    </w:p>
    <w:p>
      <w:pPr>
        <w:spacing w:after="80"/>
      </w:pPr>
      <w:r>
        <w:rPr>
          <w:b w:val="0"/>
          <w:i w:val="0"/>
        </w:rPr>
        <w:t>569</w:t>
      </w:r>
    </w:p>
    <w:p>
      <w:pPr>
        <w:spacing w:after="80"/>
      </w:pPr>
      <w:r>
        <w:rPr>
          <w:b w:val="0"/>
          <w:i w:val="0"/>
        </w:rPr>
        <w:t xml:space="preserve">loại bằng chứng đó. Những thách thức khác dựa trên trọng lượng của giấy chứng nhận chính thức nước ngoài cũng có thể gặp khó khăn. Trong </w:t>
      </w:r>
      <w:r>
        <w:rPr>
          <w:b w:val="0"/>
          <w:i/>
        </w:rPr>
        <w:t>Trevor Smallwood Trust v HMRC</w:t>
      </w:r>
      <w:r>
        <w:rPr>
          <w:b w:val="0"/>
          <w:i w:val="0"/>
        </w:rPr>
        <w:t>,32 một giấy chứng nhận cư trú do cơ quan thuế Mauritius cấp đã được chấp nhận mà không có tranh chấp.</w:t>
      </w:r>
    </w:p>
    <w:p>
      <w:pPr>
        <w:spacing w:after="80"/>
      </w:pPr>
      <w:r>
        <w:rPr>
          <w:b w:val="0"/>
          <w:i w:val="0"/>
        </w:rPr>
        <w:t>Khi các tài liệu có thể phải chịu thuế tem (stamp duty) của Vương quốc Anh nếu chúng được đưa vào Vương quốc Anh,33 nghĩa vụ thuế tem sẽ phát sinh trong các trường hợp mà Inland Revenue yêu cầu tài liệu gốc. Các bản sao được cho là đủ cho mục đích này khi tài liệu được yêu cầu liên quan đến các mẫu khiếu nại.34 Inland Revenue đã nói rằng nếu một người muốn dựa vào các tài liệu để hỗ trợ cho bất kỳ khiếu nại nào về giảm thuế, hoặc sử dụng chúng làm bằng chứng liên quan đến bất kỳ nghĩa vụ thuế nào, hoặc số tiền thuế, thì cơ quan thuế không thể bị buộc phải chấp nhận các bản gốc chưa đóng dấu tem hoặc các bản sao chưa đóng dấu tem đã được xác nhận để hỗ trợ cho khiếu nại đó hoặc làm bằng chứng.35</w:t>
      </w:r>
    </w:p>
    <w:p>
      <w:pPr>
        <w:spacing w:after="80"/>
      </w:pPr>
      <w:r>
        <w:rPr>
          <w:b/>
          <w:i w:val="0"/>
        </w:rPr>
        <w:t>§19.06 KHẤU TRỪ TẠI NGUỒN</w:t>
      </w:r>
    </w:p>
    <w:p>
      <w:pPr>
        <w:spacing w:after="80"/>
      </w:pPr>
      <w:r>
        <w:rPr>
          <w:b w:val="0"/>
          <w:i w:val="0"/>
        </w:rPr>
        <w:t>Việc khấu trừ thuế của người trả tiền đối với các khoản thanh toán cho người không cư trú được tìm thấy trong nhiều tình huống khác nhau theo luật trong nước. Nghĩa vụ khấu trừ thuế áp đặt lên người trả tiền là tách biệt với nghĩa vụ thuế của người nhận tiền đối với khoản đó. Do đó, trong thực tiễn của Vương quốc Anh, lợi ích hiệp định liên quan đến người nhận tiền không cư trú chỉ thuộc về người nhận tiền chứ không thuộc về người trả tiền. Những người không cư trú đủ điều kiện có thể hưởng lợi từ các hiệp định theo hai cách:</w:t>
      </w:r>
    </w:p>
    <w:p>
      <w:pPr>
        <w:spacing w:after="80"/>
      </w:pPr>
      <w:r>
        <w:rPr>
          <w:b w:val="0"/>
          <w:i w:val="0"/>
        </w:rPr>
        <w:t>(1) Khi thuế được khấu trừ tại nguồn dẫn đến nghĩa vụ thuế của</w:t>
      </w:r>
    </w:p>
    <w:p>
      <w:pPr>
        <w:spacing w:after="80"/>
      </w:pPr>
      <w:r>
        <w:rPr>
          <w:b w:val="0"/>
          <w:i w:val="0"/>
        </w:rPr>
        <w:t>người nhận tiền vượt quá mức được hiệp định cho phép, người nhận tiền có thể thực hiện khiếu nại để hoàn trả phần vượt quá như được mô tả trong Chương 18, §18.11.(2) Nhiều quy tắc và thỏa thuận khác nhau cho phép người nhận tiền hoặc thực hiện thanh toán</w:t>
      </w:r>
    </w:p>
    <w:p>
      <w:pPr>
        <w:spacing w:after="80"/>
      </w:pPr>
      <w:r>
        <w:rPr>
          <w:b w:val="0"/>
          <w:i w:val="0"/>
        </w:rPr>
        <w:t>mà không bị khấu trừ thuế hoặc ở mức thuế suất được hiệp định cho phép. Các quy tắc này khác nhau tùy theo nguồn thu nhập.</w:t>
      </w:r>
    </w:p>
    <w:p>
      <w:pPr>
        <w:spacing w:after="80"/>
      </w:pPr>
      <w:r>
        <w:rPr>
          <w:b w:val="0"/>
          <w:i w:val="0"/>
        </w:rPr>
        <w:t>Từ góc độ thực tế hàng ngày, thủ tục để được hưởng lợi ích hiệp định nói chung là tương tự nhau trong mỗi trường hợp, sự khác biệt chỉ đơn giản là liệu việc giảm thuế được thực hiện vào thời điểm thanh toán hay thông qua việc hoàn trả sau đó. Tuy nhiên, cơ sở pháp lý lại khác nhau và quyền của người nộp thuế cũng khác nhau tương ứng. Khiếu nại hoàn trả thường là khiếu nại theo TMA 1970, s.42, và Sch.1A, với các cơ chế tự đánh giá (self-assessment) tích hợp của nó. Các ủy viên của HMRC được ủy quyền ban hành các quy định nói chung để thực hiện các điều khoản hiệp định của TIOPA 2010, Phần 2, và các hiệp định.36 Các quy định này không bao gồm bất kỳ quyền nộp đơn nào hoặc các quy tắc để điều chỉnh các đơn xin thanh toán theo mức thuế suất hiệp định, do đó việc thực hiện quyền hạn theo các quy định là việc thực hiện quyền hành chính</w:t>
      </w:r>
    </w:p>
    <w:p>
      <w:pPr>
        <w:spacing w:after="80"/>
      </w:pPr>
      <w:r>
        <w:rPr>
          <w:b w:val="0"/>
          <w:i w:val="0"/>
        </w:rPr>
        <w:t xml:space="preserve">32. </w:t>
      </w:r>
      <w:r>
        <w:rPr>
          <w:b w:val="0"/>
          <w:i/>
        </w:rPr>
        <w:t>Smallwood v Revenue and Customs Commissioners</w:t>
      </w:r>
      <w:r>
        <w:rPr>
          <w:b w:val="0"/>
          <w:i w:val="0"/>
        </w:rPr>
        <w:t xml:space="preserve"> [2008] UKSPC SPC669; [2008] STC (SCD) 629; (2008) Sp C 669.33. </w:t>
      </w:r>
      <w:r>
        <w:rPr>
          <w:b w:val="0"/>
          <w:i/>
        </w:rPr>
        <w:t>Stamp Act</w:t>
      </w:r>
      <w:r>
        <w:rPr>
          <w:b w:val="0"/>
          <w:i w:val="0"/>
        </w:rPr>
        <w:t xml:space="preserve"> 1891, s. 14.34. Xem Form DT/Individual, ví dụ.35. </w:t>
      </w:r>
      <w:r>
        <w:rPr>
          <w:b w:val="0"/>
          <w:i/>
        </w:rPr>
        <w:t>Tax Bulletin</w:t>
      </w:r>
      <w:r>
        <w:rPr>
          <w:b w:val="0"/>
          <w:i w:val="0"/>
        </w:rPr>
        <w:t xml:space="preserve"> (Số 30, tháng 8 năm 1997), tr. 459.36. TIOPA 2010, s. 7.</w:t>
      </w:r>
    </w:p>
    <w:p>
      <w:pPr>
        <w:spacing w:after="80"/>
      </w:pPr>
      <w:r>
        <w:rPr>
          <w:b w:val="0"/>
          <w:i w:val="0"/>
        </w:rPr>
        <w:t>570</w:t>
      </w:r>
    </w:p>
    <w:p>
      <w:pPr>
        <w:spacing w:after="80"/>
      </w:pPr>
      <w:r>
        <w:rPr>
          <w:b w:val="0"/>
          <w:i w:val="0"/>
        </w:rPr>
        <w:t>quyền hạn.37 Thẩm quyền cụ thể được trao để ban hành các quy định nhằm đảm bảo rằng việc giảm thuế không mang lại lợi ích cho những người không được hưởng quyền giảm thuế đó. Các quy định cũng có thể được ban hành để giải quyết các trường hợp thuế được khấu trừ từ bất kỳ khoản thanh toán nào đã không được khấu trừ nhằm mục đích tuân thủ một hiệp định thuế nào đó, và khi phát hiện ra rằng hiệp định đó không áp dụng cho khoản thanh toán đó. Việc thu hồi thuế bằng cách đánh giá đối với người được hưởng khoản thanh toán hoặc bằng cách khấu trừ từ các khoản thanh toán tiếp theo có thể được cho phép bởi quy định.</w:t>
      </w:r>
    </w:p>
    <w:p>
      <w:pPr>
        <w:spacing w:after="80"/>
      </w:pPr>
      <w:r>
        <w:rPr>
          <w:b w:val="0"/>
          <w:i w:val="0"/>
        </w:rPr>
        <w:t>Các quy định chung được ban hành theo thẩm quyền này giải quyết việc miễn hoặc giảm mức thuế được khấu trừ tại nguồn đối với một số loại thu nhập nhất định.38 Các quy định này áp dụng cho cư dân của quốc gia ký hiệp định thuế, những người được hưởng quyền miễn hoặc giảm một phần thuế thu nhập Vương quốc Anh được khấu trừ tại nguồn. Quy định chỉ áp dụng đối với những người được hưởng thu nhập với tư cách chủ sở hữu thụ hưởng. Việc giảm thuế là lợi ích dành cho người nhận khoản thanh toán chứ không phải cho người trả các khoản tiền bị khấu trừ tại nguồn. Do đó, người trả tiền lãi và tiền bản quyền phải chịu lãi theo TMA 1970, s. 87 khi thuế không được khấu trừ tại nguồn hoặc khấu trừ muộn, ngay cả khi hiệp định thuế giảm hoặc loại bỏ thuế khấu trừ.39</w:t>
      </w:r>
    </w:p>
    <w:p>
      <w:pPr>
        <w:spacing w:after="80"/>
      </w:pPr>
      <w:r>
        <w:rPr>
          <w:b/>
          <w:i w:val="0"/>
        </w:rPr>
        <w:t>§19.07 THÔNG BÁO NỘP THUẾ THEO MỨC CỦA HIỆP ĐỊNH</w:t>
      </w:r>
    </w:p>
    <w:p>
      <w:pPr>
        <w:spacing w:after="80"/>
      </w:pPr>
      <w:r>
        <w:rPr>
          <w:b w:val="0"/>
          <w:i w:val="0"/>
        </w:rPr>
        <w:t>Thay vì yêu cầu hoàn lại thuế đã khấu trừ tại nguồn, có thể nộp đơn xin giảm thuế tại nguồn cho các khoản thanh toán thu nhập trong tương lai. Khi chủ sở hữu thụ hưởng của khoản thu nhập đó đã nộp đơn, người trả khoản thu nhập đó có thể được chỉ đạo bằng thông báo bằng văn bản do cơ quan thuế đưa ra rằng người đó phải:</w:t>
      </w:r>
    </w:p>
    <w:p>
      <w:pPr>
        <w:spacing w:after="80"/>
      </w:pPr>
      <w:r>
        <w:rPr>
          <w:b w:val="0"/>
          <w:i w:val="0"/>
        </w:rPr>
        <w:t>– không khấu trừ thuế; – không khấu trừ thuế ở mức cao hơn mức được ghi trong thông báo; hoặc – khấu trừ thuế ở mức được ghi trong thông báo thay vì ở mức thấp hơn hoặc mức cơ bản</w:t>
      </w:r>
    </w:p>
    <w:p>
      <w:pPr>
        <w:spacing w:after="80"/>
      </w:pPr>
      <w:r>
        <w:rPr>
          <w:b w:val="0"/>
          <w:i w:val="0"/>
        </w:rPr>
        <w:t>nếu không thì phù hợp.40</w:t>
      </w:r>
    </w:p>
    <w:p>
      <w:pPr>
        <w:spacing w:after="80"/>
      </w:pPr>
      <w:r>
        <w:rPr>
          <w:b w:val="0"/>
          <w:i w:val="0"/>
        </w:rPr>
        <w:t>Khi thông báo được đưa ra, bất kỳ thu nhập nào được trả sau ngày thông báo cho một năm mà hiệp định thuế có hiệu lực phải được trả theo chỉ đạo trong thông báo. Hiệu lực của thông báo như vậy là thay thế mức thuế theo hiệp định cho mức khấu trừ theo luật trong nước cho tất cả các mục đích của luật trong nước liên quan đến cả người trả lẫn người không cư trú.41</w:t>
      </w:r>
    </w:p>
    <w:p>
      <w:pPr>
        <w:spacing w:after="80"/>
      </w:pPr>
      <w:r>
        <w:rPr>
          <w:b w:val="0"/>
          <w:i w:val="0"/>
        </w:rPr>
        <w:t>Một thông báo có thể được nêu rõ là sẽ hết hiệu lực nếu một số sự kiện cụ thể được chỉ định xảy ra. Nếu, theo hiểu biết của người trả, bất kỳ sự kiện cụ thể nào được chỉ định xảy ra, thì bất kỳ khoản thanh toán nào được thực hiện cho người không cư trú sau khi người trả biết về sự kiện đó đều phải chịu khấu trừ thuế theo mức trong nước, phù hợp với luật trong nước. Bất kỳ thông báo nào cũng có thể bị hủy bỏ bằng thông báo của HMRC hoặc thay mặt HMRC. Sau khi nhận được</w:t>
      </w:r>
    </w:p>
    <w:p>
      <w:pPr>
        <w:spacing w:after="80"/>
      </w:pPr>
      <w:r>
        <w:rPr>
          <w:b w:val="0"/>
          <w:i w:val="0"/>
        </w:rPr>
        <w:t xml:space="preserve">37. Xem Chương 20, §20.02. 38. </w:t>
      </w:r>
      <w:r>
        <w:rPr>
          <w:b w:val="0"/>
          <w:i/>
        </w:rPr>
        <w:t>Double Taxation Relief (Taxes on Income) (General) Regulations</w:t>
      </w:r>
      <w:r>
        <w:rPr>
          <w:b w:val="0"/>
          <w:i w:val="0"/>
        </w:rPr>
        <w:t xml:space="preserve"> 1970 (SI 1970/488). 39. HMRC, International Manual, INTM413230. Điều này dường như đã vi phạm luật EU trong thời gian Vương quốc Anh còn là thành viên. Xem </w:t>
      </w:r>
      <w:r>
        <w:rPr>
          <w:b w:val="0"/>
          <w:i/>
        </w:rPr>
        <w:t>'TTL' EOOD v Direktor na Direktsia Obzhalvane i danachno-osiguritelna praktika – Sofia</w:t>
      </w:r>
      <w:r>
        <w:rPr>
          <w:b w:val="0"/>
          <w:i w:val="0"/>
        </w:rPr>
        <w:t xml:space="preserve"> (Case C-553/16) ECLI:EU:C:2018:604. 40. SI 1970/488, reg. 2(2). 41. SI 1970/488, reg. 3.</w:t>
      </w:r>
    </w:p>
    <w:p>
      <w:pPr>
        <w:spacing w:after="80"/>
      </w:pPr>
      <w:r>
        <w:rPr>
          <w:b w:val="0"/>
          <w:i w:val="0"/>
        </w:rPr>
        <w:t>571</w:t>
      </w:r>
    </w:p>
    <w:p>
      <w:pPr>
        <w:spacing w:after="80"/>
      </w:pPr>
      <w:r>
        <w:rPr>
          <w:b w:val="0"/>
          <w:i w:val="0"/>
        </w:rPr>
        <w:t>thông báo hủy bỏ, việc khấu trừ thuế phải theo mức trong nước, phù hợp với luật trong nước.42</w:t>
      </w:r>
    </w:p>
    <w:p>
      <w:pPr>
        <w:spacing w:after="80"/>
      </w:pPr>
      <w:r>
        <w:rPr>
          <w:b w:val="0"/>
          <w:i w:val="0"/>
        </w:rPr>
        <w:t>Nếu, sau khi thông báo đã được đưa ra, phát hiện ra rằng người không cư trú không được hưởng lợi ích theo hiệp định thuế được nêu trong thông báo, thì bất kỳ khoản thuế nào mà nếu không có thông báo đó lẽ ra đã được khấu trừ từ bất kỳ khoản thanh toán nào mà người trả thực hiện cho người không cư trú nhưng do tuân thủ thông báo đã không được khấu trừ như vậy, có thể được đánh giá đối với người không cư trú theo ITTOIA 2005, Phần 5, Chương 8. Ngoài ra, theo chỉ đạo của HMRC, thuế có thể được người trả khấu trừ từ phần còn lại của khoản thanh toán đầu tiên cho người không cư trú sau ngày chỉ đạo, sau khi đã khấu trừ bất kỳ khoản thuế nào được khấu trừ khi không có hiệp định thuế. Bất kỳ số dư nào không thể khấu trừ từ khoản thanh toán đầu tiên phải được khấu trừ, với cùng giới hạn đó, từ các khoản thanh toán tiếp theo cho đến khi toàn bộ số thuế đã được khấu trừ.43</w:t>
      </w:r>
    </w:p>
    <w:p>
      <w:pPr>
        <w:spacing w:after="80"/>
      </w:pPr>
      <w:r>
        <w:rPr>
          <w:b/>
          <w:i w:val="0"/>
        </w:rPr>
        <w:t>§19.08 BIỂU MẪU</w:t>
      </w:r>
    </w:p>
    <w:p>
      <w:pPr>
        <w:spacing w:after="80"/>
      </w:pPr>
      <w:r>
        <w:rPr>
          <w:b w:val="0"/>
          <w:i w:val="0"/>
        </w:rPr>
        <w:t>Các biểu mẫu giống nhau được sử dụng để nộp đơn xin phép khấu trừ thuế theo mức của hiệp định cũng được sử dụng cho các yêu cầu hoàn thuế; cùng bằng chứng về quyền được hưởng phải được nộp kèm theo đơn. Trong hầu hết các trường hợp, có thể sử dụng một biểu mẫu chuẩn44, mặc dù cũng có các biểu mẫu được thiết kế riêng cho từng hiệp định cụ thể và từng loại thu nhập cụ thể. Các biểu mẫu thường có sẵn bằng tiếng Anh, mặc dù nhiều biểu mẫu cũng có sẵn bằng ngôn ngữ của quốc gia ký kết kia và từ cơ quan thuế của quốc gia đó. Các câu hỏi trên biểu mẫu được thiết kế để xác định điều kiện được hưởng lợi ích theo hiệp định và thường tuân theo các tiêu chí được nêu trong điều khoản liên quan của hiệp định. Những câu hỏi này bao gồm các câu hỏi liên quan đến nơi cư trú của người yêu cầu, sự hiện diện của cơ sở thường trú tại Vương quốc Anh và quyền sở hữu thụ hưởng. Các điều kiện khác, chẳng hạn như liệu người nhận có phải chịu thuế ở nơi mà hiệp định yêu cầu hay không, cũng được đưa vào. Biểu mẫu cũng đặt ra những câu hỏi vượt ra ngoài tiêu chí được hưởng theo hiệp định, đặc biệt là liên quan đến nơi cư trú trước đây tại Vương quốc Anh.</w:t>
      </w:r>
    </w:p>
    <w:p>
      <w:pPr>
        <w:spacing w:after="80"/>
      </w:pPr>
      <w:r>
        <w:rPr>
          <w:b/>
          <w:i w:val="0"/>
        </w:rPr>
        <w:t>§19.09 QUYỀN SỞ HỮU THỤ HƯỞNG</w:t>
      </w:r>
    </w:p>
    <w:p>
      <w:pPr>
        <w:spacing w:after="80"/>
      </w:pPr>
      <w:r>
        <w:rPr>
          <w:b w:val="0"/>
          <w:i w:val="0"/>
        </w:rPr>
        <w:t>Yêu cầu hoàn thuế liên quan đến cổ tức, tiền lãi hoặc tiền bản quyền phải do chủ sở hữu thực hưởng (beneficial owner) của khoản cổ tức đó thực hiện, và mọi biểu mẫu đều yêu cầu người yêu cầu phải khai báo về quyền sở hữu thực hưởng. HMRC yêu cầu người yêu cầu xác nhận rằng họ đã xem xét hướng dẫn về quyền sở hữu thực hưởng được công bố tại HMRC.45 Do đó, nếu cổ phần được đăng ký dưới tên của bất kỳ người nào không phải là chủ sở hữu thực hưởng, thì chủ sở hữu thực hưởng — chứ không phải chủ sở hữu đã đăng ký — mới là người có quyền yêu cầu. Điều này thường xảy ra khi một danh mục các khoản thế chấp hoặc khoản vay tiêu dùng cho các cá nhân ở Vương quốc Anh, được khởi tạo bởi một ngân hàng Anh, được chứng khoán hóa (securitised) bằng cách chuyển nhượng các khoản phải thu cho vay cho một người khác. Người đi vay có thể không biết về quyền sở hữu thực hưởng và chủ sở hữu danh nghĩa</w:t>
      </w:r>
    </w:p>
    <w:p>
      <w:pPr>
        <w:spacing w:after="80"/>
      </w:pPr>
      <w:r>
        <w:rPr>
          <w:b w:val="0"/>
          <w:i w:val="0"/>
        </w:rPr>
        <w:t>42. SI 1970/488, reg. 8. 43. SI 1970/488, reg. 9. 44. Biểu mẫu DT/Individual và DT/Company. 45. HMRC, International Manual, INTM332040. Xem, ví dụ, Form DT Company.</w:t>
      </w:r>
    </w:p>
    <w:p>
      <w:pPr>
        <w:spacing w:after="80"/>
      </w:pPr>
      <w:r>
        <w:rPr>
          <w:b w:val="0"/>
          <w:i w:val="0"/>
        </w:rPr>
        <w:t>572</w:t>
      </w:r>
    </w:p>
    <w:p>
      <w:pPr>
        <w:spacing w:after="80"/>
      </w:pPr>
      <w:r>
        <w:rPr>
          <w:b w:val="0"/>
          <w:i w:val="0"/>
        </w:rPr>
        <w:t>có thể được coi là người có nghĩa vụ khấu trừ thuế thu nhập từ khoản thanh toán. Trong những trường hợp này, HMRC thường sẽ tìm đến người mà qua đó khoản thanh toán cuối cùng được thực hiện để thực hiện nghĩa vụ khấu trừ. Khi các khoản thanh toán được thực hiện qua nhiều trung gian, chỉ cần một người khấu trừ thuế, thường là trung gian cư trú tại Vương quốc Anh cuối cùng trong chuỗi.46</w:t>
      </w:r>
    </w:p>
    <w:p>
      <w:pPr>
        <w:spacing w:after="80"/>
      </w:pPr>
      <w:r>
        <w:rPr>
          <w:b w:val="0"/>
          <w:i w:val="0"/>
        </w:rPr>
        <w:t>Thông tin bổ sung có thể được yêu cầu khi chủ sở hữu đã đăng ký, như thể hiện trên các phiếu cổ tức, không giống với chủ sở hữu thực hưởng đã khai báo. Khi quyền sở hữu thực hưởng đối với cổ tức bị nghi ngờ và hiệp định liên quan có điều khoản về quyền sở hữu thực hưởng, thì người yêu cầu sẽ phải chứng minh yếu tố này để nhận được khoản thanh toán. Một số điều khoản hạn chế quyền lợi (limitation of benefit) xuất hiện trong các điều khoản liên quan của các hiệp định mà Vương quốc Anh ký kết. Hầu hết các biểu mẫu yêu cầu không thu thập thông tin cụ thể liên quan đến tất cả các điều khoản này. Có một số ngoại lệ. Ví dụ, liên quan đến Hiệp định Hoa Kỳ, các câu hỏi được thiết kế để xem xét việc áp dụng các thỏa thuận dẫn dắt (conduit arrangements) được định nghĩa tại Điều 1(3) đối với cổ tức, tiền lãi và tiền bản quyền.</w:t>
      </w:r>
    </w:p>
    <w:p>
      <w:pPr>
        <w:spacing w:after="80"/>
      </w:pPr>
      <w:r>
        <w:rPr>
          <w:b/>
          <w:i w:val="0"/>
        </w:rPr>
        <w:t>§19.10 THỦ TỤC</w:t>
      </w:r>
    </w:p>
    <w:p>
      <w:pPr>
        <w:spacing w:after="80"/>
      </w:pPr>
      <w:r>
        <w:rPr>
          <w:b w:val="0"/>
          <w:i w:val="0"/>
        </w:rPr>
        <w:t>Các yêu cầu hoàn thuế và đơn xin chỉ thị thanh toán theo thuế suất hiệp định được vận hành trong hệ thống tự khai thuế (self-assessment). Theo đó, người nộp thuế được yêu cầu xác nhận tính chính xác của các yêu cầu của mình. Ngoài ra, trong một số trường hợp, nơi cư trú của người yêu cầu phải được cơ quan có thẩm quyền nước ngoài liên quan chứng nhận. HMRC áp dụng cách tiếp cận thực tiễn đối với việc này. Tất cả các đơn xin hoặc yêu cầu liên quan đến tiền lãi, tiền bản quyền, lương hưu, niên kim và thu nhập khác đều phải được chứng nhận trừ khi số tiền là không đáng kể. Chỉ có yêu cầu hoàn thuế lần đầu đối với thuế đã khấu trừ từ thu nhập tài sản là cổ tức được trả bởi các quỹ tín thác đầu tư bất động sản (REITs) mới yêu cầu chứng nhận.47</w:t>
      </w:r>
    </w:p>
    <w:p>
      <w:pPr>
        <w:spacing w:after="80"/>
      </w:pPr>
      <w:r>
        <w:rPr>
          <w:b w:val="0"/>
          <w:i w:val="0"/>
        </w:rPr>
        <w:t>Thủ tục nộp yêu cầu rất đa dạng. Tất cả đều yêu cầu phải nộp cho cơ quan thuế nước ngoài để chứng nhận. HMRC thường yêu cầu các biểu mẫu đã được chứng nhận phải được cơ quan thuế nước ngoài gửi đến cho họ. Trong trường hợp của Canada, Phần Lan, Đức, Nhật Bản và Zimbabwe, biểu mẫu đã được chứng nhận được cơ quan thuế nước ngoài trả lại cho người nộp thuế để người nộp thuế chuyển tiếp đến cơ quan có thẩm quyền của Vương quốc Anh.48</w:t>
      </w:r>
    </w:p>
    <w:p>
      <w:pPr>
        <w:spacing w:after="80"/>
      </w:pPr>
      <w:r>
        <w:rPr>
          <w:b w:val="0"/>
          <w:i w:val="0"/>
        </w:rPr>
        <w:t>Các biểu mẫu yêu cầu theo hiệp định được bao gồm trong tờ khai thuế tự khai của cá nhân (được cả cá nhân cư trú và không cư trú sử dụng như nhau) mang tính tổng quát hơn và khác với các biểu mẫu yêu cầu liên quan đến các hiệp định cụ thể ở chỗ chúng không thu thập thông tin tương ứng với các điều khoản hiệp định cụ thể. Trong trường hợp yêu cầu trên Help Sheet HS304,49 người nộp thuế chỉ đơn giản yêu cầu quyền lợi bằng cách tham chiếu đến loại thu nhập, điều khoản hiệp định liên quan và thuế suất theo luật trong nước và theo hiệp định. So sánh với điều này, một tờ khai thuế riêng (SA700) được các công ty không cư trú sử dụng và không đề cập đến các câu hỏi về hiệp định.</w:t>
      </w:r>
    </w:p>
    <w:p>
      <w:pPr>
        <w:spacing w:after="80"/>
      </w:pPr>
      <w:r>
        <w:rPr>
          <w:b w:val="0"/>
          <w:i w:val="0"/>
        </w:rPr>
        <w:t>46. HMRC, Savings and Investment Manual, SAIM9078. 47. HMRC, International Manual, INTM330520. 48. HMRC, International Manual, INTM3305530. 49. HMRC, Help Sheet 304: Non-residents – relief under Double Taxation Agreements.</w:t>
      </w:r>
    </w:p>
    <w:p>
      <w:pPr>
        <w:spacing w:after="80"/>
      </w:pPr>
      <w:r>
        <w:rPr>
          <w:b w:val="0"/>
          <w:i w:val="0"/>
        </w:rPr>
        <w:t>573</w:t>
      </w:r>
    </w:p>
    <w:p>
      <w:pPr>
        <w:spacing w:after="80"/>
      </w:pPr>
      <w:r>
        <w:rPr>
          <w:b/>
          <w:i w:val="0"/>
        </w:rPr>
        <w:t>§19.11 CỔ TỨC</w:t>
      </w:r>
    </w:p>
    <w:p>
      <w:pPr>
        <w:spacing w:after="80"/>
      </w:pPr>
      <w:r>
        <w:rPr>
          <w:b w:val="0"/>
          <w:i w:val="0"/>
        </w:rPr>
        <w:t>Vương quốc Anh nói chung không đánh thuế đối với các khoản phân phối trả cho người không cư trú. Việc khấu trừ thuế thu nhập tại nguồn đối với các khoản phân phối của REITs được điều chỉnh bởi các quy định được ủy quyền theo ITA 2007, ss 973 và 974.50 HMRC sẽ không ban hành thông báo thanh toán theo thuế suất hiệp định theo các điều khoản của SI 1970/488.51 Do đó, người không cư trú theo hiệp định chỉ có thể yêu cầu hoàn lại một phần hoặc toàn bộ số thuế đã khấu trừ từ các khoản Phân phối Thu nhập Tài sản (Property Income Distributions - PIDs) được trả bởi các REIT của Vương quốc Anh. Các biểu mẫu yêu cầu cụ thể được yêu cầu52 và một số hiệp định có biểu mẫu yêu cầu REIT riêng cho từng quốc gia.</w:t>
      </w:r>
    </w:p>
    <w:p>
      <w:pPr>
        <w:spacing w:after="80"/>
      </w:pPr>
      <w:r>
        <w:rPr>
          <w:b/>
          <w:i w:val="0"/>
        </w:rPr>
        <w:t>§19.12 TIỀN LÃI VÀ TIỀN BẢN QUYỀN</w:t>
      </w:r>
    </w:p>
    <w:p>
      <w:pPr>
        <w:spacing w:after="80"/>
      </w:pPr>
      <w:r>
        <w:rPr>
          <w:b w:val="0"/>
          <w:i w:val="0"/>
        </w:rPr>
        <w:t>Như đã đề cập trong Chương 10, §§10.01ff.,53 thuế phải được khấu trừ tại nguồn đối với một số khoản thanh toán tiền lãi bởi người trả thuế ở Vương quốc Anh. Mặc dù lập trường này không phải là không thể tranh cãi, nhưng thực tiễn lâu đời của HMRC và giả định mà pháp luật liên quan dựa trên đó là điều này có nghĩa là khấu trừ theo thuế suất trong nước chứ không phải thuế suất hiệp định. Lập trường của HMRC là nghĩa vụ khấu trừ thuế của người trả thuế ở Vương quốc Anh tách biệt với quyền được hưởng quyền lợi theo hiệp định của người không cư trú. Nếu tiền lãi được trả gộp mà không có sự chấp thuận của HMRC, thì một giấy định thuế (assessment) có thể được lập đối với người trả thuế đã không khấu trừ thuế để thu hồi số thuế bị thất thoát và tiền lãi, và trong một số trường hợp, các hình phạt có thể được áp dụng.54</w:t>
      </w:r>
    </w:p>
    <w:p>
      <w:pPr>
        <w:spacing w:after="80"/>
      </w:pPr>
      <w:r>
        <w:rPr>
          <w:b w:val="0"/>
          <w:i w:val="0"/>
        </w:rPr>
        <w:t>Người không cư trú đủ điều kiện có thể yêu cầu hoàn lại thuế đã khấu trừ tại nguồn. HMRC yêu cầu tài liệu cơ sở bổ sung để hỗ trợ cho các biểu mẫu yêu cầu. Do đó, một bản sao văn bản của bất kỳ thỏa thuận hoặc trao đổi thư từ nào quy định các điều khoản thanh toán tiền lãi là cần thiết cho một yêu cầu liên quan đến tiền lãi. Trong trường hợp tiền bản quyền, một bản sao của thỏa thuận cấp phép hoặc hợp đồng phải được nộp để hỗ trợ cho yêu cầu. Đơn xin giảm thuế tại nguồn cũng có thể được thực hiện. Tuy nhiên, cần thừa nhận rằng sự chậm trễ có thể xảy ra do nhu cầu phải có được chứng nhận cư trú của cơ quan thuế nước ngoài kết hợp với việc HMRC xem xét các tình huống cụ thể của khoản thanh toán. Có những cơ chế cho phép một yếu tố tự khai thuế áp dụng cho việc thực hiện các hiệp định. Trong trường hợp tiền bản quyền, một khuôn khổ luật định được áp dụng. Trong trường hợp tiền lãi, đó là thông qua thực tiễn hành chính.</w:t>
      </w:r>
    </w:p>
    <w:p>
      <w:pPr>
        <w:spacing w:after="80"/>
      </w:pPr>
      <w:r>
        <w:rPr>
          <w:b/>
          <w:i w:val="0"/>
        </w:rPr>
        <w:t>[A]Tiền bản quyền</w:t>
      </w:r>
    </w:p>
    <w:p>
      <w:pPr>
        <w:spacing w:after="80"/>
      </w:pPr>
      <w:r>
        <w:rPr>
          <w:b w:val="0"/>
          <w:i w:val="0"/>
        </w:rPr>
        <w:t>Một công ty có thể tính số thuế phải khấu trừ theo thuế suất hiệp định đối với tiền bản quyền nếu, tại thời điểm thanh toán, công ty tin một cách hợp lý rằng người nhận thanh toán được hưởng ưu đãi theo hiệp định đối với khoản thanh toán đó.55 Vì mục đích này,</w:t>
      </w:r>
    </w:p>
    <w:p>
      <w:pPr>
        <w:spacing w:after="80"/>
      </w:pPr>
      <w:r>
        <w:rPr>
          <w:b w:val="0"/>
          <w:i w:val="0"/>
        </w:rPr>
        <w:t>50.</w:t>
      </w:r>
      <w:r>
        <w:rPr>
          <w:b w:val="0"/>
          <w:i/>
        </w:rPr>
        <w:t>RealEstateInvestmentTrusts(AssessmentandRecoveryofTax)Regulations</w:t>
      </w:r>
      <w:r>
        <w:rPr>
          <w:b w:val="0"/>
          <w:i w:val="0"/>
        </w:rPr>
        <w:t>2006(SI2006/2867). Xem Chương 10, §10.03.51.HMRC, hướng dẫn DT số 9.52.UK-REIT DT Individual và UK-REIT DT Company.53.Xem Chương 10, §10.04 và §10.05.54.HMRC, Savings and Investment Manual, SAIM9210.55.ITA 2007, s. 911(1) và (2).</w:t>
      </w:r>
    </w:p>
    <w:p>
      <w:pPr>
        <w:spacing w:after="80"/>
      </w:pPr>
      <w:r>
        <w:rPr>
          <w:b w:val="0"/>
          <w:i w:val="0"/>
        </w:rPr>
        <w:t>574</w:t>
      </w:r>
    </w:p>
    <w:p>
      <w:pPr>
        <w:spacing w:after="80"/>
      </w:pPr>
      <w:r>
        <w:rPr>
          <w:b w:val="0"/>
          <w:i w:val="0"/>
        </w:rPr>
        <w:t>‘tiền bản quyền’ bao gồm khoản thanh toán nhận được như là khoản đền bù cho việc sử dụng, hoặc quyền sử dụng, bản quyền, bằng sáng chế, nhãn hiệu, kiểu dáng, quy trình hoặc thông tin, cũng như số tiền thu được từ việc bán toàn bộ hoặc một phần bất kỳ quyền sáng chế nào.56 Khả năng tự khai báo áp dụng hiệp định chỉ giới hạn ở những người nộp thuế là doanh nghiệp.</w:t>
      </w:r>
    </w:p>
    <w:p>
      <w:pPr>
        <w:spacing w:after="80"/>
      </w:pPr>
      <w:r>
        <w:rPr>
          <w:b w:val="0"/>
          <w:i w:val="0"/>
        </w:rPr>
        <w:t>Việc tự khai báo này phải chịu sự giám sát hành chính. Nếu một viên chức của HMRC không hài lòng rằng người nhận thanh toán sẽ được hưởng ưu đãi theo một hiệp định đối với một hoặc nhiều khoản thanh toán tiền bản quyền mà một công ty sắp thực hiện, viên chức đó có thể chỉ đạo công ty không được tự khai báo việc áp dụng hiệp định cho khoản thanh toán hoặc các khoản thanh toán đó.57 Quyền này chỉ áp dụng cho các khoản thanh toán trong tương lai. Tuy nhiên, một công ty hoạt động theo các quy định này vẫn gặp rủi ro nếu trên thực tế, người nhận không được hưởng ưu đãi theo hiệp định. Trong trường hợp như vậy, quyền được thanh toán theo thuế suất hiệp định được coi như chưa từng tồn tại.58</w:t>
      </w:r>
    </w:p>
    <w:p>
      <w:pPr>
        <w:spacing w:after="80"/>
      </w:pPr>
      <w:r>
        <w:rPr>
          <w:b/>
          <w:i w:val="0"/>
        </w:rPr>
        <w:t>[B]Tiền lãi</w:t>
      </w:r>
    </w:p>
    <w:p>
      <w:pPr>
        <w:spacing w:after="80"/>
      </w:pPr>
      <w:r>
        <w:rPr>
          <w:b w:val="0"/>
          <w:i w:val="0"/>
        </w:rPr>
        <w:t>Không có hệ thống tự chứng nhận theo luật định chung nào áp dụng cho trường hợp tiền lãi. HMRC đã áp dụng nhiều cách tiếp cận hành chính khác nhau để cho phép khấu trừ thuế tại nguồn theo thuế suất hiệp định trong những trường hợp mà họ coi là rủi ro thấp liên quan đến tiền lãi. Các thỏa thuận hiện hành như sau;</w:t>
      </w:r>
    </w:p>
    <w:p>
      <w:pPr>
        <w:spacing w:after="80"/>
      </w:pPr>
      <w:r>
        <w:rPr>
          <w:b w:val="0"/>
          <w:i w:val="0"/>
        </w:rPr>
        <w:t>Thứ nhất, Syndicated Loan Scheme (SLS)59 là một chương trình tự nguyện áp dụng cho các khoản vay hợp vốn (syndicated loans) khi HMRC coi đó chỉ là ‘rủi ro không đáng kể’ rằng đơn xin ưu đãi theo hiệp định sẽ thất bại. SLS cho phép ưu đãi theo hiệp định được áp dụng đối với thuế khấu trừ tại nguồn trên tiền lãi có nguồn gốc từ Vương quốc Anh trả cho các thành viên cho vay của một tổ chức hợp vốn cư trú tại các quốc gia có hiệp định với Vương quốc Anh quy định ưu đãi như vậy. Chương trình chỉ áp dụng khi bên vay và bên cho vay không có liên kết và giao dịch được thực hiện theo các điều khoản thị trường (arm’s-length).</w:t>
      </w:r>
    </w:p>
    <w:p>
      <w:pPr>
        <w:spacing w:after="80"/>
      </w:pPr>
      <w:r>
        <w:rPr>
          <w:b w:val="0"/>
          <w:i w:val="0"/>
        </w:rPr>
        <w:t>Thứ hai, một sáng kiến tinh gọn hơn nữa cho các bên cho vay doanh nghiệp không cư trú là Double Taxation Treaty Passport Scheme.60 Theo chương trình này, một bên cho vay doanh nghiệp không cư trú cư trú tại một quốc gia phù hợp có thể xin ‘Treaty Passport’. Các bên vay doanh nghiệp Vương quốc Anh ký kết hợp đồng cho vay với một bên cho vay đã đăng ký là chủ sở hữu Treaty Passport phải thông báo cho HMRC ít nhất ba mươi ngày trước ngày đến hạn thanh toán tiền lãi đầu tiên đối với khoản vay ‘được cấp hộ chiếu’ (passported). HMRC sẽ sử dụng thông tin chi tiết trong thông báo để ban hành chỉ thị cho bên vay Vương quốc Anh trả tiền lãi với thuế thu nhập được khấu trừ theo thuế suất hiệp định áp dụng.</w:t>
      </w:r>
    </w:p>
    <w:p>
      <w:pPr>
        <w:spacing w:after="80"/>
      </w:pPr>
      <w:r>
        <w:rPr>
          <w:b w:val="0"/>
          <w:i w:val="0"/>
        </w:rPr>
        <w:t>Trong những trường hợp này, quyền tạm thời có thể được cấp cho đến khi bị thay thế bởi thông báo thanh toán theo ưu đãi hiệp định theo SI1970/488. Quyền tạm thời sẽ trở nên vô hiệu nếu đơn xin chính thức để được thông quan hiệp định không được thực hiện trong vòng ba tháng kể từ khi có quyền tạm thời. Rủi ro thực chất thuộc về người nộp thuế, người sẽ phải chịu cả thuế và các hậu quả khác nếu yêu cầu ưu đãi theo hiệp định không thành công.</w:t>
      </w:r>
    </w:p>
    <w:p>
      <w:pPr>
        <w:spacing w:after="80"/>
      </w:pPr>
      <w:r>
        <w:rPr>
          <w:b w:val="0"/>
          <w:i w:val="0"/>
        </w:rPr>
        <w:t>56.ITA 2007, s. 913(1).57.ITA 2007, s. 912.58.ITA 2007, s. 911(3).59.HMRC, Syndicated Loan Scheme Guidelines, tháng 9 năm 2010.60.HMRC Notice, 1 tháng 9 năm 2010, cập nhật tháng 4 năm 2017.</w:t>
      </w:r>
    </w:p>
    <w:p>
      <w:pPr>
        <w:spacing w:after="80"/>
      </w:pPr>
      <w:r>
        <w:rPr>
          <w:b w:val="0"/>
          <w:i w:val="0"/>
        </w:rPr>
        <w:t>575</w:t>
      </w:r>
    </w:p>
    <w:p>
      <w:pPr>
        <w:spacing w:after="80"/>
      </w:pPr>
      <w:r>
        <w:rPr>
          <w:b w:val="0"/>
          <w:i w:val="0"/>
        </w:rPr>
        <w:t>Một cơ chế tự khai báo cụ thể để miễn khấu trừ thuế đối với tiền lãi cho các khoản đầu tư tư nhân đủ điều kiện theo ITA 2007, s.888, bao gồm yêu cầu con nợ phải giữ giấy chứng nhận từ mỗi chủ nợ rằng chủ nợ đó cư trú tại một lãnh thổ mà Vương quốc Anh có hiệp định thuế hai lần bao gồm một điều khoản không phân biệt đối xử, và rằng chủ nợ được hưởng lợi thực sự đối với tiền lãi vì lý do thương mại chính đáng chứ không phải vì mục đích thuế.61</w:t>
      </w:r>
    </w:p>
    <w:p>
      <w:pPr>
        <w:spacing w:after="80"/>
      </w:pPr>
      <w:r>
        <w:rPr>
          <w:b w:val="0"/>
          <w:i w:val="0"/>
        </w:rPr>
        <w:t>Cho đến khi có phán quyết của Tòa án Công lý Châu Âu trong Test Claimants in</w:t>
      </w:r>
      <w:r>
        <w:rPr>
          <w:b w:val="0"/>
          <w:i/>
        </w:rPr>
        <w:t xml:space="preserve"> Thin CapGroupLitigationvIRC</w:t>
      </w:r>
      <w:r>
        <w:rPr>
          <w:b w:val="0"/>
          <w:i w:val="0"/>
        </w:rPr>
        <w:t>, các đơn xin khấu trừ thuế theo thuế suất hiệp định đối với các khoản vay trong nội bộ tập đoàn luôn dẫn đến việc xem xét các thỏa thuận theo các quy tắc về mỏng vốn (thin-capitalisation) khi đó.62 Tuy nhiên, từ ngày 21 tháng 3 năm 2007, thực tiễn này đã thay đổi và lập trường nghiêm ngặt chỉ được nới lỏng trong các trường hợp thuộc Provisional Treaty Relief Scheme.63 Việc thông quan hiệp định và các vấn đề mỏng vốn được xử lý trước giờ được quản lý riêng biệt, với vấn đề mỏng vốn được quản lý như một phần của các thỏa thuận định giá trước (advance pricing agreements) theo TIOPA 2010, Phần 5.64</w:t>
      </w:r>
    </w:p>
    <w:p>
      <w:pPr>
        <w:spacing w:after="80"/>
      </w:pPr>
      <w:r>
        <w:rPr>
          <w:b/>
          <w:i w:val="0"/>
        </w:rPr>
        <w:t>[C]Chỉ thị về Tiền lãi và Tiền bản quyền của EU</w:t>
      </w:r>
    </w:p>
    <w:p>
      <w:pPr>
        <w:spacing w:after="80"/>
      </w:pPr>
      <w:r>
        <w:rPr>
          <w:b w:val="0"/>
          <w:i w:val="0"/>
        </w:rPr>
        <w:t>The Interest and Royalties Directive recognises that the application of treaty provisionsoftenentailsburdensomeadministrativeformalitiesandcash-flowproblemsforthecompanies concerned which itself is incompatible with the notion of a single market.65</w:t>
      </w:r>
    </w:p>
    <w:p>
      <w:pPr>
        <w:spacing w:after="80"/>
      </w:pPr>
      <w:r>
        <w:rPr>
          <w:b w:val="0"/>
          <w:i w:val="0"/>
        </w:rPr>
        <w:t>Thedirectiveaccordinglycontainsproceduralrulesinordertospecifythestandardsrequiredintheadministrationofitsprovisions.66TheseincludetherightofMemberStates to require evidence that taxpayers meet the criteria for eligibility as a precondi-tiontotheeliminationofwithholding,67theneedforadirectionbythetaxadminis-tration that tax need not be deducted,68as well as the standards to be observed for theoperation of the exemption.69</w:t>
      </w:r>
    </w:p>
    <w:p>
      <w:pPr>
        <w:spacing w:after="80"/>
      </w:pPr>
      <w:r>
        <w:rPr>
          <w:b w:val="0"/>
          <w:i w:val="0"/>
        </w:rPr>
        <w:t>IntheUK,theproceduralelementshavebeenaddressedinamannerthatparallels the approach taken for tax treaty purposes.70Thus, royalty payments may beself-assessed by the payer if it reasonably believes that the payment is exempt,71but itis under a duty to deduct the if it is not so exempt.72HMRC has the power to not applythe self-assessment by notice where it is satisfied that the exemption does not apply.73</w:t>
      </w:r>
    </w:p>
    <w:p>
      <w:pPr>
        <w:spacing w:after="80"/>
      </w:pPr>
      <w:r>
        <w:rPr>
          <w:b w:val="0"/>
          <w:i w:val="0"/>
        </w:rPr>
        <w:t>PayeesareunderanobligationtonotifybothHMRCandthepayerofchangein</w:t>
      </w:r>
    </w:p>
    <w:p>
      <w:pPr>
        <w:spacing w:after="80"/>
      </w:pPr>
      <w:r>
        <w:rPr>
          <w:b w:val="0"/>
          <w:i w:val="0"/>
        </w:rPr>
        <w:t>61.</w:t>
      </w:r>
      <w:r>
        <w:rPr>
          <w:b w:val="0"/>
          <w:i/>
        </w:rPr>
        <w:t>Qualifying Private Placement Regulations</w:t>
      </w:r>
      <w:r>
        <w:rPr>
          <w:b w:val="0"/>
          <w:i w:val="0"/>
        </w:rPr>
        <w:t xml:space="preserve"> 2015 (SI 2015/2002).62.</w:t>
      </w:r>
      <w:r>
        <w:rPr>
          <w:b w:val="0"/>
          <w:i/>
        </w:rPr>
        <w:t>TestClaimantsintheThinCapGroupLitigationvInlandRevenueCommissioners</w:t>
      </w:r>
      <w:r>
        <w:rPr>
          <w:b w:val="0"/>
          <w:i w:val="0"/>
        </w:rPr>
        <w:t>(CaseC-524/04) [2008] BTC 348 [2009] EWHC 2908 at paras 181-187 sets out the practice at the time.63.HMRC, International Manual, INTM574020.64.HMRC Brief 1/9 January 2009. See also SP 4/07 paras 35-39.65.Interest and Royalties Directive 03/49, Recital 2.66.Art. 1(11)-(16).67.Art. 1(11).68.Art. 1(12).69.Art. 1(13).70.The UK implementing legislation is repealed from 1 June 2021 by Finance Act 2021.71.ITA 2007, s. 914(1)(a).72.ITA 2007, s. 914(1)(b).73.ITA 2007, s. 915.</w:t>
      </w:r>
    </w:p>
    <w:p>
      <w:pPr>
        <w:spacing w:after="80"/>
      </w:pPr>
      <w:r>
        <w:rPr>
          <w:b w:val="0"/>
          <w:i w:val="0"/>
        </w:rPr>
        <w:t>576</w:t>
      </w:r>
    </w:p>
    <w:p>
      <w:pPr>
        <w:spacing w:after="80"/>
      </w:pPr>
      <w:r>
        <w:rPr>
          <w:b w:val="0"/>
          <w:i w:val="0"/>
        </w:rPr>
        <w:t>circumstances that cause the exemption to not apply.74Interest payments on the otherhandareexemptpursuanttothedirectiveonlyifHMRChasissuedanexemptionnotice.75ITTOIA2005,s.762authorisesthecommissionersforHMRCtomakeregulationsaboutexemptionnotices.76Theessentialdifferencebetweenthedetailsrelating to exemption notices and those issued under SI 1970/488 to pay at treaty ratesis the right of appeal77in recognition of the rights granted under European Union (EU)law.</w:t>
      </w:r>
    </w:p>
    <w:p>
      <w:pPr>
        <w:spacing w:after="80"/>
      </w:pPr>
      <w:r>
        <w:rPr>
          <w:b/>
          <w:i w:val="0"/>
        </w:rPr>
        <w:t>§19.13BUSINESS PROFITS</w:t>
      </w:r>
    </w:p>
    <w:p>
      <w:pPr>
        <w:spacing w:after="80"/>
      </w:pPr>
      <w:r>
        <w:rPr>
          <w:b w:val="0"/>
          <w:i w:val="0"/>
        </w:rPr>
        <w:t>The mechanism adopted is to impose all compliance obligations in respect of trading inthe UK jointly on the UK representative of a non-resident and the non-resident. The UKrepresentativeisdefinedforthepurposesofincometaxasthebranchoragencythrough which the non-resident carries on any trade, profession or vocation78and forcorporationtax,itisthepermanentestablishment.79TheUKrepresentativeisjointlyresponsible with the non-resident for all tax obligations and liabilities in relation to thetrade, profession or vocation carried on through the branch or agency. This extends toall matters relating to self-assessment of tax, and to the collection and recovery of taxandcoversnotificationofchargeability,theobligationtomakeareturnandself-assessment,liabilitytomakeinterimandfinalpaymentsoftaxandliabilitytosurcharges,andinterestandpenaltiesinconnectionwiththeseobligationsandliabilities.80The UK does not generally require deduction of tax at source on paymentsto non-residents under this heading.81Unlike persons making payments under deduc-tionoftax,theUKrepresentativeisabletomakeatreatyclaiminthatcapacityonbehalf of the non-resident it represents.</w:t>
      </w:r>
    </w:p>
    <w:p>
      <w:pPr>
        <w:spacing w:after="80"/>
      </w:pPr>
      <w:r>
        <w:rPr>
          <w:b w:val="0"/>
          <w:i w:val="0"/>
        </w:rPr>
        <w:t>Non-residentsandtheiragents,itwouldappear,areentitledtoself-assesstheexistence of a permanent establishment. Such a view would be based on the proposi-tionthatpermanentestablishmentprovisionsoftreatiesprovideforchargingUKsourceincomeorgainsofnon-residentspursuanttoTIOPA2010,s.6(2)(e).Bysodoing, they define taxing jurisdiction and do not provide for ‘relief’ from income tax orcorporation tax under s. 6(2)(a) for which a claim is required.82</w:t>
      </w:r>
    </w:p>
    <w:p>
      <w:pPr>
        <w:spacing w:after="80"/>
      </w:pPr>
      <w:r>
        <w:rPr>
          <w:b w:val="0"/>
          <w:i w:val="0"/>
        </w:rPr>
        <w:t>Thestringentinterestandpenaltyregimesapplicabletoself-assessmentandpay-and-file(inthecaseofcompanies)createaconsiderableincentivefornon-residents and UK representatives to make accurate assessments in this respect. This isparticularlysointhecaseofUKrepresentativeswho,asapracticalmatter,willbe</w:t>
      </w:r>
    </w:p>
    <w:p>
      <w:pPr>
        <w:spacing w:after="80"/>
      </w:pPr>
      <w:r>
        <w:rPr>
          <w:b w:val="0"/>
          <w:i w:val="0"/>
        </w:rPr>
        <w:t>74.ITA 2007, s. 916.75.ITTOIA 2005, s. 758(5).76.</w:t>
      </w:r>
      <w:r>
        <w:rPr>
          <w:b w:val="0"/>
          <w:i/>
        </w:rPr>
        <w:t>Exemption from Tax for Certain Interest Payments Regulations</w:t>
      </w:r>
      <w:r>
        <w:rPr>
          <w:b w:val="0"/>
          <w:i w:val="0"/>
        </w:rPr>
        <w:t xml:space="preserve"> 2004 (SI 2004/2622).77.SI 2004/2622, reg. 9.78.ITA 2007, s. 835E; TCGA 1992, s. 271B.79.CTA 2010, Part 22, Chapter 6.80.ITA 2007, Part 14, Chapters 2B and 2C for income tax; TCGA 1992, Part 7A for capital gains taxand CTA 2010, Part 22, Chapters 6 and 7.81.Paymentstoentertainersorsportsmenareanimportantexception:ITA2007,ss966-970.See§19.16.82.See Chapter 18, §18.06.</w:t>
      </w:r>
    </w:p>
    <w:p>
      <w:pPr>
        <w:spacing w:after="80"/>
      </w:pPr>
      <w:r>
        <w:rPr>
          <w:b w:val="0"/>
          <w:i w:val="0"/>
        </w:rPr>
        <w:t>577</w:t>
      </w:r>
    </w:p>
    <w:p>
      <w:pPr>
        <w:spacing w:after="80"/>
      </w:pPr>
      <w:r>
        <w:rPr>
          <w:b w:val="0"/>
          <w:i w:val="0"/>
        </w:rPr>
        <w:t>within the jurisdiction of the UK courts. Consequently, where a non-resident forms theviewthatitsactivitiesconstitutetradingintheUKthroughabranchoragencyfordomestic law purposes but falls short of those constituting a permanent establishmentfor treaty purposes, there is a premium on coming to the correct conclusion. Where theHMRC interpretation is sought on this, a positive answer will put the matter to an end.Anegativereplywithwhichthenon-residentdisagreesmaymeanthatthematterwould ultimately need to be resolved through formal dispute resolution mechanisms.</w:t>
      </w:r>
    </w:p>
    <w:p>
      <w:pPr>
        <w:spacing w:after="80"/>
      </w:pPr>
      <w:r>
        <w:rPr>
          <w:b/>
          <w:i w:val="0"/>
        </w:rPr>
        <w:t>§19.14CAPITAL GAINS</w:t>
      </w:r>
    </w:p>
    <w:p>
      <w:pPr>
        <w:spacing w:after="80"/>
      </w:pPr>
      <w:r>
        <w:rPr>
          <w:b w:val="0"/>
          <w:i w:val="0"/>
        </w:rPr>
        <w:t>Non-residents who disposing of UK land, directly or indirectly,83are generally requiredtofileareturn,regardlessofwhetherornotagainaccrues,withinthirtydaysofthecompletionofthedisposal.84Apaymentonaccountofthetaxmustbemadeatthesame time.85</w:t>
      </w:r>
    </w:p>
    <w:p>
      <w:pPr>
        <w:spacing w:after="80"/>
      </w:pPr>
      <w:r>
        <w:rPr>
          <w:b/>
          <w:i w:val="0"/>
        </w:rPr>
        <w:t>§19.15THU NHẬP TỪ VIỆC LÀM VÀ LƯƠNG HƯU</w:t>
      </w:r>
    </w:p>
    <w:p>
      <w:pPr>
        <w:spacing w:after="80"/>
      </w:pPr>
      <w:r>
        <w:rPr>
          <w:b w:val="0"/>
          <w:i w:val="0"/>
        </w:rPr>
        <w:t>Hầu hết thu nhập từ việc làm được đánh thuế bằng cách khấu trừ tại nguồn theo các quy tắc PAYE trong những trường hợp mà người lao động không có lý do nào khác để không thông báo nghĩa vụ chịu thuế thì sẽ không phát sinh nghĩa vụ đó.86 Nếu yêu cầu hoàn thuế, thông lệ của HMRC là yêu cầu tờ khai tự đánh giá (self-assessment return). Trường hợp người lao động là người không cư trú và cũng thực hiện nhiệm vụ ngoài Vương quốc Anh, có thể xin chỉ thị để PAYE chỉ áp dụng đối với phần chịu thuế tại Vương quốc Anh.87 Đơn xin chỉ thị đó phải cung cấp 'những thông tin sẵn có và liên quan đến việc ban hành chỉ thị'. Trường hợp một hiệp định thuế (thường theo Điều 15 của Mẫu OECD) ngăn cản việc đánh thuế của Vương quốc Anh, biện pháp này có thể được sử dụng để giới hạn PAYE đối với thu nhập chịu thuế theo hiệp định. Các nghĩa vụ báo cáo khác không bị giới hạn bởi hiệp định và do đó vẫn tiếp tục áp dụng. Các yêu cầu PAYE có thể được nới lỏng trong trường hợp người lao động không cư trú lưu trú ngắn hạn, những người sẽ đủ điều kiện được miễn giảm theo hiệp định.88</w:t>
      </w:r>
    </w:p>
    <w:p>
      <w:pPr>
        <w:spacing w:after="80"/>
      </w:pPr>
      <w:r>
        <w:rPr>
          <w:b w:val="0"/>
          <w:i w:val="0"/>
        </w:rPr>
        <w:t>PAYE cũng được áp dụng đối với thu nhập từ lương hưu và thu nhập an sinh xã hội.89</w:t>
      </w:r>
    </w:p>
    <w:p>
      <w:pPr>
        <w:spacing w:after="80"/>
      </w:pPr>
      <w:r>
        <w:rPr>
          <w:b w:val="0"/>
          <w:i w:val="0"/>
        </w:rPr>
        <w:t>Các yêu cầu giảm số tiền khấu trừ đối với các khoản thanh toán này theo các điều khoản về lương hưu hoặc thu nhập khác cũng được giải quyết tương tự thông qua quy trình PAYE.</w:t>
      </w:r>
    </w:p>
    <w:p>
      <w:pPr>
        <w:spacing w:after="80"/>
      </w:pPr>
      <w:r>
        <w:rPr>
          <w:b w:val="0"/>
          <w:i w:val="0"/>
        </w:rPr>
        <w:t>83.Xem Chương 12, §12.06.84.FA 2019, s. 14 và Sch. 2, para. 3(1).85.FA 2019, s. 14 và Sch. 2, para. 6.86.TMA 1970, s. 7(2).87.ITEPA 2003, s. 690.88.Xem Chương 11, §11.08; HMRC, PAYE Manual, PAYE82000. PAYE Manual PAYE81545 quy định mẫu đơn xin chỉ thị hiệp định theo s. 690.89.ITEPA 2003, s. 683(1).</w:t>
      </w:r>
    </w:p>
    <w:p>
      <w:pPr>
        <w:spacing w:after="80"/>
      </w:pPr>
      <w:r>
        <w:rPr>
          <w:b w:val="0"/>
          <w:i w:val="0"/>
        </w:rPr>
        <w:t>578</w:t>
      </w:r>
    </w:p>
    <w:p>
      <w:pPr>
        <w:spacing w:after="80"/>
      </w:pPr>
      <w:r>
        <w:rPr>
          <w:b/>
          <w:i w:val="0"/>
        </w:rPr>
        <w:t>§19.16NGHỆ SĨ BIỂU DIỄN VÀ VẬN ĐỘNG VIÊN</w:t>
      </w:r>
    </w:p>
    <w:p>
      <w:pPr>
        <w:spacing w:after="80"/>
      </w:pPr>
      <w:r>
        <w:rPr>
          <w:b w:val="0"/>
          <w:i w:val="0"/>
        </w:rPr>
        <w:t>Trường hợp nghệ sĩ biểu diễn hoặc vận động viên không cư trú biểu diễn tại Vương quốc Anh, có thể yêu cầu khấu trừ thuế tại nguồn.90 Theo các quy định, có thể xin giảm số tiền khấu trừ.91 Các quy định này không đề cập đến hiệp định thuế. Cách tiếp cận của HMRC là thuế phải được khấu trừ, ngay cả khi thu nhập không chịu thuế Vương quốc Anh do áp dụng một hiệp định thuế.92 Điều này dựa trên cơ sở rằng việc khấu trừ chỉ là tạm thu đối với nghĩa vụ thuế cuối cùng, và việc liệu một hiệp định cụ thể có được áp dụng hay không thì không thể được xem xét đầy đủ ở giai đoạn khấu trừ. Do đó, những người không cư trú bị khấu trừ theo các quy tắc này chỉ có thể yêu cầu hoàn lại số thuế đã khấu trừ khi nộp đơn yêu cầu kèm theo tờ khai.</w:t>
      </w:r>
    </w:p>
    <w:p>
      <w:pPr>
        <w:spacing w:after="80"/>
      </w:pPr>
      <w:r>
        <w:rPr>
          <w:b/>
          <w:i w:val="0"/>
        </w:rPr>
        <w:t>§19.17CƯ TRÚ: CÁ NHÂN</w:t>
      </w:r>
    </w:p>
    <w:p>
      <w:pPr>
        <w:spacing w:after="80"/>
      </w:pPr>
      <w:r>
        <w:rPr>
          <w:b w:val="0"/>
          <w:i w:val="0"/>
        </w:rPr>
        <w:t>Việc khai báo tình trạng cư trú phù hợp là yếu tố thiết yếu để áp dụng các quyền lợi theo hiệp định thuế. Tờ khai thuế tự đánh giá nêu cụ thể vấn đề cư trú song trùng. Tờ khai thuế tự đánh giá của cá nhân yêu cầu những cá nhân cư trú tại một quốc gia khác ngoài Vương quốc Anh theo một hiệp định thuế và đồng thời cư trú tại Vương quốc Anh phải ghi rõ thực tế đó trên tờ khai (tức là các trang dành cho người không cư trú) và quốc gia nơi họ yêu cầu cư trú theo hiệp định. Những cá nhân không cư trú hoặc cư trú tại một quốc gia khác theo mục đích của một hiệp định thuế và đang yêu cầu miễn giảm theo hiệp định phải ghi rõ số tiền miễn giảm mà họ đang yêu cầu. Hơn nữa, tài liệu do HMRC công bố để hỗ trợ việc chuẩn bị tờ khai thuế cá nhân hiện nay đề cập đến vấn đề cư trú song trùng và việc áp dụng các điều khoản phá vỡ thế cân bằng (tiebreaker) theo hiệp định.93 Tài liệu này bao gồm bản tóm tắt các quy tắc phá vỡ thế cân bằng theo Mẫu OECD. Cũng bao gồm thông tin cụ thể liên quan đến Hiệp định Hoa Kỳ. Điều này bao gồm giải thích về các quy tắc nội địa chính của Hoa Kỳ về cư trú, cũng như các điều khoản cư trú tài khóa theo hiệp định. Một mẫu đơn riêng kèm theo tờ khai tự đánh giá cũng được cung cấp để yêu cầu các quyền lợi theo hiệp định khi vấn đề phá vỡ thế cân bằng không được đặt ra.94</w:t>
      </w:r>
    </w:p>
    <w:p>
      <w:pPr>
        <w:spacing w:after="80"/>
      </w:pPr>
      <w:r>
        <w:rPr>
          <w:b w:val="0"/>
          <w:i w:val="0"/>
        </w:rPr>
        <w:t>Giấy chứng nhận cư trú từ cơ quan thuế của quốc gia ký kết kia được yêu cầu theo cả hai mẫu đơn. Điều này được sửa đổi trong trường hợp Hoa Kỳ. Công dân Hoa Kỳ được yêu cầu tự chứng nhận việc áp dụng bài kiểm tra 'hiện diện đáng kể' (substantial presence) của Hoa Kỳ. Người nước ngoài thường trú tại Hoa Kỳ phải xuất trình bản sao Thẻ Xanh của họ hoặc, nếu họ không phải là chủ thẻ Xanh, giấy chứng nhận cư trú từ IRS. Do đó, mặc dù người nộp thuế nói chung được yêu cầu tự đánh giá hoặc tự chứng nhận các sự kiện liên quan đến tình trạng thuế của họ, nhưng điều này không đúng trong trường hợp khai báo cư trú của một quốc gia ký kết khi yêu cầu các quyền lợi theo hiệp định. Trong trường hợp này, giấy chứng nhận cư trú phải được nộp kèm theo tờ khai. Giấy chứng nhận cư trú là yêu cầu hàng năm. Ngoài ra, khi hiệp định yêu cầu như vậy, giấy chứng nhận phải xác nhận rằng cá nhân đó</w:t>
      </w:r>
    </w:p>
    <w:p>
      <w:pPr>
        <w:spacing w:after="80"/>
      </w:pPr>
      <w:r>
        <w:rPr>
          <w:b w:val="0"/>
          <w:i w:val="0"/>
        </w:rPr>
        <w:t>90.ITA 2007, ss 966-970.91.</w:t>
      </w:r>
      <w:r>
        <w:rPr>
          <w:b w:val="0"/>
          <w:i/>
        </w:rPr>
        <w:t>Income Tax (Entertainers, etc.) Regulations</w:t>
      </w:r>
      <w:r>
        <w:rPr>
          <w:b w:val="0"/>
          <w:i w:val="0"/>
        </w:rPr>
        <w:t xml:space="preserve"> 1987 (SI 1987/530), reg. 5.92.FEUSO (Foreign Entertainers Unit Standing Order), para. 8A.93.Helpsheet IR302. Xem thêm HMRC, International Tax Manual, INTM154020.94.Helpsheet IR304.</w:t>
      </w:r>
    </w:p>
    <w:p>
      <w:pPr>
        <w:spacing w:after="80"/>
      </w:pPr>
      <w:r>
        <w:rPr>
          <w:b w:val="0"/>
          <w:i w:val="0"/>
        </w:rPr>
        <w:t>579</w:t>
      </w:r>
    </w:p>
    <w:p>
      <w:pPr>
        <w:spacing w:after="80"/>
      </w:pPr>
      <w:r>
        <w:rPr>
          <w:b w:val="0"/>
          <w:i w:val="0"/>
        </w:rPr>
        <w:t>chịu thuế toàn phần hoặc một phần tại quốc gia cư trú. Trường hợp chỉ một phần thu nhập bị đánh thuế tại quốc gia cư trú, phần đó phải được ghi rõ trong giấy chứng nhận. HMRC thường sẽ từ chối yêu cầu theo hiệp định nếu không có giấy chứng nhận.95</w:t>
      </w:r>
    </w:p>
    <w:p>
      <w:pPr>
        <w:spacing w:after="80"/>
      </w:pPr>
      <w:r>
        <w:rPr>
          <w:b w:val="0"/>
          <w:i w:val="0"/>
        </w:rPr>
        <w:t>Cần có chứng nhận của cơ quan thuế nước ngoài. Tòa án Giám đốc thẩm Bắc Kavkaz đã phán quyết rằng cơ quan có thẩm quyền của Vương quốc Anh là HMRC và các tài liệu được chứng nhận bởi Companies House (cơ quan đăng ký công ty của Anh) không phải là xác nhận phù hợp về chủ sở hữu hưởng lợi của tiền lãi cho Điều 11 của Hiệp định Nga-Vương quốc Anh.96</w:t>
      </w:r>
    </w:p>
    <w:p>
      <w:pPr>
        <w:spacing w:after="80"/>
      </w:pPr>
      <w:r>
        <w:rPr>
          <w:b w:val="0"/>
          <w:i w:val="0"/>
        </w:rPr>
        <w:t>HMRC thường sẽ chứng nhận cư trú để cho phép các cá nhân được miễn giảm thuế nước ngoài theo một hiệp định thuế, ví dụ, bằng cách chứng nhận một mẫu đơn yêu cầu của nước ngoài khi, theo hiểu biết tốt nhất của họ, cá nhân đó là cư dân của Vương quốc Anh. Tuy nhiên, họ yêu cầu thông tin và sẽ tiến hành kiểm tra trước khi làm việc đó. Họ có thể từ chối cấp giấy chứng nhận khi rõ ràng rằng cá nhân đó sẽ không được hưởng các quyền lợi theo hiệp định.97</w:t>
      </w:r>
    </w:p>
    <w:p>
      <w:pPr>
        <w:spacing w:after="80"/>
      </w:pPr>
      <w:r>
        <w:rPr>
          <w:b/>
          <w:i w:val="0"/>
        </w:rPr>
        <w:t>[A]Các Điều Kiện Khác Đối Với Cá Nhân</w:t>
      </w:r>
    </w:p>
    <w:p>
      <w:pPr>
        <w:spacing w:after="80"/>
      </w:pPr>
      <w:r>
        <w:rPr>
          <w:b w:val="0"/>
          <w:i w:val="0"/>
        </w:rPr>
        <w:t>Các mẫu tự khai thuế yêu cầu người không cư trú phải tự đảm bảo rằng tất cả các điều kiện của hiệp định liên quan đều được đáp ứng khi đưa ra yêu cầu hưởng ưu đãi theo hiệp định.98 Trường hợp cư dân Vương quốc Anh chỉ đủ điều kiện hưởng ưu đãi theo hiệp định nước ngoài nếu họ phải chịu thuế tại Vương quốc Anh, thì điều này cũng có thể là đối tượng của việc chứng nhận.</w:t>
      </w:r>
    </w:p>
    <w:p>
      <w:pPr>
        <w:spacing w:after="80"/>
      </w:pPr>
      <w:r>
        <w:rPr>
          <w:b/>
          <w:i w:val="0"/>
        </w:rPr>
        <w:t>§19.18CƯ TRÚ: CÔNG TY</w:t>
      </w:r>
    </w:p>
    <w:p>
      <w:pPr>
        <w:spacing w:after="80"/>
      </w:pPr>
      <w:r>
        <w:rPr>
          <w:b w:val="0"/>
          <w:i w:val="0"/>
        </w:rPr>
        <w:t>Thực tiễn của HMRC liên quan đến việc chứng nhận cư trú của các công ty cho mục đích yêu cầu hưởng ưu đãi theo hiệp định nước ngoài đặc biệt thận trọng. Nếu họ nghi ngờ công ty là đối tượng cư trú kép, họ có thể từ chối chứng nhận cư trú khi họ nghi ngờ công ty có thể là đối tượng cư trú kép mà không cần yêu cầu thêm thông tin hoặc liên hệ với quốc gia khác.99</w:t>
      </w:r>
    </w:p>
    <w:p>
      <w:pPr>
        <w:spacing w:after="80"/>
      </w:pPr>
      <w:r>
        <w:rPr>
          <w:b w:val="0"/>
          <w:i w:val="0"/>
        </w:rPr>
        <w:t>Do đó, các thông tin và yêu cầu chi tiết được áp đặt.100</w:t>
      </w:r>
    </w:p>
    <w:p>
      <w:pPr>
        <w:spacing w:after="80"/>
      </w:pPr>
      <w:r>
        <w:rPr>
          <w:b w:val="0"/>
          <w:i w:val="0"/>
        </w:rPr>
        <w:t>Trường hợp người ta tìm cách chứng minh rằng hiệu lực của quy tắc phá vỡ thế cân bằng (tiebreaker) là làm cho một công ty cư trú kép trở thành cư trú bên ngoài Vương quốc Anh, thì cần phải đưa ra một tuyên bố về hiệu lực này, mặc dù một yêu cầu được coi là đã được thực hiện. Không có thủ tục chính thức nào được quy định. Trong bối cảnh một công ty chấm dứt cư trú tại Vương quốc Anh, thủ tục thông báo trước khi di chuyển được yêu cầu trong TMA 1970, s. 109B,101 cũng được yêu cầu.</w:t>
      </w:r>
    </w:p>
    <w:p>
      <w:pPr>
        <w:spacing w:after="80"/>
      </w:pPr>
      <w:r>
        <w:rPr>
          <w:b w:val="0"/>
          <w:i w:val="0"/>
        </w:rPr>
        <w:t>95. HMRC, Sổ tay Thuế Quốc tế, INTM154040.96. Quyết định của Tòa án Thương mại Khu vực Bắc Kavkaz (Tòa Phá án) F08-4280/2020 (Vụ án A32-37495/2019), ngày 22 tháng 6 năm 2020.97. HMRC, Sổ tay Thuế Quốc tế, INTM162010.98. Bảng trợ giúp IR304.99. HMRC, Sổ tay Thuế Quốc tế, INTM162030.100. HMRC, Sổ tay Thuế Quốc tế, INTM162020.101. Xem thêm Tuyên bố Thực hành SP2/90.</w:t>
      </w:r>
    </w:p>
    <w:p>
      <w:pPr>
        <w:spacing w:after="80"/>
      </w:pPr>
      <w:r>
        <w:rPr>
          <w:b w:val="0"/>
          <w:i w:val="0"/>
        </w:rPr>
        <w:t>580</w:t>
      </w:r>
    </w:p>
    <w:p>
      <w:pPr>
        <w:spacing w:after="80"/>
      </w:pPr>
      <w:r>
        <w:rPr>
          <w:b/>
          <w:i w:val="0"/>
        </w:rPr>
        <w:t>§19.19GIẢM THIỂU THUẾ NƯỚC NGOÀI</w:t>
      </w:r>
    </w:p>
    <w:p>
      <w:pPr>
        <w:spacing w:after="80"/>
      </w:pPr>
      <w:r>
        <w:rPr>
          <w:b w:val="0"/>
          <w:i w:val="0"/>
        </w:rPr>
        <w:t>Các quy định của hiệp định Vương quốc Anh thông thường cho phép khấu trừ vào thuế Vương quốc Anh đối với thuế phải nộp theo luật của quốc gia ký kết kia và phù hợp với hiệp định đang được đề cập. (Ví dụ, xem Hiệp định Hà Lan-Vương quốc Anh, điều 21(5).) Thực tiễn của Cơ quan Thuế sẽ chỉ cho phép khấu trừ đối với thuế nước ngoài được phải nộp phù hợp với hiệp định. Do đó, người yêu cầu phải thực hiện tất cả các bước cần thiết để giảm nghĩa vụ thuế nước ngoài xuống mức mà hiệp định cho phép.</w:t>
      </w:r>
    </w:p>
    <w:p>
      <w:pPr>
        <w:spacing w:after="80"/>
      </w:pPr>
      <w:r>
        <w:rPr>
          <w:b w:val="0"/>
          <w:i w:val="0"/>
        </w:rPr>
        <w:t>Hạn chế chung này đối với khấu trừ chỉ ở mức phải nộp theo hiệp định đã được nâng lên thành nghĩa vụ giảm thiểu thuế nước ngoài trong FA2000. Đoạn 6 của Sch.30102</w:t>
      </w:r>
    </w:p>
    <w:p>
      <w:pPr>
        <w:spacing w:after="80"/>
      </w:pPr>
      <w:r>
        <w:rPr>
          <w:b w:val="0"/>
          <w:i w:val="0"/>
        </w:rPr>
        <w:t>hạn chế khấu trừ đối với thuế nước ngoài theo bất kỳ hiệp định nào chỉ ở mức thuế sẽ được cho phép:</w:t>
      </w:r>
    </w:p>
    <w:p>
      <w:pPr>
        <w:spacing w:after="80"/>
      </w:pPr>
      <w:r>
        <w:rPr>
          <w:b w:val="0"/>
          <w:i w:val="0"/>
        </w:rPr>
        <w:t>nếu tất cả các bước hợp lý đã được thực hiện:</w:t>
      </w:r>
    </w:p>
    <w:p>
      <w:pPr>
        <w:spacing w:after="80"/>
      </w:pPr>
      <w:r>
        <w:rPr>
          <w:b w:val="0"/>
          <w:i w:val="0"/>
        </w:rPr>
        <w:t>(a) theo luật của lãnh thổ liên quan; và(b) theo bất kỳ thỏa thuận nào được thực hiện với chính phủ của lãnh thổ đó để</w:t>
      </w:r>
    </w:p>
    <w:p>
      <w:pPr>
        <w:spacing w:after="80"/>
      </w:pPr>
      <w:r>
        <w:rPr>
          <w:b w:val="0"/>
          <w:i w:val="0"/>
        </w:rPr>
        <w:t>giảm thiểu số thuế phải nộp tại lãnh thổ đó.</w:t>
      </w:r>
    </w:p>
    <w:p>
      <w:pPr>
        <w:spacing w:after="80"/>
      </w:pPr>
      <w:r>
        <w:rPr>
          <w:b w:val="0"/>
          <w:i w:val="0"/>
        </w:rPr>
        <w:t>Ở đó, một nghĩa vụ chung không chỉ là giảm thiểu số thuế phải nộp tại quốc gia ký kết kia, mà còn phải thực hiện các bước cụ thể (bao gồm yêu cầu hoặc bằng cách khác đảm bảo lợi ích của các khoản giảm trừ, khấu trừ hoặc trợ cấp, và thực hiện các lựa chọn cho mục đích thuế). Vì mục đích này, bất kỳ câu hỏi nào về việc liệu một người có hợp lý khi thực hiện các bước này hay không được xác định trên cơ sở ‘những gì có thể được mong đợi một cách hợp lý đã được thực hiện trong trường hợp không có giảm trừ thuế hai lần’. Việc áp dụng một quy tắc như vậy trong thực tế có thể gây ra những khó khăn đáng kể.</w:t>
      </w:r>
    </w:p>
    <w:p>
      <w:pPr>
        <w:spacing w:after="80"/>
      </w:pPr>
      <w:r>
        <w:rPr>
          <w:b w:val="0"/>
          <w:i w:val="0"/>
        </w:rPr>
        <w:t xml:space="preserve">HMRC, </w:t>
      </w:r>
      <w:r>
        <w:rPr>
          <w:b w:val="0"/>
          <w:i/>
        </w:rPr>
        <w:t>International Tax Manual</w:t>
      </w:r>
      <w:r>
        <w:rPr>
          <w:b w:val="0"/>
          <w:i w:val="0"/>
        </w:rPr>
        <w:t xml:space="preserve">, INTM164140 đưa ra các ví dụ mà trước đây đã được Inland Revenue nêu trong bài báo tháng 3 năm 2000 </w:t>
      </w:r>
      <w:r>
        <w:rPr>
          <w:b w:val="0"/>
          <w:i/>
        </w:rPr>
        <w:t>Double taxation relief for companies: outcome of the review</w:t>
      </w:r>
      <w:r>
        <w:rPr>
          <w:b w:val="0"/>
          <w:i w:val="0"/>
        </w:rPr>
        <w:t xml:space="preserve"> và bởi Nghị viện ở giai đoạn ủy ban cho </w:t>
      </w:r>
      <w:r>
        <w:rPr>
          <w:b w:val="0"/>
          <w:i/>
        </w:rPr>
        <w:t>Finance Bill</w:t>
      </w:r>
      <w:r>
        <w:rPr>
          <w:b w:val="0"/>
          <w:i w:val="0"/>
        </w:rPr>
        <w:t xml:space="preserve"> 2000. Những ví dụ này bao gồm việc chấp nhận một ước tính thuế được đánh giá ở quốc gia khác có khả năng cao là quá mức, không yêu cầu một khoản trợ cấp hay giảm trừ (ví dụ: chi phí, trợ cấp vốn hoặc lỗ) mà thông thường được biết là có sẵn; và, khi luật nội địa của quốc gia khác hoặc hiệp định liên quan quy định các cơ sở tính thuế thay thế, không chọn cơ sở nào sẽ tạo ra hóa đơn thuế thấp nhất.</w:t>
      </w:r>
    </w:p>
    <w:p>
      <w:pPr>
        <w:spacing w:after="80"/>
      </w:pPr>
      <w:r>
        <w:rPr>
          <w:b w:val="0"/>
          <w:i w:val="0"/>
        </w:rPr>
        <w:t>Các ví dụ mà theo quan điểm của HMRC, quy định này sẽ không áp dụng là không yêu cầu một khoản giảm trừ mà tính khả dụng của nó không chắc chắn, và khi phải chịu chi phí không tương xứng để nghiên cứu luật của quốc gia khác và theo đuổi yêu cầu đó; yêu cầu rằng một khoản lỗ phát sinh ở quốc gia khác nên được chuyển tiếp thay vì chuyển ngược hoặc ngược lại; và trường hợp thuế cơ sở do một công ty con nộp khi công ty Anh yêu cầu giảm trừ cho khoản thuế đó không ở vị trí có thể ảnh hưởng đến số thuế đã nộp.103 Sổ tay HMRC cũng lưu ý rằng thuế nước ngoài được phép khấu trừ là khoản thuế đại diện cho nghĩa vụ thuế cuối cùng</w:t>
      </w:r>
    </w:p>
    <w:p>
      <w:pPr>
        <w:spacing w:after="80"/>
      </w:pPr>
      <w:r>
        <w:rPr>
          <w:b w:val="0"/>
          <w:i w:val="0"/>
        </w:rPr>
        <w:t>102. ICTA 1988, s. 795A(1). 103. Xem HMRC, International Tax Manual, INTM161250, về việc giảm thiểu thuế khấu trừ.</w:t>
      </w:r>
    </w:p>
    <w:p>
      <w:pPr>
        <w:spacing w:after="80"/>
      </w:pPr>
      <w:r>
        <w:rPr>
          <w:b w:val="0"/>
          <w:i w:val="0"/>
        </w:rPr>
        <w:t>581</w:t>
      </w:r>
    </w:p>
    <w:p>
      <w:pPr>
        <w:spacing w:after="80"/>
      </w:pPr>
      <w:r>
        <w:rPr>
          <w:b w:val="0"/>
          <w:i w:val="0"/>
        </w:rPr>
        <w:t>chứ không phải thuế nộp tạm ứng. Tương tự, tiền lãi hoặc tiền phạt có thể được nộp ở quốc gia khác cũng bị loại trừ.</w:t>
      </w:r>
    </w:p>
    <w:p>
      <w:pPr>
        <w:spacing w:after="80"/>
      </w:pPr>
      <w:r>
        <w:rPr>
          <w:b w:val="0"/>
          <w:i w:val="0"/>
        </w:rPr>
        <w:t xml:space="preserve">Trong </w:t>
      </w:r>
      <w:r>
        <w:rPr>
          <w:b w:val="0"/>
          <w:i/>
        </w:rPr>
        <w:t>Bayfine UK Products v HMRC</w:t>
      </w:r>
      <w:r>
        <w:rPr>
          <w:b w:val="0"/>
          <w:i w:val="0"/>
        </w:rPr>
        <w:t xml:space="preserve">,104 HMRC tìm cách thăm dò giới hạn ngoài cùng của quy tắc này. Để làm như vậy, họ lập luận rằng cần phải so sánh giữa tình huống thực tế và kết quả nếu không có khấu trừ thuế của Anh. Nhưng, họ lập luận, giả thuyết rằng không có khấu trừ thuế của Anh không nên ảnh hưởng đến việc phân tích thuế nước ngoài. Tuy nhiên, các Special Commissioners cho rằng giả thuyết đó chỉ cần được coi như một phép thử về tính hợp lý của các bước, và điều này loại trừ khả năng rằng học thuyết chống lạm dụng của nước ngoài có thể coi một giao dịch như chưa từng xảy ra. Họ cho rằng người yêu cầu khấu trừ là người được kỳ vọng thực hiện các bước liên quan và các bước đó phải được giới hạn ở những bước mà người nộp thuế yêu cầu khấu trừ có khả năng thực hiện (như sổ tay HMRC nêu rõ). Họ bác bỏ lập luận rằng một tiêu chuẩn khác được áp dụng khi xử lý việc tránh thuế. Trong trường hợp đó, công ty yêu cầu khấu trừ, một cách bất thường, nằm ở cuối chuỗi các công ty và do đó bản thân không ở vị trí có thể thực hiện các bước để giảm thuế nước ngoài mà HMRC lập luận rằng nó lẽ ra phải làm. Các bước cần được thực hiện mà các Special Commissioners xem xét bao gồm những bước mà người nộp thuế có thể gây ảnh hưởng và rằng người thực hiện các bước đó không nhất thiết phải là người nộp thuế trong </w:t>
      </w:r>
      <w:r>
        <w:rPr>
          <w:b w:val="0"/>
          <w:i/>
        </w:rPr>
        <w:t>Hill Samuel Investments Ltd v HMRC</w:t>
      </w:r>
      <w:r>
        <w:rPr>
          <w:b w:val="0"/>
          <w:i w:val="0"/>
        </w:rPr>
        <w:t>.105</w:t>
      </w:r>
    </w:p>
    <w:p>
      <w:pPr>
        <w:spacing w:after="80"/>
      </w:pPr>
      <w:r>
        <w:rPr>
          <w:b w:val="0"/>
          <w:i w:val="0"/>
        </w:rPr>
        <w:t xml:space="preserve">Khi kháng cáo lên Tòa án Cấp cao trong </w:t>
      </w:r>
      <w:r>
        <w:rPr>
          <w:b w:val="0"/>
          <w:i/>
        </w:rPr>
        <w:t>Bayfine</w:t>
      </w:r>
      <w:r>
        <w:rPr>
          <w:b w:val="0"/>
          <w:i w:val="0"/>
        </w:rPr>
        <w:t>,106 Peter Smith J bác bỏ các lập luận của HMRC: thứ nhất, rằng giao dịch lẽ ra không nên được thực hiện chút nào; thứ hai, rằng người nộp thuế nên kiện ở Hoa Kỳ để tìm kiếm khấu trừ cho khoản thuế đã được chấp nhận ở Anh và, thứ ba, rằng các lựa chọn nên được thực hiện ở Hoa Kỳ tại nhiều công ty khác trong tập đoàn mà người nộp thuế là thành viên. Ông kết luận rằng:</w:t>
      </w:r>
    </w:p>
    <w:p>
      <w:pPr>
        <w:spacing w:after="80"/>
      </w:pPr>
      <w:r>
        <w:rPr>
          <w:b w:val="0"/>
          <w:i w:val="0"/>
        </w:rPr>
        <w:t>(a) Ý tưởng rằng một người có thể được yêu cầu giảm thiểu thiệt hại bằng cách không thực hiện</w:t>
      </w:r>
    </w:p>
    <w:p>
      <w:pPr>
        <w:spacing w:after="80"/>
      </w:pPr>
      <w:r>
        <w:rPr>
          <w:b w:val="0"/>
          <w:i w:val="0"/>
        </w:rPr>
        <w:t>giao dịch đơn giản là không thể đứng vững. Sẽ không ai có thể nhận được bất kỳ khoản giảm trừ nào. (b) Ý tưởng rằng việc bỏ qua sự tồn tại của khoản giảm trừ thuế của Anh có nghĩa là (trong</w:t>
      </w:r>
    </w:p>
    <w:p>
      <w:pPr>
        <w:spacing w:after="80"/>
      </w:pPr>
      <w:r>
        <w:rPr>
          <w:b w:val="0"/>
          <w:i w:val="0"/>
        </w:rPr>
        <w:t>trường hợp này) tác động của nó được xem xét theo luật của quốc gia khác và do đó (trong trường hợp này) sẽ dẫn đến việc bỏ qua toàn bộ giao dịch cũng không thể đứng vững. (c) Mục đích của việc bỏ qua chỉ đơn giản là yêu cầu giao dịch làm phát sinh</w:t>
      </w:r>
    </w:p>
    <w:p>
      <w:pPr>
        <w:spacing w:after="80"/>
      </w:pPr>
      <w:r>
        <w:rPr>
          <w:b w:val="0"/>
          <w:i w:val="0"/>
        </w:rPr>
        <w:t>nghĩa vụ thuế được xem xét trên cơ sở giao dịch diễn ra ở quốc gia khác. Người nộp thuế sau đó phải thực hiện mọi bước hợp lý để giảm nghĩa vụ thuế nước ngoài đó … (d) Cũng rõ ràng rằng người ta xem xét người nộp thuế và xem xét tất cả các bước mà</w:t>
      </w:r>
    </w:p>
    <w:p>
      <w:pPr>
        <w:spacing w:after="80"/>
      </w:pPr>
      <w:r>
        <w:rPr>
          <w:b w:val="0"/>
          <w:i w:val="0"/>
        </w:rPr>
        <w:t>người nộp thuế đó có thể thực hiện một cách hợp lý. Theo quan điểm của tôi, điều đó sẽ mở rộng đến bất kỳ bên thứ ba nào mà người nộp thuế có thể buộc một cách hợp lý phải thực hiện các bước để giảm nghĩa vụ thuế mà nếu không thì họ sẽ phải chịu ở quốc gia nước ngoài … (e) Số thuế phải nộp ở quốc gia nước ngoài được tính dựa trên</w:t>
      </w:r>
    </w:p>
    <w:p>
      <w:pPr>
        <w:spacing w:after="80"/>
      </w:pPr>
      <w:r>
        <w:rPr>
          <w:b w:val="0"/>
          <w:i w:val="0"/>
        </w:rPr>
        <w:t>giao dịch như nó vốn có.</w:t>
      </w:r>
    </w:p>
    <w:p>
      <w:pPr>
        <w:spacing w:after="80"/>
      </w:pPr>
      <w:r>
        <w:rPr>
          <w:b w:val="0"/>
          <w:i w:val="0"/>
        </w:rPr>
        <w:t>Nếu không có thách thức chống tránh thuế hoặc thách thức về tính xác thực của giao dịch (và không có điều nào như vậy trong trường hợp này) thì theo quan điểm của tôi, HMRC không thể nói rằng các bên khác mà người nộp thuế không thể buộc được có thể đóng vai trò</w:t>
      </w:r>
    </w:p>
    <w:p>
      <w:pPr>
        <w:spacing w:after="80"/>
      </w:pPr>
      <w:r>
        <w:rPr>
          <w:b w:val="0"/>
          <w:i w:val="0"/>
        </w:rPr>
        <w:t xml:space="preserve">104. </w:t>
      </w:r>
      <w:r>
        <w:rPr>
          <w:b w:val="0"/>
          <w:i/>
        </w:rPr>
        <w:t>Bayfine UK Products v Revenue &amp; Customs Commissioners</w:t>
      </w:r>
      <w:r>
        <w:rPr>
          <w:b w:val="0"/>
          <w:i w:val="0"/>
        </w:rPr>
        <w:t xml:space="preserve"> (2008) Sp C 719. 105. Xem thêm </w:t>
      </w:r>
      <w:r>
        <w:rPr>
          <w:b w:val="0"/>
          <w:i/>
        </w:rPr>
        <w:t>Hill Samuel Investments Ltd v Revenue &amp; Customs Commissioners</w:t>
      </w:r>
      <w:r>
        <w:rPr>
          <w:b w:val="0"/>
          <w:i w:val="0"/>
        </w:rPr>
        <w:t xml:space="preserve"> (2009) Sp C 738. 106. </w:t>
      </w:r>
      <w:r>
        <w:rPr>
          <w:b w:val="0"/>
          <w:i/>
        </w:rPr>
        <w:t>Bayfine UK v Revenue and Customs Commissioners</w:t>
      </w:r>
      <w:r>
        <w:rPr>
          <w:b w:val="0"/>
          <w:i w:val="0"/>
        </w:rPr>
        <w:t xml:space="preserve"> [2010] STC 1379 [2010] BTC 467 [2010] EWHC 609 (Ch).</w:t>
      </w:r>
    </w:p>
    <w:p>
      <w:pPr>
        <w:spacing w:after="80"/>
      </w:pPr>
      <w:r>
        <w:rPr>
          <w:b w:val="0"/>
          <w:i w:val="0"/>
        </w:rPr>
        <w:t>582</w:t>
      </w:r>
    </w:p>
    <w:p>
      <w:pPr>
        <w:spacing w:after="80"/>
      </w:pPr>
      <w:r>
        <w:rPr>
          <w:b w:val="0"/>
          <w:i w:val="0"/>
        </w:rPr>
        <w:t>thông báo hoặc làm những việc khác để giảm hóa đơn thuế dựa trên nước ngoài. Tôi không thấy làm sao có thể hợp lý khi tính đến một điều gì đó nằm ngoài tầm kiểm soát của người nộp thuế liên quan. Nếu người nộp thuế có những cán bộ giống hệt cán bộ trong các công ty khác về giao dịch đó, có thể có khả năng lập luận rằng người nộp thuế ở vị trí có thể giảm thiểu tổn thất một cách hợp lý. Tuy nhiên, như tôi đã nói, điều đó theo quan điểm của tôi không mở rộng đến việc thay đổi giao dịch. Người ta nhìn vào khoản thuế phát sinh do giao dịch và xem những bước nào có thể được yêu cầu một cách hợp lý đối với người nộp thuế để giảm hóa đơn đó.</w:t>
      </w:r>
    </w:p>
    <w:p>
      <w:pPr>
        <w:spacing w:after="80"/>
      </w:pPr>
      <w:r>
        <w:rPr>
          <w:b w:val="0"/>
          <w:i w:val="0"/>
        </w:rPr>
        <w:t>Vào thời điểm vụ án được xét xử tại Tòa phúc thẩm,107 bước duy nhất mà HMRC cho rằng lẽ ra phải được thực hiện một cách hợp lý là để công ty mẹ tại Hoa Kỳ nộp thuế Vương quốc Anh và sau đó yêu cầu khấu trừ khoản thuế này vào thuế phải nộp tại Hoa Kỳ.108 Mặc dù không cần thiết cho việc phán quyết vụ án, Lady Justice Arden nhận xét rằng những bước phải được thực hiện bởi một bên thứ ba mà người nộp thuế không kiểm soát được thì không được yêu cầu. Điều này đúng ngay cả khi bên thứ ba là thành viên của cùng một tập đoàn và có cùng lợi ích kinh tế trong bước đó.109</w:t>
      </w:r>
    </w:p>
    <w:p>
      <w:pPr>
        <w:spacing w:after="80"/>
      </w:pPr>
      <w:r>
        <w:rPr>
          <w:b/>
          <w:i w:val="0"/>
        </w:rPr>
        <w:t>§19.20 QUẢN LÝ CÁC HIỆP ĐỊNH</w:t>
      </w:r>
    </w:p>
    <w:p>
      <w:pPr>
        <w:spacing w:after="80"/>
      </w:pPr>
      <w:r>
        <w:rPr>
          <w:b w:val="0"/>
          <w:i w:val="0"/>
        </w:rPr>
        <w:t>Các yêu cầu hưởng ưu đãi theo hiệp định được quản lý bởi Trung tâm Dành cho Người Không Cư trú (Centre for Non-Residents). Trung tâm này quản lý các vấn đề thuế của cá nhân không cư trú, quỹ tín thác và các trung gian trong lĩnh vực tài chính, và chịu trách nhiệm về các chương trình khấu trừ và ưu đãi tại nguồn. Một số vấn đề liên quan đến việc áp dụng các hiệp định được xử lý bởi HMRC Corporation Tax, International and Anti-Avoidance (CTIAA) Business International.110 Các biểu mẫu và tài liệu giải thích có sẵn trực tuyến, cũng như việc nộp điện tử một số tờ khai.111</w:t>
      </w:r>
    </w:p>
    <w:p>
      <w:pPr>
        <w:spacing w:after="80"/>
      </w:pPr>
      <w:r>
        <w:rPr>
          <w:b w:val="0"/>
          <w:i w:val="0"/>
        </w:rPr>
        <w:t>Thông tin phong phú được công bố trong bối cảnh áp dụng các hiệp định. Mức độ mà HMRC bị ràng buộc bởi hướng dẫn đã công bố là một lĩnh vực đang phát triển của luật hành chính. Hầu hết các ấn phẩm chính thức đều có các lưu ý, thường chỉ ra rằng thông tin chỉ là 'hướng dẫn mà thôi'. Các tòa án đã chỉ ra rằng một tuyên bố được cơ quan thuế công bố chính thức cho toàn thế giới có thể được coi một cách an toàn là có tính ràng buộc, tùy thuộc vào các điều khoản của nó trong bất kỳ trường hợp nào thuộc rõ ràng vào phạm vi đó.112</w:t>
      </w:r>
    </w:p>
    <w:p>
      <w:pPr>
        <w:spacing w:after="80"/>
      </w:pPr>
      <w:r>
        <w:rPr>
          <w:b w:val="0"/>
          <w:i w:val="0"/>
        </w:rPr>
        <w:t>Không có thủ tục phán quyết trước theo luật định chung. Nhóm Hiệp định Thuế Quốc tế Doanh nghiệp của HMRC có thể tư vấn về việc giải thích các hiệp định thuế song phương khi vấn đề đang bàn không được đề cập trong Sổ tay Quốc tế.113 Tính khả dụng của</w:t>
      </w:r>
    </w:p>
    <w:p>
      <w:pPr>
        <w:spacing w:after="80"/>
      </w:pPr>
      <w:r>
        <w:rPr>
          <w:b w:val="0"/>
          <w:i w:val="0"/>
        </w:rPr>
        <w:t>107.</w:t>
      </w:r>
      <w:r>
        <w:rPr>
          <w:b w:val="0"/>
          <w:i/>
        </w:rPr>
        <w:t>BayfineUKvRevenueandCustomsCommissioners</w:t>
      </w:r>
      <w:r>
        <w:rPr>
          <w:b w:val="0"/>
          <w:i w:val="0"/>
        </w:rPr>
        <w:t>[2011]STC717[2011]BTC242[2011]EWCA Civ 304.108.Tại đoạn 72.109.Tại đoạn 76.110.Việc tái tổ chức nội bộ thường xuyên trong những năm gần đây đã dẫn đến thay đổi tên và một số thay đổi về chức năng. Các sổ tay và ấn phẩm khác của HMRC trong những năm gần đây có thể, tùy thuộc vào thời điểm ban hành, đề cập đến Inland Revenue International Division, Revenue Policy (Interna-tional), Business International, CorporationTax,International&amp;Stampsvà,gầnđâynhất,Corporation Tax, International and Anti-Avoidance (CTIAA) Business International.111.Xem www.hmrc.gov.uk.112.</w:t>
      </w:r>
      <w:r>
        <w:rPr>
          <w:b w:val="0"/>
          <w:i/>
        </w:rPr>
        <w:t>R v Inland Revenue Commissioners, ex parte MFK Underwriting Agencies Ltd &amp; Ors and relatedapplications</w:t>
      </w:r>
      <w:r>
        <w:rPr>
          <w:b w:val="0"/>
          <w:i w:val="0"/>
        </w:rPr>
        <w:t xml:space="preserve"> [1989] BTC 561; [1989] STC 1873, QBD tại 892. CTIAA Business International.113.HMRC, International Manual, INTM152070.</w:t>
      </w:r>
    </w:p>
    <w:p>
      <w:pPr>
        <w:spacing w:after="80"/>
      </w:pPr>
      <w:r>
        <w:rPr>
          <w:b w:val="0"/>
          <w:i w:val="0"/>
        </w:rPr>
        <w:t>583</w:t>
      </w:r>
    </w:p>
    <w:p>
      <w:pPr>
        <w:spacing w:after="80"/>
      </w:pPr>
      <w:r>
        <w:rPr>
          <w:b w:val="0"/>
          <w:i w:val="0"/>
        </w:rPr>
        <w:t>hướng dẫn phụ thuộc vào tình trạng của người nộp thuế.114 Người nộp thuế chỉ được quyền dựa vào hướng dẫn đó theo các nguyên tắc của luật hành chính.115</w:t>
      </w:r>
    </w:p>
    <w:p>
      <w:pPr>
        <w:spacing w:after="80"/>
      </w:pPr>
      <w:r>
        <w:rPr>
          <w:b w:val="0"/>
          <w:i w:val="0"/>
        </w:rPr>
        <w:t>114.Xem nói chung,</w:t>
      </w:r>
      <w:r>
        <w:rPr>
          <w:b w:val="0"/>
          <w:i/>
        </w:rPr>
        <w:t xml:space="preserve"> Non-Statutory Business Clearance Guidance</w:t>
      </w:r>
      <w:r>
        <w:rPr>
          <w:b w:val="0"/>
          <w:i w:val="0"/>
        </w:rPr>
        <w:t xml:space="preserve"> NBCG1100.115.Xem, đặc biệt,</w:t>
      </w:r>
      <w:r>
        <w:rPr>
          <w:b w:val="0"/>
          <w:i/>
        </w:rPr>
        <w:t xml:space="preserve"> R v Inland Revenue Commissioners, ex parte Matrix Securities Ltd</w:t>
      </w:r>
      <w:r>
        <w:rPr>
          <w:b w:val="0"/>
          <w:i w:val="0"/>
        </w:rPr>
        <w:t xml:space="preserve"> [1994] BTC85; [1994] STC 272, HL.</w:t>
      </w:r>
    </w:p>
    <w:p>
      <w:pPr>
        <w:spacing w:after="80"/>
      </w:pPr>
      <w:r>
        <w:rPr>
          <w:b w:val="0"/>
          <w:i w:val="0"/>
        </w:rPr>
        <w:t>584</w:t>
      </w:r>
    </w:p>
    <w:p>
      <w:pPr>
        <w:spacing w:before="240" w:after="80"/>
      </w:pPr>
      <w:r>
        <w:rPr>
          <w:b/>
          <w:sz w:val="32"/>
        </w:rPr>
        <w:t>CHƯƠNG 20 Tranh chấp và Thủ tục Thỏa thuận Song phương</w:t>
      </w:r>
    </w:p>
    <w:p>
      <w:pPr>
        <w:spacing w:after="80"/>
      </w:pPr>
      <w:r>
        <w:rPr>
          <w:b/>
          <w:i w:val="0"/>
        </w:rPr>
        <w:t>§20.01 TRANH CHẤP NỘI DUNG</w:t>
      </w:r>
    </w:p>
    <w:p>
      <w:pPr>
        <w:spacing w:after="80"/>
      </w:pPr>
      <w:r>
        <w:rPr>
          <w:b w:val="0"/>
          <w:i w:val="0"/>
        </w:rPr>
        <w:t>Trong lịch sử, tại Vương quốc Anh, các tranh chấp chưa được giải quyết với cơ quan thuế ở cấp độ nội dung thường được xử lý thông qua kháng cáo. Tất cả các kháng cáo đều bắt đầu tại Tòa sơ thẩm (First-tier Tribunal).1</w:t>
      </w:r>
    </w:p>
    <w:p>
      <w:pPr>
        <w:spacing w:after="80"/>
      </w:pPr>
      <w:r>
        <w:rPr>
          <w:b w:val="0"/>
          <w:i w:val="0"/>
        </w:rPr>
        <w:t>Các quy tắc của tòa án2 dự liệu rằng các vụ án tại Phòng Thuế (Tax Chamber) có thể được xử lý theo một trong bốn lộ trình thủ tục: giấy tờ, cơ bản, tiêu chuẩn hoặc phức tạp (quy tắc 23). Khi thủ tục được bắt đầu, một vụ án sẽ rơi vào lộ trình giấy tờ, cơ bản hoặc tiêu chuẩn như được quy định trong chỉ dẫn thực hành liên quan. Tòa án có thể ra chỉ dẫn phân bổ một vụ án vào một lộ trình khác bất cứ lúc nào, dù theo yêu cầu của một bên hay theo sáng kiến của chính tòa. Tòa án có thể ra chỉ dẫn phân bổ một vụ án vào lộ trình phức tạp nếu tòa xét thấy vụ án:</w:t>
      </w:r>
    </w:p>
    <w:p>
      <w:pPr>
        <w:spacing w:after="80"/>
      </w:pPr>
      <w:r>
        <w:rPr>
          <w:b w:val="0"/>
          <w:i w:val="0"/>
        </w:rPr>
        <w:t>– sẽ cần bằng chứng hoặc thủ tục dài dòng hoặc phức tạp; – liên quan đến một nguyên tắc pháp lý quan trọng hoặc một vấn đề phức tạp bất thường; hoặc</w:t>
      </w:r>
    </w:p>
    <w:p>
      <w:pPr>
        <w:spacing w:after="80"/>
      </w:pPr>
      <w:r>
        <w:rPr>
          <w:b w:val="0"/>
          <w:i w:val="0"/>
        </w:rPr>
        <w:t xml:space="preserve">1.Tất cả các kháng nghị liên quan đến việc giảm trừ thuế hai lần, cho đến ngày 1 tháng 4 năm 2009, đều được xử lý trước các Ủy viên Đặc biệt (Special Commissioners) (TMA 1970, nguyên Điều 46C(3)). Quy định cụ thể về việc kháng nghị lên các Ủy viên Đặc biệt liên quan đến các vấn đề về nơi cư trú (domicile) hoặc nơi cư trú thông thường (ordinary residence) được quy định tại ICTA 1988, Điều 207, và đối với thuế thu nhập, tại TCGA 1992, Điều 9(2). Các kháng nghị tiếp theo từ các phán quyết của Ủy viên Đặc biệt có thể được đưa lên Tòa án Cấp cao (High Court) về một điểm luật (point of law) (TMA 1970, nguyên Điều 56A(1)). Những kháng nghị như vậy được xét xử tại Phòng Chancery của Tòa án Cấp cao. Một kháng nghị từ các Ủy viên Đặc biệt cũng có thể được đưa trực tiếp lên Tòa Phúc thẩm (Court of Appeal), nếu tất cả các bên đồng ý như vậy. Điều này chỉ xảy ra nếu các Ủy viên Đặc biệt chứng nhận rằng quyết định liên quan đến một điểm luật hoàn toàn hoặc chủ yếu liên quan đến việc giải thích pháp luật đã được tranh luận đầy đủ trước họ và được họ xem xét đầy đủ, và nếu đã được sự cho phép của Tòa Phúc thẩm. Theo các quyền hạn được cấp bởi </w:t>
      </w:r>
      <w:r>
        <w:rPr>
          <w:b w:val="0"/>
          <w:i/>
        </w:rPr>
        <w:t>Tribunals, Courts and Enforcement Act</w:t>
      </w:r>
      <w:r>
        <w:rPr>
          <w:b w:val="0"/>
          <w:i w:val="0"/>
        </w:rPr>
        <w:t xml:space="preserve"> 2007, Điều 30, Đại Pháp quan (Lord Chancellor) đã ra lệnh chuyển giao các chức năng của các Ủy viên Đặc biệt cho Tòa án Sơ thẩm Cấp một (First-tier Tribunal) mới hoặc Tòa án Cấp trên (Upper Tribunal) mới của Phòng Thuế (Tax Chamber) được thành lập theo Đạo luật đó, có hiệu lực từ ngày 1 tháng 4 năm 2009 (</w:t>
      </w:r>
      <w:r>
        <w:rPr>
          <w:b w:val="0"/>
          <w:i/>
        </w:rPr>
        <w:t>Transfer of Tribunal Functions and Revenue and Customs Appeals Order</w:t>
      </w:r>
      <w:r>
        <w:rPr>
          <w:b w:val="0"/>
          <w:i w:val="0"/>
        </w:rPr>
        <w:t xml:space="preserve"> (SI 2009/56)). Các Ủy viên Đặc biệt đã bị bãi bỏ kể từ ngày đó.2.</w:t>
      </w:r>
      <w:r>
        <w:rPr>
          <w:b w:val="0"/>
          <w:i/>
        </w:rPr>
        <w:t>Tribunal Procedure (First-tier Tribunal) (Tax Chamber) Rules</w:t>
      </w:r>
      <w:r>
        <w:rPr>
          <w:b w:val="0"/>
          <w:i w:val="0"/>
        </w:rPr>
        <w:t xml:space="preserve"> 2009 (SI 2009/273 được sửa đổi bởi SI 2010/43, SI 2010/273 và SI 2011/651).</w:t>
      </w:r>
    </w:p>
    <w:p>
      <w:pPr>
        <w:spacing w:after="80"/>
      </w:pPr>
      <w:r>
        <w:rPr>
          <w:b w:val="0"/>
          <w:i w:val="0"/>
        </w:rPr>
        <w:t>585</w:t>
      </w:r>
    </w:p>
    <w:p>
      <w:pPr>
        <w:spacing w:after="80"/>
      </w:pPr>
      <w:r>
        <w:rPr>
          <w:b w:val="0"/>
          <w:i w:val="0"/>
        </w:rPr>
        <w:t>– liên quan đến một khoản tiền tài chính lớn bất thường.</w:t>
      </w:r>
    </w:p>
    <w:p>
      <w:pPr>
        <w:spacing w:after="80"/>
      </w:pPr>
      <w:r>
        <w:rPr>
          <w:b w:val="0"/>
          <w:i w:val="0"/>
        </w:rPr>
        <w:t>Các vụ án, và đặc biệt là các vụ án phức tạp, có thể được chuyển giao cho và được quyết định bởi Tòa án Cấp trên (Upper Tribunal) (quy tắc 28).</w:t>
      </w:r>
    </w:p>
    <w:p>
      <w:pPr>
        <w:spacing w:after="80"/>
      </w:pPr>
      <w:r>
        <w:rPr>
          <w:b w:val="0"/>
          <w:i w:val="0"/>
        </w:rPr>
        <w:t>Không có quyền kháng nghị các quyết định của Tòa án Sơ thẩm Cấp một hoặc Tòa án Cấp trên. Trong mỗi trường hợp, phải được sự cho phép để kháng nghị.3 Khi có kháng nghị từ Tòa án Cấp trên, nó sẽ được đưa lên Tòa Phúc thẩm ở Anh và xứ Wales. Cả Tòa án Sơ thẩm Cấp một và Tòa án Cấp trên đều có quyền xem xét lại các quyết định tương ứng của mình.4</w:t>
      </w:r>
    </w:p>
    <w:p>
      <w:pPr>
        <w:spacing w:after="80"/>
      </w:pPr>
      <w:r>
        <w:rPr>
          <w:b w:val="0"/>
          <w:i w:val="0"/>
        </w:rPr>
        <w:t xml:space="preserve">Con đường được pháp luật quy định cho một người nộp thuế cho rằng mình đã bị đánh thuế không đúng là kháng nghị theo luật định được đưa ra trong thời hạn quy định.5 Trong </w:t>
      </w:r>
      <w:r>
        <w:rPr>
          <w:b w:val="0"/>
          <w:i/>
        </w:rPr>
        <w:t>Boake Allen Ltd &amp; Ors (including NEC Semi-Conductors Ltd) v Revenue and Customs Commissioners</w:t>
      </w:r>
      <w:r>
        <w:rPr>
          <w:b w:val="0"/>
          <w:i w:val="0"/>
        </w:rPr>
        <w:t xml:space="preserve">,6 và </w:t>
      </w:r>
      <w:r>
        <w:rPr>
          <w:b w:val="0"/>
          <w:i/>
        </w:rPr>
        <w:t>Test Claimants in the Thin Cap Group Litigation v Revenue and Customs Commissioners</w:t>
      </w:r>
      <w:r>
        <w:rPr>
          <w:b w:val="0"/>
          <w:i w:val="0"/>
        </w:rPr>
        <w:t xml:space="preserve">,7 các vụ kiện đã được khởi xướng tại Tòa án Cấp cao để yêu cầu tuyên bố rằng các quy định trong nước có liên quan trái với các điều khoản không phân biệt đối xử của các hiệp định thuế hiện hành và do đó là bất hợp pháp.8 Các nguyên đơn yêu cầu hoàn trả hoặc bồi thường thiệt hại do vi phạm hoặc không tuân thủ hiệp định hoặc cho các khoản thanh toán được thực hiện do nhầm lẫn về luật hoặc do các yêu cầu của Cơ quan Thuế trái với hiệp định. Trong </w:t>
      </w:r>
      <w:r>
        <w:rPr>
          <w:b w:val="0"/>
          <w:i/>
        </w:rPr>
        <w:t>Boake Allen</w:t>
      </w:r>
      <w:r>
        <w:rPr>
          <w:b w:val="0"/>
          <w:i w:val="0"/>
        </w:rPr>
        <w:t xml:space="preserve">, Thẩm phán Sedley LJ coi việc bỏ qua phương thức thách thức chính được pháp luật quy định và thay vào đó, khởi kiện một vụ án lách qua các kiểm soát đối với phương thức đó, là lạm dụng thủ tục tố tụng. Thẩm quyền cũng là một vấn đề trong </w:t>
      </w:r>
      <w:r>
        <w:rPr>
          <w:b w:val="0"/>
          <w:i/>
        </w:rPr>
        <w:t>Thin Cap Group Litigation</w:t>
      </w:r>
      <w:r>
        <w:rPr>
          <w:b w:val="0"/>
          <w:i w:val="0"/>
        </w:rPr>
        <w:t>, nhưng vào thời điểm vụ án được xét xử tại Tòa án Cấp cao, không bên nào đưa ra bất kỳ lập luận nào về chủ đề này.9</w:t>
      </w:r>
    </w:p>
    <w:p>
      <w:pPr>
        <w:spacing w:after="80"/>
      </w:pPr>
      <w:r>
        <w:rPr>
          <w:b w:val="0"/>
          <w:i w:val="0"/>
        </w:rPr>
        <w:t>Cả hai vụ án đều là một phần của thách thức rộng lớn hơn đối với pháp luật trong nước theo luật Liên minh Châu Âu (EU), mà đối với nó các lệnh tố tụng nhóm đã được ban hành. Không có sự phân biệt nào được đưa ra giữa các vụ án trong đó một hiệp định thuế ghi đè pháp luật trong nước và các kháng nghị pháp luật trong nước về mặt này.</w:t>
      </w:r>
    </w:p>
    <w:p>
      <w:pPr>
        <w:spacing w:after="80"/>
      </w:pPr>
      <w:r>
        <w:rPr>
          <w:b w:val="0"/>
          <w:i w:val="0"/>
        </w:rPr>
        <w:t>Một cuộc xem xét lại theo luật định tùy chọn bởi HMRC đối với các quyết định có thể kháng nghị được cung cấp như một bước tiền đề cho bất kỳ kháng nghị nào.10 Quá trình kháng nghị hoạt động theo hai giai đoạn riêng biệt. Giai đoạn thứ nhất là để người nộp thuế thông báo cho HMRC về một kháng nghị. Người nộp thuế có thể yêu cầu HMRC xem xét lại nội bộ và HMRC cũng có thể đề nghị một cuộc xem xét lại như vậy cho một người nộp thuế đã kháng nghị lên tòa án.11 Nếu cuộc xem xét lại không giải quyết được tranh chấp, thì giai đoạn thứ hai là để người nộp thuế thông báo kháng nghị lên tòa án.12</w:t>
      </w:r>
    </w:p>
    <w:p>
      <w:pPr>
        <w:spacing w:after="80"/>
      </w:pPr>
      <w:r>
        <w:rPr>
          <w:b w:val="0"/>
          <w:i w:val="0"/>
        </w:rPr>
        <w:t>Quy tắc 3 của Quy tắc Tòa án Sơ thẩm Cấp một yêu cầu tòa án phải tìm cách, khi thích hợp, đưa ra sự chú ý của các bên về sự sẵn có của bất kỳ thủ tục thay thế thích hợp nào để giải quyết tranh chấp, và, nếu các bên mong muốn, và với điều kiện là nó tương thích với mục tiêu bao trùm, tạo điều kiện cho việc sử dụng</w:t>
      </w:r>
    </w:p>
    <w:p>
      <w:pPr>
        <w:spacing w:after="80"/>
      </w:pPr>
      <w:r>
        <w:rPr>
          <w:b w:val="0"/>
          <w:i w:val="0"/>
        </w:rPr>
        <w:t>3.</w:t>
      </w:r>
      <w:r>
        <w:rPr>
          <w:b w:val="0"/>
          <w:i/>
        </w:rPr>
        <w:t>Tribunals, Courts and Enforcement Act</w:t>
      </w:r>
      <w:r>
        <w:rPr>
          <w:b w:val="0"/>
          <w:i w:val="0"/>
        </w:rPr>
        <w:t xml:space="preserve"> 2007 (TCEA 2007), các Điều 11 và 13.4.TCEA 2007, các Điều 9 và 10.5.Tại các đoạn 90-100.6.</w:t>
      </w:r>
      <w:r>
        <w:rPr>
          <w:b w:val="0"/>
          <w:i/>
        </w:rPr>
        <w:t>Boake Allen Ltd &amp; Ors (including NEC Semi-Conductors Ltd) v Revenue and Customs Commissioners</w:t>
      </w:r>
      <w:r>
        <w:rPr>
          <w:b w:val="0"/>
          <w:i w:val="0"/>
        </w:rPr>
        <w:t xml:space="preserve"> [2006] STC 606, [2006] BTC 266; [2006] EWCA Civ 25.7.</w:t>
      </w:r>
      <w:r>
        <w:rPr>
          <w:b w:val="0"/>
          <w:i/>
        </w:rPr>
        <w:t>Test Claimants in the Thin Cap Group Litigation v Revenue and Customs Commissioners</w:t>
      </w:r>
      <w:r>
        <w:rPr>
          <w:b w:val="0"/>
          <w:i w:val="0"/>
        </w:rPr>
        <w:t xml:space="preserve"> [2010] STC 301, [2009] BTC 754; [2009] EWHC 2908 (Ch).8.Để phân tích các vấn đề thực chất, xem Chương 16, §16.07.9.Tại đoạn 14.10.TMA 1970, Điều 49B và các điều tiếp theo.11.TMA 1970, Điều 49A.12.TMA 1970, Điều 49B.</w:t>
      </w:r>
    </w:p>
    <w:p>
      <w:pPr>
        <w:spacing w:after="80"/>
      </w:pPr>
      <w:r>
        <w:rPr>
          <w:b w:val="0"/>
          <w:i w:val="0"/>
        </w:rPr>
        <w:t>586</w:t>
      </w:r>
    </w:p>
    <w:p>
      <w:pPr>
        <w:spacing w:after="80"/>
      </w:pPr>
      <w:r>
        <w:rPr>
          <w:b w:val="0"/>
          <w:i w:val="0"/>
        </w:rPr>
        <w:t>thủ tục. HMRC đã giới thiệu hòa giải như một cơ chế giải quyết tranh chấp thay thế. Điều này nhằm giúp giải quyết tranh chấp hoặc đạt được thỏa thuận về những vấn đề nào cần được đưa ra để có phán quyết pháp lý.13 Giải quyết tranh chấp thay thế (Alternative dispute resolution) do đó là một phần của quá trình kháng nghị mặc dù nó có thể được viện dẫn ở giai đoạn trước kháng nghị. HMRC xác định định giá chuyển nhượng (transfer pricing) là một lĩnh vực mà Giải quyết tranh chấp thay thế có thể hữu ích trong việc gỡ rối các sự kiện xung quanh định giá chuyển nhượng hoặc có thể hữu ích trong việc giúp các bên đi đến thỏa thuận về thông tin nào là có liên quan, tài liệu nào có sẵn và cách tốt nhất để cung cấp nó. Nó cũng có thể hỗ trợ các bên đồng ý về một phương pháp định giá chuyển nhượng.14 Nó sẽ không hỗ trợ khi có những khác biệt cơ bản trong việc giải thích pháp luật.</w:t>
      </w:r>
    </w:p>
    <w:p>
      <w:pPr>
        <w:spacing w:after="80"/>
      </w:pPr>
      <w:r>
        <w:rPr>
          <w:b/>
          <w:i w:val="0"/>
        </w:rPr>
        <w:t>§20.02 XEM XÉT TƯ PHÁP</w:t>
      </w:r>
    </w:p>
    <w:p>
      <w:pPr>
        <w:spacing w:after="80"/>
      </w:pPr>
      <w:r>
        <w:rPr>
          <w:b w:val="0"/>
          <w:i w:val="0"/>
        </w:rPr>
        <w:t xml:space="preserve">Các biện pháp khắc phục bổ sung có thể có sẵn như một vấn đề của luật hành chính trong một số trường hợp nhất định. Khi không có quyền kháng nghị theo luật định, xem xét tư pháp (judicial review) có thể được thực hiện đối với cách thức mà HMRC đưa ra quyết định bị khiếu nại. Hệ thống mới được thiết lập theo </w:t>
      </w:r>
      <w:r>
        <w:rPr>
          <w:b w:val="0"/>
          <w:i/>
        </w:rPr>
        <w:t>Tribunals, Courts and Enforcement Act</w:t>
      </w:r>
      <w:r>
        <w:rPr>
          <w:b w:val="0"/>
          <w:i w:val="0"/>
        </w:rPr>
        <w:t xml:space="preserve"> 2007 trao cho Tòa án Cấp trên của Phòng Thuế thẩm quyền xét xử một số đơn xin xem xét tư pháp liên quan đến thuế mà trước đây được xét xử tại Tòa án Cấp cao.15</w:t>
      </w:r>
    </w:p>
    <w:p>
      <w:pPr>
        <w:spacing w:after="80"/>
      </w:pPr>
      <w:r>
        <w:rPr>
          <w:b w:val="0"/>
          <w:i w:val="0"/>
        </w:rPr>
        <w:t>Xem xét tư pháp thường có sẵn khi quyết định bị khiếu nại là loại mà không cơ quan có thẩm quyền nào tự định hướng đúng đắn về luật có liên quan và hành động một cách hợp lý có thể đã đưa ra, một sự không tuân thủ các quy tắc công lý tự nhiên, một sự vượt quá thẩm quyền hoặc lỗi luật trên bề mặt hồ sơ. Các vụ án xem xét tư pháp gần đây trong lĩnh vực thuế đã tập trung đặc biệt vào mức độ mà HMRC có thể đi chệch khỏi hướng dẫn mà họ đã đưa ra về hậu quả thuế của các giao dịch cụ thể.</w:t>
      </w:r>
    </w:p>
    <w:p>
      <w:pPr>
        <w:spacing w:after="80"/>
      </w:pPr>
      <w:r>
        <w:rPr>
          <w:b w:val="0"/>
          <w:i w:val="0"/>
        </w:rPr>
        <w:t xml:space="preserve">Rất ít đơn xin xem xét tư pháp được báo cáo liên quan đến các vấn đề hiệp định. Những đơn đã có, minh họa những khó khăn đã phát sinh trong việc áp dụng các hiệp định. Trong </w:t>
      </w:r>
      <w:r>
        <w:rPr>
          <w:b w:val="0"/>
          <w:i/>
        </w:rPr>
        <w:t>R v IRC, ex parte Commerzbank AG</w:t>
      </w:r>
      <w:r>
        <w:rPr>
          <w:b w:val="0"/>
          <w:i w:val="0"/>
        </w:rPr>
        <w:t>,16 người nộp thuế, Commerzbank AG, được thành lập và cư trú tại Đức. Sau cuộc tranh tụng kéo dài,17 người nộp thuế đã thành công trong việc thu hồi thuế đã nộp liên quan đến tiền lãi theo Điều 15 của Hiệp định Anh-Mỹ. Người nộp thuế sau đó tìm cách nhận khoản bổ sung hoàn trả (tiền lãi) đối với số thuế đã nộp thừa. Điều này đã bị Cơ quan Thuế Nội địa (Inland Revenue) từ chối với lý do rằng theo pháp luật trong nước, khoản bổ sung hoàn trả chỉ được trả cho cư dân Vương quốc Anh. Người nộp thuế đã nộp đơn lên Tòa án Cấp cao để xem xét tư pháp. Một trong những lập luận của họ là</w:t>
      </w:r>
    </w:p>
    <w:p>
      <w:pPr>
        <w:spacing w:after="80"/>
      </w:pPr>
      <w:r>
        <w:rPr>
          <w:b w:val="0"/>
          <w:i w:val="0"/>
        </w:rPr>
        <w:t>13.</w:t>
      </w:r>
      <w:r>
        <w:rPr>
          <w:b w:val="0"/>
          <w:i/>
        </w:rPr>
        <w:t>Cách giải quyết tranh chấp với HMRC – Giải quyết tranh chấp thay thế</w:t>
      </w:r>
      <w:r>
        <w:rPr>
          <w:b w:val="0"/>
          <w:i w:val="0"/>
        </w:rPr>
        <w:t>www.hmrc.gov.uk/complaints-appeals/how-to-appeal/adr.htm truy cập ngày 10 tháng 5 năm 2013.14.</w:t>
      </w:r>
      <w:r>
        <w:rPr>
          <w:b w:val="0"/>
          <w:i/>
        </w:rPr>
        <w:t>HMRC: Giải quyết tranh chấp thuế – Hướng dẫn thực hành cho nhân viên HMRC về việc sử dụng Giải quyết tranh chấp thay thế trong các trường hợp lớn hoặc phức tạp</w:t>
      </w:r>
      <w:r>
        <w:rPr>
          <w:b w:val="0"/>
          <w:i w:val="0"/>
        </w:rPr>
        <w:t>https://assets.publishing.service.gov.uk/government/uploads/system/uploads/attachment_data/file/236489/3852_ADR_Evaluation_Report_accessible.pdf truy cập ngày 25 tháng 7 năm 2021.15.TCEA 2007, s. 15.16.</w:t>
      </w:r>
      <w:r>
        <w:rPr>
          <w:b w:val="0"/>
          <w:i/>
        </w:rPr>
        <w:t>R v Inland Revenue Commissioners, ex parte Commerzbank AG</w:t>
      </w:r>
      <w:r>
        <w:rPr>
          <w:b w:val="0"/>
          <w:i w:val="0"/>
        </w:rPr>
        <w:t xml:space="preserve"> [1991] BTC 161; [1991] STC 271, QBD.17.</w:t>
      </w:r>
      <w:r>
        <w:rPr>
          <w:b w:val="0"/>
          <w:i/>
        </w:rPr>
        <w:t>R v Inland Revenue Commissioners, ex parte Commerzbank AG</w:t>
      </w:r>
      <w:r>
        <w:rPr>
          <w:b w:val="0"/>
          <w:i w:val="0"/>
        </w:rPr>
        <w:t xml:space="preserve"> (Case C-330/91) [1993] BTC 299[1990] STC 285.</w:t>
      </w:r>
    </w:p>
    <w:p>
      <w:pPr>
        <w:spacing w:after="80"/>
      </w:pPr>
      <w:r>
        <w:rPr>
          <w:b w:val="0"/>
          <w:i w:val="0"/>
        </w:rPr>
        <w:t>587</w:t>
      </w:r>
    </w:p>
    <w:p>
      <w:pPr>
        <w:spacing w:after="80"/>
      </w:pPr>
      <w:r>
        <w:rPr>
          <w:b w:val="0"/>
          <w:i w:val="0"/>
        </w:rPr>
        <w:t>yêu cầu về nơi cư trú không nhất quán với các quy định về không phân biệt đối xử của điều 20 của Hiệp định Đức-Anh vì nó dẫn đến việc đối xử liên quan đến thuế mang tính gánh nặng hơn so với áp đặt lên công dân Anh. Khiếu nại theo hiệp định đã không được tòa án chấp nhận, mặc dù các lập luận tương tự về không phân biệt đối xử theo Hiệp ước EC cuối cùng đã được Tòa án Công lý Châu Âu (ECJ) chấp nhận.18</w:t>
      </w:r>
    </w:p>
    <w:p>
      <w:pPr>
        <w:spacing w:after="80"/>
      </w:pPr>
      <w:r>
        <w:rPr>
          <w:b w:val="0"/>
          <w:i w:val="0"/>
        </w:rPr>
        <w:t xml:space="preserve">Trong </w:t>
      </w:r>
      <w:r>
        <w:rPr>
          <w:b w:val="0"/>
          <w:i/>
        </w:rPr>
        <w:t>R v IRC, ex parte Opman International UK</w:t>
      </w:r>
      <w:r>
        <w:rPr>
          <w:b w:val="0"/>
          <w:i w:val="0"/>
        </w:rPr>
        <w:t>,19 một công ty đã nộp đơn yêu cầu xác định rằng họ không phải chịu thuế đối với một số tiền bản quyền nhất định được trả cho họ tại Vương quốc Anh theo Hiệp định Hà Lan. Những khó khăn nội bộ tại Inland Revenue trong một thời gian dài khiến kế toán của người nộp đơn tin rằng đơn đăng ký sẽ bị từ chối. Mà không thông báo cho Inland Revenue, người nộp đơn đã xin phép để yêu cầu xem xét tư pháp, và đã được chấp thuận. Trong vòng một tháng, Inland Revenue đã quyết định vấn đề theo hướng có lợi cho người nộp đơn. Người nộp đơn sau đó tìm cách ngừng thủ tục xem xét tư pháp và yêu cầu thanh toán chi phí của họ. Không có lệnh về chi phí nào được đưa ra với lý do rằng người nộp đơn đã không thông báo cho Inland Revenue về ý định tìm kiếm xem xét tư pháp. Nếu một dấu hiệu như vậy đã được đưa ra, tòa án tin rằng vấn đề sẽ được xử lý ở cấp cao hơn và có khả năng được giải quyết nhanh chóng hơn.</w:t>
      </w:r>
    </w:p>
    <w:p>
      <w:pPr>
        <w:spacing w:after="80"/>
      </w:pPr>
      <w:r>
        <w:rPr>
          <w:b w:val="0"/>
          <w:i w:val="0"/>
        </w:rPr>
        <w:t>Woolf J (như ông ấy khi đó) cũng lưu ý rằng mặc dù một thủ tục kháng cáo đã có sẵn về nội dung của tranh chấp, điều này không loại trừ khả năng xem xét tư pháp. Ông lưu ý rằng mặc dù xem xét tư pháp là một thủ tục cuối cùng, nó có thể phù hợp khi thủ tục thay thế không đạt được giải pháp công bằng cho khiếu nại của người nộp đơn.20</w:t>
      </w:r>
    </w:p>
    <w:p>
      <w:pPr>
        <w:spacing w:after="80"/>
      </w:pPr>
      <w:r>
        <w:rPr>
          <w:b w:val="0"/>
          <w:i w:val="0"/>
        </w:rPr>
        <w:t xml:space="preserve">Trong </w:t>
      </w:r>
      <w:r>
        <w:rPr>
          <w:b w:val="0"/>
          <w:i/>
        </w:rPr>
        <w:t>R v IRC, ex parte Howmet Corp.</w:t>
      </w:r>
      <w:r>
        <w:rPr>
          <w:b w:val="0"/>
          <w:i w:val="0"/>
        </w:rPr>
        <w:t>,21 người nộp đơn đã tìm cách xin phép để yêu cầu xem xét tư pháp đối với quyết định của Inland Revenue về việc thu hồi phán quyết rằng công ty con tại Vương quốc Anh của một công ty mẹ Hoa Kỳ nên được coi là cư dân Vương quốc Anh cho mục đích thuế.</w:t>
      </w:r>
    </w:p>
    <w:p>
      <w:pPr>
        <w:spacing w:after="80"/>
      </w:pPr>
      <w:r>
        <w:rPr>
          <w:b w:val="0"/>
          <w:i w:val="0"/>
        </w:rPr>
        <w:t>Phán quyết phát sinh từ một đề xuất tái cấu trúc công ty con tại Vương quốc Anh, liên quan đến việc thanh toán cổ tức cho công ty mẹ Hoa Kỳ, sẽ đủ điều kiện để được hưởng một nửa tín dụng theo điều 10 của Hiệp định Anh-Mỹ. Người nộp đơn tuyên bố rằng họ đã nói rõ rằng phán quyết là cần thiết liên quan đến việc tái cấu trúc công ty và rằng họ không tìm kiếm sự chấp thuận cho hiệu ứng tổng thể của việc tái cấu trúc, mà chỉ về nơi cư trú của công ty. Người nộp đơn lập luận rằng các chi tiết về vốn hóa và việc tuyên bố và thanh toán cổ tức không liên quan đến việc kiểm tra nơi cư trú. Vương quyền lập luận rằng cần phải có sự trung thực tối đa và rằng tất cả các sự kiện đã không được tiết lộ, bao gồm cả ý định khiếu nại theo điều 10 của hiệp định. Tòa án cho rằng có một trường hợp có thể tranh luận và do đó, sự cho phép tìm kiếm xem xét tư pháp đã được chấp thuận.</w:t>
      </w:r>
    </w:p>
    <w:p>
      <w:pPr>
        <w:spacing w:after="80"/>
      </w:pPr>
      <w:r>
        <w:rPr>
          <w:b w:val="0"/>
          <w:i w:val="0"/>
        </w:rPr>
        <w:t>18.</w:t>
      </w:r>
      <w:r>
        <w:rPr>
          <w:b w:val="0"/>
          <w:i/>
        </w:rPr>
        <w:t>R v Inland Revenue Commissioners, ex parte Commerzbank AG</w:t>
      </w:r>
      <w:r>
        <w:rPr>
          <w:b w:val="0"/>
          <w:i w:val="0"/>
        </w:rPr>
        <w:t xml:space="preserve"> (Case C-330/91) [1993] BTC 299;[1993] STC 605.19.</w:t>
      </w:r>
      <w:r>
        <w:rPr>
          <w:b w:val="0"/>
          <w:i/>
        </w:rPr>
        <w:t>R v Inland Revenue Commissioners, ex parte Opman International UK</w:t>
      </w:r>
      <w:r>
        <w:rPr>
          <w:b w:val="0"/>
          <w:i w:val="0"/>
        </w:rPr>
        <w:t xml:space="preserve">[1985]BTC606;[1986]STC 18, QBD.20.Tuy nhiên, xem </w:t>
      </w:r>
      <w:r>
        <w:rPr>
          <w:b w:val="0"/>
          <w:i/>
        </w:rPr>
        <w:t>O'Neil và những người khác v CIR</w:t>
      </w:r>
      <w:r>
        <w:rPr>
          <w:b w:val="0"/>
          <w:i w:val="0"/>
        </w:rPr>
        <w:t xml:space="preserve"> [2001] UKPC 17; [2001] STC 742 PC, nơi người ta cho rằng xem xét tư pháp sẽ chỉ được chấp thuận trong các trường hợp đặc biệt khi kháng cáo có thể được thực hiện theo thủ tục luật định.21.</w:t>
      </w:r>
      <w:r>
        <w:rPr>
          <w:b w:val="0"/>
          <w:i/>
        </w:rPr>
        <w:t>R v Inland Revenue Commissioners, ex parte Howmet Corp</w:t>
      </w:r>
      <w:r>
        <w:rPr>
          <w:b w:val="0"/>
          <w:i w:val="0"/>
        </w:rPr>
        <w:t xml:space="preserve"> [1994] STC 413, QBD.</w:t>
      </w:r>
    </w:p>
    <w:p>
      <w:pPr>
        <w:spacing w:after="80"/>
      </w:pPr>
      <w:r>
        <w:rPr>
          <w:b w:val="0"/>
          <w:i w:val="0"/>
        </w:rPr>
        <w:t>588</w:t>
      </w:r>
    </w:p>
    <w:p>
      <w:pPr>
        <w:spacing w:after="80"/>
      </w:pPr>
      <w:r>
        <w:rPr>
          <w:b w:val="0"/>
          <w:i w:val="0"/>
        </w:rPr>
        <w:t xml:space="preserve">Trong </w:t>
      </w:r>
      <w:r>
        <w:rPr>
          <w:b w:val="0"/>
          <w:i/>
        </w:rPr>
        <w:t>R v IRC, ex parte Camacq Corporation và Cambrian &amp; General Securities plc</w:t>
      </w:r>
      <w:r>
        <w:rPr>
          <w:b w:val="0"/>
          <w:i w:val="0"/>
        </w:rPr>
        <w:t>,22</w:t>
      </w:r>
    </w:p>
    <w:p>
      <w:pPr>
        <w:spacing w:after="80"/>
      </w:pPr>
      <w:r>
        <w:rPr>
          <w:b w:val="0"/>
          <w:i w:val="0"/>
        </w:rPr>
        <w:t>một đơn yêu cầu xem xét tư pháp đã được tìm kiếm liên quan đến quyết định của Inland Revenue về việc thu hồi chỉ thị được đưa ra cho một công ty Vương quốc Anh để trả cổ tức gộp. Một đại lý ký quỹ của Hoa Kỳ nắm giữ cổ phần vì lợi ích của Kho bạc Hoa Kỳ như một phần của hình phạt dân sự áp đặt đối với ông Ivan Boesky. Trong quá trình cố gắng bán cổ phần của công ty, người ta đề xuất trả cổ tức trên cổ phần và sự đồng ý đã được tìm kiếm để tín dụng thuế được hoàn trả trên cơ sở rằng chủ sở hữu hưởng lợi là Chính phủ Hoa Kỳ và được hưởng quyền hoàn trả tín dụng theo quyền miễn trừ chủ quyền. Nếu không có việc hoàn trả tín dụng thuế, giao dịch sẽ không được tiến hành vì giá bán sẽ không được người bán chấp nhận.</w:t>
      </w:r>
    </w:p>
    <w:p>
      <w:pPr>
        <w:spacing w:after="80"/>
      </w:pPr>
      <w:r>
        <w:rPr>
          <w:b w:val="0"/>
          <w:i w:val="0"/>
        </w:rPr>
        <w:t xml:space="preserve">Ngay khi sự cho phép hoàn trả tín dụng thuế được đưa ra, Thanh tra Cổ tức Nước ngoài (nay là Trung tâm Người không cư trú) đã báo cáo sự cho phép cho Bộ phận Quốc tế. Bộ phận này có nghi ngờ về việc liệu, trong hoàn cảnh cụ thể, có phù hợp để trả tín dụng thuế hay không. Do đó, sự cho phép trả gộp đã bị thu hồi. Quan điểm của Inland Revenue là cổ tức dường như đã được sắp xếp một cách nhân tạo để tận dụng các quy tắc thuế của Vương quốc Anh trong những hoàn cảnh mà dường như theo ICTA 1988, s. 235, và điều 10 của Hiệp định Hoa Kỳ, tín dụng thuế sẽ không có sẵn cho các cổ đông khác. Mặc dù vụ án không đề cập cụ thể đến việc áp dụng hiệp định, nó tương tự như một khiếu nại yêu cầu giảm thuế tại nguồn. Trong quá trình phán quyết của mình, Lloyd LJ đã chỉ ra, </w:t>
      </w:r>
      <w:r>
        <w:rPr>
          <w:b w:val="0"/>
          <w:i/>
        </w:rPr>
        <w:t>obiter</w:t>
      </w:r>
      <w:r>
        <w:rPr>
          <w:b w:val="0"/>
          <w:i w:val="0"/>
        </w:rPr>
        <w:t xml:space="preserve"> rằng mặc dù </w:t>
      </w:r>
      <w:r>
        <w:rPr>
          <w:b w:val="0"/>
          <w:i/>
        </w:rPr>
        <w:t>Double Taxation Relief Regulations</w:t>
      </w:r>
      <w:r>
        <w:rPr>
          <w:b w:val="0"/>
          <w:i w:val="0"/>
        </w:rPr>
        <w:t xml:space="preserve"> 197323 cho phép thực hiện các thỏa thuận liên quan đến cổ tức, không có nghĩa vụ nào đối với Inland Revenue phải tham gia vào bất kỳ thỏa thuận nào như vậy. Nếu Thanh tra Thuế chưa bao giờ đưa ra sự cho phép ban đầu của mình, ông hoặc bà ấy không thể bị buộc phải làm như vậy thông qua xem xét tư pháp. Ông kết luận rằng hành động của Thanh tra là không bất hợp lý trong hoàn cảnh và chỉ thị ban đầu để trả gộp đã không tạo ra kỳ vọng chính đáng rằng tín dụng sẽ được thanh toán. Vụ án chỉ ra thực tế rằng mặc dù tòa án có thẩm quyền xem xét tính chính xác về mặt pháp lý của lý do của Revenue để thu hồi quyết định trả cổ tức gộp, trong những hoàn cảnh không phù hợp, những quyết định như vậy là chính đáng.</w:t>
      </w:r>
    </w:p>
    <w:p>
      <w:pPr>
        <w:spacing w:after="80"/>
      </w:pPr>
      <w:r>
        <w:rPr>
          <w:b w:val="0"/>
          <w:i w:val="0"/>
        </w:rPr>
        <w:t xml:space="preserve">Việc quản lý Cơ chế Tiết lộ Liechtenstein của HMRC đã bị thách thức không thành công trong </w:t>
      </w:r>
      <w:r>
        <w:rPr>
          <w:b w:val="0"/>
          <w:i/>
        </w:rPr>
        <w:t>R (oao City Shoes Wholesale Ltd) v HMRC</w:t>
      </w:r>
      <w:r>
        <w:rPr>
          <w:b w:val="0"/>
          <w:i w:val="0"/>
        </w:rPr>
        <w:t>,24 trên cơ sở không công bằng rõ ràng. Cơ chế này được thành lập theo Biên bản Ghi nhớ giữa Chính phủ Liechtenstein và HMRC25 cho phép người nộp thuế Vương quốc Anh giải quyết các nghĩa vụ thuế chưa thanh toán theo các điều khoản thuận lợi trong một số trường hợp nhất định. Những người nộp thuế liên quan đã vận hành các kế hoạch tín thác phúc lợi nhân viên mà</w:t>
      </w:r>
    </w:p>
    <w:p>
      <w:pPr>
        <w:spacing w:after="80"/>
      </w:pPr>
      <w:r>
        <w:rPr>
          <w:b w:val="0"/>
          <w:i w:val="0"/>
        </w:rPr>
        <w:t>22.</w:t>
      </w:r>
      <w:r>
        <w:rPr>
          <w:b w:val="0"/>
          <w:i/>
        </w:rPr>
        <w:t>R v Inland Revenue Commissioners, ex parte Camacq Corporation và Cambrian &amp; General Securities plc</w:t>
      </w:r>
      <w:r>
        <w:rPr>
          <w:b w:val="0"/>
          <w:i w:val="0"/>
        </w:rPr>
        <w:t xml:space="preserve"> [1989] BTC 480; [1989] STC 785, QBD; [1989] STC 796, CA.23.SI 1973/317.24.</w:t>
      </w:r>
      <w:r>
        <w:rPr>
          <w:b w:val="0"/>
          <w:i/>
        </w:rPr>
        <w:t>R (theo đơn của City Shoes Wholesale Ltd) v Revenue &amp; Customs Commissioners</w:t>
      </w:r>
      <w:r>
        <w:rPr>
          <w:b w:val="0"/>
          <w:i w:val="0"/>
        </w:rPr>
        <w:t xml:space="preserve"> [2016]EWHC 107 (Admin), [2016] BTC 5, [2016] STC 2392 QB.25.Biên bản Ghi nhớ giữa Chính phủ Công quốc Liechtenstein (Chính phủ Liechtenstein) và Her Majesty's Revenue and Customs (HMRC) của Vương quốc Liên hiệp Anh và Bắc Ireland Liên quan đến Hợp tác trong các vấn đề Thuế, được ký kết ngày 11 tháng 8 năm 2009.</w:t>
      </w:r>
    </w:p>
    <w:p>
      <w:pPr>
        <w:spacing w:after="80"/>
      </w:pPr>
      <w:r>
        <w:rPr>
          <w:b w:val="0"/>
          <w:i w:val="0"/>
        </w:rPr>
        <w:t>589</w:t>
      </w:r>
    </w:p>
    <w:p>
      <w:pPr>
        <w:spacing w:after="80"/>
      </w:pPr>
      <w:r>
        <w:rPr>
          <w:b w:val="0"/>
          <w:i w:val="0"/>
        </w:rPr>
        <w:t>HMRC đã thách thức (cuối cùng thành công) là trốn thuế không hiệu quả. Ban đầu, HMRC chấp nhận các đơn đăng ký và giải quyết các nghĩa vụ tín thác phúc lợi nhân viên theo Cơ chế nhưng sau đó từ chối tiến hành các đơn đăng ký tương tự khác, bao gồm cả những đơn đã được thảo luận giữa HMRC và cố vấn của người nộp thuế. Tòa án nhận thấy rằng người nộp thuế đã bị 'dẫn dụ vào con đường sai lầm' nhưng không có sự đảm bảo hoặc lời hứa rằng họ sẽ nhận được sự đối xử được tìm kiếm, vì vậy việc từ chối cho phép đối xử thuế đó không 'quá bất công đến mức không nên được duy trì'. Tòa án bác bỏ lập luận rằng sự đối xử là phân biệt đối xử vì những người khác trong tình huống tương tự về mặt vật chất được phép hưởng lợi không giới hạn trên cơ sở rằng những người nộp thuế đã đăng ký Cơ chế, và những người không đăng ký, không ở trong cùng một tình huống. Mặc dù không được trích dẫn trong vụ án, khoản M của Biên bản Ghi nhớ nêu rõ rằng phân biệt đối xử không thể được biện minh trên cơ sở thiếu giám sát tài chính, thu thuế và lạm dụng pháp luật trong số những điều khác.</w:t>
      </w:r>
    </w:p>
    <w:p>
      <w:pPr>
        <w:spacing w:after="80"/>
      </w:pPr>
      <w:r>
        <w:rPr>
          <w:b w:val="0"/>
          <w:i w:val="0"/>
        </w:rPr>
        <w:t xml:space="preserve">Việc dựa vào cách giải thích đã công bố của HMRC như một lời tuyên bố làm phát sinh kỳ vọng chính đáng (legitimate expectation) về cách người nộp thuế sẽ bị đánh thuế đã được nêu ra trong </w:t>
      </w:r>
      <w:r>
        <w:rPr>
          <w:b w:val="0"/>
          <w:i/>
        </w:rPr>
        <w:t>Aozora GMAC Investment Ltd, R (oao) v HMRC</w:t>
      </w:r>
      <w:r>
        <w:rPr>
          <w:b w:val="0"/>
          <w:i w:val="0"/>
        </w:rPr>
        <w:t>.26 Ở đó, Sổ tay Quốc tế (International Manual) của HMRC trình bày cách giải thích của họ về Hiệp định Thuế Thu nhập Anh-Mỹ, điều 24(4) (loại bỏ đánh thuế hai lần). Người nộp thuế lập luận rằng cuốn sổ tay có hiệu lực tại thời điểm liên quan chứa một lời tuyên bố của HMRC làm phát sinh kỳ vọng chính đáng rằng người nộp thuế sẽ được đánh thuế tương ứng, bất kể cuốn sổ tay có chính xác hay không; và rằng việc HMRC rút lại lời tuyên bố bị cáo buộc đó sẽ là điều hiển nhiên bất công và là sự lạm dụng quyền lực. Cuốn sổ tay đã đưa ra một ý kiến về điều khoản hiệp định mà HMRC đã xóa bỏ sau các năm tính thuế liên quan. Tòa án Phúc thẩm (Court of Appeal) phán quyết rằng có một lời tuyên bố rõ ràng và không mập mờ trong cuốn sổ tay. Kỳ vọng chính đáng đòi hỏi phải xem xét, thứ nhất, công ty mẹ Nhật Bản bị ảnh hưởng ở mức nào bởi sự tồn tại của cuốn sổ tay khi quyết định cấu trúc một khoản vay thông qua công ty con tại Anh. Điều này cũng liên quan đến mức độ mà công ty con tại Anh biết về hướng dẫn này và bị ảnh hưởng bởi nó khi xác định vị thế thuế của mình. Thứ hai, việc sử dụng một cố vấn thuế chuyên môn bên ngoài không loại trừ việc dựa vào cuốn sổ tay nhưng phụ thuộc vào cách cố vấn đó sử dụng cuốn sổ tay. Tòa án phán quyết rằng trong trường hợp này, việc dựa vào là yếu vì lời tuyên bố chỉ là về ý kiến của HMRC về cách giải thích một điều khoản pháp lý tương đối đơn giản và công ty đã tìm kiếm và nhận được lời khuyên chuyên môn về ý nghĩa của luật cũng như cách nó sẽ áp dụng cho các hoàn cảnh cụ thể của mình.27 Các cố vấn thuế chuyên môn không gặp bất lợi lớn nào so với HMRC khi đưa ra quan điểm riêng của họ về luật và chính quan điểm đó là điều người nộp thuế dựa vào. Tòa án chấp nhận rằng có thiệt hại vì tổng thể</w:t>
      </w:r>
    </w:p>
    <w:p>
      <w:pPr>
        <w:spacing w:after="80"/>
      </w:pPr>
      <w:r>
        <w:rPr>
          <w:b w:val="0"/>
          <w:i w:val="0"/>
        </w:rPr>
        <w:t>26.</w:t>
      </w:r>
      <w:r>
        <w:rPr>
          <w:b w:val="0"/>
          <w:i/>
        </w:rPr>
        <w:t>Aozora GMAC Investment Ltd, R (On the Application of) v Revenue and Customs</w:t>
      </w:r>
      <w:r>
        <w:rPr>
          <w:b w:val="0"/>
          <w:i w:val="0"/>
        </w:rPr>
        <w:t xml:space="preserve"> [2019] EWCA Civ 1643, [2019] STC 2486, [2019] BTC 26. Xem Chương 15, §15.03 về các sự kiện và vấn đề thực chất và Chương 17, §17.04 và §17.15 về treaty shopping.27.Tại đoạn 57. Kết luận rằng điều khoản pháp lý là đơn giản gây ngạc nhiên khi xét thực tế rằng cả Tòa án Cấp cao (High Court) lẫn Tòa án Phúc thẩm đều không giải thích điều khoản này (và bản thân nó là đối tượng của một kháng cáo riêng), thẩm phán Tòa án Cấp cao nói rằng mục đích của nó rất khó hiểu ([2017] EWHC 2881 (Admin) tại đoạn 27) và chính HMRC đã thay đổi ý kiến vì 'tất cả các hệ quả của nó chưa được hiểu đầy đủ khi hướng dẫn ban đầu được viết ra' (đoạn 5 và 6).</w:t>
      </w:r>
    </w:p>
    <w:p>
      <w:pPr>
        <w:spacing w:after="80"/>
      </w:pPr>
      <w:r>
        <w:rPr>
          <w:b w:val="0"/>
          <w:i w:val="0"/>
        </w:rPr>
        <w:t>590</w:t>
      </w:r>
    </w:p>
    <w:p>
      <w:pPr>
        <w:spacing w:after="80"/>
      </w:pPr>
      <w:r>
        <w:rPr>
          <w:b w:val="0"/>
          <w:i w:val="0"/>
        </w:rPr>
        <w:t>thuế suất sẽ tăng từ 41% lên 51% nếu không có khoản tín dụng. Tuy nhiên, Tòa án kết luận rằng người nộp thuế phải chứng minh rằng sẽ là bất công ở mức độ cao nếu HMRC được phép áp đặt một khoản phí dựa trên cách giải thích đúng đắn của luật để thiết lập sự bất công gần như là lạm dụng quyền lực. Tòa án quyết định rằng không có thiệt hại nghiêm trọng nào phải gánh chịu do bất kỳ việc dựa vào lời tuyên bố nào.</w:t>
      </w:r>
    </w:p>
    <w:p>
      <w:pPr>
        <w:spacing w:after="80"/>
      </w:pPr>
      <w:r>
        <w:rPr>
          <w:b/>
          <w:i w:val="0"/>
        </w:rPr>
        <w:t>§20.03 KHIẾU NẠI</w:t>
      </w:r>
    </w:p>
    <w:p>
      <w:pPr>
        <w:spacing w:after="80"/>
      </w:pPr>
      <w:r>
        <w:rPr>
          <w:b w:val="0"/>
          <w:i w:val="0"/>
        </w:rPr>
        <w:t>HMRC đã thiết lập các thủ tục để xử lý khiếu nại. Khi người nộp thuế tin rằng họ đã bị đối xử tệ, họ có thể yêu cầu vụ việc được xem xét lại bởi trưởng bộ phận khiếu nại của văn phòng nơi vấn đề phát sinh.</w:t>
      </w:r>
    </w:p>
    <w:p>
      <w:pPr>
        <w:spacing w:after="80"/>
      </w:pPr>
      <w:r>
        <w:rPr>
          <w:b w:val="0"/>
          <w:i w:val="0"/>
        </w:rPr>
        <w:t>Nếu trưởng bộ phận khiếu nại không giải quyết khiếu nại làm hài lòng người nộp thuế, vấn đề có thể được chuyển đến giám đốc có trách nhiệm tổng thể để xem xét lại từ đầu. Khiếu nại cũng có thể được đưa đến người phân xử (adjudicator) để xem xét vấn đề và đề xuất hành động phù hợp. Người phân xử là một trọng tài viên công bằng với các khuyến nghị độc lập.</w:t>
      </w:r>
    </w:p>
    <w:p>
      <w:pPr>
        <w:spacing w:after="80"/>
      </w:pPr>
      <w:r>
        <w:rPr>
          <w:b w:val="0"/>
          <w:i w:val="0"/>
        </w:rPr>
        <w:t>Các khiếu nại được người phân xử xử lý chỉ giới hạn ở cách thức HMRC đã xử lý công việc của người nộp thuế, chẳng hạn như sai sót, chậm trễ, hành vi của nhân viên, thủ tục của bộ phận hoặc việc sử dụng quyền tùy ý trong việc đưa ra một quyết định cá nhân.</w:t>
      </w:r>
    </w:p>
    <w:p>
      <w:pPr>
        <w:spacing w:after="80"/>
      </w:pPr>
      <w:r>
        <w:rPr>
          <w:b w:val="0"/>
          <w:i w:val="0"/>
        </w:rPr>
        <w:t>Nhiệm vụ của người phân xử không bao gồm các quyết định của bộ trưởng hoặc các kháng cáo về các vấn đề thực chất được xử lý bằng cách kháng cáo. Nó không bao gồm các khiếu nại đã được Thanh tra Nghị viện (Parliamentary Ombudsman) điều tra hoặc những khiếu nại mà tòa án đã phán quyết hoặc đang là đối tượng của thủ tục tòa án.</w:t>
      </w:r>
    </w:p>
    <w:p>
      <w:pPr>
        <w:spacing w:after="80"/>
      </w:pPr>
      <w:r>
        <w:rPr>
          <w:b w:val="0"/>
          <w:i w:val="0"/>
        </w:rPr>
        <w:t>Trong một số trường hợp nhất định, khiếu nại có thể được gửi đến thanh tra nghị viện khi sự thất bại hành chính đã dẫn đến bất công. Tất cả các khiếu nại phải được một Thành viên Nghị viện chuyển đến thanh tra. Không được điều tra bất kỳ hành động nào mà người bị thiệt hại có quyền nộp đơn lên một hội đồng tài phán hoặc có biện pháp khắc phục tại tòa án. Tuy nhiên, có thể tiến hành điều tra nếu, trong các hoàn cảnh đó, việc mong đợi người bị thiệt hại sử dụng quyền hoặc biện pháp khắc phục như vậy là không hợp lý.28</w:t>
      </w:r>
    </w:p>
    <w:p>
      <w:pPr>
        <w:spacing w:after="80"/>
      </w:pPr>
      <w:r>
        <w:rPr>
          <w:b w:val="0"/>
          <w:i w:val="0"/>
        </w:rPr>
        <w:t xml:space="preserve">Ví dụ, trong bối cảnh quốc tế, việc chậm hoàn thuế cho một công ty Canada và chậm điều chỉnh mã số PAYE của một nghiên cứu viên tại một trường đại học Thụy Sĩ đã dẫn đến tổn thất tài chính cho những người nộp thuế này do việc phá giá tiền tệ chính thức vào năm 1967. Thanh tra cho rằng biện pháp khắc phục duy nhất thỏa đáng trong những trường hợp này sẽ là một khoản thanh toán bồi thường </w:t>
      </w:r>
      <w:r>
        <w:rPr>
          <w:b w:val="0"/>
          <w:i/>
        </w:rPr>
        <w:t>ex gratia</w:t>
      </w:r>
      <w:r>
        <w:rPr>
          <w:b w:val="0"/>
          <w:i w:val="0"/>
        </w:rPr>
        <w:t xml:space="preserve"> bằng với tổn thất tài chính phải gánh chịu do sự quản lý kém. Cách tiếp cận này đã được Inland Revenue đồng ý.29</w:t>
      </w:r>
    </w:p>
    <w:p>
      <w:pPr>
        <w:spacing w:after="80"/>
      </w:pPr>
      <w:r>
        <w:rPr>
          <w:b w:val="0"/>
          <w:i w:val="0"/>
        </w:rPr>
        <w:t>28.</w:t>
      </w:r>
      <w:r>
        <w:rPr>
          <w:b w:val="0"/>
          <w:i/>
        </w:rPr>
        <w:t>Parliamentary Commissioner Act</w:t>
      </w:r>
      <w:r>
        <w:rPr>
          <w:b w:val="0"/>
          <w:i w:val="0"/>
        </w:rPr>
        <w:t xml:space="preserve"> 1967, s. 6(4).29.'Báo cáo thứ hai của ủy viên nghị viện về hành chính'; báo cáo thường niên năm 1968 (Vụ án 230/68 và 258/68).</w:t>
      </w:r>
    </w:p>
    <w:p>
      <w:pPr>
        <w:spacing w:after="80"/>
      </w:pPr>
      <w:r>
        <w:rPr>
          <w:b w:val="0"/>
          <w:i w:val="0"/>
        </w:rPr>
        <w:t>591</w:t>
      </w:r>
    </w:p>
    <w:p>
      <w:pPr>
        <w:spacing w:after="80"/>
      </w:pPr>
      <w:r>
        <w:rPr>
          <w:b/>
          <w:i w:val="0"/>
        </w:rPr>
        <w:t>§20.04 THỦ TỤC THỎA THUẬN CHUNG</w:t>
      </w:r>
    </w:p>
    <w:p>
      <w:pPr>
        <w:spacing w:after="80"/>
      </w:pPr>
      <w:r>
        <w:rPr>
          <w:b w:val="0"/>
          <w:i w:val="0"/>
        </w:rPr>
        <w:t>Thủ tục thỏa thuận chung (Mutual Agreement Procedure - MAP) được quy định trong hầu hết các hiệp định của Anh ngoài những hiệp định theo mô hình thuộc địa. Các điều khoản chính xác mà MAP hoạt động cần được xem xét dựa trên từng hiệp định riêng lẻ. Mặc dù phần lớn tuân theo điều 25 của Mô hình OECD, chúng không hoàn toàn giống nhau. Vì MAP chỉ tồn tại nhờ các hiệp định, điểm khởi đầu phải là hiệp định liên quan. Một ví dụ hiện đại được tìm thấy trong Hiệp định Ethiopia-Anh. Điều 24 viết như sau:</w:t>
      </w:r>
    </w:p>
    <w:p>
      <w:pPr>
        <w:spacing w:after="80"/>
      </w:pPr>
      <w:r>
        <w:rPr>
          <w:b w:val="0"/>
          <w:i w:val="0"/>
        </w:rPr>
        <w:t>24(1) Khi một người cho rằng các hành động của một hoặc cả hai Quốc gia Ký kết dẫn đến hoặc sẽ dẫn đến cho người đó việc đánh thuế không phù hợp với các quy định của Công ước này, người đó có thể, bất kể các biện pháp khắc phục được quy định bởi luật trong nước của các Quốc gia đó, trình bày trường hợp của mình với cơ quan có thẩm quyền của Quốc gia Ký kết mà người đó là cư dân hoặc, nếu trường hợp của người đó thuộc khoản 1 của Điều 23, với cơ quan có thẩm quyền của Quốc gia Ký kết mà người đó là công dân. Trường hợp phải được trình bày trong vòng ba năm kể từ thông báo đầu tiên về hành động dẫn đến việc đánh thuế không phù hợp với các quy định của Công ước này.</w:t>
      </w:r>
    </w:p>
    <w:p>
      <w:pPr>
        <w:spacing w:after="80"/>
      </w:pPr>
      <w:r>
        <w:rPr>
          <w:b w:val="0"/>
          <w:i w:val="0"/>
        </w:rPr>
        <w:t>24(2) Cơ quan có thẩm quyền, nếu xét thấy khiếu nại là chính đáng và nếu bản thân không thể đạt được giải pháp thỏa đáng, phải cố gắng giải quyết vụ việc bằng thỏa thuận song phương với cơ quan có thẩm quyền của Quốc gia ký kết kia, nhằm tránh việc đánh thuế không phù hợp với Công ước này. Bất kỳ thỏa thuận nào đạt được đều phải được thực hiện bất kể giới hạn thời gian hay hạn chế thủ tục nào trong luật nội địa của các Quốc gia ký kết, ngoại trừ những hạn chế áp dụng cho các khiếu nại được đưa ra theo thỏa thuận đó.</w:t>
      </w:r>
    </w:p>
    <w:p>
      <w:pPr>
        <w:spacing w:after="80"/>
      </w:pPr>
      <w:r>
        <w:rPr>
          <w:b w:val="0"/>
          <w:i w:val="0"/>
        </w:rPr>
        <w:t>24(3) Cơ quan có thẩm quyền của các Quốc gia ký kết phải cố gắng giải quyết bằng thỏa thuận song phương mọi khó khăn hoặc nghi ngờ phát sinh liên quan đến việc giải thích hoặc áp dụng Công ước này. Các cơ quan này cũng có thể tham vấn lẫn nhau để loại trừ việc đánh thuế hai lần trong những trường hợp không được quy định trong Công ước.</w:t>
      </w:r>
    </w:p>
    <w:p>
      <w:pPr>
        <w:spacing w:after="80"/>
      </w:pPr>
      <w:r>
        <w:rPr>
          <w:b w:val="0"/>
          <w:i w:val="0"/>
        </w:rPr>
        <w:t>24(4) Cơ quan có thẩm quyền của các Quốc gia ký kết có thể liên lạc trực tiếp với nhau, bằng lời nói hoặc bằng văn bản, nhằm đạt được thỏa thuận theo nghĩa của các khoản trên.</w:t>
      </w:r>
    </w:p>
    <w:p>
      <w:pPr>
        <w:spacing w:after="80"/>
      </w:pPr>
      <w:r>
        <w:rPr>
          <w:b w:val="0"/>
          <w:i w:val="0"/>
        </w:rPr>
        <w:t>MAP giải quyết hai lĩnh vực tranh chấp tiềm ẩn: thứ nhất, việc đánh thuế trái với các điều khoản của hiệp định, và thứ hai, những khó khăn hoặc nghi ngờ về ý nghĩa hoặc việc áp dụng hiệp định. Nó cũng dự liệu khả năng giải quyết việc đánh thuế hai lần trong những trường hợp không được hiệp định bao phủ. Một số lượng hạn chế các hiệp định có quy định về trọng tài trong trường hợp tranh chấp chưa được giải quyết.30</w:t>
      </w:r>
    </w:p>
    <w:p>
      <w:pPr>
        <w:spacing w:after="80"/>
      </w:pPr>
      <w:r>
        <w:rPr>
          <w:b w:val="0"/>
          <w:i w:val="0"/>
        </w:rPr>
        <w:t>Thỏa thuận song phương cũng được yêu cầu một cách độc lập trong một số trường hợp để giải quyết các vấn đề về cư trú kép. Các hiệp định theo mô hình OECD yêu cầu điều này, như là bước cuối cùng trong việc áp dụng quy tắc phá vỡ thế cân bằng tại Điều 4(2)(d) đối với các cá nhân cư trú kép. Các hiệp định không áp dụng nơi quản lý hữu hiệu trong trường hợp cư trú kép khác cũng yêu cầu thỏa thuận song phương của các cơ quan có thẩm quyền.31</w:t>
      </w:r>
    </w:p>
    <w:p>
      <w:pPr>
        <w:spacing w:after="80"/>
      </w:pPr>
      <w:r>
        <w:rPr>
          <w:b w:val="0"/>
          <w:i w:val="0"/>
        </w:rPr>
        <w:t>Ngược lại, khi cần điều chỉnh thứ cấp giữa các doanh nghiệp liên kết</w:t>
      </w:r>
    </w:p>
    <w:p>
      <w:pPr>
        <w:spacing w:after="80"/>
      </w:pPr>
      <w:r>
        <w:rPr>
          <w:b w:val="0"/>
          <w:i w:val="0"/>
        </w:rPr>
        <w:t>30. Xem §20.13. 31. Xem Chương 6, §6.05.</w:t>
      </w:r>
    </w:p>
    <w:p>
      <w:pPr>
        <w:spacing w:after="80"/>
      </w:pPr>
      <w:r>
        <w:rPr>
          <w:b w:val="0"/>
          <w:i w:val="0"/>
        </w:rPr>
        <w:t>592</w:t>
      </w:r>
    </w:p>
    <w:p>
      <w:pPr>
        <w:spacing w:after="80"/>
      </w:pPr>
      <w:r>
        <w:rPr>
          <w:b w:val="0"/>
          <w:i w:val="0"/>
        </w:rPr>
        <w:t>theo Điều 9(2),32 hoặc trong việc phân bổ lợi nhuận cho một cơ sở thường trú theo Điều 7(3) mô hình OECD, phiên bản 2010,33 các cơ quan có thẩm quyền được giao nhiệm vụ độc lập là phải tham vấn lẫn nhau. Có thể lập luận rằng, mục đích của hiệp định sẽ đòi hỏi những tham vấn như vậy phải tìm cách giải quyết việc đánh thuế hai lần tiềm ẩn, bất chấp việc không có từ ngữ thể hiện rõ điều đó. Trên thực tế, dù sao đi nữa người nộp thuế cũng sẽ thích sự chắc chắn tương đối của việc viện dẫn thủ tục này.</w:t>
      </w:r>
    </w:p>
    <w:p>
      <w:pPr>
        <w:spacing w:after="80"/>
      </w:pPr>
      <w:r>
        <w:rPr>
          <w:b w:val="0"/>
          <w:i w:val="0"/>
        </w:rPr>
        <w:t>Cả OECD và EU đều đã tích cực cải thiện chất lượng của quy trình thỏa thuận song phương và giải quyết những câu hỏi tồn tại lâu nay về hoạt động của nó.34 Phần lớn công việc của OECD trong lĩnh vực này hiện nay xuất hiện trong Phần bình luận về Điều 25 của Hiệp định mẫu. Kế hoạch hành động của OECD về Xói mòn cơ sở thuế và Chuyển dịch lợi nhuận (Base Erosion and Profit Shifting - BEPS) Hành động 14 đề xuất làm cho các cơ chế giải quyết tranh chấp hiệu quả hơn, phát triển các giải pháp để giải quyết những trở ngại khiến các quốc gia không thể giải quyết tranh chấp liên quan đến hiệp định theo MAP, bao gồm việc thiếu các quy định về trọng tài trong hầu hết các hiệp định và việc tiếp cận MAP và trọng tài có thể bị từ chối trong một số trường hợp nhất định.35 Dự thảo thảo luận công khai về Xói mòn cơ sở thuế và Chuyển dịch lợi nhuận (BEPS) Hành động 1436 đã xác định hai mươi mốt vấn đề cản trở việc giải quyết tranh chấp quốc tế hiệu quả. Báo cáo cuối cùng về Hành động 1437 kêu gọi áp dụng các tiêu chuẩn tối thiểu và mười hai thông lệ tốt nhất cùng với một quy trình đánh giá đồng đẳng để giám sát việc thực hiện chúng.38 Việc đưa MAP vào Điều 25(1)-(3) của Mô hình OECD là cam kết ràng buộc pháp lý then chốt và được các quốc gia trở thành thành viên của Công ước đa phương để thực hiện các biện pháp liên quan đến hiệp định thuế nhằm ngăn chặn xói mòn cơ sở thuế và chuyển dịch lợi nhuận (MLI) yêu cầu.39 Báo cáo cuối cùng khẳng định cam kết phát triển trọng tài bắt buộc ràng buộc như là cách tốt nhất để đảm bảo rằng các tranh chấp MAP được giải quyết hiệu quả. Điều này được bao gồm trong Phần VI tùy chọn của MLI.40 Khía cạnh châu Âu được thảo luận trong Chương 21, §§21.01ff.</w:t>
      </w:r>
    </w:p>
    <w:p>
      <w:pPr>
        <w:spacing w:after="80"/>
      </w:pPr>
      <w:r>
        <w:rPr>
          <w:b/>
          <w:i w:val="0"/>
        </w:rPr>
        <w:t>§20.05 MAP: ĐÁNH THUẾ KHÔNG PHÙ HỢP VỚI HIỆP ĐỊNH</w:t>
      </w:r>
    </w:p>
    <w:p>
      <w:pPr>
        <w:spacing w:after="80"/>
      </w:pPr>
      <w:r>
        <w:rPr>
          <w:b w:val="0"/>
          <w:i w:val="0"/>
        </w:rPr>
        <w:t>Vai trò giải quyết tranh chấp đầu tiên của MAP là giải quyết các trường hợp do người nộp thuế nêu ra khi các điều khoản của một hiệp định đã không được một trong các cơ quan thuế tuân thủ.</w:t>
      </w:r>
    </w:p>
    <w:p>
      <w:pPr>
        <w:spacing w:after="80"/>
      </w:pPr>
      <w:r>
        <w:rPr>
          <w:b w:val="0"/>
          <w:i w:val="0"/>
        </w:rPr>
        <w:t>32. Xem Chương 9, §9.17. 33. Xem Chương 9, §9.07. 34. 'OECD: cải thiện việc giải quyết tranh chấp hiệp định thuế', báo cáo được Ủy ban về các vấn đề tài khóa thông qua ngày 30 tháng 1 năm 2007. 35. OECD (2013), Kế hoạch hành động về Xói mòn cơ sở thuế và Chuyển dịch lợi nhuận, OECD Publishing. 36. Dự thảo thảo luận công khai của OECD về BEPS Hành động 14: Làm cho các cơ chế giải quyết tranh chấp hiệu quả hơn, ngày 18 tháng 12 năm 2014. 37. OECD (2015), Làm cho các cơ chế giải quyết tranh chấp hiệu quả hơn, Hành động 14 – Báo cáo cuối cùng năm 2015, Dự án Xói mòn cơ sở thuế và Chuyển dịch lợi nhuận của OECD/G20 http://dx.doi.org/10.1787/9789264241633-en (Báo cáo cuối cùng Hành động 14). 38. OECD (2016), BEPS Hành động 14 về các cơ chế giải quyết tranh chấp hiệu quả hơn – Tài liệu đánh giá đồng đẳng, Dự án Xói mòn cơ sở thuế và Chuyển dịch lợi nhuận của OECD/G20. Đánh giá Giai đoạn 1 cho thấy Vương quốc Anh phần lớn tuân thủ tiêu chuẩn tối thiểu. OECD (2017), Làm cho việc giải quyết tranh chấp hiệu quả hơn – Báo cáo đánh giá đồng đẳng MAP, Vương quốc Anh (Giai đoạn 1) http://dx.doi.org/10.1787/9789264282674-en. Điều này cũng đúng với Ireland. OECD (2018), Làm cho việc giải quyết tranh chấp hiệu quả hơn – Báo cáo đánh giá đồng đẳng MAP, Ireland (Giai đoạn 1) https://doi.org/10.1787/9789264304192-en. 39. Xem Chương 18, §18.09. 40. Xem Chương 18, §18.08.</w:t>
      </w:r>
    </w:p>
    <w:p>
      <w:pPr>
        <w:spacing w:after="80"/>
      </w:pPr>
      <w:r>
        <w:rPr>
          <w:b w:val="0"/>
          <w:i w:val="0"/>
        </w:rPr>
        <w:t>593</w:t>
      </w:r>
    </w:p>
    <w:p>
      <w:pPr>
        <w:spacing w:after="80"/>
      </w:pPr>
      <w:r>
        <w:rPr>
          <w:b w:val="0"/>
          <w:i w:val="0"/>
        </w:rPr>
        <w:t>Quyền viện dẫn MAP của người nộp thuế không phụ thuộc vào việc đánh thuế hai lần, mà vào việc đánh thuế không được cho phép theo các điều khoản của hiệp định. Việc viện dẫn MAP thường gặp nhất liên quan đến việc áp dụng nguyên tắc giá thị trường (arm's-length principle), cả giữa các doanh nghiệp liên kết theo Điều 9 và trong việc xác định phân bổ lợi nhuận cho các cơ sở thường trú theo Điều 7, cũng như các quy định về quan hệ đặc biệt của Điều 11 và 12. Khi điều này xảy ra trong bối cảnh các quốc gia ký kết có quan điểm khác nhau về việc áp dụng một hiệp định, hầu hết các hiệp định theo Mô hình OECD cho phép người nộp thuế đệ trình vấn đề để các cơ quan có thẩm quyền thảo luận nhằm xem liệu họ có thể đồng ý về một giải pháp hay không.</w:t>
      </w:r>
    </w:p>
    <w:p>
      <w:pPr>
        <w:spacing w:after="80"/>
      </w:pPr>
      <w:r>
        <w:rPr>
          <w:b w:val="0"/>
          <w:i w:val="0"/>
        </w:rPr>
        <w:t>Thông thường, một cư dân của một quốc gia ký kết phải trình bày vụ việc với cơ quan có thẩm quyền tại quốc gia cư trú của mình. Do đó, ngoài trường hợp Điều 9, vốn có thể liên quan đến cư dân của cả hai quốc gia ký kết và các quy tắc phá vỡ thế cân bằng tại Điều 4, MAP không thể được viện dẫn hợp lệ bằng cách chỉ trình bày vụ việc tại quốc gia nguồn. HMRC khuyến nghị rằng, như một thông lệ tốt, việc trình bày một vụ việc cũng nên được gửi bản sao cho cơ quan có thẩm quyền của quốc gia kia.41</w:t>
      </w:r>
    </w:p>
    <w:p>
      <w:pPr>
        <w:spacing w:after="80"/>
      </w:pPr>
      <w:r>
        <w:rPr>
          <w:b w:val="0"/>
          <w:i w:val="0"/>
        </w:rPr>
        <w:t>TIOPA 2010, ss 124 và 125, cung cấp cơ chế nội địa để thực thi một trường hợp được trình bày hoặc cho các ủy viên của HMRC hoặc cho cơ quan có thẩm quyền của quốc gia ký kết kia rằng họ bị đánh thuế không phù hợp với một hiệp định. Mục 124 không đề cập rõ ràng đến các quy định MAP trong các hiệp định. Điều này làm nảy sinh khả năng rằng trường hợp có thể được trình bày liên quan đến một hiệp định không chứa các quy định như vậy. Tuy nhiên, trừ khi tồn tại một cơ chế để các cơ quan có thẩm quyền của cả hai quốc gia tương tác với nhau, thì một giải pháp đơn phương theo s.124(2) không mang lại lợi ích nào so với các biện pháp khắc phục nội địa khác. Trong một số trường hợp, các kênh ngoại giao có thể cung cấp một con đường dẫn đến giải pháp song phương.42</w:t>
      </w:r>
    </w:p>
    <w:p>
      <w:pPr>
        <w:spacing w:after="80"/>
      </w:pPr>
      <w:r>
        <w:rPr>
          <w:b w:val="0"/>
          <w:i w:val="0"/>
        </w:rPr>
        <w:t>Tại Vương quốc Anh, không có mẫu đơn yêu cầu cố định nào để khởi động MAP. Đơn đăng ký nên được thực hiện bằng văn bản, ghi rõ các năm liên quan, bản chất của hành động dẫn đến việc đánh thuế không phù hợp với hiệp định, cũng như tên và địa chỉ của các bên liên quan đến thủ tục, bao gồm cả khu vực thuế và số tham chiếu của người nộp thuế Vương quốc Anh.43 MAP được xử lý bởi HMRC Business International, ngoại trừ trường hợp ngành công nghiệp dầu khí, được xử lý bởi Oil Taxation Office.</w:t>
      </w:r>
    </w:p>
    <w:p>
      <w:pPr>
        <w:spacing w:after="80"/>
      </w:pPr>
      <w:r>
        <w:rPr>
          <w:b w:val="0"/>
          <w:i w:val="0"/>
        </w:rPr>
        <w:t>Luật quy định rõ rằng việc viện dẫn MAP theo một hiệp định không cấu thành một yêu cầu giảm thuế và do đó không thuộc s.42 của TMA 1970 hoặc các quy định khác liên quan đến việc đưa ra yêu cầu.44</w:t>
      </w:r>
    </w:p>
    <w:p>
      <w:pPr>
        <w:spacing w:after="80"/>
      </w:pPr>
      <w:r>
        <w:rPr>
          <w:b/>
          <w:i w:val="0"/>
        </w:rPr>
        <w:t>§20.06 MAP: GIỚI HẠN THỜI GIAN</w:t>
      </w:r>
    </w:p>
    <w:p>
      <w:pPr>
        <w:spacing w:after="80"/>
      </w:pPr>
      <w:r>
        <w:rPr>
          <w:b w:val="0"/>
          <w:i w:val="0"/>
        </w:rPr>
        <w:t>Cần đặc biệt thận trọng, đặc biệt là liên quan đến giới hạn thời gian để trình bày một trường hợp. Các giới hạn thời gian liên quan đến các hiệp định phải được xem xét trong bối cảnh các giới hạn nội địa ở mỗi quốc gia và trong hiệp định.</w:t>
      </w:r>
    </w:p>
    <w:p>
      <w:pPr>
        <w:spacing w:after="80"/>
      </w:pPr>
      <w:r>
        <w:rPr>
          <w:b w:val="0"/>
          <w:i w:val="0"/>
        </w:rPr>
        <w:t>41. HMRC, International Manual, INTM423050. 42. Xem OECD Committee on Fiscal Affairs, Commentary on Article 25 of the OECD Model Tax Convention, para. 4 (22 tháng 7 năm 2010). 43. HMRC, International Manual, INTM423050. 44. TIOPA 2010, s. 125(2).</w:t>
      </w:r>
    </w:p>
    <w:p>
      <w:pPr>
        <w:spacing w:after="80"/>
      </w:pPr>
      <w:r>
        <w:rPr>
          <w:b w:val="0"/>
          <w:i w:val="0"/>
        </w:rPr>
        <w:t>594</w:t>
      </w:r>
    </w:p>
    <w:p>
      <w:pPr>
        <w:spacing w:after="80"/>
      </w:pPr>
      <w:r>
        <w:rPr>
          <w:b w:val="0"/>
          <w:i w:val="0"/>
        </w:rPr>
        <w:t xml:space="preserve">TIOPA 2010, s. 125(3), yêu cầu bất kỳ trường hợp nào cho MAP phải được trình bày trong vòng sáu năm kể từ khi kết thúc kỳ tính thuế mà trường hợp đó liên quan, hoặc thời hạn dài hơn như có thể được quy định bởi hiệp định. Thực tiễn hiệp định truyền thống của Vương quốc Anh là dựa vào giới hạn thời gian nội địa thay vì bao gồm một giới hạn thời gian trong hiệp định.45 Trong những trường hợp như vậy, cần phải chú ý cẩn thận đến các giới hạn thời gian có thể có ở các quốc gia ký kết khác nơi trường hợp được trình bày tại quốc gia đó. Cho đến khi được sửa đổi bởi MLI, điều 24(1) của Hiệp định Đan Mạch-Vương quốc Anh không chứa bất kỳ giới hạn thời gian nào để trình bày một trường hợp. Trong </w:t>
      </w:r>
      <w:r>
        <w:rPr>
          <w:b w:val="0"/>
          <w:i/>
        </w:rPr>
        <w:t>H1 A/S v Skatteministeriet</w:t>
      </w:r>
      <w:r>
        <w:rPr>
          <w:b w:val="0"/>
          <w:i w:val="0"/>
        </w:rPr>
        <w:t>,46 người nộp thuế đã trình bày một trường hợp cho cơ quan có thẩm quyền Đan Mạch vào năm 2019 cho các năm thu nhập 2006-2009, lập luận rằng không có giới hạn thời gian để làm như vậy. Tòa án quận nhận thấy rằng có vấn đề đánh thuế hai lần. Tòa lý luận rằng vì không có thời hạn trong hiệp định, các quy tắc nội địa được áp dụng. Tòa án coi cả luật thuế và quy chế giới hạn chung đều có thể áp dụng mà không nói rõ là cái nào.</w:t>
      </w:r>
    </w:p>
    <w:p>
      <w:pPr>
        <w:spacing w:after="80"/>
      </w:pPr>
      <w:r>
        <w:rPr>
          <w:b w:val="0"/>
          <w:i w:val="0"/>
        </w:rPr>
        <w:t>Điều 11 của Nghị định thư bổ sung Hiệp định Thuế Thu nhập Australia-Vương quốc Anh (2003), với tham chiếu đến Điều 26 (MAP), thu hút sự chú ý đến việc áp dụng các giới hạn thời gian chung, bất kể các giới hạn thời gian áp dụng đó có đề cập cụ thể đến quy trình cơ quan có thẩm quyền hay không. Tuy nhiên, các hiệp định hiện đại hơn bao gồm các giới hạn thời gian phù hợp với điều 25(1) của OECD Model. Do đó, điều 25(1) của Hiệp định Thuế Thu nhập Vương quốc Anh-Bỉ quy định rằng:</w:t>
      </w:r>
    </w:p>
    <w:p>
      <w:pPr>
        <w:spacing w:after="80"/>
      </w:pPr>
      <w:r>
        <w:rPr>
          <w:b w:val="0"/>
          <w:i w:val="0"/>
        </w:rPr>
        <w:t>Trường hợp phải được trình bày trong vòng ba năm kể từ thông báo đầu tiên về hành động dẫn đến việc đánh thuế không phù hợp với các quy định của Hiệp định.</w:t>
      </w:r>
    </w:p>
    <w:p>
      <w:pPr>
        <w:spacing w:after="80"/>
      </w:pPr>
      <w:r>
        <w:rPr>
          <w:b w:val="0"/>
          <w:i w:val="0"/>
        </w:rPr>
        <w:t>Trong các hiệp định khác, các giới hạn thời gian kéo dài phản ánh sát hơn luật nội địa của Vương quốc Anh, chẳng hạn như điều 25(1) của Hiệp định Thuế Thu nhập Vương quốc Anh-Nhật Bản, trong đó viết:</w:t>
      </w:r>
    </w:p>
    <w:p>
      <w:pPr>
        <w:spacing w:after="80"/>
      </w:pPr>
      <w:r>
        <w:rPr>
          <w:b w:val="0"/>
          <w:i w:val="0"/>
        </w:rPr>
        <w:t>Trường hợp phải được trình bày trong vòng ba năm kể từ thông báo đầu tiên về hành động dẫn đến việc đánh thuế không phù hợp với các quy định của Hiệp định hoặc, nếu muộn hơn, trong vòng sáu năm kể từ khi kết thúc năm tính thuế hoặc kỳ tính thuế mà việc đánh thuế đó được áp đặt hoặc đề xuất.</w:t>
      </w:r>
    </w:p>
    <w:p>
      <w:pPr>
        <w:spacing w:after="80"/>
      </w:pPr>
      <w:r>
        <w:rPr>
          <w:b w:val="0"/>
          <w:i w:val="0"/>
        </w:rPr>
        <w:t>Tại Vương quốc Anh, HMRC đã đồng ý rằng thông báo đầu tiên sẽ là ngày phát hành thông báo luật định cần thiết để kết thúc một đánh giá hoặc bất kỳ thủ tục kháng cáo liên quan nào cho kỳ đánh giá đang được đề cập, hoặc một lá thư chấp nhận của một viên chức thuộc ban HMRC đối với các điều khoản dàn xếp cho kỳ đang được đề cập.47 Thời</w:t>
      </w:r>
    </w:p>
    <w:p>
      <w:pPr>
        <w:spacing w:after="80"/>
      </w:pPr>
      <w:r>
        <w:rPr>
          <w:b w:val="0"/>
          <w:i w:val="0"/>
        </w:rPr>
        <w:t xml:space="preserve">45. Xem, ví dụ, Hiệp định Thuế Séc-Vương quốc Anh (1990), điều 24. Cho đến năm 2017, Vương quốc Anh bảo lưu quan điểm của mình về điều 25(1) của OECD Model với lý do rằng nó xung đột với giới hạn thời gian sáu năm theo luật nội địa của mình (2014 OECD Commentary to art. 25, para. 97). 46. Tòa án Quận (Đan Mạch) </w:t>
      </w:r>
      <w:r>
        <w:rPr>
          <w:b w:val="0"/>
          <w:i/>
        </w:rPr>
        <w:t>H1 A/S v Skatteministeriet</w:t>
      </w:r>
      <w:r>
        <w:rPr>
          <w:b w:val="0"/>
          <w:i w:val="0"/>
        </w:rPr>
        <w:t xml:space="preserve"> (Case BS-22068/2020) (3 tháng 3 năm 2021). Theo quan điểm của tác giả, việc thiếu một quy định nội địa tương tự như TIOPA 2010, s.125 của Vương quốc Anh cho thấy rằng có thể không có giới hạn thời gian nếu không có một giới hạn trong hiệp định, với biện pháp thủ tục độc đáo này. 47. Xem SP1/11 paras 23-28; Thỏa thuận cơ quan có thẩm quyền liên quan đến định nghĩa 'thông báo đầu tiên' theo para. 1 của điều 26 (Thủ tục Thỏa thuận Song phương) của Hiệp định giữa Hợp chủng quốc Hoa Kỳ và Vương quốc Liên hiệp Anh và Bắc Ireland để tránh đánh thuế hai lần đối với thuế thu nhập, được ký tại London ngày 24 tháng 7 năm 2001; EU Code of Conduct on the Arbitration Convention; xem thêm OJ C176 ngày 28 tháng 7, tr. 8; xem thêm Phụ lục của dự thảo Thông báo Quy tắc Ứng xử từ Ủy ban đến Hội đồng, Nghị viện Châu Âu và Ủy ban Kinh tế và Xã hội Châu Âu về công việc của Diễn đàn Chuyển giá Chung EU trong lĩnh vực thuế doanh nghiệp từ tháng 10 năm 2002 đến tháng 12</w:t>
      </w:r>
    </w:p>
    <w:p>
      <w:pPr>
        <w:spacing w:after="80"/>
      </w:pPr>
      <w:r>
        <w:rPr>
          <w:b w:val="0"/>
          <w:i w:val="0"/>
        </w:rPr>
        <w:t>595</w:t>
      </w:r>
    </w:p>
    <w:p>
      <w:pPr>
        <w:spacing w:after="80"/>
      </w:pPr>
      <w:r>
        <w:rPr>
          <w:b w:val="0"/>
          <w:i w:val="0"/>
        </w:rPr>
        <w:t>giới hạn thời gian được HMRC giải thích theo hướng có lợi cho người nộp thuế. Cụ thể là, giới hạn thời gian ba năm chỉ bắt đầu một khi thông báo đầu tiên đã được đưa ra. Không cần phải chờ thông báo đầu tiên trước khi trình bày một trường hợp cho MAP.48</w:t>
      </w:r>
    </w:p>
    <w:p>
      <w:pPr>
        <w:spacing w:after="80"/>
      </w:pPr>
      <w:r>
        <w:rPr>
          <w:b w:val="0"/>
          <w:i w:val="0"/>
        </w:rPr>
        <w:t>Việc trình bày một vụ việc theo luật mới không cấu thành một yêu cầu bồi thường, và do đó, TMA 1970, s. 43, cùng các đạo luật khác liên quan đến thời hiệu đều không được áp dụng. Điều này cũng giải quyết vấn đề tồn tại dưới các đạo luật tự khai thuế khác liên quan đến yêu cầu bồi thường, cụ thể là yêu cầu bồi thường phải được định lượng tại thời điểm nó được đưa ra.</w:t>
      </w:r>
    </w:p>
    <w:p>
      <w:pPr>
        <w:spacing w:after="80"/>
      </w:pPr>
      <w:r>
        <w:rPr>
          <w:b/>
          <w:i w:val="0"/>
        </w:rPr>
        <w:t>§20.07MAP: THỦ TỤC</w:t>
      </w:r>
    </w:p>
    <w:p>
      <w:pPr>
        <w:spacing w:after="80"/>
      </w:pPr>
      <w:r>
        <w:rPr>
          <w:b w:val="0"/>
          <w:i w:val="0"/>
        </w:rPr>
        <w:t>Cả OECD và EU đều đã tích cực cải thiện chất lượng của quy trình thỏa thuận song phương và giải quyết các câu hỏi tồn đọng lâu nay về hoạt động của nó.49</w:t>
      </w:r>
    </w:p>
    <w:p>
      <w:pPr>
        <w:spacing w:after="80"/>
      </w:pPr>
      <w:r>
        <w:rPr>
          <w:b w:val="0"/>
          <w:i w:val="0"/>
        </w:rPr>
        <w:t xml:space="preserve">Phần lớn công việc của OECD trong lĩnh vực này hiện nay xuất hiện trong Bình luận về Điều 25 của Hiệp định mẫu. Khía cạnh châu Âu được thảo luận trong Chương 21, §§21.01ff. </w:t>
      </w:r>
      <w:r>
        <w:rPr>
          <w:b w:val="0"/>
          <w:i/>
        </w:rPr>
        <w:t>Sổ tay về Thủ tục Thỏa thuận Song phương Hiệu quả</w:t>
      </w:r>
      <w:r>
        <w:rPr>
          <w:b w:val="0"/>
          <w:i w:val="0"/>
        </w:rPr>
        <w:t>50 của OECD cũng như các tiêu chuẩn tối thiểu và thực tiễn tốt nhất được nêu trong Báo cáo Cuối cùng về Hành động 14 của BEPS đều cung cấp cả hướng dẫn lẫn chuẩn mực cho việc tiến hành các vụ việc theo quy trình này.</w:t>
      </w:r>
    </w:p>
    <w:p>
      <w:pPr>
        <w:spacing w:after="80"/>
      </w:pPr>
      <w:r>
        <w:rPr>
          <w:b w:val="0"/>
          <w:i w:val="0"/>
        </w:rPr>
        <w:t>Kinh nghiệm của Vương quốc Anh cho thấy hầu hết các vấn đề cuối cùng đều được giải quyết, mặc dù trong nhiều trường hợp, việc này có thể mất khá nhiều thời gian. Liên quan đến Hiệp định Thuế Thu nhập US-UK (2001), các cơ quan có thẩm quyền đã đồng ý cố gắng gửi một văn bản lập trường cho bên kia trong vòng 120 ngày kể từ khi nhận được trình bày về một vụ việc. Mục tiêu của hai cơ quan có thẩm quyền nói chung là giải quyết các vụ việc bằng cách ký kết một thỏa thuận song phương trong vòng mười tám tháng kể từ khi một quốc gia ký kết chuyển giao văn bản lập trường cho quốc gia kia. Trong bối cảnh định giá chuyển nhượng và các thỏa thuận định giá trước, họ sẽ cố gắng đồng ý về một thời gian biểu chung để xử lý các giai đoạn khác nhau của đơn đăng ký với mục tiêu đạt được các thỏa thuận song phương trong khung thời gian tương tự, có tính đến sự phức tạp của các vụ việc cụ thể liên quan. Không có tuyên bố công khai nào khác liên quan đến các quốc gia ký kết khác. Trong một số trường hợp, sự chậm trễ có thể kéo dài, ví dụ, do khó khăn về ngôn ngữ khi cả tài liệu cơ sở và văn bản lập trường của mỗi quốc gia ký kết đều phải được dịch. Liên quan đến Hoa Kỳ, khi các cuộc đàm phán tiếp tục vượt quá khung thời gian đã thỏa thuận, các quan chức cấp cao sẽ tiến hành xem xét vụ việc để đảm bảo rằng mọi hành động thích hợp đều được thực hiện nhằm tạo điều kiện giải quyết vấn đề. Ngoài ra, Vương quốc Anh và Hoa Kỳ đã cam kết không</w:t>
      </w:r>
    </w:p>
    <w:p>
      <w:pPr>
        <w:spacing w:after="80"/>
      </w:pPr>
      <w:r>
        <w:rPr>
          <w:b w:val="0"/>
          <w:i w:val="0"/>
        </w:rPr>
        <w:t>2003 và về đề xuất Quy tắc Ứng xử cho việc thực hiện hiệu quả Công ước Trọng tài (90/436/EEC ngày 23 tháng 7 năm 1990) COM/2004/0297 final.48. HMRC, Sổ tay Quốc tế, INTM423070.49. OECD: cải thiện việc giải quyết các tranh chấp hiệp định thuế, báo cáo được Ủy ban Các vấn đề Tài chính thông qua ngày 30 tháng 1 năm 2007.50. Sổ tay OECD về Thủ tục Thỏa thuận Song phương Hiệu quả (2007) https://www.oecd.org/ctp/dispute/manualoneffectivemutualagreementprocedures-index.htm.</w:t>
      </w:r>
    </w:p>
    <w:p>
      <w:pPr>
        <w:spacing w:after="80"/>
      </w:pPr>
      <w:r>
        <w:rPr>
          <w:b w:val="0"/>
          <w:i w:val="0"/>
        </w:rPr>
        <w:t>596</w:t>
      </w:r>
    </w:p>
    <w:p>
      <w:pPr>
        <w:spacing w:after="80"/>
      </w:pPr>
      <w:r>
        <w:rPr>
          <w:b w:val="0"/>
          <w:i w:val="0"/>
        </w:rPr>
        <w:t>rút khỏi các MAP mà không gặp mặt trực tiếp để thảo luận cụ thể về các vấn đề hoặc lo ngại dẫn đến việc xem xét rút lui.51</w:t>
      </w:r>
    </w:p>
    <w:p>
      <w:pPr>
        <w:spacing w:after="80"/>
      </w:pPr>
      <w:r>
        <w:rPr>
          <w:b w:val="0"/>
          <w:i w:val="0"/>
        </w:rPr>
        <w:t xml:space="preserve">Để giảm bớt khó khăn tài chính có thể phát sinh từ việc cả hai quốc gia tìm cách thu thuế trong khi chờ kết quả của thủ tục thỏa thuận song phương, một số thỏa thuận đã được ký kết nhằm hoãn việc thanh toán thực tế cho đến khi hoàn tất thủ tục. Các thỏa thuận như vậy có thể chỉ đơn giản là tạm ngưng thanh toán,52 hoặc như trường hợp theo Biên bản Ghi nhớ giữa Ấn Độ và Vương quốc Anh về việc tạm ngưng thu thuế trong thời gian MAP ngày 19 tháng 3 năm 2004, đặt ra các yêu cầu chi tiết về bảo đảm và các bước thủ tục liên quan. Trong </w:t>
      </w:r>
      <w:r>
        <w:rPr>
          <w:b w:val="0"/>
          <w:i/>
        </w:rPr>
        <w:t>McKinsey &amp; Co Inc v DDIT</w:t>
      </w:r>
      <w:r>
        <w:rPr>
          <w:b w:val="0"/>
          <w:i w:val="0"/>
        </w:rPr>
        <w:t>,53 Tòa án Tối cao Bombay đã phán quyết rằng khi bảo đảm được đưa ra liên quan đến một khoản nợ thuế là đối tượng của MAP, việc áp đặt thuế khấu trừ đối với khoản thanh toán tiền bản quyền liên quan là bất hợp pháp.</w:t>
      </w:r>
    </w:p>
    <w:p>
      <w:pPr>
        <w:spacing w:after="80"/>
      </w:pPr>
      <w:r>
        <w:rPr>
          <w:b w:val="0"/>
          <w:i w:val="0"/>
        </w:rPr>
        <w:t>MAP là một hoạt động giữa chính phủ với chính phủ và người nộp thuế không có quyền hợp pháp để tham gia hoặc quan sát các cuộc đàm phán. Quy trình này là một quá trình tham vấn giữa hai cơ quan có thẩm quyền. Trên thực tế, Vương quốc Anh công nhận lợi ích của người nộp thuế và cố gắng giữ cho người nộp thuế được thông báo về tiến độ và sẽ mời người nộp thuế đưa ra các trình bày bổ sung nếu có thể hữu ích trong việc đạt được giải pháp. Mức độ mà người nộp thuế được mời tham gia không chính thức bằng cách cung cấp và trình bày thông tin là do các cơ quan có thẩm quyền quyết định.54</w:t>
      </w:r>
    </w:p>
    <w:p>
      <w:pPr>
        <w:spacing w:after="80"/>
      </w:pPr>
      <w:r>
        <w:rPr>
          <w:b w:val="0"/>
          <w:i w:val="0"/>
        </w:rPr>
        <w:t xml:space="preserve">Sự tương tác giữa tính chất bảo mật của các thủ tục MAP và quyền được thông tin của người nộp thuế được minh họa bởi </w:t>
      </w:r>
      <w:r>
        <w:rPr>
          <w:b w:val="0"/>
          <w:i/>
        </w:rPr>
        <w:t>McCabe v HMRC</w:t>
      </w:r>
      <w:r>
        <w:rPr>
          <w:b w:val="0"/>
          <w:i w:val="0"/>
        </w:rPr>
        <w:t>.55 Người nộp thuế đang tranh chấp với HMRC về nơi cư trú của mình theo luật trong nước và việc áp dụng quy tắc phá vỡ thế cân bằng trong Điều 4(2) của Hiệp định Bỉ-Vương quốc Anh. Ông đã trình bày một vụ việc cho MAP theo Điều 25(1), dẫn đến thỏa thuận giữa các cơ quan có thẩm quyền rằng ông là cư dân Vương quốc Anh. Ông từ chối chấp nhận quyết định đó và kháng cáo quyết định đánh thuế của HMRC lên tòa án thuế. Ông đã nộp đơn lên Tòa án Sơ thẩm yêu cầu HMRC tiết lộ tất cả tài liệu liên quan đến MAP bao gồm các trình bày mà cả hai cơ quan có thẩm quyền đưa ra cho nhau và cụ thể là một văn bản lập trường do HMRC gửi cho cơ quan có thẩm quyền Bỉ. Lý do chính là để có được bằng chứng rằng HMRC đang áp dụng một lập trường khác biệt đáng kể trong kháng cáo trước Tòa án Sơ thẩm so với lập trường được áp dụng trong MAP. Tòa án Cấp cao đã giữ nguyên quyết định của Tòa án Sơ thẩm từ chối ra lệnh tiết lộ. Các cân nhắc về tính minh bạch có nghĩa là tài liệu và thông tin nên được tiết lộ cho mục đích kháng cáo trừ khi có lý do chính đáng để không làm như vậy. Mặt khác, 'Một mức độ bảo mật là quan trọng đối với hoạt động đúng đắn của MAP' và, nếu không có sự bảo mật đó,</w:t>
      </w:r>
    </w:p>
    <w:p>
      <w:pPr>
        <w:spacing w:after="80"/>
      </w:pPr>
      <w:r>
        <w:rPr>
          <w:b w:val="0"/>
          <w:i w:val="0"/>
        </w:rPr>
        <w:t>51.</w:t>
      </w:r>
      <w:r>
        <w:rPr>
          <w:b w:val="0"/>
          <w:i/>
        </w:rPr>
        <w:t>Các Thỏa thuận Hành chính để Thực hiện Thủ tục Thỏa thuận Song phương (Điều 25) của Công ước giữa Chính phủ Vương quốc Liên hiệp Anh và Bắc Ireland và Chính phủ Hợp chủng quốc Hoa Kỳ về Tránh Đánh thuế Hai lần và Ngăn ngừa Trốn thuế Tài chính đối với Thuế Thu nhập và Lợi tức Vốn ngày 31 tháng 12 năm 1975</w:t>
      </w:r>
      <w:r>
        <w:rPr>
          <w:b w:val="0"/>
          <w:i w:val="0"/>
        </w:rPr>
        <w:t>.52. Hiệp định US-UK (2001) Trao đổi Công hàm ngày 24 tháng 7 năm 2001 có tham chiếu đến khoản 2 của Điều 26 (Thủ tục Thỏa thuận Song phương).53.</w:t>
      </w:r>
      <w:r>
        <w:rPr>
          <w:b w:val="0"/>
          <w:i/>
        </w:rPr>
        <w:t>McKinsey &amp; Co Inc v DDIT</w:t>
      </w:r>
      <w:r>
        <w:rPr>
          <w:b w:val="0"/>
          <w:i w:val="0"/>
        </w:rPr>
        <w:t xml:space="preserve"> 2010 Bombay HC No. 799/2010 (IBFD Tax Research Platform).54. HMRC, Sổ tay Quốc tế, INTM423070.55.</w:t>
      </w:r>
      <w:r>
        <w:rPr>
          <w:b w:val="0"/>
          <w:i/>
        </w:rPr>
        <w:t>McCabe v Revenue &amp; Customs Commissioners</w:t>
      </w:r>
      <w:r>
        <w:rPr>
          <w:b w:val="0"/>
          <w:i w:val="0"/>
        </w:rPr>
        <w:t xml:space="preserve"> [2020] UKUT 266 (TCC), [2020] STC 2148, [2020] BTC 561.</w:t>
      </w:r>
    </w:p>
    <w:p>
      <w:pPr>
        <w:spacing w:after="80"/>
      </w:pPr>
      <w:r>
        <w:rPr>
          <w:b w:val="0"/>
          <w:i w:val="0"/>
        </w:rPr>
        <w:t>597</w:t>
      </w:r>
    </w:p>
    <w:p>
      <w:pPr>
        <w:spacing w:after="80"/>
      </w:pPr>
      <w:r>
        <w:rPr>
          <w:b w:val="0"/>
          <w:i w:val="0"/>
        </w:rPr>
        <w:t>sự hợp tác trong tương lai giữa các cơ quan thuế có thể bị tổn hại. HMRC có một 'trường hợp tốt, dù không thể phản bác' để không tiết lộ vì tính bảo mật chỉ là một yếu tố liên quan'.56 Một sự cân bằng công bằng phải được thiết lập giữa các lợi ích cạnh tranh. Khi thiết lập sự cân bằng đó trong việc thực hiện quyền tự quyết của mình, tòa án có thể xem xét một cách thích hợp câu hỏi liệu việc kiểm tra tài liệu có cần thiết để giải quyết công bằng các thủ tục đang được đề cập hay không.57</w:t>
      </w:r>
    </w:p>
    <w:p>
      <w:pPr>
        <w:spacing w:after="80"/>
      </w:pPr>
      <w:r>
        <w:rPr>
          <w:b w:val="0"/>
          <w:i w:val="0"/>
        </w:rPr>
        <w:t>Giữa Quyết định của Tòa án Sơ thẩm và phiên điều trần kháng cáo, ông McCabe đã có được quyết định của Hof van Cassatie (Tòa án Hành chính Tối cao) của Bỉ hủy bỏ quyết định của cơ quan thuế Bỉ về việc không tiết lộ thư từ liên quan đến MAP theo luật tiếp cận thông tin.58 Tòa án Bỉ đã cân nhắc các yếu tố bảo mật và minh bạch tương tự. Tuy nhiên, yếu tố bảo mật phải được giải thích một cách hạn chế dựa trên quyền hiến định của Bỉ về tài liệu hành chính.</w:t>
      </w:r>
    </w:p>
    <w:p>
      <w:pPr>
        <w:spacing w:after="80"/>
      </w:pPr>
      <w:r>
        <w:rPr>
          <w:b/>
          <w:i w:val="0"/>
        </w:rPr>
        <w:t>§20.08MAP: KHÁNG CÁO SO VỚI MAP</w:t>
      </w:r>
    </w:p>
    <w:p>
      <w:pPr>
        <w:spacing w:after="80"/>
      </w:pPr>
      <w:r>
        <w:rPr>
          <w:b w:val="0"/>
          <w:i w:val="0"/>
        </w:rPr>
        <w:t xml:space="preserve">Quyền được viện dẫn MAP được thể hiện là ‘bất chấp các biện pháp khắc phục do luật quốc gia quy định’ của các quốc gia ký kết. Do đó, đây là một quy trình bổ sung dành cho người nộp thuế và không phải là sự thay thế cho quy trình kháng nghị hay bất kỳ cơ chế giải quyết tranh chấp nào khác theo luật trong nước. Thông lệ mà HMRC áp dụng trong vấn đề này được giải thích trong </w:t>
      </w:r>
      <w:r>
        <w:rPr>
          <w:b w:val="0"/>
          <w:i/>
        </w:rPr>
        <w:t>International Tax Manual</w:t>
      </w:r>
      <w:r>
        <w:rPr>
          <w:b w:val="0"/>
          <w:i w:val="0"/>
        </w:rPr>
        <w:t>:</w:t>
      </w:r>
    </w:p>
    <w:p>
      <w:pPr>
        <w:spacing w:after="80"/>
      </w:pPr>
      <w:r>
        <w:rPr>
          <w:b w:val="0"/>
          <w:i w:val="0"/>
        </w:rPr>
        <w:t>Khi một vụ việc đã được giải quyết theo quy trình tư pháp của Vương quốc Anh trước khi được trình lên MAP, cơ quan có thẩm quyền của Vương quốc Anh sẽ kỳ vọng, theo yêu cầu, sẽ tiếp nhận vấn đề theo MAP. Vương quốc Anh cho rằng cả tòa án và hội đồng xét xử đều là một phần của quy trình tư pháp.</w:t>
      </w:r>
    </w:p>
    <w:p>
      <w:pPr>
        <w:spacing w:after="80"/>
      </w:pPr>
      <w:r>
        <w:rPr>
          <w:b w:val="0"/>
          <w:i w:val="0"/>
        </w:rPr>
        <w:t>Tuy nhiên, MAP không cung cấp một con đường song song với quy trình kháng nghị trong nước, mặc dù việc tham gia MAP sớm có thể hữu ích trong việc giúp người nộp thuế xác định liệu quy trình kháng nghị có cần phải tiến hành hay không. Vương quốc Anh tuân theo cách tiếp cận được hầu hết các quốc gia áp dụng và được mô tả trong Bình luận về Điều 25 tại Đoạn 76. Theo cách tiếp cận này, một người không thể đồng thời theo đuổi cả MAP và các biện pháp khắc phục pháp lý trong nước. Do đó, một vụ việc có thể được trình lên và chấp nhận cho MAP trong khi các biện pháp khắc phục trong nước vẫn còn hiệu lực. Trong những trường hợp như vậy, cơ quan có thẩm quyền của Vương quốc Anh thường sẽ yêu cầu người nộp thuế đồng ý tạm đình chỉ các biện pháp khắc phục này hoặc, nếu người nộp thuế không đồng ý, sẽ trì hoãn MAP cho đến khi các biện pháp khắc phục này được sử dụng hết. Khi việc điều chỉnh làm phát sinh MAP được thực hiện ở quốc gia kia, cơ quan có thẩm quyền của Vương quốc Anh thừa nhận rằng mặc dù người nộp thuế có thể sẵn sàng tạm đình chỉ các biện pháp khắc phục pháp lý trong nước, cơ quan thuế của quốc gia kia có thể không sẵn lòng làm như vậy. Tương tự, cơ quan có thẩm quyền của Vương quốc Anh có thể thừa nhận rằng việc theo đuổi các biện pháp khắc phục pháp lý trong nước ở một quốc gia khác có thể mất một khoảng thời gian đáng kể. Trong những trường hợp như vậy, cơ quan có thẩm quyền của Vương quốc Anh có thể sẵn lòng tiếp tục MAP trong khi quy trình pháp lý trong nước vẫn đang diễn ra, nhưng tất nhiên</w:t>
      </w:r>
    </w:p>
    <w:p>
      <w:pPr>
        <w:spacing w:after="80"/>
      </w:pPr>
      <w:r>
        <w:rPr>
          <w:b w:val="0"/>
          <w:i w:val="0"/>
        </w:rPr>
        <w:t xml:space="preserve">56. Tại đoạn 57. 57. Tại đoạn 60. 58. </w:t>
      </w:r>
      <w:r>
        <w:rPr>
          <w:b w:val="0"/>
          <w:i/>
        </w:rPr>
        <w:t>X v Belgium</w:t>
      </w:r>
      <w:r>
        <w:rPr>
          <w:b w:val="0"/>
          <w:i w:val="0"/>
        </w:rPr>
        <w:t>, Hof van Cassatie van België (Tòa án Hành chính Tối cao) (Vụ án A.224.757/IX-9262) (ngày 2 tháng 6 năm 2020).</w:t>
      </w:r>
    </w:p>
    <w:p>
      <w:pPr>
        <w:spacing w:after="80"/>
      </w:pPr>
      <w:r>
        <w:rPr>
          <w:b w:val="0"/>
          <w:i w:val="0"/>
        </w:rPr>
        <w:t>598</w:t>
      </w:r>
    </w:p>
    <w:p>
      <w:pPr>
        <w:spacing w:after="80"/>
      </w:pPr>
      <w:r>
        <w:rPr>
          <w:b w:val="0"/>
          <w:i w:val="0"/>
        </w:rPr>
        <w:t>tất nhiên không thể đảm bảo rằng cơ quan có thẩm quyền của quốc gia kia sẽ sẵn lòng làm như vậy.59</w:t>
      </w:r>
    </w:p>
    <w:p>
      <w:pPr>
        <w:spacing w:after="80"/>
      </w:pPr>
      <w:r>
        <w:rPr>
          <w:b w:val="0"/>
          <w:i w:val="0"/>
        </w:rPr>
        <w:t>Những tình huống tiến thoái lưỡng nan trong vấn đề này được làm nổi bật bởi thông lệ liên quan đến chuyển giá: Khi một điều chỉnh được thực hiện liên quan đến một vấn đề được nêu ra ở Vương quốc Anh và được giải quyết hoặc bằng phán quyết kháng nghị theo TMA 1970, s. 54, hoặc bằng tòa án, Vương quốc Anh sẽ tiếp nhận vấn đề theo MAP với đối tác hiệp ước để có được sự đồng ý của quốc gia đó về một điều chỉnh tương ứng. Những hàm ý chính xác của cách tiếp cận này đã làm phát sinh một số tranh cãi. TMA 1970, s. 54, quy định việc giải quyết kháng nghị bằng thỏa thuận. Hiệu lực của điều khoản này là việc giải quyết bằng thỏa thuận được coi là phán quyết của Hội đồng xét xử. Hiệu lực của điều này sẽ là giới hạn MAP trong việc tìm kiếm biện pháp khắc phục tương ứng ở quốc gia ký kết kia, khi tranh chấp đã được giải quyết bằng thỏa thuận giữa HMRC và người nộp thuế. Kết quả của các cuộc thảo luận giữa HMRC và các tổ chức nghề nghiệp, HMRC đã chỉ ra rằng họ có thể sẵn lòng thảo luận về phạm vi tham gia vào các cuộc thảo luận giữa các cơ quan có thẩm quyền trước khi một quyết định đánh thuế được giải quyết. Họ cũng hoan nghênh việc thông báo sớm về các tranh chấp với cơ quan có thẩm quyền ở nước ngoài. Yêu cầu điều chỉnh tương ứng liên quan đến hành động của cơ quan có thẩm quyền ở nước ngoài phải được thực hiện trong vòng sáu năm và yêu cầu có thể được thực hiện trong vòng sáu năm ngay cả khi kháng nghị đã được giải quyết bằng thỏa thuận theo s. 54 hoặc trước đó.60 Cơ quan có thẩm quyền của Vương quốc Anh thừa nhận rằng các cuộc điều tra có thể mất nhiều năm để giải quyết và do đó sẽ chấp nhận các yêu cầu bảo vệ.</w:t>
      </w:r>
    </w:p>
    <w:p>
      <w:pPr>
        <w:spacing w:after="80"/>
      </w:pPr>
      <w:r>
        <w:rPr>
          <w:b w:val="0"/>
          <w:i w:val="0"/>
        </w:rPr>
        <w:t xml:space="preserve">Điều này có thể phát sinh trong các lĩnh vực khác như được minh họa bởi quyết định của các Ủy viên Đặc biệt trong </w:t>
      </w:r>
      <w:r>
        <w:rPr>
          <w:b w:val="0"/>
          <w:i/>
        </w:rPr>
        <w:t>Financial Institution v IRC</w:t>
      </w:r>
      <w:r>
        <w:rPr>
          <w:b w:val="0"/>
          <w:i w:val="0"/>
        </w:rPr>
        <w:t>.61 Quyết định liên quan đến một đơn yêu cầu vào năm 2002 của Cơ quan Thuế để đưa một kháng nghị ra xét xử. Người nộp thuế đã kháng nghị vào năm 1996 chống lại việc từ chối các yêu cầu tín dụng thuế trong các năm tính thuế 1991-1993. Người nộp thuế đồng thời đang tranh chấp với cơ quan thuế nước ngoài trong cùng thời kỳ, và việc giải quyết tranh chấp nước ngoài có thể đã loại bỏ nhu cầu kháng nghị tại Vương quốc Anh. Ủy viên Đặc biệt Avery Jones lưu ý rằng có thể có hai kháng nghị tiếp theo từ tòa án sơ thẩm trong vụ kháng nghị nước ngoài. Ông chỉ đạo rằng kháng nghị được tạm hoãn cho đến khi có phán quyết của tòa án nước ngoài sơ thẩm miễn là việc đó diễn ra trong nửa đầu năm 2003.</w:t>
      </w:r>
    </w:p>
    <w:p>
      <w:pPr>
        <w:spacing w:after="80"/>
      </w:pPr>
      <w:r>
        <w:rPr>
          <w:b w:val="0"/>
          <w:i w:val="0"/>
        </w:rPr>
        <w:t xml:space="preserve">HMRC đã từ chối đồng ý tạm đình chỉ thủ tục kháng nghị đang chờ một vụ việc cho MAP trong </w:t>
      </w:r>
      <w:r>
        <w:rPr>
          <w:b w:val="0"/>
          <w:i/>
        </w:rPr>
        <w:t>Glencore Energy UK Ltd &amp; Anor v HMRC</w:t>
      </w:r>
      <w:r>
        <w:rPr>
          <w:b w:val="0"/>
          <w:i w:val="0"/>
        </w:rPr>
        <w:t>.62 Ở đó, các kháng nghị chủ yếu liên quan đến chuyển giá nhưng cũng liên quan đến các vấn đề liên quan về tín dụng thuế nước ngoài và sự tồn tại của một cơ sở thường trú. Ngoài ra, HMRC đã ban hành thông báo đánh thuế Thuế Lợi nhuận Chuyển hướng63 cho một trong các năm đang tranh chấp. Do đó, các kháng nghị liên quan đến nhiều vấn đề hiệp ước liên quan đến các điều 7, 9 và 23 của Hiệp ước Thụy Sĩ-Vương quốc Anh. Cũng được đưa ra tranh luận là liệu thuế lợi nhuận chuyển hướng có phải là một loại thuế tương tự trong phạm vi điều 2 hay không. HMRC lập luận rằng vì Hội đồng xét xử đang thụ lý các kháng nghị, vốn đã sẵn sàng</w:t>
      </w:r>
    </w:p>
    <w:p>
      <w:pPr>
        <w:spacing w:after="80"/>
      </w:pPr>
      <w:r>
        <w:rPr>
          <w:b w:val="0"/>
          <w:i w:val="0"/>
        </w:rPr>
        <w:t xml:space="preserve">59. HMRC, International Tax Manual, INTM423060. 60. SP 1/11 đoạn 18-22. 61. </w:t>
      </w:r>
      <w:r>
        <w:rPr>
          <w:b w:val="0"/>
          <w:i/>
        </w:rPr>
        <w:t>Financial Institution v Inland Revenue Commissioners</w:t>
      </w:r>
      <w:r>
        <w:rPr>
          <w:b w:val="0"/>
          <w:i w:val="0"/>
        </w:rPr>
        <w:t xml:space="preserve"> (2002) Sp C 346. 62. </w:t>
      </w:r>
      <w:r>
        <w:rPr>
          <w:b w:val="0"/>
          <w:i/>
        </w:rPr>
        <w:t>Glencore Energy UK Ltd &amp; Anor v Revenue &amp; Customs Commissioners</w:t>
      </w:r>
      <w:r>
        <w:rPr>
          <w:b w:val="0"/>
          <w:i w:val="0"/>
        </w:rPr>
        <w:t xml:space="preserve"> [2019] UKFTT 438, [2019] TC 07252. 63. Xem Chương 9, §9.17.</w:t>
      </w:r>
    </w:p>
    <w:p>
      <w:pPr>
        <w:spacing w:after="80"/>
      </w:pPr>
      <w:r>
        <w:rPr>
          <w:b w:val="0"/>
          <w:i w:val="0"/>
        </w:rPr>
        <w:t>599</w:t>
      </w:r>
    </w:p>
    <w:p>
      <w:pPr>
        <w:spacing w:after="80"/>
      </w:pPr>
      <w:r>
        <w:rPr>
          <w:b w:val="0"/>
          <w:i w:val="0"/>
        </w:rPr>
        <w:t>tiến tới một phiên xét xử nội dung, thủ tục tố tụng không nên bị tạm đình chỉ vô thời hạn. Họ cho rằng các căn cứ kháng nghị được trình bày chi tiết và không chỉ mang tính bảo vệ, và rằng đơn yêu cầu tạm đình chỉ được đưa ra quá muộn. Tòa án Sơ thẩm (First-tier Tribunal) chấp nhận lập luận của người nộp thuế rằng MAP có khả năng giải quyết các vấn đề, cơ quan có thẩm quyền của Thụy Sĩ đã chấp nhận vụ việc và Bình luận của OECD đã rõ ràng rằng người nộp thuế có quyền lựa chọn tiến hành kháng nghị trước Hội đồng xét xử hay khởi xướng MAP. Nếu không có lệnh tạm đình chỉ, người nộp thuế sẽ bị từ chối một cách bất công quyền yêu cầu trọng tài theo điều 24(5).64 Hơn nữa, cả hai bên đều có thể yêu cầu dỡ bỏ lệnh tạm đình chỉ. Hội đồng xét xử đã chỉ đạo tạm đình chỉ kháng nghị cho đến khi có kết quả cuối cùng của MAP, bao gồm cả bất kỳ trọng tài nào.</w:t>
      </w:r>
    </w:p>
    <w:p>
      <w:pPr>
        <w:spacing w:after="80"/>
      </w:pPr>
      <w:r>
        <w:rPr>
          <w:b/>
          <w:i w:val="0"/>
        </w:rPr>
        <w:t>§20.09 MAP: CÁC PHƯƠNG THỨC GIẢM NHẸ</w:t>
      </w:r>
    </w:p>
    <w:p>
      <w:pPr>
        <w:spacing w:after="80"/>
      </w:pPr>
      <w:r>
        <w:rPr>
          <w:b w:val="0"/>
          <w:i w:val="0"/>
        </w:rPr>
        <w:t>MAP là một biện pháp khắc phục không hoàn hảo ở chỗ các quốc gia ký kết chỉ được yêu cầu ‘nỗ lực’ giải quyết khó khăn, chứ không phải thực sự giải quyết chúng. Khi đạt được thỏa thuận bởi các cơ quan có thẩm quyền, các hiệp ước tuân theo mô hình OECD yêu cầu bất kỳ thỏa thuận nào đạt được phải được thực hiện bất chấp mọi giới hạn thời gian trong luật trong nước của các quốc gia ký kết. Hiệp ước Thuế Thu nhập Trung Quốc-Vương quốc Anh (2011) cũng yêu cầu thực hiện bất chấp mọi hạn chế thủ tục khác trong luật trong nước của các quốc gia ký kết.65</w:t>
      </w:r>
    </w:p>
    <w:p>
      <w:pPr>
        <w:spacing w:after="80"/>
      </w:pPr>
      <w:r>
        <w:rPr>
          <w:b w:val="0"/>
          <w:i w:val="0"/>
        </w:rPr>
        <w:t>Kinh nghiệm của Vương quốc Anh cho thấy rằng hầu hết các vấn đề cuối cùng đều được giải quyết, mặc dù trong nhiều trường hợp điều này có thể mất một khoảng thời gian đáng kể.</w:t>
      </w:r>
    </w:p>
    <w:p>
      <w:pPr>
        <w:spacing w:after="80"/>
      </w:pPr>
      <w:r>
        <w:rPr>
          <w:b w:val="0"/>
          <w:i w:val="0"/>
        </w:rPr>
        <w:t>Luật trong nước dự liệu hai cách để một vụ việc có thể được giải quyết khi một người bị đánh thuế ở Vương quốc Anh hoặc quốc gia ký kết kia không phù hợp với hiệp ước liên quan. TIOPA 2010, s. 124(1)(b) cho phép HMRC hoặc đưa ra giải pháp cho vụ việc hoặc thực hiện một thỏa thuận song phương với các cơ quan có thẩm quyền của quốc gia ký kết kia. Do đó, cơ quan có thẩm quyền của Vương quốc Anh có thể tự mình kết luận một vụ việc được trình lên với lý do rằng việc đánh thuế do quốc gia kia áp đặt hoặc đề xuất (thường là quốc gia nguồn) là phù hợp với hiệp ước và đơn phương giảm nhẹ bất kỳ việc đánh thuế hai lần nào mà không cần tham khảo ý kiến quốc gia kia. Điều này có thể xảy ra ngay cả khi cơ quan có thẩm quyền của quốc gia kia không sẵn lòng tham gia MAP hoặc không thể làm như vậy vì lý do pháp lý trong nước.66 Trong trường hợp như vậy, hoặc vấn đề được tiếp nhận với cơ quan có thẩm quyền của quốc gia kia và đã đạt được thỏa thuận, HMRC phải thực thi giải pháp hoặc thỏa thuận song phương ‘bất chấp bất kỳ quy định nào trong bất kỳ văn bản luật nào’ – điều này trao cho HMRC quyền hạn rộng rãi để điều chỉnh các quy tắc thuế nhằm thực thi một hiệp ước, hoặc đơn phương hoặc bằng thỏa thuận song phương. Bất kỳ điều chỉnh nào phù hợp do hệ quả có thể được thực hiện dù bằng cách xóa nợ hoặc hoàn thuế, cho phép tín dụng trừ vào thuế phải nộp ở Vương quốc Anh, thực hiện một quyết định đánh thuế hay bằng cách khác.67</w:t>
      </w:r>
    </w:p>
    <w:p>
      <w:pPr>
        <w:spacing w:after="80"/>
      </w:pPr>
      <w:r>
        <w:rPr>
          <w:b w:val="0"/>
          <w:i w:val="0"/>
        </w:rPr>
        <w:t xml:space="preserve">64. Xem </w:t>
      </w:r>
      <w:r>
        <w:rPr>
          <w:b w:val="0"/>
          <w:i/>
        </w:rPr>
        <w:t>e</w:t>
      </w:r>
      <w:r>
        <w:rPr>
          <w:b w:val="0"/>
          <w:i w:val="0"/>
        </w:rPr>
        <w:t xml:space="preserve"> §20.13, Chương 18, §18.09 và Chương 21.65. Hiệp định thuế Trung Quốc – Vương quốc Anh (2011), điều 25(2).66. HMRC, Sổ tay Quốc tế, INTM423070.67. TIOPA 2010, mục 124(3).</w:t>
      </w:r>
    </w:p>
    <w:p>
      <w:pPr>
        <w:spacing w:after="80"/>
      </w:pPr>
      <w:r>
        <w:rPr>
          <w:b w:val="0"/>
          <w:i w:val="0"/>
        </w:rPr>
        <w:t>600</w:t>
      </w:r>
    </w:p>
    <w:p>
      <w:pPr>
        <w:spacing w:after="80"/>
      </w:pPr>
      <w:r>
        <w:rPr>
          <w:b w:val="0"/>
          <w:i w:val="0"/>
        </w:rPr>
        <w:t>Sau khi có thỏa thuận giữa các cơ quan có thẩm quyền, người nộp thuế tại Vương quốc Anh thông thường sẽ được mời nộp bản tính thuế đã chỉnh sửa phản ánh khoản giảm trừ đã thỏa thuận. Điều này cần được thực hiện dưới hình thức một yêu cầu như quy định tại mục 124(3). Một thời hạn bổ sung được áp đặt cho việc yêu cầu giảm trừ. Khi một vụ việc được giải quyết thông qua thủ tục này, yêu cầu giảm trừ theo bất kỳ quy định nào của Taxes Acts, thuế lợi tức vốn hoặc thuế doanh thu dầu khí có thể được thực hiện theo kết quả giải quyết vào bất kỳ thời điểm nào trong vòng mười hai tháng sau khi thông báo kết quả giải quyết cho người bị ảnh hưởng. Điều này áp dụng bất kể các thời hạn khác để thực hiện yêu cầu.68 Một khi kết quả giải quyết được các cơ quan có thẩm quyền đồng ý, nó ràng buộc họ.69</w:t>
      </w:r>
    </w:p>
    <w:p>
      <w:pPr>
        <w:spacing w:after="80"/>
      </w:pPr>
      <w:r>
        <w:rPr>
          <w:b/>
          <w:i w:val="0"/>
        </w:rPr>
        <w:t>§20.10 MAP: GIẢI THÍCH HOẶC ÁP DỤNG HIỆP ĐỊNH</w:t>
      </w:r>
    </w:p>
    <w:p>
      <w:pPr>
        <w:spacing w:after="80"/>
      </w:pPr>
      <w:r>
        <w:rPr>
          <w:b w:val="0"/>
          <w:i w:val="0"/>
        </w:rPr>
        <w:t>Các điều khoản thỏa thuận song phương điển hình không chỉ quy định việc viện dẫn thủ tục để giải quyết các vụ việc cá nhân về việc áp dụng một hiệp định, mà còn trao thẩm quyền cho các quốc gia ký kết để 'giải quyết bằng thỏa thuận song phương mọi khó khăn hoặc nghi ngờ phát sinh liên quan đến việc giải thích hoặc áp dụng Công ước'. Thẩm quyền thứ hai này không cần người nộp thuế viện dẫn mà là cơ chế để duy trì hoạt động lành mạnh của hiệp định. Nó có thể tạo thuận lợi cho các vấn đề thực tiễn, chẳng hạn như việc vận hành các thủ tục giảm trừ tại nguồn, hoặc việc áp dụng hiệp định cho các hoàn cảnh trong nước đã thay đổi. Cũng có những vấn đề cụ thể cần được giải quyết bằng thỏa thuận song phương. Phổ biến nhất là việc giải quyết tình trạng cư trú kép theo điều 4(2)(d) của OECD Model, khi các tiêu chí phá vỡ thế cân bằng khác không đưa ra được kết quả. Trong Hiệp định Vương quốc Anh – Hoa Kỳ, một danh sách các hạng mục phù hợp để thỏa thuận về việc giải thích hoặc áp dụng hiệp định được xác định. Các cơ quan có thẩm quyền có thể đồng ý:</w:t>
      </w:r>
    </w:p>
    <w:p>
      <w:pPr>
        <w:spacing w:after="80"/>
      </w:pPr>
      <w:r>
        <w:rPr>
          <w:b w:val="0"/>
          <w:i w:val="0"/>
        </w:rPr>
        <w:t>(a) về cùng một cách phân bổ thu nhập, các khoản khấu trừ, tín dụng hoặc trợ cấp của một</w:t>
      </w:r>
    </w:p>
    <w:p>
      <w:pPr>
        <w:spacing w:after="80"/>
      </w:pPr>
      <w:r>
        <w:rPr>
          <w:b w:val="0"/>
          <w:i w:val="0"/>
        </w:rPr>
        <w:t>doanh nghiệp của một Quốc gia ký kết cho cơ sở thường trú của nó đặt tại Quốc gia ký kết kia; (b) về cùng một cách phân bổ thu nhập, các khoản khấu trừ, tín dụng hoặc trợ cấp giữa</w:t>
      </w:r>
    </w:p>
    <w:p>
      <w:pPr>
        <w:spacing w:after="80"/>
      </w:pPr>
      <w:r>
        <w:rPr>
          <w:b w:val="0"/>
          <w:i w:val="0"/>
        </w:rPr>
        <w:t>các cá nhân; (c) về cùng một cách phân loại các hạng mục thu nhập cụ thể, bao gồm cùng một cách phân loại thu nhập được luật thuế của một trong các Quốc gia ký kết coi tương đương với thu nhập từ cổ phần và được Quốc gia ký kết kia coi là một loại thu nhập khác; (d) về cùng một cách phân loại các cá nhân;</w:t>
      </w:r>
    </w:p>
    <w:p>
      <w:pPr>
        <w:spacing w:after="80"/>
      </w:pPr>
      <w:r>
        <w:rPr>
          <w:b w:val="0"/>
          <w:i w:val="0"/>
        </w:rPr>
        <w:t>(e) về cùng một cách áp dụng các quy tắc nguồn đối với các hạng mục thu nhập cụ thể;</w:t>
      </w:r>
    </w:p>
    <w:p>
      <w:pPr>
        <w:spacing w:after="80"/>
      </w:pPr>
      <w:r>
        <w:rPr>
          <w:b w:val="0"/>
          <w:i w:val="0"/>
        </w:rPr>
        <w:t>thu nhập; (f) về một nghĩa chung của một thuật ngữ; (g) rằng các điều kiện để áp dụng câu thứ hai của khoản 5</w:t>
      </w:r>
    </w:p>
    <w:p>
      <w:pPr>
        <w:spacing w:after="80"/>
      </w:pPr>
      <w:r>
        <w:rPr>
          <w:b w:val="0"/>
          <w:i w:val="0"/>
        </w:rPr>
        <w:t>của Điều 7 (Lợi nhuận kinh doanh), khoản 9 của Điều 10 (Cổ tức), khoản 7 của Điều 11 (Tiền lãi), khoản 5 của Điều 12 (Tiền bản quyền), hoặc khoản 4 của Điều 22 (Thu nhập khác) của Công ước này được đáp ứng; và</w:t>
      </w:r>
    </w:p>
    <w:p>
      <w:pPr>
        <w:spacing w:after="80"/>
      </w:pPr>
      <w:r>
        <w:rPr>
          <w:b w:val="0"/>
          <w:i w:val="0"/>
        </w:rPr>
        <w:t>68. TIOPA 2010, mục 124(4).69.</w:t>
      </w:r>
      <w:r>
        <w:rPr>
          <w:b w:val="0"/>
          <w:i/>
        </w:rPr>
        <w:t>ADIT v P &amp; O Nedlloyd Ltd</w:t>
      </w:r>
      <w:r>
        <w:rPr>
          <w:b w:val="0"/>
          <w:i w:val="0"/>
        </w:rPr>
        <w:t xml:space="preserve"> [2016] 242 Taxman 107 (SC). Ở đó người nộp thuế đã chấp nhận một kết quả giải quyết MAP theo điều 27 của Hiệp định Thu nhập Ấn Độ – Vương quốc Anh.</w:t>
      </w:r>
    </w:p>
    <w:p>
      <w:pPr>
        <w:spacing w:after="80"/>
      </w:pPr>
      <w:r>
        <w:rPr>
          <w:b w:val="0"/>
          <w:i w:val="0"/>
        </w:rPr>
        <w:t>601</w:t>
      </w:r>
    </w:p>
    <w:p>
      <w:pPr>
        <w:spacing w:after="80"/>
      </w:pPr>
      <w:r>
        <w:rPr>
          <w:b w:val="0"/>
          <w:i w:val="0"/>
        </w:rPr>
        <w:t>(h) về việc áp dụng các quy định của luật trong nước liên quan đến các hình phạt,</w:t>
      </w:r>
    </w:p>
    <w:p>
      <w:pPr>
        <w:spacing w:after="80"/>
      </w:pPr>
      <w:r>
        <w:rPr>
          <w:b w:val="0"/>
          <w:i w:val="0"/>
        </w:rPr>
        <w:t>tiền phạt và tiền lãi theo cách phù hợp với mục đích của Công ước này.70</w:t>
      </w:r>
    </w:p>
    <w:p>
      <w:pPr>
        <w:spacing w:after="80"/>
      </w:pPr>
      <w:r>
        <w:rPr>
          <w:b w:val="0"/>
          <w:i w:val="0"/>
        </w:rPr>
        <w:t>fines, and interest in a manner consistent with the purposes of this Conven-tion.70</w:t>
      </w:r>
    </w:p>
    <w:p>
      <w:pPr>
        <w:spacing w:after="80"/>
      </w:pPr>
      <w:r>
        <w:rPr>
          <w:b w:val="0"/>
          <w:i w:val="0"/>
        </w:rPr>
        <w:t>Trong trao đổi công hàm ngày 24 tháng 7 năm 2001 về Hiệp định Thuế Thu nhập giữa Vương quốc Anh và Hoa Kỳ, các cơ quan có thẩm quyền đã đồng ý công bố bất kỳ nguyên tắc áp dụng chung nào được thiết lập theo thỏa thuận giữa họ. Thẩm quyền này không phải ít khi được sử dụng.71 Bất kỳ thỏa thuận nào chưa được công bố sẽ không có hiệu lực ràng buộc trong các thủ tục pháp lý. Hai thỏa thuận giữa cơ quan có thẩm quyền của HMRC và Cơ quan Thuế Nội địa Hoa Kỳ (US Internal Revenue Service) đã được ký kết theo Hiệp định Hoa Kỳ năm 2001. Địa vị của các thỏa thuận này bắt nguồn từ thẩm quyền được trao theo Điều 26(3) của hiệp định đó để ký kết các thỏa thuận như vậy.72 Xem Chương 4, §4.04. Trên thực tế, các thỏa thuận như vậy dù sao cũng được công bố mà không có các tuyên bố về ý định đó.73</w:t>
      </w:r>
    </w:p>
    <w:p>
      <w:pPr>
        <w:spacing w:after="80"/>
      </w:pPr>
      <w:r>
        <w:rPr>
          <w:b/>
          <w:i w:val="0"/>
        </w:rPr>
        <w:t>§20.11 MAP: LOẠI TRỪ ĐÁNH THUẾ HAI LẦN KHÔNG ĐƯỢC QUY ĐỊNH</w:t>
      </w:r>
    </w:p>
    <w:p>
      <w:pPr>
        <w:spacing w:after="80"/>
      </w:pPr>
      <w:r>
        <w:rPr>
          <w:b w:val="0"/>
          <w:i w:val="0"/>
        </w:rPr>
        <w:t>Khi các hiệp định quy định rằng các cơ quan có thẩm quyền cũng có thể tham vấn với nhau để loại trừ việc đánh thuế hai lần trong các trường hợp không được quy định trong hiệp định, điều này cung cấp một cơ chế kết hợp với TIOPA 2010, ss 124 và 125 để giải quyết bất kỳ việc đánh thuế hai lần nào không được hiệp định đề cập. Điều này có thể hữu ích, ví dụ, trong các trường hợp liên quan đến những người không cư trú tạm thời quay trở lại Vương quốc Anh trong vòng năm năm.74 Trong những trường hợp như vậy, họ có thể phải chịu thuế với tư cách là cư dân của Vương quốc Anh và của quốc gia kia, điều mà không thể giải quyết bằng quy tắc phá vỡ thế cân bằng (tiebreaker) trong Điều 4(2). Các cơ quan có thẩm quyền được yêu cầu 'tham vấn' chứ không phải 'cố gắng'. Theo một quan điểm, điều này không tạo ra nghĩa vụ giải quyết việc đánh thuế hai lần như vậy. Tuy nhiên, quan điểm đúng đắn hơn, dựa trên mục đích của hiệp định, là việc tham vấn để loại trừ đánh thuế hai lần phải yêu cầu họ đạt được kết quả đó.</w:t>
      </w:r>
    </w:p>
    <w:p>
      <w:pPr>
        <w:spacing w:after="80"/>
      </w:pPr>
      <w:r>
        <w:rPr>
          <w:b w:val="0"/>
          <w:i w:val="0"/>
        </w:rPr>
        <w:t>70. Hiệp định Thuế Hoa Kỳ - Vương quốc Anh (2001), Điều 26(3). 71. Xem, ví dụ, thỏa thuận giữa cơ quan có thẩm quyền về định nghĩa 'thông báo đầu tiên' theo khoản 1 của Điều 26 (Thủ tục Thỏa thuận Song phương) của Công ước giữa Hợp chủng quốc Hoa Kỳ và Vương quốc Anh và Bắc Ireland về việc tránh đánh thuế hai lần đối với thuế thu nhập, được ký tại London ngày 24 tháng 7 năm 2001; Biên bản Ghi nhớ về các chương trình hưu trí dựa trên Điều 24 của công ước giữa Vương quốc Anh và Bắc Ireland (UK) và Liên bang Thụy Sĩ về việc tránh đánh thuế hai lần đối với thuế thu nhập ngày 8 tháng 12 năm 1977, được ký tại London ngày 12 tháng 2 năm 2008. Xem SP 1/11, các khoản 29 và 30 về quan điểm của HMRC. 72. Các thỏa thuận giữa cơ quan có thẩm quyền bao gồm một thỏa thuận về việc đủ điều kiện của một số chương trình hưu trí hoặc thỏa thuận nghỉ hưu khác của Vương quốc Anh ngày 1 tháng 5 năm 2005, và một thỏa thuận giữa cơ quan có thẩm quyền về Tổn thất Hợp nhất Song phương giữa Vương quốc Anh và Hoa Kỳ được ký ngày 6 tháng 10 năm 2006. 73. Xem, ví dụ, Biên bản Ghi nhớ về các Chương trình Hưu trí và Biên bản Ghi nhớ về các Phương tiện Đầu tư, mỗi văn bản ngày 12 tháng 2 năm 2008 và được lập theo Điều 24 của Hiệp định Thuế Thụy Sĩ - Vương quốc Anh (1977). 74. FA 2013, Sch. 43, Phần 4.</w:t>
      </w:r>
    </w:p>
    <w:p>
      <w:pPr>
        <w:spacing w:after="80"/>
      </w:pPr>
      <w:r>
        <w:rPr>
          <w:b w:val="0"/>
          <w:i w:val="0"/>
        </w:rPr>
        <w:t>602</w:t>
      </w:r>
    </w:p>
    <w:p>
      <w:pPr>
        <w:spacing w:after="80"/>
      </w:pPr>
      <w:r>
        <w:rPr>
          <w:b/>
          <w:i w:val="0"/>
        </w:rPr>
        <w:t>§20.12 MAP: LIÊN LẠC GIỮA CÁC CƠ QUAN CÓ THẨM QUYỀN</w:t>
      </w:r>
    </w:p>
    <w:p>
      <w:pPr>
        <w:spacing w:after="80"/>
      </w:pPr>
      <w:r>
        <w:rPr>
          <w:b w:val="0"/>
          <w:i w:val="0"/>
        </w:rPr>
        <w:t>Điều khoản của hiệp định thường cho phép các cơ quan có thẩm quyền 'liên lạc với nhau'. Mặc dù phạm vi chính xác của thẩm quyền này không được xác định rõ ràng, các điều khoản MAP luôn được tìm thấy kết hợp với các quy định về trao đổi thông tin. Điều này hỗ trợ quá trình thỏa thuận song phương, vốn nhất thiết liên quan đến việc chia sẻ thông tin. Việc liên lạc cho mục đích MAP không được sử dụng cho bất kỳ mục đích nào khác. Các quy định này đã được giải thích là cho phép các cơ quan có thẩm quyền phát triển các thủ tục, điều kiện, phương pháp và kỹ thuật song phương phù hợp để thực hiện MAP được quy định trong điều khoản đó. Trong một Biên bản Ghi nhớ giữa cơ quan có thẩm quyền Vương quốc Anh và Ấn Độ, ví dụ, việc tạm dừng thu thuế trong thời gian MAP để tránh gây khó khăn cho người nộp thuế tham gia vào tranh chấp với cả hai cơ quan được giải quyết bằng việc cung cấp một bảo lãnh ngân hàng để bảo đảm khoản thuế đang tranh chấp và tiền lãi phát sinh trên đó.75</w:t>
      </w:r>
    </w:p>
    <w:p>
      <w:pPr>
        <w:spacing w:after="80"/>
      </w:pPr>
      <w:r>
        <w:rPr>
          <w:b/>
          <w:i w:val="0"/>
        </w:rPr>
        <w:t>§20.13 MAP: TRỌNG TÀI</w:t>
      </w:r>
    </w:p>
    <w:p>
      <w:pPr>
        <w:spacing w:after="80"/>
      </w:pPr>
      <w:r>
        <w:rPr>
          <w:b w:val="0"/>
          <w:i w:val="0"/>
        </w:rPr>
        <w:t xml:space="preserve">Các giới hạn của MAP được HMRC nêu rõ trong </w:t>
      </w:r>
      <w:r>
        <w:rPr>
          <w:b w:val="0"/>
          <w:i/>
        </w:rPr>
        <w:t>Sổ tay Quốc tế</w:t>
      </w:r>
      <w:r>
        <w:rPr>
          <w:b w:val="0"/>
          <w:i w:val="0"/>
        </w:rPr>
        <w:t>:</w:t>
      </w:r>
    </w:p>
    <w:p>
      <w:pPr>
        <w:spacing w:after="80"/>
      </w:pPr>
      <w:r>
        <w:rPr>
          <w:b w:val="0"/>
          <w:i w:val="0"/>
        </w:rPr>
        <w:t>Điều rất quan trọng là phải nhận ra rằng thủ tục thỏa thuận song phương không đảm bảo việc loại trừ đánh thuế hai lần. Hiệp định nói rằng các cơ quan có thẩm quyền sẽ 'cố gắng' làm điều đó. Trong phần lớn các trường hợp, điều này đạt được nhưng không có gì đảm bảo. Hoàn toàn có thể xảy ra việc mỗi cơ quan có thẩm quyền sẽ tin (và có những lý do rất chính đáng để tin) rằng giá giao dịch độc lập (arm's length price) là khác nhau và điều này sẽ dẫn đến việc đánh thuế hai lần không được giảm trừ. Điều này chỉ có thể xảy ra trong trường hợp cực đoan.76</w:t>
      </w:r>
    </w:p>
    <w:p>
      <w:pPr>
        <w:spacing w:after="80"/>
      </w:pPr>
      <w:r>
        <w:rPr>
          <w:b w:val="0"/>
          <w:i w:val="0"/>
        </w:rPr>
        <w:t>Bất chấp tỷ lệ thành công cao được tuyên bố, quá trình này có thể kéo dài qua nhiều năm, đặc biệt trong các trường hợp chuyển giá. Việc MAP không thể đảm bảo giải quyết cuối cùng các vấn đề phát sinh theo hiệp định đã được coi là một trong những trở ngại chính để đảm bảo một MAP hiệu quả. Theo đó, EU và OECD77 và UN78 đã tán thành trọng tài ràng buộc bắt buộc như một cơ chế để đạt được sự chắc chắn. Ngoài Công ước Trọng tài EC,79 tài liệu tham khảo sớm nhất về điều này trong một hiệp định của Vương quốc Anh là trong trao đổi công hàm với Hiệp định Vương quốc Anh - Azerbaijan liên quan đến Điều 26(2) (MAP), trong đó cơ quan có thẩm quyền của Vương quốc Anh đồng ý thông báo cho cơ quan có thẩm quyền của Azerbaijan nếu có thay đổi trong luật nội địa của Vương quốc Anh cho phép trọng tài ràng buộc, với mục đích đàm phán một nghị định thư để quy định thủ tục như vậy. Trọng tài theo Phần VI của MLI80 và Chỉ thị EU về giải quyết tranh chấp</w:t>
      </w:r>
    </w:p>
    <w:p>
      <w:pPr>
        <w:spacing w:after="80"/>
      </w:pPr>
      <w:r>
        <w:rPr>
          <w:b w:val="0"/>
          <w:i w:val="0"/>
        </w:rPr>
        <w:t>75. Biên bản Ghi nhớ Vương quốc Anh - Ấn Độ ngày 19 tháng 3 năm 2004 được lập theo Điều 27 của Hiệp định Thuế Ấn Độ - Vương quốc Anh (1993). 76. HMRC, Sổ tay Thuế Quốc tế, INTM470010. 77. Hiệp định Mẫu OECD, Điều 25(5) được chèn vào năm 2008. 78. Hiệp định Mẫu UN, Điều 25(5) (phương án B) được chèn vào năm 2017. Mô hình trọng tài của UN khác với các mô hình khác ở chỗ trọng tài được tiến hành theo yêu cầu của cơ quan có thẩm quyền chứ không phải của người nộp thuế. 79. Được thảo luận tại Chương 21, §§21.03ff. 80. Xem Chương 18, §18.09.</w:t>
      </w:r>
    </w:p>
    <w:p>
      <w:pPr>
        <w:spacing w:after="80"/>
      </w:pPr>
      <w:r>
        <w:rPr>
          <w:b w:val="0"/>
          <w:i w:val="0"/>
        </w:rPr>
        <w:t>603</w:t>
      </w:r>
    </w:p>
    <w:p>
      <w:pPr>
        <w:spacing w:after="80"/>
      </w:pPr>
      <w:r>
        <w:rPr>
          <w:b w:val="0"/>
          <w:i w:val="0"/>
        </w:rPr>
        <w:t>giải quyết tranh chấp81 đưa ra các mô hình trọng tài phát triển hơn và tiên tiến hơn. Pháp luật nội địa hiện hành của Vương quốc Anh trong TIOPA 2010, ss 124 và 125, có thể đáp ứng được trọng tài, ngoại trừ việc không có quy định nào về việc tiết lộ thông tin cho các trọng tài viên.</w:t>
      </w:r>
    </w:p>
    <w:p>
      <w:pPr>
        <w:spacing w:after="80"/>
      </w:pPr>
      <w:r>
        <w:rPr>
          <w:b w:val="0"/>
          <w:i w:val="0"/>
        </w:rPr>
        <w:t>Các hiệp định năm 2008 với Pháp và Hà Lan là những hiệp định đầu tiên của Vương quốc Anh bao gồm một cơ chế trọng tài ràng buộc theo mô hình của Hiệp định Mẫu OECD.82 Điều này đã trở thành thông lệ phổ biến trong các hiệp định gần đây của Vương quốc Anh với một số ngoại lệ hạn chế: Croatia (2015), Senegal (2015) và Zambia (2014). Quyền cơ bản đối với trọng tài trong Hiệp định Pháp - Vương quốc Anh có nội dung như sau:</w:t>
      </w:r>
    </w:p>
    <w:p>
      <w:pPr>
        <w:spacing w:after="80"/>
      </w:pPr>
      <w:r>
        <w:rPr>
          <w:b w:val="0"/>
          <w:i w:val="0"/>
        </w:rPr>
        <w:t>26(5) Khi,</w:t>
      </w:r>
    </w:p>
    <w:p>
      <w:pPr>
        <w:spacing w:after="80"/>
      </w:pPr>
      <w:r>
        <w:rPr>
          <w:b w:val="0"/>
          <w:i w:val="0"/>
        </w:rPr>
        <w:t>(a) theo khoản 1, một người đã trình bày vụ việc lên cơ quan có thẩm quyền</w:t>
      </w:r>
    </w:p>
    <w:p>
      <w:pPr>
        <w:spacing w:after="80"/>
      </w:pPr>
      <w:r>
        <w:rPr>
          <w:b w:val="0"/>
          <w:i w:val="0"/>
        </w:rPr>
        <w:t>của một Quốc gia ký kết với lý do rằng hành động của một hoặc cả hai Quốc gia ký kết đã dẫn đến việc người đó bị đánh thuế không phù hợp với các quy định của Công ước này; và (b) các cơ quan có thẩm quyền không thể đạt được thỏa thuận để giải quyết</w:t>
      </w:r>
    </w:p>
    <w:p>
      <w:pPr>
        <w:spacing w:after="80"/>
      </w:pPr>
      <w:r>
        <w:rPr>
          <w:b w:val="0"/>
          <w:i w:val="0"/>
        </w:rPr>
        <w:t>vụ việc đó theo khoản 2 trong vòng hai năm kể từ ngày trình bày vụ việc lên cơ quan có thẩm quyền của Quốc gia ký kết kia;</w:t>
      </w:r>
    </w:p>
    <w:p>
      <w:pPr>
        <w:spacing w:after="80"/>
      </w:pPr>
      <w:r>
        <w:rPr>
          <w:b w:val="0"/>
          <w:i w:val="0"/>
        </w:rPr>
        <w:t>bất kỳ vấn đề chưa được giải quyết nào phát sinh từ vụ việc đó sẽ được đưa ra trọng tài nếu người đó yêu cầu.</w:t>
      </w:r>
    </w:p>
    <w:p>
      <w:pPr>
        <w:spacing w:after="80"/>
      </w:pPr>
      <w:r>
        <w:rPr>
          <w:b w:val="0"/>
          <w:i w:val="0"/>
        </w:rPr>
        <w:t>Trọng tài không phải là một phương án thay thế cho việc giải quyết bằng thỏa thuận giữa các cơ quan có thẩm quyền. Nếu họ đã đồng ý với nhau, thì không thể có trọng tài. Mặt khác, nếu họ không đồng ý, thì vấn đề phải được đưa ra trọng tài. OECD cũng đã nêu ra khả năng sử dụng các phương pháp giải quyết tranh chấp thay thế, chẳng hạn như hòa giải83 hoặc chuyên gia.84</w:t>
      </w:r>
    </w:p>
    <w:p>
      <w:pPr>
        <w:spacing w:after="80"/>
      </w:pPr>
      <w:r>
        <w:rPr>
          <w:b w:val="0"/>
          <w:i w:val="0"/>
        </w:rPr>
        <w:t>Lợi ích của các quy định như vậy ngay cả với các Quốc gia thành viên EU khác là các bên tham gia Công ước Trọng tài là việc trọng tài theo các quy tắc này bao quát tất cả các câu hỏi chưa được giải quyết theo các hiệp ước tương ứng, không chỉ nguyên tắc giao dịch độc lập (arm's-length principle).85 Người nộp thuế được trao quyền lựa chọn chấp nhận quyết định của các trọng tài viên, nhưng tính ràng buộc của trọng tài, nếu những người nộp thuế bị ảnh hưởng thực sự đồng ý, được diễn đạt như sau:</w:t>
      </w:r>
    </w:p>
    <w:p>
      <w:pPr>
        <w:spacing w:after="80"/>
      </w:pPr>
      <w:r>
        <w:rPr>
          <w:b w:val="0"/>
          <w:i w:val="0"/>
        </w:rPr>
        <w:t>Trừ khi một người bị ảnh hưởng trực tiếp bởi vụ việc không chấp nhận thỏa thuận song phương thực thi quyết định trọng tài, quyết định đó sẽ ràng buộc cả hai Quốc gia ký kết và sẽ được thực thi bất kể mọi giới hạn thời gian trong luật nội địa của các Quốc gia này.</w:t>
      </w:r>
    </w:p>
    <w:p>
      <w:pPr>
        <w:spacing w:after="80"/>
      </w:pPr>
      <w:r>
        <w:rPr>
          <w:b w:val="0"/>
          <w:i w:val="0"/>
        </w:rPr>
        <w:t>OECD khuyến nghị loại trừ các biện pháp khắc phục trong nước nếu chọn trọng tài.86</w:t>
      </w:r>
    </w:p>
    <w:p>
      <w:pPr>
        <w:spacing w:after="80"/>
      </w:pPr>
      <w:r>
        <w:rPr>
          <w:b w:val="0"/>
          <w:i w:val="0"/>
        </w:rPr>
        <w:t>Điều này được phản ánh trong Hiệp ước Pháp-Anh như sau:</w:t>
      </w:r>
    </w:p>
    <w:p>
      <w:pPr>
        <w:spacing w:after="80"/>
      </w:pPr>
      <w:r>
        <w:rPr>
          <w:b w:val="0"/>
          <w:i w:val="0"/>
        </w:rPr>
        <w:t>81.Xem Chương 21, §21.02.82.Xem thêm Hiệp ước Thuế Bỉ-Anh (1987), điều 25(5) được bổ sung bởi điều XVII(1) của Nghị định thư ngày 24 tháng 6 năm 2009; Hiệp ước Thuế Đức-Anh (2010), điều 26(5); Hiệp ước Thuế Ngân hàng Đức-Anh (2011), điều 8(5); Hiệp ước Thuế Liechtenstein-Anh (2012), điều 24(5); Hiệp ước Thuế Thụy Sĩ-Anh, điều 25(5) bởi Nghị định thư ngày 7 tháng 9 năm 2009; Hiệp ước Thuế Albania-Anh (2013), điều 25(5); Hiệp ước Thuế Na Uy-Anh (2013), điều 27(5); Hiệp ước Thuế Tây Ban Nha-Anh (2013), điều 25(5).83.Bình luận về Mẫu OECD, điều 25, khoản 86.84.Bình luận về Mẫu OECD, điều 25, khoản 86</w:t>
      </w:r>
      <w:r>
        <w:rPr>
          <w:b w:val="0"/>
          <w:i/>
        </w:rPr>
        <w:t>.</w:t>
      </w:r>
      <w:r>
        <w:rPr>
          <w:b w:val="0"/>
          <w:i w:val="0"/>
        </w:rPr>
        <w:t>85.Xem Chương 21, §§21.01ff.86.Bình luận về Mẫu OECD, điều 25, khoản 76.</w:t>
      </w:r>
    </w:p>
    <w:p>
      <w:pPr>
        <w:spacing w:after="80"/>
      </w:pPr>
      <w:r>
        <w:rPr>
          <w:b w:val="0"/>
          <w:i w:val="0"/>
        </w:rPr>
        <w:t>604</w:t>
      </w:r>
    </w:p>
    <w:p>
      <w:pPr>
        <w:spacing w:after="80"/>
      </w:pPr>
      <w:r>
        <w:rPr>
          <w:b w:val="0"/>
          <w:i w:val="0"/>
        </w:rPr>
        <w:t>Tuy nhiên, những vấn đề chưa được giải quyết này sẽ không được đưa ra trọng tài nếu một quyết định về những vấn đề này đã được tòa án hoặc cơ quan tài phán hành chính của một trong hai Quốc gia đưa ra hoặc nếu vụ việc đã được trình bày lên cơ quan có thẩm quyền của một trong hai Quốc gia theo Công ước châu Âu về việc loại bỏ đánh thuế hai lần liên quan đến việc điều chỉnh lợi nhuận của các doanh nghiệp liên kết, được ký ngày 23 tháng 7 năm 1990.</w:t>
      </w:r>
    </w:p>
    <w:p>
      <w:pPr>
        <w:spacing w:after="80"/>
      </w:pPr>
      <w:r>
        <w:rPr>
          <w:b w:val="0"/>
          <w:i w:val="0"/>
        </w:rPr>
        <w:t>Không có thứ tự ưu tiên nào được nêu ra liên quan đến Công ước Trọng tài EU, nhưng trọng tài bị loại trừ nếu một vụ việc đã được trình bày theo công ước đó. Sự loại trừ này không xuất hiện trong Hiệp ước Anh-Hà Lan. Hiệp ước Đức-Anh năm 2010 không loại trừ trọng tài nếu một tòa án hoặc cơ quan tài phán trong nước đã quyết định vấn đề. Do đó, sự tương tác chung giữa các biện pháp khắc phục trong nước và MAP sẽ được áp dụng liên quan đến hai hiệp ước này.</w:t>
      </w:r>
    </w:p>
    <w:p>
      <w:pPr>
        <w:spacing w:after="80"/>
      </w:pPr>
      <w:r>
        <w:rPr>
          <w:b w:val="0"/>
          <w:i w:val="0"/>
        </w:rPr>
        <w:t>Không phải tất cả các hiệp ước đều cho phép trọng tài giải quyết mọi lĩnh vực tranh chấp. Điều 23(7) của hiệp ước thuế hai lần Canada-Anh87 giới hạn trọng tài trong các trường hợp cư trú kép của cá nhân, sự tồn tại và việc phân bổ lợi nhuận cho các cơ sở thường trú, dịch vụ cá nhân độc lập, cũng như các điều chỉnh giao dịch độc lập cho các doanh nghiệp liên kết và các điều chỉnh quan hệ đặc biệt đối với tiền bản quyền. Bất kỳ trường hợp nào mà các quy định chống lạm dụng trong nước là vấn đề chính hoặc trường hợp đã được kháng cáo tại tòa án trong nước và chưa bị đình chỉ cũng đều bị loại trừ.88</w:t>
      </w:r>
    </w:p>
    <w:p>
      <w:pPr>
        <w:spacing w:after="80"/>
      </w:pPr>
      <w:r>
        <w:rPr>
          <w:b w:val="0"/>
          <w:i w:val="0"/>
        </w:rPr>
        <w:t>Các quy định của hiệp ước không đề cập đến các cơ chế thủ tục chi tiết để thực thi các quyền này, để cho các cơ quan có thẩm quyền của các quốc gia ký kết tự giải quyết phương thức áp dụng các quy định này bằng thỏa thuận song phương. OECD đã đề xuất một mẫu thỏa thuận mà các cơ quan có thẩm quyền có thể sử dụng làm cơ sở để thực hiện quá trình trọng tài.89 Mẫu thỏa thuận này nhằm mục đích đóng vai trò là khuôn khổ cho tất cả các cuộc trọng tài chứ không phải cho một tranh chấp cụ thể. Trọng tài theo đề nghị cuối cùng tốt nhất (last best offer arbitration) áp dụng cho các tranh chấp giữa Canada và Anh90 trong khi các quyết định có lý lẽ phải được các trọng tài viên đưa ra trong các tranh chấp giữa Đức và Anh.91 Việc đưa các quy định về trọng tài vào khuyến khích các cơ quan có thẩm quyền giải quyết tranh chấp một cách nhanh chóng và thực dụng. Việc không có thỏa thuận đã ký kết về quá trình trọng tài vẫn để ngỏ khả năng các bên trì hoãn hoặc không hợp tác.</w:t>
      </w:r>
    </w:p>
    <w:p>
      <w:pPr>
        <w:spacing w:after="80"/>
      </w:pPr>
      <w:r>
        <w:rPr>
          <w:b w:val="0"/>
          <w:i w:val="0"/>
        </w:rPr>
        <w:t>87.Công ước giữa Chính phủ Vương quốc Liên hiệp Anh và Bắc Ireland và Chính phủ Canada về việc Tránh đánh thuế hai lần và Ngăn chặn trốn thuế liên quan đến Thuế đối với Thu nhập và Lợi nhuận vốn ngày 8 tháng 9 năm 1978 (SI 1980/709), như đã sửa đổi.88.Trao đổi thư ngày 27 tháng 7 năm 2015 và ngày 11 tháng 8 năm 2015 (SI 2015/2011), khoản 6.89.Phụ lục của bình luận về Mẫu OECD, điều 25. Xem Biên bản ghi nhớ giữa các cơ quan có thẩm quyền của Đức và Anh về Điều 26 Thủ tục Thỏa thuận Song phương ngày 8 tháng 11 năm 2011 để biết một thỏa thuận dựa trên mẫu của OECD.90.Trao đổi thư ngày 27 tháng 7 năm 2015 và ngày 11 tháng 8 năm 2015 (SI 2015/2011), khoản 14.91.Biên bản ghi nhớ giữa các cơ quan có thẩm quyền của Đức và Anh về Điều 26 Thủ tục Thỏa thuận Song phương ngày 8 tháng 11 năm 2011, khoản 15.</w:t>
      </w:r>
    </w:p>
    <w:p>
      <w:pPr>
        <w:spacing w:after="80"/>
      </w:pPr>
      <w:r>
        <w:rPr>
          <w:b w:val="0"/>
          <w:i w:val="0"/>
        </w:rPr>
        <w:t>605</w:t>
      </w:r>
    </w:p>
    <w:p>
      <w:pPr>
        <w:spacing w:after="80"/>
      </w:pPr>
      <w:r>
        <w:rPr>
          <w:b/>
          <w:i w:val="0"/>
        </w:rPr>
        <w:t>§20.14 Giải quyết tranh chấp theo MAP và GATS</w:t>
      </w:r>
    </w:p>
    <w:p>
      <w:pPr>
        <w:spacing w:after="80"/>
      </w:pPr>
      <w:r>
        <w:rPr>
          <w:b w:val="0"/>
          <w:i w:val="0"/>
        </w:rPr>
        <w:t>OECD đã xác định được những vấn đề phát sinh từ việc áp dụng Hiệp định chung về Thương mại Dịch vụ (General Agreement on Trade in Services – GATS), có hiệu lực từ ngày 1 tháng 1 năm 1995 và mà Vương quốc Anh là một bên tham gia.</w:t>
      </w:r>
    </w:p>
    <w:p>
      <w:pPr>
        <w:spacing w:after="80"/>
      </w:pPr>
      <w:r>
        <w:rPr>
          <w:b w:val="0"/>
          <w:i w:val="0"/>
        </w:rPr>
        <w:t>Điều XXII(3) của GATS quy định rằng tranh chấp về việc áp dụng Điều XVII của hiệp định trong quy tắc đối xử quốc gia không thể được giải quyết theo các cơ chế giải quyết tranh chấp của Điều XXII và XXIII nếu biện pháp đang tranh chấp thuộc phạm vi của một hiệp định quốc tế liên quan đến đánh thuế hai lần. Khi có tranh chấp về việc liệu biện pháp đó có thuộc phạm vi của một hiệp định thuế hay không, một trong hai quốc gia có thể đưa vấn đề lên Hội đồng Thương mại Dịch vụ, và hội đồng này phải chuyển vấn đề sang trọng tài ràng buộc.</w:t>
      </w:r>
    </w:p>
    <w:p>
      <w:pPr>
        <w:spacing w:after="80"/>
      </w:pPr>
      <w:r>
        <w:rPr>
          <w:b w:val="0"/>
          <w:i w:val="0"/>
        </w:rPr>
        <w:t>Đã nảy sinh những cách giải thích pháp lý khó khăn liên quan đến vấn đề này. Một chú thích cuối trang nêu rằng nếu tranh chấp liên quan đến một hiệp định tồn tại vào thời điểm GATS có hiệu lực, thì vấn đề chỉ có thể được đưa lên Hội đồng Thương mại Dịch vụ nếu cả hai quốc gia đồng ý. Có một số tranh luận về địa vị pháp lý của một chú thích cuối trang.</w:t>
      </w:r>
    </w:p>
    <w:p>
      <w:pPr>
        <w:spacing w:after="80"/>
      </w:pPr>
      <w:r>
        <w:rPr>
          <w:b w:val="0"/>
          <w:i w:val="0"/>
        </w:rPr>
        <w:t>Hàm ý của chú thích cuối trang này là các hiệp định thuế sẽ được đối xử khác nhau tùy thuộc vào việc chúng được ký kết trước hay sau khi GATS có hiệu lực. OECD cho rằng điều này là không phù hợp, đặc biệt là khi một hiệp định có hiệu lực vào ngày 1 tháng 1 năm 1995 sau đó được đàm phán lại, hoặc khi một nghị định thư được bổ sung sau thời điểm đó.</w:t>
      </w:r>
    </w:p>
    <w:p>
      <w:pPr>
        <w:spacing w:after="80"/>
      </w:pPr>
      <w:r>
        <w:rPr>
          <w:b w:val="0"/>
          <w:i w:val="0"/>
        </w:rPr>
        <w:t>OECD coi cụm từ 'thuộc phạm vi' là vốn dĩ mơ hồ. Điều này được chứng minh bằng việc đưa vào cả một điều khoản trọng tài và một điều khoản miễn trừ các công ước đã tồn tại trước đó khỏi phạm vi áp dụng của nó để giải quyết những bất đồng liên quan đến ý nghĩa của nó. Theo quan điểm của OECD, một quốc gia không thể lập luận một cách thiện chí rằng một biện pháp liên quan đến thuế mà không có quy định nào của hiệp định thuế áp dụng lại thuộc phạm vi của công ước đó. OECD lập luận rằng không rõ liệu cụm từ này có bao gồm tất cả các biện pháp liên quan đến các loại thuế được điều chỉnh bởi tất cả hay chỉ một số quy định của hiệp định thuế hay không.</w:t>
      </w:r>
    </w:p>
    <w:p>
      <w:pPr>
        <w:spacing w:after="80"/>
      </w:pPr>
      <w:r>
        <w:rPr>
          <w:b w:val="0"/>
          <w:i w:val="0"/>
        </w:rPr>
        <w:t>Để tránh những khó khăn này, OECD đề xuất một điều khoản để đưa vào hiệp định, trong đó nêu rằng, nhằm mục đích của Điều XXII(3)3 của GATS, mọi tranh chấp về việc áp dụng hiệp định thuế đang xét sẽ chỉ được đưa lên Hội đồng Thương mại Dịch vụ khi có sự đồng ý của cả hai bên ký kết. OECD khuyến nghị rằng việc giải thích đoạn này nên được giải quyết bằng MAP trong trường hợp có bất kỳ nghi ngờ nào hoặc bất kỳ thủ tục nào khác mà các quốc gia ký kết có thể áp dụng. Hiệp định đầu tiên giải quyết vấn đề này là Hiệp định Anh – Mỹ. Điều 1(2) quy định rằng hiệp định không hạn chế dưới bất kỳ hình thức nào bất kỳ lợi ích nào hiện tại hoặc trong tương lai được dành cho bởi bất kỳ hiệp định nào khác giữa các quốc gia ký kết. Hơn nữa, việc áp dụng Điều XVII của GATS đặc biệt không được áp dụng, và mọi câu hỏi phát sinh về việc giải thích hoặc áp dụng hiệp định, và đặc biệt là liệu một biện pháp thuế có thuộc phạm vi của nó hay không, sẽ được xác định hoàn toàn theo MAP.92 Với mục đích này, một 'biện pháp' là một luật, quy định, quy tắc, thủ tục, quyết định, hành động hành chính hoặc bất kỳ</w:t>
      </w:r>
    </w:p>
    <w:p>
      <w:pPr>
        <w:spacing w:after="80"/>
      </w:pPr>
      <w:r>
        <w:rPr>
          <w:b w:val="0"/>
          <w:i w:val="0"/>
        </w:rPr>
        <w:t>92. Hiệp định Thuế Mỹ – Anh, Điều 1(3).</w:t>
      </w:r>
    </w:p>
    <w:p>
      <w:pPr>
        <w:spacing w:after="80"/>
      </w:pPr>
      <w:r>
        <w:rPr>
          <w:b w:val="0"/>
          <w:i w:val="0"/>
        </w:rPr>
        <w:t>606</w:t>
      </w:r>
    </w:p>
    <w:p>
      <w:pPr>
        <w:spacing w:after="80"/>
      </w:pPr>
      <w:r>
        <w:rPr>
          <w:b w:val="0"/>
          <w:i w:val="0"/>
        </w:rPr>
        <w:t>quy định hoặc hành động tương tự nào.93 Trong việc trao đổi công hàm, Anh và Mỹ đã xác định các hiệp định (phi thuế) giữa họ có thể áp đặt các nghĩa vụ đối xử quốc gia hoặc đối xử tối huệ quốc. Họ đã cam kết đảm bảo việc giải thích đúng đắn hiệp định thuế và các thỏa thuận khác liên quan đến các biện pháp thuế nếu có thêm các hiệp định khác có hiệu lực tạo ra những nghĩa vụ như vậy.</w:t>
      </w:r>
    </w:p>
    <w:p>
      <w:pPr>
        <w:spacing w:after="80"/>
      </w:pPr>
      <w:r>
        <w:rPr>
          <w:b w:val="0"/>
          <w:i w:val="0"/>
        </w:rPr>
        <w:t>Hiệp định của Anh với Chile giải quyết vấn đề này như sau:</w:t>
      </w:r>
    </w:p>
    <w:p>
      <w:pPr>
        <w:spacing w:after="80"/>
      </w:pPr>
      <w:r>
        <w:rPr>
          <w:b w:val="0"/>
          <w:i w:val="0"/>
        </w:rPr>
        <w:t>23(4) Nhằm mục đích của đoạn (3) của Điều XXII (Tham vấn) của Hiệp định chung về Thương mại Dịch vụ, các Quốc gia Ký kết đồng ý rằng, bất chấp đoạn đó, mọi tranh chấp giữa họ về việc liệu một biện pháp có thuộc phạm vi của Công ước này hay không chỉ có thể được đưa lên Hội đồng Thương mại Dịch vụ, như được quy định bởi đoạn đó, khi có sự đồng ý của cả hai Quốc gia Ký kết. Mọi nghi ngờ về việc giải thích đoạn này sẽ được giải quyết theo đoạn (3) của Điều này hoặc, nếu không đạt được thỏa thuận theo thủ tục đó, theo bất kỳ thủ tục nào khác được cả hai Quốc gia Ký kết đồng ý.</w:t>
      </w:r>
    </w:p>
    <w:p>
      <w:pPr>
        <w:spacing w:after="80"/>
      </w:pPr>
      <w:r>
        <w:rPr>
          <w:b w:val="0"/>
          <w:i w:val="0"/>
        </w:rPr>
        <w:t>Như vậy, các quốc gia ký kết có thể viện đến các thủ tục giải quyết tranh chấp của GATS nếu cả hai đồng ý làm như vậy.</w:t>
      </w:r>
    </w:p>
    <w:p>
      <w:pPr>
        <w:spacing w:after="80"/>
      </w:pPr>
      <w:r>
        <w:rPr>
          <w:b w:val="0"/>
          <w:i w:val="0"/>
        </w:rPr>
        <w:t>93. Điều 1(3)(b).</w:t>
      </w:r>
    </w:p>
    <w:p>
      <w:pPr>
        <w:spacing w:after="80"/>
      </w:pPr>
      <w:r>
        <w:rPr>
          <w:b w:val="0"/>
          <w:i w:val="0"/>
        </w:rPr>
        <w:t>607</w:t>
      </w:r>
    </w:p>
    <w:p>
      <w:pPr>
        <w:spacing w:before="240" w:after="80"/>
      </w:pPr>
      <w:r>
        <w:rPr>
          <w:b/>
          <w:sz w:val="32"/>
        </w:rPr>
        <w:t>CHƯƠNG 21Chỉ thị của EU về Giải quyết Tranh chấp và Công ước Trọng tài</w:t>
      </w:r>
    </w:p>
    <w:p>
      <w:pPr>
        <w:spacing w:after="80"/>
      </w:pPr>
      <w:r>
        <w:rPr>
          <w:b/>
          <w:i w:val="0"/>
        </w:rPr>
        <w:t>§21.01GIỚI THIỆU</w:t>
      </w:r>
    </w:p>
    <w:p>
      <w:pPr>
        <w:spacing w:after="80"/>
      </w:pPr>
      <w:r>
        <w:rPr>
          <w:b w:val="0"/>
          <w:i w:val="0"/>
        </w:rPr>
        <w:t>Các Quốc gia Thành viên Cộng đồng Châu Âu (EC) đã ký kết một hiệp ước đa phương độc đáo về việc loại bỏ đánh thuế hai lần liên quan đến việc điều chỉnh lợi nhuận của các doanh nghiệp liên kết vào ngày 23 tháng 7 năm 1990. Áo, Phần Lan và Thụy Điển đã gia nhập công ước khi họ gia nhập EC vào năm 1994. Công ước này dựa trên một dự thảo chỉ thị lần đầu tiên được EC trình lên Hội đồng vào ngày 25 tháng 11 năm 1976 và áp dụng một số yếu tố của hệ thống trọng tài ban đầu được đề xuất trong dự thảo chỉ thị. Công ước được soạn thảo thành một bản gốc duy nhất bằng các tiếng Đan Mạch, Hà Lan, Anh, Pháp, Đức, Hy Lạp, Ý, Ireland, Bồ Đào Nha và Tây Ban Nha – cả mười văn bản đều có giá trị pháp lý như nhau.1</w:t>
      </w:r>
    </w:p>
    <w:p>
      <w:pPr>
        <w:spacing w:after="80"/>
      </w:pPr>
      <w:r>
        <w:rPr>
          <w:b w:val="0"/>
          <w:i w:val="0"/>
        </w:rPr>
        <w:t>Mặc dù là một hiệp ước, chứ không phải một công cụ EC khác, cách tiếp cận của Tòa án Công lý Liên minh Châu Âu (CJEU) trong việc dung hòa các phiên bản ngôn ngữ khác nhau có khả năng sẽ được áp dụng.2</w:t>
      </w:r>
    </w:p>
    <w:p>
      <w:pPr>
        <w:spacing w:after="80"/>
      </w:pPr>
      <w:r>
        <w:rPr>
          <w:b w:val="0"/>
          <w:i w:val="0"/>
        </w:rPr>
        <w:t>Quá trình ký kết và phê chuẩn đã rất gian nan. Tóm lại, công ước có hiệu lực vào ngày 1 tháng 1 năm 1995 trong thời hạn năm năm.3 Nó được bổ sung bởi một công ước bổ sung được ký vào ngày 21 tháng 12 năm 1995 và quy định việc gia nhập của Áo, Phần Lan và Thụy Điển vào Công ước Trọng tài.4</w:t>
      </w:r>
    </w:p>
    <w:p>
      <w:pPr>
        <w:spacing w:after="80"/>
      </w:pPr>
      <w:r>
        <w:rPr>
          <w:b w:val="0"/>
          <w:i w:val="0"/>
        </w:rPr>
        <w:t xml:space="preserve">1.Các công ước và nghị định thư liên quan cũng đã mở rộng các ngôn ngữ để phù hợp với các Quốc gia Thành viên mới.2.Xem, ví dụ, </w:t>
      </w:r>
      <w:r>
        <w:rPr>
          <w:b w:val="0"/>
          <w:i/>
        </w:rPr>
        <w:t>WN v Staatssecretaris van Financien</w:t>
      </w:r>
      <w:r>
        <w:rPr>
          <w:b w:val="0"/>
          <w:i w:val="0"/>
        </w:rPr>
        <w:t xml:space="preserve"> (Case C-420/98) [2001] BTC 366; [2001] STC 974.3.Điều 20, câu đầu tiên.4.Công ước ngày 21 tháng 12 năm 1995 về việc gia nhập của Cộng hòa Áo, Cộng hòa Phần Lan và Vương quốc Thụy Điển vào Công ước về Loại bỏ Đánh thuế Hai lần liên quan đến Điều chỉnh Lợi nhuận của các Doanh nghiệp Liên kết (OJ C 26 ngày 31 tháng 1 năm 1996).</w:t>
      </w:r>
    </w:p>
    <w:p>
      <w:pPr>
        <w:spacing w:after="80"/>
      </w:pPr>
      <w:r>
        <w:rPr>
          <w:b w:val="0"/>
          <w:i w:val="0"/>
        </w:rPr>
        <w:t>609</w:t>
      </w:r>
    </w:p>
    <w:p>
      <w:pPr>
        <w:spacing w:after="80"/>
      </w:pPr>
      <w:r>
        <w:rPr>
          <w:b w:val="0"/>
          <w:i w:val="0"/>
        </w:rPr>
        <w:t>Bằng một nghị định thư ngày 25 tháng 5 năm 1999,5 công ước đã được gia hạn thêm các thời hạn năm năm một lần. Việc gia hạn này là tự động trừ khi một quốc gia ký kết thông báo cho Tổng Thư ký Hội đồng Liên minh Châu Âu (EU) ít nhất sáu tháng trước khi hết hạn của bất kỳ thời hạn năm năm nào. Nghị định thư có hiệu lực vào ngày 1 tháng 11 năm 2004 và có hiệu lực từ ngày 1 tháng 1 năm 2000.</w:t>
      </w:r>
    </w:p>
    <w:p>
      <w:pPr>
        <w:spacing w:after="80"/>
      </w:pPr>
      <w:r>
        <w:rPr>
          <w:b w:val="0"/>
          <w:i w:val="0"/>
        </w:rPr>
        <w:t>Một công ước mở rộng phạm vi của Công ước Trọng tài cho các Quốc gia Thành viên EU đã gia nhập EU vào ngày 1 tháng 5 năm 20046 yêu cầu chữ ký và phê chuẩn của từng quốc gia trong số hai mươi lăm Quốc gia Thành viên EU vào thời điểm đó. Nó cho phép áp dụng song phương công ước giữa các Quốc gia Thành viên đã phê chuẩn nó, điều này cho phép công ước trở nên có thể áp dụng một phần.</w:t>
      </w:r>
    </w:p>
    <w:p>
      <w:pPr>
        <w:spacing w:after="80"/>
      </w:pPr>
      <w:r>
        <w:rPr>
          <w:b w:val="0"/>
          <w:i w:val="0"/>
        </w:rPr>
        <w:t>Hội đồng Bộ trưởng đã thông qua một quyết định mở rộng phạm vi của Công ước Trọng tài cho Bulgaria và Romania từ ngày 1 tháng 7 năm 2008.7</w:t>
      </w:r>
    </w:p>
    <w:p>
      <w:pPr>
        <w:spacing w:after="80"/>
      </w:pPr>
      <w:r>
        <w:rPr>
          <w:b w:val="0"/>
          <w:i w:val="0"/>
        </w:rPr>
        <w:t>Công ước đại diện cho một bước phát triển đáng chú ý trong việc xử lý đánh thuế hai lần trong EU. Thứ nhất, vì đây là một hiệp ước đa phương về chủ đề này, và thứ hai, vì nó đã đóng vai trò như một hình mẫu cho trọng tài giữa các cơ quan thuế. Đây là hiệp ước đầu tiên của Vương quốc Anh hoặc Ireland giải quyết việc giải quyết tranh chấp giữa các cơ quan có thẩm quyền bằng trọng tài. Nó cung cấp một giải pháp thay thế cho các hiệp ước song phương trong một số trường hợp, mặc dù cả hai đôi khi có thể được viện dẫn cùng lúc. Trong các trường hợp không có hiệp ước thuế song phương, hoặc khi hiệp ước không quy định MAP,8 công ước này cung cấp khả năng duy nhất cho các thỏa thuận như vậy. Công ước được đưa vào hiệu lực trong luật pháp Vương quốc Anh bởi TIOPA 2010, ss 126-128.9</w:t>
      </w:r>
    </w:p>
    <w:p>
      <w:pPr>
        <w:spacing w:after="80"/>
      </w:pPr>
      <w:r>
        <w:rPr>
          <w:b w:val="0"/>
          <w:i w:val="0"/>
        </w:rPr>
        <w:t>Diễn đàn Chuyển giá Chung của EU, nhằm tìm kiếm các giải pháp thực tiễn, phi lập pháp cho các vấn đề thực tế do các thực hành chuyển giá trong EU đặt ra, đã đưa ra Bộ Quy tắc Ứng xử10 được Hội đồng Bộ trưởng thông qua vào tháng 11 năm 2004, một cam kết chính trị để đảm bảo việc áp dụng hiệu quả và thống nhất hơn bởi tất cả các Quốc gia Thành viên. Nó cũng đưa ra một Bộ Quy tắc Ứng xử về tài liệu chuyển giá cho các doanh nghiệp liên kết trong EU được Hội đồng thông qua vào ngày 27 tháng 6 năm 200611 để chuẩn hóa các yêu cầu tài liệu chuyển giá. Một Bộ Quy tắc Ứng xử sửa đổi đã được Hội đồng thông qua vào ngày 29 tháng 12 năm 2009.12</w:t>
      </w:r>
    </w:p>
    <w:p>
      <w:pPr>
        <w:spacing w:after="80"/>
      </w:pPr>
      <w:r>
        <w:rPr>
          <w:b w:val="0"/>
          <w:i w:val="0"/>
        </w:rPr>
        <w:t>Cách tiếp cận để giải quyết các tranh chấp hiệp ước đánh thuế hai lần trong EU đã bị thay đổi triệt để bởi một chỉ thị về chủ đề này, được Hội đồng EU phê duyệt vào ngày 10 tháng 10 năm 2017.13</w:t>
      </w:r>
    </w:p>
    <w:p>
      <w:pPr>
        <w:spacing w:after="80"/>
      </w:pPr>
      <w:r>
        <w:rPr>
          <w:b w:val="0"/>
          <w:i w:val="0"/>
        </w:rPr>
        <w:t>Chỉ thị quy định một thủ tục thỏa thuận song phương (MAP), với trọng tài ràng buộc bắt buộc đối với các tranh chấp chưa được giải quyết trong vòng hai năm kể từ khi vụ việc được</w:t>
      </w:r>
    </w:p>
    <w:p>
      <w:pPr>
        <w:spacing w:after="80"/>
      </w:pPr>
      <w:r>
        <w:rPr>
          <w:b w:val="0"/>
          <w:i w:val="0"/>
        </w:rPr>
        <w:t>5.OJ 1999 C 202.6.OJ C 160 ngày 30 tháng 6 năm 2005, tr. 1-22.7.OJ L 174 ngày 3 tháng 7 năm 2008, tr. 1-5.8.Ví dụ, Hiệp ước Vương quốc Anh-Hy Lạp.9.Xem §21.02 và §21.03 về tác động của Brexit. Xem Irish Treaty Series No. 24 of 2009 để biết việc Ireland phê chuẩn công ước.10.OJ C 176 ngày 28 tháng 7 năm 2006, tr. 8.11.OJ C 176 ngày 28 tháng 7 năm 2006, tr. 1.12.Bộ Quy tắc Ứng xử sửa đổi để thực hiện hiệu quả Công ước về loại bỏ đánh thuế hai lần liên quan đến điều chỉnh lợi nhuận của các doanh nghiệp liên kết (2009/C322/01) (OJ 30.12.2009).13.Chỉ thị của Hội đồng về Cơ chế Giải quyết Tranh chấp Đánh thuế Hai lần trong Liên minh Châu Âu 2017/1852.</w:t>
      </w:r>
    </w:p>
    <w:p>
      <w:pPr>
        <w:spacing w:after="80"/>
      </w:pPr>
      <w:r>
        <w:rPr>
          <w:b w:val="0"/>
          <w:i w:val="0"/>
        </w:rPr>
        <w:t>610</w:t>
      </w:r>
    </w:p>
    <w:p>
      <w:pPr>
        <w:spacing w:after="80"/>
      </w:pPr>
      <w:r>
        <w:rPr>
          <w:b w:val="0"/>
          <w:i w:val="0"/>
        </w:rPr>
        <w:t>được trình bày cho MAP. Về nguyên tắc, nó sẽ áp dụng cho tất cả các tranh chấp giữa các Quốc gia Thành viên phát sinh từ việc giải thích và áp dụng các hiệp định đánh thuế hai lần liên quan đến thu nhập và vốn.14 Như vậy, tất cả các tranh chấp nội bộ EU liên quan đến thu nhập hoặc vốn kiếm được trong năm tính thuế bắt đầu từ ngày 1 tháng 1 năm 2018 15 sẽ có thể được giải quyết theo một hệ thống pháp luật châu Âu duy nhất và chịu sự giám sát của Tòa án Công lý EU.</w:t>
      </w:r>
    </w:p>
    <w:p>
      <w:pPr>
        <w:spacing w:after="80"/>
      </w:pPr>
      <w:r>
        <w:rPr>
          <w:b/>
          <w:i w:val="0"/>
        </w:rPr>
        <w:t>§21.02 CHỈ THỊ VỀ GIẢI QUYẾT TRANH CHẤP ĐÁNH THUẾ HAI LẦN</w:t>
      </w:r>
    </w:p>
    <w:p>
      <w:pPr>
        <w:spacing w:after="80"/>
      </w:pPr>
      <w:r>
        <w:rPr>
          <w:b w:val="0"/>
          <w:i w:val="0"/>
        </w:rPr>
        <w:t>Chỉ thị về giải quyết tranh chấp đánh thuế hai lần nhằm cung cấp một khuôn khổ hiệu quả và hữu hiệu để giải quyết các tranh chấp hiệp định thuế giữa các Quốc gia Thành viên. Chỉ thị này giải quyết một số thiếu sót trong Công ước Trọng tài nhằm đảm bảo sự chắc chắn về mặt pháp lý, đặc biệt liên quan đến khả năng tiếp cận thủ tục, tính minh bạch cũng như thời gian và việc kết thúc quá trình một cách hiệu quả. Các tòa án quốc gia được trao quyền cụ thể để can thiệp khi có những thất bại trong việc bổ nhiệm Ủy ban Cố vấn và các yêu cầu chi tiết phải được đáp ứng trong trường hợp các thành viên độc lập.</w:t>
      </w:r>
    </w:p>
    <w:p>
      <w:pPr>
        <w:spacing w:after="80"/>
      </w:pPr>
      <w:r>
        <w:rPr>
          <w:b w:val="0"/>
          <w:i w:val="0"/>
        </w:rPr>
        <w:t>Chỉ thị này đưa ra một cơ chế thống nhất để giải quyết các tranh chấp hiệp định đánh thuế hai lần giữa các Quốc gia Thành viên EU, cơ chế này nhìn chung đáp ứng tiêu chuẩn tối thiểu của Hành động 14 về Xói mòn Cơ sở Tính thuế và Chuyển dịch Lợi nhuận (BEPS),16 và phần lớn khiến lựa chọn trọng tài trong Công cụ Đa phương BEPS của OECD17 trở nên dư thừa giữa các Quốc gia Thành viên EU. Chỉ thị này được thực thi tại Ireland bằng SI 306/2019 và áp dụng cho các tranh chấp phát sinh liên quan đến các năm tính thuế bắt đầu từ hoặc sau ngày 1 tháng 1 năm 2018. Vương quốc Anh đã thực thi chỉ thị này bằng các quy định theo TIOPA 2010 s.128A-C, cũng đối với các năm tính thuế bắt đầu từ hoặc sau ngày 1 tháng 1 năm 2018.18 HMRC sẽ không chấp nhận các trường hợp theo chỉ thị giải quyết tranh chấp hoặc Công ước Trọng tài từ ngày 1 tháng 1 năm 2021.19</w:t>
      </w:r>
    </w:p>
    <w:p>
      <w:pPr>
        <w:spacing w:after="80"/>
      </w:pPr>
      <w:r>
        <w:rPr>
          <w:b/>
          <w:i w:val="0"/>
        </w:rPr>
        <w:t>[A] Đối tượng và Phạm vi</w:t>
      </w:r>
    </w:p>
    <w:p>
      <w:pPr>
        <w:spacing w:after="80"/>
      </w:pPr>
      <w:r>
        <w:rPr>
          <w:b w:val="0"/>
          <w:i w:val="0"/>
        </w:rPr>
        <w:t>Chỉ thị áp dụng cho các tranh chấp giữa các Quốc gia Thành viên phát sinh từ việc giải thích và áp dụng các hiệp định đánh thuế hai lần về thu nhập và vốn. Ngầm hiểu rằng việc giải thích và áp dụng các hiệp định song phương hoặc đa phương giữa các Quốc gia Thành viên nằm trong phạm vi của chỉ thị. Chỉ thị không mở rộng đến Chỉ thị Công ty mẹ - công ty con hay Chỉ thị Lãi và Tiền bản quyền, mặc dù trong nhiều trường hợp các câu hỏi về thuế</w:t>
      </w:r>
    </w:p>
    <w:p>
      <w:pPr>
        <w:spacing w:after="80"/>
      </w:pPr>
      <w:r>
        <w:rPr>
          <w:b w:val="0"/>
          <w:i w:val="0"/>
        </w:rPr>
        <w:t xml:space="preserve">14. Điều 1. 15. Điều 22. 16. Xem Chương 20, §20.04. 17. Xem Chương 18, §18.09. 18. </w:t>
      </w:r>
      <w:r>
        <w:rPr>
          <w:b w:val="0"/>
          <w:i/>
        </w:rPr>
        <w:t>Quy định về Giải quyết Tranh chấp Đánh thuế Hai lần (EU)</w:t>
      </w:r>
      <w:r>
        <w:rPr>
          <w:b w:val="0"/>
          <w:i w:val="0"/>
        </w:rPr>
        <w:t xml:space="preserve"> 2020 (SI 2020/51). Các quy định này bị bãi bỏ có hiệu lực từ ngày 31 tháng 1 năm 2021, thời điểm kết thúc Giai đoạn Chuyển tiếp sau khi Vương quốc Anh rút khỏi EU, bởi </w:t>
      </w:r>
      <w:r>
        <w:rPr>
          <w:b w:val="0"/>
          <w:i/>
        </w:rPr>
        <w:t>Quy định về Giải quyết Tranh chấp Đánh thuế Hai lần (EU) (Bãi bỏ) (Rời EU)</w:t>
      </w:r>
      <w:r>
        <w:rPr>
          <w:b w:val="0"/>
          <w:i w:val="0"/>
        </w:rPr>
        <w:t xml:space="preserve"> 2020 (SI 2020/1383). 19. Văn bản Chính sách của HMRC, </w:t>
      </w:r>
      <w:r>
        <w:rPr>
          <w:b w:val="0"/>
          <w:i/>
        </w:rPr>
        <w:t>Ban hành Luật về Quy định Giải quyết Tranh chấp Đánh thuế Hai lần (EU) 2020</w:t>
      </w:r>
      <w:r>
        <w:rPr>
          <w:b w:val="0"/>
          <w:i w:val="0"/>
        </w:rPr>
        <w:t>, Cập nhật ngày 1 tháng 12 năm 2020. Xem §21.03 về tác động của Brexit đối với Công ước Trọng tài.</w:t>
      </w:r>
    </w:p>
    <w:p>
      <w:pPr>
        <w:spacing w:after="80"/>
      </w:pPr>
      <w:r>
        <w:rPr>
          <w:b w:val="0"/>
          <w:i w:val="0"/>
        </w:rPr>
        <w:t>611</w:t>
      </w:r>
    </w:p>
    <w:p>
      <w:pPr>
        <w:spacing w:after="80"/>
      </w:pPr>
      <w:r>
        <w:rPr>
          <w:b w:val="0"/>
          <w:i w:val="0"/>
        </w:rPr>
        <w:t>liên quan đến hiệp định về cổ tức, lãi và tiền bản quyền giữa các Quốc gia Thành viên sẽ liên quan đến các chỉ thị này.</w:t>
      </w:r>
    </w:p>
    <w:p>
      <w:pPr>
        <w:spacing w:after="80"/>
      </w:pPr>
      <w:r>
        <w:rPr>
          <w:b w:val="0"/>
          <w:i w:val="0"/>
        </w:rPr>
        <w:t>Chỉ thị không mở rộng đến các tranh chấp liên quan đến các hiệp định song phương giữa các Quốc gia Thành viên và các nước thứ ba nhưng sẽ áp dụng cho hiệp định đánh thuế hai lần đa phương Bắc Âu20</w:t>
      </w:r>
    </w:p>
    <w:p>
      <w:pPr>
        <w:spacing w:after="80"/>
      </w:pPr>
      <w:r>
        <w:rPr>
          <w:b w:val="0"/>
          <w:i w:val="0"/>
        </w:rPr>
        <w:t>giữa Đan Mạch, Quần đảo Faroe, Phần Lan, Iceland, Na Uy và Thụy Điển, ít nhất là trong phạm vi nó áp dụng cho các loại thuế đánh vào thu nhập giữa các Quốc gia Thành viên. Chỉ thị dường như không áp dụng cho các hiệp định về thuế thừa kế và quà tặng.</w:t>
      </w:r>
    </w:p>
    <w:p>
      <w:pPr>
        <w:spacing w:after="80"/>
      </w:pPr>
      <w:r>
        <w:rPr>
          <w:b/>
          <w:i w:val="0"/>
        </w:rPr>
        <w:t>[B] Thủ tục Thỏa thuận Song phương</w:t>
      </w:r>
    </w:p>
    <w:p>
      <w:pPr>
        <w:spacing w:after="80"/>
      </w:pPr>
      <w:r>
        <w:rPr>
          <w:b w:val="0"/>
          <w:i w:val="0"/>
        </w:rPr>
        <w:t>Mặc dù các khái niệm chính trong chỉ thị được mô phỏng theo Điều 25(1) của Mẫu OECD, các thuật ngữ được sử dụng lại khác biệt ở những điểm quan trọng. Do đó, một 'người bị ảnh hưởng' có quyền đệ trình một 'khiếu nại' về một 'vấn đề đang tranh chấp'.21 Theo mục đích của chỉ thị này, vấn đề làm phát sinh tranh chấp như vậy được gọi là 'vấn đề đang tranh chấp' và là vấn đề làm phát sinh tranh chấp giữa các Quốc gia Thành viên xuất phát từ việc giải thích và áp dụng một hiệp định đánh thuế hai lần.22 Điều này đặt ra câu hỏi liệu có cần phải chứng minh sự khác biệt quan điểm giữa hai quốc gia để quyền đó phát sinh hay không. Một cách giải thích cụm từ này cho phép khiếu nại khi người bị ảnh hưởng cho rằng hành động của một hoặc cả hai quốc gia đã, hoặc sẽ, dẫn đến việc đánh thuế không phù hợp với hiệp định liên quan, sẽ cho phép viện dẫn thủ tục này trong cùng các trường hợp như theo hiệp định liên quan, qua đó đáp ứng mục tiêu tiếp cận thủ tục tốt hơn.23</w:t>
      </w:r>
    </w:p>
    <w:p>
      <w:pPr>
        <w:spacing w:after="80"/>
      </w:pPr>
      <w:r>
        <w:rPr>
          <w:b w:val="0"/>
          <w:i w:val="0"/>
        </w:rPr>
        <w:t>'Một người bị ảnh hưởng' là bất kỳ người nào, bao gồm cả cá nhân, là cư dân của một Quốc gia Thành viên vì mục đích thuế, và việc đánh thuế của người đó bị ảnh hưởng trực tiếp bởi một vấn đề đang tranh chấp.24 'Khiếu nại' là thủ tục theo đó việc giải quyết vấn đề đang tranh chấp được yêu cầu và tương tự như việc trình bày một trường hợp theo Điều 25(1) của Mẫu OECD.25</w:t>
      </w:r>
    </w:p>
    <w:p>
      <w:pPr>
        <w:spacing w:after="80"/>
      </w:pPr>
      <w:r>
        <w:rPr>
          <w:b/>
          <w:i w:val="0"/>
        </w:rPr>
        <w:t>[C] Thực hiện Khiếu nại</w:t>
      </w:r>
    </w:p>
    <w:p>
      <w:pPr>
        <w:spacing w:after="80"/>
      </w:pPr>
      <w:r>
        <w:rPr>
          <w:b w:val="0"/>
          <w:i w:val="0"/>
        </w:rPr>
        <w:t>Các doanh nghiệp lớn hoặc tập đoàn lớn phải đệ trình khiếu nại lên các cơ quan có thẩm quyền của mỗi quốc gia liên quan đến tranh chấp, trong khi các cá nhân và các doanh nghiệp khác phải đệ trình trường hợp lên quốc gia cư trú của họ.26 Trong trường hợp các cá nhân và các doanh nghiệp nhỏ hơn, trách nhiệm thuộc về cơ quan có thẩm quyền của Quốc gia Thành viên nhận được khiếu nại để thông báo cho các cơ quan có thẩm quyền của tất cả các Quốc gia Thành viên khác</w:t>
      </w:r>
    </w:p>
    <w:p>
      <w:pPr>
        <w:spacing w:after="80"/>
      </w:pPr>
      <w:r>
        <w:rPr>
          <w:b w:val="0"/>
          <w:i w:val="0"/>
        </w:rPr>
        <w:t>20. Hiệp định giữa các nước Bắc Âu về việc tránh đánh thuế hai lần đối với thuế thu nhập và tài sản, ngày 23 tháng 9 năm 1996, được sửa đổi vào năm 1997 và 2008 (hiệp định thuế hai lần Bắc Âu).21. Điều 3(1).22. Điều 1.23. Đoạn mở đầu (3).24. Điều 2(1)(d).25. Điều 3(1).26. Điều 3(1) và 17.</w:t>
      </w:r>
    </w:p>
    <w:p>
      <w:pPr>
        <w:spacing w:after="80"/>
      </w:pPr>
      <w:r>
        <w:rPr>
          <w:b w:val="0"/>
          <w:i w:val="0"/>
        </w:rPr>
        <w:t>612</w:t>
      </w:r>
    </w:p>
    <w:p>
      <w:pPr>
        <w:spacing w:after="80"/>
      </w:pPr>
      <w:r>
        <w:rPr>
          <w:b w:val="0"/>
          <w:i w:val="0"/>
        </w:rPr>
        <w:t>các quốc gia liên quan, trong vòng hai tháng kể từ khi nhận được khiếu nại.27 Thời hạn của OECD để đưa ra khiếu nại được áp dụng – ba năm kể từ khi nhận được thông báo đầu tiên về hành động dẫn đến, hoặc sẽ dẫn đến, tranh chấp hiệp định.28</w:t>
      </w:r>
    </w:p>
    <w:p>
      <w:pPr>
        <w:spacing w:after="80"/>
      </w:pPr>
      <w:r>
        <w:rPr>
          <w:b w:val="0"/>
          <w:i w:val="0"/>
        </w:rPr>
        <w:t>Các khái niệm MAP theo Điều 25(1) của Mẫu OECD là nền tảng cho chỉ thị này với một số cải tiến. Khác với MAP dựa trên hiệp định hiện có, một khiếu nại phải kèm theo thông tin chi tiết và tài liệu hỗ trợ liên quan đến tranh chấp như được quy định trong chỉ thị.29 Thông tin phải bằng ngôn ngữ của mỗi quốc gia tiếp nhận hoặc bất kỳ ngôn ngữ nào khác mà họ chấp nhận. Trong vòng hai tháng kể từ khi nhận được khiếu nại, mỗi cơ quan có thẩm quyền phải xác nhận đã nhận được khiếu nại, thông báo cho cơ quan có thẩm quyền kia và thông báo về ngôn ngữ được chọn cho tất cả các thông tin liên lạc.30</w:t>
      </w:r>
    </w:p>
    <w:p>
      <w:pPr>
        <w:spacing w:after="80"/>
      </w:pPr>
      <w:r>
        <w:rPr>
          <w:b w:val="0"/>
          <w:i w:val="0"/>
        </w:rPr>
        <w:t>Không có nghĩa vụ phải chọn cùng một ngôn ngữ. Các cơ quan có thẩm quyền có ba tháng kể từ khi nhận được khiếu nại để yêu cầu thêm thông tin từ người khiếu nại, và thông tin này phải được cung cấp cho tất cả các cơ quan có thẩm quyền liên quan trong vòng ba tháng kể từ khi có yêu cầu.31</w:t>
      </w:r>
    </w:p>
    <w:p>
      <w:pPr>
        <w:spacing w:after="80"/>
      </w:pPr>
      <w:r>
        <w:rPr>
          <w:b w:val="0"/>
          <w:i w:val="0"/>
        </w:rPr>
        <w:t>Các cơ quan có thẩm quyền phải quyết định chấp nhận hay không chấp nhận khiếu nại trong vòng sáu tháng kể từ khi nhận được khiếu nại, hoặc kể từ khi nhận được thông tin bổ sung nếu có yêu cầu. Người khiếu nại và các cơ quan có thẩm quyền khác phải được thông báo ngay lập tức về quyết định này.32</w:t>
      </w:r>
    </w:p>
    <w:p>
      <w:pPr>
        <w:spacing w:after="80"/>
      </w:pPr>
      <w:r>
        <w:rPr>
          <w:b w:val="0"/>
          <w:i w:val="0"/>
        </w:rPr>
        <w:t>Một khiếu nại có thể bị từ chối theo quyết định của cơ quan có thẩm quyền nếu các yêu cầu về thông tin không được đáp ứng hoặc không được đáp ứng đúng hạn,33 hoặc nếu được gửi ngoài thời hạn ba năm để đưa ra khiếu nại.34 Một khiếu nại cũng có thể bị từ chối nếu không có vấn đề nào đang tranh chấp.35 Căn cứ từ chối này sẽ mâu thuẫn với yêu cầu phải tồn tại một tranh chấp như một điều kiện tiên quyết để đưa ra khiếu nại theo Điều 3(1) nhưng lại nhất quán với quan điểm của tác giả rằng tất cả những gì được yêu cầu là người khiếu nại cho rằng thuế được đánh không đúng theo hiệp định liên quan.36 Nếu cả hai cơ quan có thẩm quyền có cùng quan điểm mà người nộp thuế không đồng ý, thì tranh chấp chỉ có thể được giải quyết bằng kháng cáo lên tòa án quốc gia chứ không phải bằng MAP. Việc không có quyết định trong thời hạn được coi là chấp nhận việc thụ lý khiếu nại.37</w:t>
      </w:r>
    </w:p>
    <w:p>
      <w:pPr>
        <w:spacing w:after="80"/>
      </w:pPr>
      <w:r>
        <w:rPr>
          <w:b w:val="0"/>
          <w:i w:val="0"/>
        </w:rPr>
        <w:t>Lý do từ chối phải được đưa ra và chỉ thị quy định quyền kháng cáo rõ ràng lên tòa án quốc gia đối với quyết định từ chối. Khi quyền này được thực hiện, thời gian giải quyết trước khi trọng tài có thể được yêu cầu tạm đình chỉ cho đến khi có kết quả của kháng cáo.38</w:t>
      </w:r>
    </w:p>
    <w:p>
      <w:pPr>
        <w:spacing w:after="80"/>
      </w:pPr>
      <w:r>
        <w:rPr>
          <w:b w:val="0"/>
          <w:i w:val="0"/>
        </w:rPr>
        <w:t>27. Điều 17.28. Điều 3(1).29. Điều 3(3).30. Điều 3(2).31. Điều 3(4).32. Điều 3(5).33. Điều 5(1)(a).34. Điều 5(1)(c).35. Điều 5(1)(b).36. Dưới đây tại tiêu đề §21.09[B].37. Điều 5(2).38. Điều 5.</w:t>
      </w:r>
    </w:p>
    <w:p>
      <w:pPr>
        <w:spacing w:after="80"/>
      </w:pPr>
      <w:r>
        <w:rPr>
          <w:b w:val="0"/>
          <w:i w:val="0"/>
        </w:rPr>
        <w:t>613</w:t>
      </w:r>
    </w:p>
    <w:p>
      <w:pPr>
        <w:spacing w:after="80"/>
      </w:pPr>
      <w:r>
        <w:rPr>
          <w:b w:val="0"/>
          <w:i w:val="0"/>
        </w:rPr>
        <w:t>Các biện pháp khắc phục sẵn có theo luật quốc gia nhìn chung không bị ảnh hưởng bởi chỉ thị.39 Việc sử dụng các cơ chế giải quyết tranh chấp do chỉ thị quy định không bị loại trừ chỉ vì vấn đề đang tranh chấp đã trở thành chung thẩm theo luật quốc gia.40</w:t>
      </w:r>
    </w:p>
    <w:p>
      <w:pPr>
        <w:spacing w:after="80"/>
      </w:pPr>
      <w:r>
        <w:rPr>
          <w:b/>
          <w:i w:val="0"/>
        </w:rPr>
        <w:t>[D]Giải quyết bằng Thỏa thuận Song phương</w:t>
      </w:r>
    </w:p>
    <w:p>
      <w:pPr>
        <w:spacing w:after="80"/>
      </w:pPr>
      <w:r>
        <w:rPr>
          <w:b w:val="0"/>
          <w:i w:val="0"/>
        </w:rPr>
        <w:t>Mỗi cơ quan có thẩm quyền có sáu tháng kể từ khi nhận được khiếu nại, hoặc kể từ khi nhận được thông tin bổ sung nếu có yêu cầu, để giải quyết vấn đề đang tranh chấp một cách đơn phương. Nếu điều này xảy ra, người bị ảnh hưởng và các cơ quan có thẩm quyền khác phải được thông báo ngay lập tức.41 Tuy nhiên, khi các thủ tục tố tụng quốc gia đã bắt đầu, thời hạn sáu tháng chỉ bắt đầu chạy khi các thủ tục đó đã kết thúc dứt khoát hoặc bị tạm đình chỉ.</w:t>
      </w:r>
    </w:p>
    <w:p>
      <w:pPr>
        <w:spacing w:after="80"/>
      </w:pPr>
      <w:r>
        <w:rPr>
          <w:b w:val="0"/>
          <w:i w:val="0"/>
        </w:rPr>
        <w:t>Trong trường hợp không có giải quyết đơn phương, các cơ quan có thẩm quyền phải cố gắng giải quyết vấn đề đang tranh chấp bằng thỏa thuận song phương trong vòng hai năm kể từ thông báo cuối cùng về việc chấp nhận khiếu nại. Thời hạn này có thể được gia hạn thêm tối đa một năm theo yêu cầu của một cơ quan có thẩm quyền gửi đến tất cả các cơ quan có thẩm quyền khác nếu có lý do chính đáng bằng văn bản. Lý do chính đáng ngụ ý rằng việc gia hạn không tự động, và chỉ áp dụng khi tồn tại những lý do chính đáng hợp pháp.42 Khi các thủ tục tố tụng quốc gia đã bắt đầu, thời hạn sáu tháng chỉ bắt đầu chạy khi các thủ tục đó đã kết thúc dứt khoát hoặc bị tạm đình chỉ.43</w:t>
      </w:r>
    </w:p>
    <w:p>
      <w:pPr>
        <w:spacing w:after="80"/>
      </w:pPr>
      <w:r>
        <w:rPr>
          <w:b w:val="0"/>
          <w:i w:val="0"/>
        </w:rPr>
        <w:t>Nếu các cơ quan có thẩm quyền đồng ý giải quyết vấn đề đang tranh chấp trong thời hạn, thì tất cả các cơ quan có thẩm quyền phải thông báo thỏa thuận cho người bị ảnh hưởng ngay lập tức. Thỏa thuận như vậy có tính ràng buộc đối với các cơ quan có thẩm quyền và có thể được người bị ảnh hưởng thi hành nếu người bị ảnh hưởng chấp nhận quyết định và từ bỏ mọi biện pháp khắc phục khác. Khi các thủ tục tố tụng khác đã bắt đầu, thỏa thuận của cơ quan có thẩm quyền chỉ trở nên ràng buộc và có thể thi hành nếu người bị ảnh hưởng chứng minh trong vòng sáu mươi ngày kể từ khi được thông báo về thỏa thuận rằng đã có hành động để chấm dứt các thủ tục đó. Do đó, các kháng cáo lên tòa án và hội đồng quốc gia và các MAP dựa trên hiệp định, nếu có, sẽ cần phải được rút lại để được hưởng lợi từ thỏa thuận. Một khi đã ràng buộc, thỏa thuận phải được thực hiện ngay lập tức, bất kể mọi thời hạn quốc gia.44</w:t>
      </w:r>
    </w:p>
    <w:p>
      <w:pPr>
        <w:spacing w:after="80"/>
      </w:pPr>
      <w:r>
        <w:rPr>
          <w:b w:val="0"/>
          <w:i w:val="0"/>
        </w:rPr>
        <w:t>Nếu các cơ quan có thẩm quyền không thể giải quyết tranh chấp trong thời hạn, họ phải thông báo cho người bị ảnh hưởng và đưa ra lý do chung cho thất bại đó.45</w:t>
      </w:r>
    </w:p>
    <w:p>
      <w:pPr>
        <w:spacing w:after="80"/>
      </w:pPr>
      <w:r>
        <w:rPr>
          <w:b w:val="0"/>
          <w:i w:val="0"/>
        </w:rPr>
        <w:t>39.Điều 16(3).40.Điều 16(1).41.Điều 3(5).42.Điều 4(1).43.Điều 16(3).44.Điều 4(2).45.Điều 4(3).</w:t>
      </w:r>
    </w:p>
    <w:p>
      <w:pPr>
        <w:spacing w:after="80"/>
      </w:pPr>
      <w:r>
        <w:rPr>
          <w:b w:val="0"/>
          <w:i w:val="0"/>
        </w:rPr>
        <w:t>614</w:t>
      </w:r>
    </w:p>
    <w:p>
      <w:pPr>
        <w:spacing w:after="80"/>
      </w:pPr>
      <w:r>
        <w:rPr>
          <w:b/>
          <w:i w:val="0"/>
        </w:rPr>
        <w:t>[E]Trọng tài bắt buộc hoặc các phương thức giải quyết tranh chấp thay thế khác</w:t>
      </w:r>
    </w:p>
    <w:p>
      <w:pPr>
        <w:spacing w:after="80"/>
      </w:pPr>
      <w:r>
        <w:rPr>
          <w:b w:val="0"/>
          <w:i w:val="0"/>
        </w:rPr>
        <w:t>Trong trường hợp không giải quyết được bằng thỏa thuận chung trong thời hạn quy định, người nộp thuế có quyền yêu cầu trọng tài thông qua một Ủy ban Cố vấn.46 Ngoài ra, cũng có thể đưa ra yêu cầu khi một số nhưng không phải tất cả các cơ quan có thẩm quyền đã từ chối yêu cầu MAP, nếu người nộp thuế không có quyền kháng cáo lên tòa án quốc gia về việc từ chối đó, hoặc quá trình kháng cáo đó đã được thực hiện xong hoặc đã bị đình chỉ.47</w:t>
      </w:r>
    </w:p>
    <w:p>
      <w:pPr>
        <w:spacing w:after="80"/>
      </w:pPr>
      <w:r>
        <w:rPr>
          <w:b/>
          <w:i w:val="0"/>
        </w:rPr>
        <w:t>[F]Từ chối quyền tiếp cận trọng tài</w:t>
      </w:r>
    </w:p>
    <w:p>
      <w:pPr>
        <w:spacing w:after="80"/>
      </w:pPr>
      <w:r>
        <w:rPr>
          <w:b w:val="0"/>
          <w:i w:val="0"/>
        </w:rPr>
        <w:t>Một Quốc gia Thành viên có thể từ chối quyền tiếp cận các thủ tục trọng tài trong trường hợp đã áp đặt các hình phạt đối với hành vi gian lận thuế, cố ý vi phạm và sơ suất nghiêm trọng tại Quốc gia Thành viên đó. Khi các thủ tục tố tụng tư pháp hoặc hành chính có thể dẫn đến các hình phạt như vậy đang được tiến hành, thì cơ quan có thẩm quyền có thể tạm hoãn các thủ tục theo chỉ thị cho đến khi các thủ tục đó được giải quyết dứt khoát.48</w:t>
      </w:r>
    </w:p>
    <w:p>
      <w:pPr>
        <w:spacing w:after="80"/>
      </w:pPr>
      <w:r>
        <w:rPr>
          <w:b w:val="0"/>
          <w:i w:val="0"/>
        </w:rPr>
        <w:t>Một giới hạn nghiêm khắc đến mức tàn nhẫn cho phép một Quốc gia Thành viên từ chối quyền tiếp cận các thủ tục trọng tài theo từng trường hợp cụ thể khi một vấn đề đang tranh chấp không liên quan đến đánh thuế hai lần.49 "Đánh thuế hai lần" trong trường hợp này có nghĩa là việc hai hoặc nhiều Quốc gia Thành viên áp đặt các loại thuế được điều chỉnh bởi một hiệp định tránh đánh thuế hai lần đối với cùng một khoản thu nhập hoặc vốn chịu thuế nếu nó dẫn đến '(i) một khoản thuế bổ sung, (ii) sự gia tăng nghĩa vụ thuế hoặc (iii) việc hủy bỏ hoặc giảm bớt các khoản lỗ có thể được sử dụng để bù trừ lợi nhuận chịu thuế'.50 Trên cơ sở đó, trọng tài có thể bị một Quốc gia Thành viên ngăn chặn khi có tuyên bố rằng thuế được đánh không đúng theo các điều khoản của một hiệp định nhưng đánh thuế hai lần, như được định nghĩa, lại không phát sinh.</w:t>
      </w:r>
    </w:p>
    <w:p>
      <w:pPr>
        <w:spacing w:after="80"/>
      </w:pPr>
      <w:r>
        <w:rPr>
          <w:b/>
          <w:i w:val="0"/>
        </w:rPr>
        <w:t>[G]Ủy ban Cố vấn</w:t>
      </w:r>
    </w:p>
    <w:p>
      <w:pPr>
        <w:spacing w:after="80"/>
      </w:pPr>
      <w:r>
        <w:rPr>
          <w:b w:val="0"/>
          <w:i w:val="0"/>
        </w:rPr>
        <w:t>Ủy ban Cố vấn bao gồm một chủ tịch, một đại diện của mỗi cơ quan có thẩm quyền liên quan và một người độc lập có uy tín do mỗi cơ quan có thẩm quyền bổ nhiệm. Nếu các cơ quan có thẩm quyền đồng ý, thì mỗi cơ quan có thể bổ nhiệm thêm một đại diện và một người độc lập có uy tín.51 Chủ tịch phải là một người độc lập có uy tín và, trừ khi các cơ quan có thẩm quyền liên quan đồng ý khác, cũng phải là một thẩm phán.52 Một người thay thế cho mỗi người độc lập phải được bổ nhiệm để xử lý các trường hợp mà những người độc lập bị ngăn cản thực hiện nhiệm vụ của họ.53</w:t>
      </w:r>
    </w:p>
    <w:p>
      <w:pPr>
        <w:spacing w:after="80"/>
      </w:pPr>
      <w:r>
        <w:rPr>
          <w:b w:val="0"/>
          <w:i w:val="0"/>
        </w:rPr>
        <w:t>Những người độc lập có uy tín phải được chọn từ một danh sách những người như vậy, do Ủy ban duy trì, bao gồm ít nhất ba cá nhân có</w:t>
      </w:r>
    </w:p>
    <w:p>
      <w:pPr>
        <w:spacing w:after="80"/>
      </w:pPr>
      <w:r>
        <w:rPr>
          <w:b w:val="0"/>
          <w:i w:val="0"/>
        </w:rPr>
        <w:t>46.Điều 6(1)(b).47.Điều 5(3) và 6(1)(b).48.Điều 16(6).49.Điều 16(7).50.Điều 1(1)(d).51.Điều 8(1).52.Điều 8(6).53.Điều 8(2).</w:t>
      </w:r>
    </w:p>
    <w:p>
      <w:pPr>
        <w:spacing w:after="80"/>
      </w:pPr>
      <w:r>
        <w:rPr>
          <w:b w:val="0"/>
          <w:i w:val="0"/>
        </w:rPr>
        <w:t>615</w:t>
      </w:r>
    </w:p>
    <w:p>
      <w:pPr>
        <w:spacing w:after="80"/>
      </w:pPr>
      <w:r>
        <w:rPr>
          <w:b w:val="0"/>
          <w:i w:val="0"/>
        </w:rPr>
        <w:t>năng lực và độc lập, và có thể hành động một cách công bằng và chính trực, do mỗi Quốc gia Thành viên đề cử.54 Các Quốc gia Thành viên có thể phản đối việc đưa các cá nhân cụ thể vào danh sách55 và các cơ quan có thẩm quyền có thể yêu cầu tiết lộ các xung đột tiềm ẩn hoặc sự thiên vị của các ứng viên và phản đối việc bổ nhiệm các cá nhân cụ thể vào một Ủy ban Cố vấn vì lý do xung đột lợi ích hoặc thiên vị như được quy định trong chỉ thị.56</w:t>
      </w:r>
    </w:p>
    <w:p>
      <w:pPr>
        <w:spacing w:after="80"/>
      </w:pPr>
      <w:r>
        <w:rPr>
          <w:b/>
          <w:i w:val="0"/>
        </w:rPr>
        <w:t>[H]Thủ tục trọng tài</w:t>
      </w:r>
    </w:p>
    <w:p>
      <w:pPr>
        <w:spacing w:after="80"/>
      </w:pPr>
      <w:r>
        <w:rPr>
          <w:b w:val="0"/>
          <w:i w:val="0"/>
        </w:rPr>
        <w:t>Quá trình trọng tài cũng phải tuân theo một thời gian biểu nghiêm ngặt. Người bị ảnh hưởng phải yêu cầu thành lập một Ủy ban Cố vấn bằng văn bản, trong vòng 50 ngày kể từ khi nhận được thông báo về việc không giải quyết được vấn đề đang tranh chấp bằng thỏa thuận, và Ủy ban Cố vấn phải được thành lập trong vòng 120 ngày kể từ yêu cầu của người bị ảnh hưởng. Chủ tịch Ủy ban Cố vấn được yêu cầu thông báo cho người bị ảnh hưởng về việc thành lập Ủy ban mà không chậm trễ.57 Nếu một Ủy ban Cố vấn không được thành lập trong thời hạn, thì người bị ảnh hưởng có thể nộp đơn lên tòa án quốc gia để thành lập Ủy ban hoặc bổ nhiệm các thành viên.58</w:t>
      </w:r>
    </w:p>
    <w:p>
      <w:pPr>
        <w:spacing w:after="80"/>
      </w:pPr>
      <w:r>
        <w:rPr>
          <w:b w:val="0"/>
          <w:i w:val="0"/>
        </w:rPr>
        <w:t>Các câu hỏi về việc chấp nhận một khiếu nại phải được Ủy ban Cố vấn quyết định trong vòng sáu tháng kể từ khi thành lập, và Ủy ban phải thông báo cho các cơ quan có thẩm quyền về quyết định đó trong vòng ba mươi ngày kể từ khi ra quyết định, sau đó MAP phải được khởi xướng.59</w:t>
      </w:r>
    </w:p>
    <w:p>
      <w:pPr>
        <w:spacing w:after="80"/>
      </w:pPr>
      <w:r>
        <w:rPr>
          <w:b/>
          <w:i/>
        </w:rPr>
        <w:t>[1]Quy tắc thủ tục</w:t>
      </w:r>
    </w:p>
    <w:p>
      <w:pPr>
        <w:spacing w:after="80"/>
      </w:pPr>
      <w:r>
        <w:rPr>
          <w:b w:val="0"/>
          <w:i w:val="0"/>
        </w:rPr>
        <w:t>Mặc dù các quy tắc thủ tục (Quy tắc hoạt động) phải được các cơ quan có thẩm quyền đồng ý,60 phù hợp với các tiêu chuẩn tối thiểu được quy định trong chỉ thị,61 Ủy ban EU được yêu cầu chuẩn bị các quy tắc tiêu chuẩn sẽ áp dụng trong trường hợp không có thỏa thuận hoặc không có thông báo cho người nộp thuế.62 Các quy tắc phải được thông báo cho những người bị ảnh hưởng trong thời hạn thành lập Ủy ban Tư vấn63 và, nếu không có thông báo kịp thời, những người bị ảnh hưởng có thể yêu cầu tòa án quốc gia ra lệnh thực hiện Quy tắc hoạt động.64 Mặc dù không rõ ràng, nhưng có thể thấy rằng Ủy ban Tư vấn sẽ tiến hành bằng cách đưa ra ý kiến có lý lẽ.</w:t>
      </w:r>
    </w:p>
    <w:p>
      <w:pPr>
        <w:spacing w:after="80"/>
      </w:pPr>
      <w:r>
        <w:rPr>
          <w:b w:val="0"/>
          <w:i w:val="0"/>
        </w:rPr>
        <w:t>Người nộp thuế có quyền xuất hiện trước Ủy ban Tư vấn với sự đồng ý của các cơ quan có thẩm quyền. Ủy ban Tư vấn hoặc Ủy ban Giải quyết Tranh chấp Thay thế</w:t>
      </w:r>
    </w:p>
    <w:p>
      <w:pPr>
        <w:spacing w:after="80"/>
      </w:pPr>
      <w:r>
        <w:rPr>
          <w:b w:val="0"/>
          <w:i w:val="0"/>
        </w:rPr>
        <w:t>54. Điều 9(1) và (2).55. Điều 9(3).56. Điều 8(4) và (5).57. Điều 6(1).58. Điều 7.59. Điều 6(2).60. Điều 11(1).61. Điều 11(2).62. Điều 11(3).63. Điều 11(1).64. Điều 11(4).</w:t>
      </w:r>
    </w:p>
    <w:p>
      <w:pPr>
        <w:spacing w:after="80"/>
      </w:pPr>
      <w:r>
        <w:rPr>
          <w:b w:val="0"/>
          <w:i w:val="0"/>
        </w:rPr>
        <w:t>616</w:t>
      </w:r>
    </w:p>
    <w:p>
      <w:pPr>
        <w:spacing w:after="80"/>
      </w:pPr>
      <w:r>
        <w:rPr>
          <w:b w:val="0"/>
          <w:i w:val="0"/>
        </w:rPr>
        <w:t>Ủy ban Giải quyết có thể yêu cầu người nộp thuế xuất hiện trước mình, và cũng có quyền yêu cầu người nộp thuế tham dự và cung cấp tài liệu và thông tin từ cả người nộp thuế và các cơ quan có thẩm quyền.65 Thông tin không thể bị buộc cung cấp nếu nó thuộc các giới hạn được quy định tại Điều 26(3) của Mô hình OECD về trao đổi thông tin.66</w:t>
      </w:r>
    </w:p>
    <w:p>
      <w:pPr>
        <w:spacing w:after="80"/>
      </w:pPr>
      <w:r>
        <w:rPr>
          <w:b/>
          <w:i/>
        </w:rPr>
        <w:t>[2]Bảo mật</w:t>
      </w:r>
    </w:p>
    <w:p>
      <w:pPr>
        <w:spacing w:after="80"/>
      </w:pPr>
      <w:r>
        <w:rPr>
          <w:b w:val="0"/>
          <w:i w:val="0"/>
        </w:rPr>
        <w:t>Các thủ tục của Ủy ban Tư vấn hoặc Ủy ban Giải quyết Tranh chấp Thay thế là bảo mật. Các thành viên Ủy ban phải tuân theo luật bảo mật nghề nghiệp quốc gia của mỗi Quốc gia Thành viên liên quan, và những người bị ảnh hưởng và cố vấn của họ được yêu cầu đưa ra cam kết bảo mật. Các biện pháp trừng phạt đối với vi phạm bảo mật là vấn đề của các Quốc gia Thành viên.67 Do đó, các thành viên khác nhau của một ủy ban và những người bị ảnh hưởng và cố vấn của họ từ các Quốc gia Thành viên khác nhau có thể phải tuân theo các quy tắc khác nhau trong cùng một thủ tục.</w:t>
      </w:r>
    </w:p>
    <w:p>
      <w:pPr>
        <w:spacing w:after="80"/>
      </w:pPr>
      <w:r>
        <w:rPr>
          <w:b/>
          <w:i/>
        </w:rPr>
        <w:t>[3]Chi phí</w:t>
      </w:r>
    </w:p>
    <w:p>
      <w:pPr>
        <w:spacing w:after="80"/>
      </w:pPr>
      <w:r>
        <w:rPr>
          <w:b w:val="0"/>
          <w:i w:val="0"/>
        </w:rPr>
        <w:t>Chỉ thị không cung cấp một bộ quy tắc hoàn chỉnh để xử lý chi phí của các thủ tục khác nhau. Chỉ có các khoản chi phí cụ thể được đề cập. Các chi phí và lệ phí của các thành viên độc lập của một Ủy ban được các Quốc gia Thành viên chia sẻ bình đẳng trừ khi họ đồng ý khác. Trường hợp yêu cầu trọng tài bị rút lại hoặc Ủy ban Tư vấn quyết định rằng khiếu nại đã bị từ chối đúng cách, nếu các cơ quan có thẩm quyền đồng ý như vậy, những người bị ảnh hưởng có thể được yêu cầu thanh toán tất cả các chi phí và lệ phí của các thành viên độc lập và chi phí của Ủy ban Tư vấn trong việc quyết định như vậy. Chi phí và lệ phí của người nộp thuế không được các Quốc gia Thành viên chi trả.68</w:t>
      </w:r>
    </w:p>
    <w:p>
      <w:pPr>
        <w:spacing w:after="80"/>
      </w:pPr>
      <w:r>
        <w:rPr>
          <w:b/>
          <w:i w:val="0"/>
        </w:rPr>
        <w:t>[I]Ủy ban Giải quyết Tranh chấp Thay thế</w:t>
      </w:r>
    </w:p>
    <w:p>
      <w:pPr>
        <w:spacing w:after="80"/>
      </w:pPr>
      <w:r>
        <w:rPr>
          <w:b w:val="0"/>
          <w:i w:val="0"/>
        </w:rPr>
        <w:t>Các cơ quan có thẩm quyền liên quan có thể đồng ý thành lập một 'Ủy ban Giải quyết Tranh chấp Thay thế' thay vì Ủy ban Tư vấn.69 Điều này có thể khác về thành phần và hình thức so với Ủy ban Tư vấn và có thể áp dụng bất kỳ phương pháp giải quyết tranh chấp nào để giải quyết tranh chấp một cách ràng buộc, bao gồm trọng tài đề nghị cuối cùng tốt nhất.70 Chỉ thị cũng dự tính việc thành lập một ủy ban giải quyết tranh chấp thay thế thường trực (một 'Ủy ban Thường trực') bằng thỏa thuận giữa các cơ quan có thẩm quyền của tất cả các Quốc gia Thành viên. Người nộp thuế không có quyền tham gia vào bất kỳ quyết định nào về hình thức giải quyết tranh chấp.</w:t>
      </w:r>
    </w:p>
    <w:p>
      <w:pPr>
        <w:spacing w:after="80"/>
      </w:pPr>
      <w:r>
        <w:rPr>
          <w:b w:val="0"/>
          <w:i w:val="0"/>
        </w:rPr>
        <w:t>65. Điều 13.66. Xem Chương 22, §22.13.67. Điều 13(3).68. Điều 12.69. Điều 10(1).70. Điều 10(2). Các quy tắc liên quan đến tính độc lập của các thành viên ủy ban không thể bị thay đổi.</w:t>
      </w:r>
    </w:p>
    <w:p>
      <w:pPr>
        <w:spacing w:after="80"/>
      </w:pPr>
      <w:r>
        <w:rPr>
          <w:b w:val="0"/>
          <w:i w:val="0"/>
        </w:rPr>
        <w:t>617</w:t>
      </w:r>
    </w:p>
    <w:p>
      <w:pPr>
        <w:spacing w:after="80"/>
      </w:pPr>
      <w:r>
        <w:rPr>
          <w:b/>
          <w:i w:val="0"/>
        </w:rPr>
        <w:t>[J]Quyết định Trọng tài và Giải quyết Tranh chấp Thay thế</w:t>
      </w:r>
    </w:p>
    <w:p>
      <w:pPr>
        <w:spacing w:after="80"/>
      </w:pPr>
      <w:r>
        <w:rPr>
          <w:b w:val="0"/>
          <w:i w:val="0"/>
        </w:rPr>
        <w:t>Các quyết định được đưa ra bằng quyết định đa số, với phiếu quyết định thuộc về chủ tọa trong trường hợp bế tắc.71 Ủy ban Tư vấn hoặc Ủy ban Giải quyết Tranh chấp Thay thế phải đưa ra ý kiến về câu hỏi đang tranh chấp cho các cơ quan có thẩm quyền trong vòng sáu tháng kể từ ngày nó được thành lập. Thời hạn này có thể được gia hạn thêm tối đa ba tháng nếu cần. Các cơ quan có thẩm quyền và những người bị ảnh hưởng phải được thông báo về bất kỳ gia hạn nào như vậy.72 Ý kiến của một Ủy ban phải bằng văn bản.73</w:t>
      </w:r>
    </w:p>
    <w:p>
      <w:pPr>
        <w:spacing w:after="80"/>
      </w:pPr>
      <w:r>
        <w:rPr>
          <w:b w:val="0"/>
          <w:i w:val="0"/>
        </w:rPr>
        <w:t>Cả Ủy ban Tư vấn (Advisory Commission) lẫn Ủy ban Giải quyết Tranh chấp Thay thế (Alternative Dispute Resolution Commission) đều được yêu cầu đưa ra ý kiến dựa trên các quy định của các hiệp ước áp dụng và ‘bất kỳ quy tắc quốc gia nào áp dụng’.74 Điều này đặt ra câu hỏi về cách một ủy ban nên xử lý các trường hợp hiệp ước bị ghi đè (treaty override) hoặc bị hạ thấp (treaty underride).75</w:t>
      </w:r>
    </w:p>
    <w:p>
      <w:pPr>
        <w:spacing w:after="80"/>
      </w:pPr>
      <w:r>
        <w:rPr>
          <w:b w:val="0"/>
          <w:i w:val="0"/>
        </w:rPr>
        <w:t>Các cơ quan có thẩm quyền bị ràng buộc bởi quyết định trừ khi họ đồng ý một giải pháp khác trong vòng sáu tháng kể từ khi được thông báo về quyết định đó.76 Người nộp thuế phải đồng ý với quyết định thì mới bị ràng buộc bởi quyết định đó, qua đó bảo toàn quyền kháng cáo lên tòa án quốc gia.77 Nếu người nộp thuế không được các cơ quan có thẩm quyền thông báo về quyết định trong vòng ba mươi ngày kể từ khi quyết định được đưa ra, người nộp thuế được tự do kháng cáo lên tòa án quốc gia.78 Một quyết định cuối cùng phải được thực thi theo luật quốc gia của các Quốc gia Thành viên liên quan, bất kể mọi giới hạn thời gian quốc gia, và được tòa án quốc gia cưỡng chế thực thi.79</w:t>
      </w:r>
    </w:p>
    <w:p>
      <w:pPr>
        <w:spacing w:after="80"/>
      </w:pPr>
      <w:r>
        <w:rPr>
          <w:b/>
          <w:i/>
        </w:rPr>
        <w:t>[1]Tính minh bạch</w:t>
      </w:r>
    </w:p>
    <w:p>
      <w:pPr>
        <w:spacing w:after="80"/>
      </w:pPr>
      <w:r>
        <w:rPr>
          <w:b w:val="0"/>
          <w:i w:val="0"/>
        </w:rPr>
        <w:t>Các cơ quan có thẩm quyền có thể đồng ý công bố toàn bộ các quyết định cuối cùng của Ủy ban, với điều kiện được người nộp thuế đồng ý.80 Thông tin liên quan đến bất kỳ bí mật thương mại, kinh doanh, công nghiệp hoặc nghề nghiệp hay quy trình thương mại nào, hoặc trái với chính sách công, có thể bị loại trừ. Nếu không có thỏa thuận hoặc sự đồng ý như vậy, các cơ quan có thẩm quyền phải công bố một bản tóm tắt của quyết định bao gồm mô tả về phương pháp trọng tài được sử dụng.81 Bản tóm tắt phải bao gồm mô tả về vấn đề và đối tượng, ngày tháng, các kỳ tính thuế liên quan, cơ sở pháp lý, lĩnh vực ngành, và một mô tả ngắn gọn về kết quả cuối cùng. Mặc dù các quyết định không tạo thành tiền lệ ràng buộc,82 chúng chắc chắn sẽ tạo thành một khối ý kiến thuyết phục hữu ích.</w:t>
      </w:r>
    </w:p>
    <w:p>
      <w:pPr>
        <w:spacing w:after="80"/>
      </w:pPr>
      <w:r>
        <w:rPr>
          <w:b w:val="0"/>
          <w:i w:val="0"/>
        </w:rPr>
        <w:t>71. Điều 14(3).72. Điều 14(1).73. Điều 18(1).74. Điều 14(2).75. Xem Chương 2, §2.14 và §2.15.76. Điều 15(1).77. Điều 15(4).78. Điều 15(3).79. Điều 15(4).80. Điều 18(2).81. Điều 18(3).82. Điều 15(4).</w:t>
      </w:r>
    </w:p>
    <w:p>
      <w:pPr>
        <w:spacing w:after="80"/>
      </w:pPr>
      <w:r>
        <w:rPr>
          <w:b w:val="0"/>
          <w:i w:val="0"/>
        </w:rPr>
        <w:t>618</w:t>
      </w:r>
    </w:p>
    <w:p>
      <w:pPr>
        <w:spacing w:after="80"/>
      </w:pPr>
      <w:r>
        <w:rPr>
          <w:b/>
          <w:i/>
        </w:rPr>
        <w:t>[2]Tương tác với các thủ tục tố tụng khác</w:t>
      </w:r>
    </w:p>
    <w:p>
      <w:pPr>
        <w:spacing w:after="80"/>
      </w:pPr>
      <w:r>
        <w:rPr>
          <w:b w:val="0"/>
          <w:i w:val="0"/>
        </w:rPr>
        <w:t>Mặc dù các biện pháp khắc phục theo luật quốc gia không bị chỉ thị loại trừ,83 người nộp thuế chỉ được phép sử dụng một thủ tục thỏa thuận song phương (MAP) duy nhất (bao gồm cả trọng tài MAP dựa trên hiệp ước).84 Do đó, việc nộp đơn khiếu nại theo chỉ thị sẽ tự động chấm dứt mọi thủ tục giải quyết tranh chấp dựa trên hiệp ước khác liên quan đến vấn đề đang tranh chấp là đối tượng của đơn khiếu nại.85</w:t>
      </w:r>
    </w:p>
    <w:p>
      <w:pPr>
        <w:spacing w:after="80"/>
      </w:pPr>
      <w:r>
        <w:rPr>
          <w:b w:val="0"/>
          <w:i w:val="0"/>
        </w:rPr>
        <w:t>Cuối cùng, trong một số trường hợp, một quyết định tư pháp có thể chấm dứt các thủ tục giải quyết tranh chấp trong chỉ thị mà không giải quyết được vấn đề đang tranh chấp. Trong những trường hợp mà luật của Quốc gia Thành viên không cho phép bỏ qua một quyết định tư pháp, các cơ quan có thẩm quyền của các quốc gia đó được yêu cầu thông báo cho các đối tác của họ và bất kỳ Ủy ban nào về quyết định đó, trước khi có bất kỳ giải pháp nào cho vấn đề theo chỉ thị. Trong những trường hợp như vậy, thỏa thuận song phương hoặc thủ tục giải quyết tranh chấp sẽ tự động bị chấm dứt.86</w:t>
      </w:r>
    </w:p>
    <w:p>
      <w:pPr>
        <w:spacing w:after="80"/>
      </w:pPr>
      <w:r>
        <w:rPr>
          <w:b w:val="0"/>
          <w:i w:val="0"/>
        </w:rPr>
        <w:t>Các Quốc gia Thành viên được tự do bắt đầu hoặc tiếp tục các thủ tục xử phạt hành chính và hình sự liên quan đến các vấn đề là đối tượng của các thủ tục theo chỉ thị.87</w:t>
      </w:r>
    </w:p>
    <w:p>
      <w:pPr>
        <w:spacing w:after="80"/>
      </w:pPr>
      <w:r>
        <w:rPr>
          <w:b/>
          <w:i/>
        </w:rPr>
        <w:t>[3]Giải thích chỉ thị</w:t>
      </w:r>
    </w:p>
    <w:p>
      <w:pPr>
        <w:spacing w:after="80"/>
      </w:pPr>
      <w:r>
        <w:rPr>
          <w:b w:val="0"/>
          <w:i w:val="0"/>
        </w:rPr>
        <w:t>Mặc dù một nguyên tắc cốt lõi của luật EU là các chỉ thị phải được giải thích theo ý nghĩa tự trị của chúng theo luật EU, chỉ thị này áp dụng một cách tiếp cận tương tự như Điều 3(2) của OECD Model bằng cách yêu cầu đưa vào bằng cách tham chiếu ý nghĩa của các thuật ngữ không được định nghĩa trong chỉ thị.88 Như vậy, Điều 1(2) quy định:</w:t>
      </w:r>
    </w:p>
    <w:p>
      <w:pPr>
        <w:spacing w:after="80"/>
      </w:pPr>
      <w:r>
        <w:rPr>
          <w:b w:val="0"/>
          <w:i w:val="0"/>
        </w:rPr>
        <w:t>Bất kỳ thuật ngữ nào không được định nghĩa trong Chỉ thị này, trừ khi ngữ cảnh đòi hỏi khác, sẽ có ý nghĩa mà nó có tại thời điểm đó theo thỏa thuận hoặc công ước liên quan được đề cập tại Điều 1 áp dụng vào ngày nhận được thông báo đầu tiên về hành động dẫn đến, hoặc sẽ dẫn đến, một vấn đề đang tranh chấp. Trong trường hợp không có định nghĩa theo thỏa thuận hoặc công ước đó, một thuật ngữ không được định nghĩa sẽ có ý nghĩa mà nó có tại thời điểm đó theo luật của Quốc gia Thành viên liên quan cho các mục đích của các loại thuế mà thỏa thuận hoặc công ước nói trên áp dụng, bất kỳ ý nghĩa nào theo luật thuế áp dụng của Quốc gia Thành viên đó đều được ưu tiên hơn ý nghĩa được gán cho thuật ngữ đó theo các luật khác của Quốc gia Thành viên đó.</w:t>
      </w:r>
    </w:p>
    <w:p>
      <w:pPr>
        <w:spacing w:after="80"/>
      </w:pPr>
      <w:r>
        <w:rPr>
          <w:b w:val="0"/>
          <w:i w:val="0"/>
        </w:rPr>
        <w:t>Như vậy, quy trình hai bước trước tiên yêu cầu ý nghĩa của các thuật ngữ không được định nghĩa phải mang cùng ý nghĩa như trong hiệp ước là đối tượng của tranh chấp, nếu không thì ý nghĩa về thuế theo luật thuế của Quốc gia Thành viên liên quan sẽ được áp dụng. Tòa án Công lý Liên minh Châu Âu (CJEU) cho đến nay đã có cách tiếp cận khá tiêu cực đối với</w:t>
      </w:r>
    </w:p>
    <w:p>
      <w:pPr>
        <w:spacing w:after="80"/>
      </w:pPr>
      <w:r>
        <w:rPr>
          <w:b w:val="0"/>
          <w:i w:val="0"/>
        </w:rPr>
        <w:t>83. Điều 16(3).84. Xem Chương 20, §§20.04ff cho các thủ tục song phương và Chương 21 này, §§21.03ff cho Công ước Trọng tài EU.85. Điều 16(5).86. Điều 16(4).87. Điều 16(2).88. Xem Chương 4, §4.08.</w:t>
      </w:r>
    </w:p>
    <w:p>
      <w:pPr>
        <w:spacing w:after="80"/>
      </w:pPr>
      <w:r>
        <w:rPr>
          <w:b w:val="0"/>
          <w:i w:val="0"/>
        </w:rPr>
        <w:t>619</w:t>
      </w:r>
    </w:p>
    <w:p>
      <w:pPr>
        <w:spacing w:after="80"/>
      </w:pPr>
      <w:r>
        <w:rPr>
          <w:b w:val="0"/>
          <w:i w:val="0"/>
        </w:rPr>
        <w:t xml:space="preserve">các quy tắc giải thích trong </w:t>
      </w:r>
      <w:r>
        <w:rPr>
          <w:b w:val="0"/>
          <w:i/>
        </w:rPr>
        <w:t>Áo v Đức</w:t>
      </w:r>
      <w:r>
        <w:rPr>
          <w:b w:val="0"/>
          <w:i w:val="0"/>
        </w:rPr>
        <w:t>.89 Những ứng viên rõ ràng cho quy tắc trong chỉ thị sẽ bao gồm ai là 'thẩm phán' trong điều 8(6) và thế nào là 'biện pháp khắc phục' quốc gia trong điều 16(3). Không giống như các hiệp định thuế song phương, việc duy trì tính nhất quán tổng thể của chỉ thị khi áp dụng cho nhiều tổ hợp tranh chấp khác nhau giữa các Quốc gia Thành viên có thể đòi hỏi cách giải thích hẹp hơn đối với quy tắc trong chỉ thị so với trong các hiệp định song phương.</w:t>
      </w:r>
    </w:p>
    <w:p>
      <w:pPr>
        <w:spacing w:after="80"/>
      </w:pPr>
      <w:r>
        <w:rPr>
          <w:b/>
          <w:i w:val="0"/>
        </w:rPr>
        <w:t>[K]Quản lý và Hỗ trợ</w:t>
      </w:r>
    </w:p>
    <w:p>
      <w:pPr>
        <w:spacing w:after="80"/>
      </w:pPr>
      <w:r>
        <w:rPr>
          <w:b w:val="0"/>
          <w:i w:val="0"/>
        </w:rPr>
        <w:t>Một Ủy ban về Giải quyết Tranh chấp sẽ được thành lập để hỗ trợ Ủy ban trong các trách nhiệm của mình. Những trách nhiệm này bao gồm việc phát triển các quy tắc hoạt động tiêu chuẩn,90 một danh sách trung tâm gồm những người độc lập có uy tín, và việc công bố các ý kiến của Ủy ban Cố vấn và Ủy ban Giải quyết Tranh chấp Thay thế.91 Các Quốc gia Thành viên có nghĩa vụ báo cáo bất kỳ biện pháp nào được thực hiện để trừng phạt hành vi vi phạm các nghĩa vụ bảo mật này cho Ủy ban, và Ủy ban phải thông báo điều này cho các Quốc gia Thành viên khác.92</w:t>
      </w:r>
    </w:p>
    <w:p>
      <w:pPr>
        <w:spacing w:after="80"/>
      </w:pPr>
      <w:r>
        <w:rPr>
          <w:b/>
          <w:i w:val="0"/>
        </w:rPr>
        <w:t>§21.03 CÔNG ƯỚC TRỌNG TÀI</w:t>
      </w:r>
    </w:p>
    <w:p>
      <w:pPr>
        <w:spacing w:after="80"/>
      </w:pPr>
      <w:r>
        <w:rPr>
          <w:b w:val="0"/>
          <w:i w:val="0"/>
        </w:rPr>
        <w:t>Công ước Trọng tài không đề cập cụ thể đến phạm vi cá nhân của mình theo cùng cách như Mẫu OECD. Điều 1(1) quy định rằng công ước áp dụng cho 'một doanh nghiệp của một quốc gia ký kết'. Không có giải thích thêm về thuật ngữ này, mặc dù điều 3(2) áp dụng một biến thể của Mẫu OECD khi quy định rằng bất kỳ thuật ngữ nào không được định nghĩa trong công ước sẽ có ý nghĩa mà nó có theo hiệp định hiện hành giữa các Quốc gia Thành viên liên quan trừ khi ngữ cảnh đòi hỏi khác.93 Điều này có nghĩa là việc áp dụng chính xác sẽ thay đổi từ hiệp định này sang hiệp định khác, có phần không đồng đều, tùy thuộc vào các quốc gia liên quan, đặc biệt liên quan đến các công ty hợp danh và liên doanh. Tình hình đặc biệt không chắc chắn khi có nhiều hơn hai quốc gia tham gia hoặc khi không có hiệp định giữa các quốc gia liên quan. Rõ ràng, công ước sẽ không áp dụng cho các trường hợp mà một bên của giao dịch không phải là một 'doanh nghiệp'.</w:t>
      </w:r>
    </w:p>
    <w:p>
      <w:pPr>
        <w:spacing w:after="80"/>
      </w:pPr>
      <w:r>
        <w:rPr>
          <w:b w:val="0"/>
          <w:i w:val="0"/>
        </w:rPr>
        <w:t>Điều 1(2) quy định rằng một cơ sở thường trú của một doanh nghiệp của một quốc gia ký kết nằm ở một quốc gia ký kết khác được coi là một doanh nghiệp của quốc gia nơi nó tọa lạc. Do đó, định nghĩa này loại trừ việc áp dụng công ước cho các cư dân của các quốc gia thứ ba. Các cơ sở thường trú của các doanh nghiệp ngoài EC tại hai hoặc nhiều quốc gia EC sẽ không thể dựa vào các quy định của công ước.</w:t>
      </w:r>
    </w:p>
    <w:p>
      <w:pPr>
        <w:spacing w:after="80"/>
      </w:pPr>
      <w:r>
        <w:rPr>
          <w:b w:val="0"/>
          <w:i w:val="0"/>
        </w:rPr>
        <w:t>Phạm vi lãnh thổ của công ước được giới hạn trong phạm vi được định nghĩa trong điều 227(1) của hiệp ước thành lập EEC nhưng loại trừ các lãnh thổ hải ngoại của Pháp, các</w:t>
      </w:r>
    </w:p>
    <w:p>
      <w:pPr>
        <w:spacing w:after="80"/>
      </w:pPr>
      <w:r>
        <w:rPr>
          <w:b w:val="0"/>
          <w:i w:val="0"/>
        </w:rPr>
        <w:t>89.</w:t>
      </w:r>
      <w:r>
        <w:rPr>
          <w:b w:val="0"/>
          <w:i/>
        </w:rPr>
        <w:t>Cộng hòa Áo v Cộng hòa Liên bang Đức</w:t>
      </w:r>
      <w:r>
        <w:rPr>
          <w:b w:val="0"/>
          <w:i w:val="0"/>
        </w:rPr>
        <w:t xml:space="preserve"> (Vụ án C-648/15) ECLI:EU:C:2017:664. Xem thêm Chương 4, §4.08.90.Điều 11(3).91.Điều 19(1) và (3).92.Điều 19(2).93.Xem Chương 9, §9.02, về ý nghĩa của doanh nghiệp.</w:t>
      </w:r>
    </w:p>
    <w:p>
      <w:pPr>
        <w:spacing w:after="80"/>
      </w:pPr>
      <w:r>
        <w:rPr>
          <w:b w:val="0"/>
          <w:i w:val="0"/>
        </w:rPr>
        <w:t>620</w:t>
      </w:r>
    </w:p>
    <w:p>
      <w:pPr>
        <w:spacing w:after="80"/>
      </w:pPr>
      <w:r>
        <w:rPr>
          <w:b w:val="0"/>
          <w:i w:val="0"/>
        </w:rPr>
        <w:t>Quần đảo Faroe và Greenland.94 Mặc dù công ước không bị chấm dứt bởi việc Vương quốc Anh rút khỏi EU,95 một câu hỏi khó hơn là liệu phạm vi lãnh thổ có tiếp tục bao gồm Vương quốc Anh hay không. Theo quan điểm của tác giả, có những lý do chính đáng để kết luận rằng EU với tư cách là tổ chức thay thế và kế thừa EEC theo các hiệp ước hoàn toàn mới96 không sửa đổi điều 227(1) EC hay Công ước Trọng tài để loại trừ một thành viên cũ của Liên minh.</w:t>
      </w:r>
    </w:p>
    <w:p>
      <w:pPr>
        <w:spacing w:after="80"/>
      </w:pPr>
      <w:r>
        <w:rPr>
          <w:b w:val="0"/>
          <w:i w:val="0"/>
        </w:rPr>
        <w:t>Bộ Quy tắc Ứng xử khẳng định rằng phạm vi của Công ước Trọng tài bao gồm tất cả các giao dịch EU liên quan đến các trường hợp tam giác giữa các Quốc gia Thành viên.97 Với mục đích này, một trường hợp tam giác là trường hợp mà, trong giai đoạn đầu của thủ tục Công ước Trọng tài, hai cơ quan có thẩm quyền EU không thể giải quyết hoàn toàn bất kỳ việc đánh thuế hai lần nào phát sinh trong một trường hợp định giá chuyển nhượng khi áp dụng nguyên tắc giá thị trường vì một doanh nghiệp liên kết nằm ở một Quốc gia Thành viên thứ ba có ảnh hưởng đáng kể trong việc góp phần tạo ra kết quả không theo giá thị trường trong một chuỗi giao dịch và được công nhận như vậy bởi người nộp thuế chịu đánh thuế hai lần và đã yêu cầu áp dụng các quy định của Công ước Trọng tài.98</w:t>
      </w:r>
    </w:p>
    <w:p>
      <w:pPr>
        <w:spacing w:after="80"/>
      </w:pPr>
      <w:r>
        <w:rPr>
          <w:b w:val="0"/>
          <w:i w:val="0"/>
        </w:rPr>
        <w:t>Việc mỏng vốn, được mô tả trong Bộ Quy tắc Ứng xử như là các điều chỉnh lợi nhuận phát sinh từ các quan hệ tài chính, bao gồm một khoản vay và các điều khoản của nó, và dựa trên nguyên tắc giá thị trường, sẽ được xem xét trong phạm vi của Công ước Trọng tài.99 Số lượng đáng kể các bảo lưu đối với kết luận này phản ánh sự khác biệt quan điểm trong EU về vấn đề này, bao gồm liệu mỏng vốn là một ứng dụng của tiêu chuẩn giá thị trường hay là một cơ chế chống lạm dụng.100</w:t>
      </w:r>
    </w:p>
    <w:p>
      <w:pPr>
        <w:spacing w:after="80"/>
      </w:pPr>
      <w:r>
        <w:rPr>
          <w:b/>
          <w:i w:val="0"/>
        </w:rPr>
        <w:t>§21.04 CÔNG ƯỚC TRỌNG TÀI: CÁC LOẠI THUẾ ĐƯỢC BAO GỒM</w:t>
      </w:r>
    </w:p>
    <w:p>
      <w:pPr>
        <w:spacing w:after="80"/>
      </w:pPr>
      <w:r>
        <w:rPr>
          <w:b w:val="0"/>
          <w:i w:val="0"/>
        </w:rPr>
        <w:t xml:space="preserve">Công ước áp dụng chung cho các loại thuế đánh vào thu nhập.101 Nó bao gồm, cụ thể là thuế trực thu đối với cá nhân và công ty được áp đặt bởi các Quốc gia Thành viên (thuế thu nhập và thuế công ty ở Vương quốc Anh) và khi các điều chỉnh được thực hiện đối với lợi nhuận của một doanh nghiệp tại một quốc gia ký kết, hoặc theo luật trong nước của quốc gia đó hoặc theo các nguyên tắc định giá chuyển nhượng được thiết lập trong công ước. Công ước chỉ áp dụng cho các loại thuế đánh vào thu nhập như được quy định cụ thể102 và bất kỳ loại thuế nào giống hệt hoặc tương tự có thể được áp đặt bởi các Quốc gia Thành viên sau ngày ký. Do đó, khoản thuế CFC103 dường như bị loại trừ do quyết định trong </w:t>
      </w:r>
      <w:r>
        <w:rPr>
          <w:b w:val="0"/>
          <w:i/>
        </w:rPr>
        <w:t>Bricom Holdings Ltd v IRC</w:t>
      </w:r>
      <w:r>
        <w:rPr>
          <w:b w:val="0"/>
          <w:i w:val="0"/>
        </w:rPr>
        <w:t>.104 Vì vậy, các tranh chấp định giá chuyển nhượng liên quan đến các công ty nước ngoài được kiểm soát (CFC) khi áp dụng cho khoản thuế CFC sẽ nằm ngoài phạm vi công ước.</w:t>
      </w:r>
    </w:p>
    <w:p>
      <w:pPr>
        <w:spacing w:after="80"/>
      </w:pPr>
      <w:r>
        <w:rPr>
          <w:b w:val="0"/>
          <w:i w:val="0"/>
        </w:rPr>
        <w:t>94.Điều 16.95.Xem §21.01.96.Xem Chương 3, §3.01 và TEU, điều 1.97.Bộ Quy tắc Ứng xử đã sửa đổi, đoạn 1.1(b).98.Bộ Quy tắc Ứng xử đã sửa đổi, đoạn 1.1(a).99.Bộ Quy tắc Ứng xử đã sửa đổi, đoạn 1.2.100.Bulgaria, Cộng hòa Séc, Hà Lan, Hy Lạp, Ý, Latvia, Ba Lan, Bồ Đào Nha và Slovakia.101.Điều 2(1).102.Các loại thuế được liệt kê trong điều 2(2).103.ICTA 1988, s. 747.104.</w:t>
      </w:r>
      <w:r>
        <w:rPr>
          <w:b w:val="0"/>
          <w:i/>
        </w:rPr>
        <w:t>Bricom Holdings Ltd v Inland Revenue Commissioners</w:t>
      </w:r>
      <w:r>
        <w:rPr>
          <w:b w:val="0"/>
          <w:i w:val="0"/>
        </w:rPr>
        <w:t xml:space="preserve"> [1997] BTC 471; [1997] STC 1179, CA.</w:t>
      </w:r>
    </w:p>
    <w:p>
      <w:pPr>
        <w:spacing w:after="80"/>
      </w:pPr>
      <w:r>
        <w:rPr>
          <w:b w:val="0"/>
          <w:i w:val="0"/>
        </w:rPr>
        <w:t>621</w:t>
      </w:r>
    </w:p>
    <w:p>
      <w:pPr>
        <w:spacing w:after="80"/>
      </w:pPr>
      <w:r>
        <w:rPr>
          <w:b w:val="0"/>
          <w:i w:val="0"/>
        </w:rPr>
        <w:t>Tương tự như vậy, các loại thuế được đề cập trong công ước không phải lúc nào cũng tương ứng chính xác với các loại thuế được nêu trong các hiệp định song phương giữa các Quốc gia Thành viên. Ví dụ, trong trường hợp của Đức, công ước loại trừ thuế vốn (</w:t>
      </w:r>
      <w:r>
        <w:rPr>
          <w:b w:val="0"/>
          <w:i/>
        </w:rPr>
        <w:t>Vermogensteuer</w:t>
      </w:r>
      <w:r>
        <w:rPr>
          <w:b w:val="0"/>
          <w:i w:val="0"/>
        </w:rPr>
        <w:t>) được đề cập trong Hiệp định Đức-Anh. Thuế thương mại (</w:t>
      </w:r>
      <w:r>
        <w:rPr>
          <w:b w:val="0"/>
          <w:i/>
        </w:rPr>
        <w:t>Gewerbesteuer</w:t>
      </w:r>
      <w:r>
        <w:rPr>
          <w:b w:val="0"/>
          <w:i w:val="0"/>
        </w:rPr>
        <w:t>) chỉ được đề cập trong công ước trong phạm vi nó dựa trên lợi nhuận thương mại. So sánh thì, thuế thương mại trong Hiệp định Đức-Anh được đề cập liên quan đến thuế khi nó áp dụng cho cả thu nhập và vốn. Cũng có một số điểm không nhất quán giữa các Quốc gia Thành viên khác nhau. Ví dụ, thuế nhà thờ của Đan Mạch được công ước đề cập, nhưng thuế nhà thờ của Đức thì không.</w:t>
      </w:r>
    </w:p>
    <w:p>
      <w:pPr>
        <w:spacing w:after="80"/>
      </w:pPr>
      <w:r>
        <w:rPr>
          <w:b/>
          <w:i w:val="0"/>
        </w:rPr>
        <w:t>§21.05 CÔNG ƯỚC TRỌNG TÀI: TIÊU CHUẨN GIAO DỊCH ĐỘC LẬP</w:t>
      </w:r>
    </w:p>
    <w:p>
      <w:pPr>
        <w:spacing w:after="80"/>
      </w:pPr>
      <w:r>
        <w:rPr>
          <w:b w:val="0"/>
          <w:i w:val="0"/>
        </w:rPr>
        <w:t>Công ước được áp dụng khi:</w:t>
      </w:r>
    </w:p>
    <w:p>
      <w:pPr>
        <w:spacing w:after="80"/>
      </w:pPr>
      <w:r>
        <w:rPr>
          <w:b w:val="0"/>
          <w:i w:val="0"/>
        </w:rPr>
        <w:t>Lợi nhuận được tính vào lợi nhuận của một doanh nghiệp thuộc một quốc gia ký kết cũng được tính hoặc có khả năng được tính vào lợi nhuận của một doanh nghiệp thuộc một quốc gia ký kết khác với lý do là các nguyên tắc được nêu trong Điều 4 và được áp dụng trực tiếp hoặc theo các quy định tương ứng của luật pháp quốc gia liên quan đã không được tuân thủ.</w:t>
      </w:r>
    </w:p>
    <w:p>
      <w:pPr>
        <w:spacing w:after="80"/>
      </w:pPr>
      <w:r>
        <w:rPr>
          <w:b w:val="0"/>
          <w:i w:val="0"/>
        </w:rPr>
        <w:t>Tiêu chuẩn giao dịch độc lập được nêu trong Điều 4 của công ước sử dụng chính xác cách diễn đạt được phát triển trong Điều 9(1) của OECD Model liên quan đến các giao dịch giữa các bên liên kết. Nó cũng tái tạo Điều 7(2) của OECD Model, trong đó yêu cầu lợi nhuận của một cơ sở thường trú phải được xác định trên cơ sở doanh nghiệp riêng biệt.105 Do đó, công ước bao gồm cả các trường hợp khi một giao dịch được thực hiện trực tiếp giữa hai doanh nghiệp pháp lý riêng biệt và các trường hợp khi một giao dịch được thực hiện giữa một trong các doanh nghiệp và cơ sở thường trú của doanh nghiệp kia nằm ở một quốc gia thứ ba.106 Bằng cách áp dụng các tiêu chuẩn đã được thiết lập vững chắc này, các bên ký kết tránh được bất kỳ tranh chấp mới nào về chủ đề này. Không có tham chiếu rõ ràng nào đến OECD Transfer Pricing Guidelines. Việc áp dụng ngôn ngữ của OECD có nghĩa là việc giải thích được hỗ trợ bằng cách tham chiếu đến OECD Commentary về các điều này, và các nghiên cứu khác nhau của OECD về chuyển giá được công nhận một cách ngầm định. Để thúc đẩy điều này, Code of Conduct yêu cầu nguyên tắc giao dịch độc lập 'như được ban hành bởi OECD' phải được áp dụng, 'không quan tâm đến hậu quả thuế trước mắt đối với bất kỳ Quốc gia Ký kết cụ thể nào'.107 Tuy nhiên, bất kỳ nguồn đánh thuế hai lần nào phát sinh vì lý do khác ngoài việc áp dụng nguyên tắc giao dịch độc lập đều nằm ngoài phạm vi của công ước.</w:t>
      </w:r>
    </w:p>
    <w:p>
      <w:pPr>
        <w:spacing w:after="80"/>
      </w:pPr>
      <w:r>
        <w:rPr>
          <w:b w:val="0"/>
          <w:i w:val="0"/>
        </w:rPr>
        <w:t>105. Xem Chương 9, §§9.04ff. 106. Tuyên bố chung về Điều 4(1). 107. Revised Code of Conduct, đoạn 6.1(a).</w:t>
      </w:r>
    </w:p>
    <w:p>
      <w:pPr>
        <w:spacing w:after="80"/>
      </w:pPr>
      <w:r>
        <w:rPr>
          <w:b w:val="0"/>
          <w:i w:val="0"/>
        </w:rPr>
        <w:t>622</w:t>
      </w:r>
    </w:p>
    <w:p>
      <w:pPr>
        <w:spacing w:after="80"/>
      </w:pPr>
      <w:r>
        <w:rPr>
          <w:b/>
          <w:i w:val="0"/>
        </w:rPr>
        <w:t>§21.06 CÔNG ƯỚC TRỌNG TÀI: THAM GIA VÀO QUẢN LÝ, KIỂM SOÁT HOẶC VỐN</w:t>
      </w:r>
    </w:p>
    <w:p>
      <w:pPr>
        <w:spacing w:after="80"/>
      </w:pPr>
      <w:r>
        <w:rPr>
          <w:b w:val="0"/>
          <w:i w:val="0"/>
        </w:rPr>
        <w:t>Công ước áp dụng bài kiểm tra của OECD Model về thời điểm lợi nhuận của các doanh nghiệp liên kết phải chịu điều chỉnh. Do đó, nó áp dụng khi một doanh nghiệp của một quốc gia ký kết tham gia trực tiếp hoặc gián tiếp vào quản lý, kiểm soát hoặc vốn của một doanh nghiệp ở một quốc gia ký kết khác. Hoặc, nó áp dụng khi cùng những người tham gia trực tiếp hoặc gián tiếp vào quản lý, kiểm soát hoặc vốn của một doanh nghiệp ở hai quốc gia ký kết khác nhau.108 Công ước không đề cập rõ ràng đến việc áp dụng các hiệp định song phương đối với lãi và tiền bản quyền khi các khoản tiền bị ảnh hưởng bởi 'mối quan hệ đặc biệt giữa người trả và chủ sở hữu hưởng lợi của lãi hoặc tiền bản quyền, hoặc giữa cả hai người đó và một số người khác'.109 Tuy nhiên, phạm vi rộng của công ước thông qua tham chiếu đến các nguyên tắc trong Điều 4 có nghĩa là hiệu quả của việc áp dụng các điều khoản về tiền bản quyền hoặc lãi đối với đánh thuế hai lần sẽ cần được tính đến.</w:t>
      </w:r>
    </w:p>
    <w:p>
      <w:pPr>
        <w:spacing w:after="80"/>
      </w:pPr>
      <w:r>
        <w:rPr>
          <w:b/>
          <w:i w:val="0"/>
        </w:rPr>
        <w:t>§21.07 CÔNG ƯỚC TRỌNG TÀI: LOẠI BỎ ĐÁNH THUẾ HAI LẦN</w:t>
      </w:r>
    </w:p>
    <w:p>
      <w:pPr>
        <w:spacing w:after="80"/>
      </w:pPr>
      <w:r>
        <w:rPr>
          <w:b w:val="0"/>
          <w:i w:val="0"/>
        </w:rPr>
        <w:t>Đặc điểm phân biệt trung tâm của công ước so với các quy định thỏa thuận song phương của các hiệp định song phương là mục đích của nó là đảm bảo việc loại bỏ đánh thuế hai lần. Vì mục đích này, công ước thiết lập tiêu chuẩn riêng của mình về thời điểm đánh thuế hai lần được coi là đã được loại bỏ. Đánh thuế hai lần đối với lợi nhuận được coi là đã được loại bỏ nếu hoặc lợi nhuận được tính vào việc tính toán lợi nhuận chịu thuế chỉ ở một quốc gia, hoặc thuế phải chịu đối với lợi nhuận đó ở một quốc gia được giảm bởi thuế phải chịu đối với chúng ở một quốc gia khác.110 Việc giảm nhẹ đánh thuế hai lần dưới hình thức điều chỉnh tương ứng khi lợi nhuận đã bị đánh thuế ở một quốc gia được tăng lên ở một quốc gia khác, như được quy định trong Điều 9(2) của OECD Model Convention, không được bao gồm. Tuy nhiên, điều này được tích hợp vào việc giải thích về việc loại bỏ đánh thuế hai lần. Không có quy định nào được đưa ra cho cái gọi là điều chỉnh thứ cấp để khôi phục mối quan hệ tổng thể của các bên sau khi điều chỉnh đã được thực hiện.111</w:t>
      </w:r>
    </w:p>
    <w:p>
      <w:pPr>
        <w:spacing w:after="80"/>
      </w:pPr>
      <w:r>
        <w:rPr>
          <w:b/>
          <w:i w:val="0"/>
        </w:rPr>
        <w:t>§21.08 CÔNG ƯỚC TRỌNG TÀI: GIỚI HẠN THỜI GIAN</w:t>
      </w:r>
    </w:p>
    <w:p>
      <w:pPr>
        <w:spacing w:after="80"/>
      </w:pPr>
      <w:r>
        <w:rPr>
          <w:b w:val="0"/>
          <w:i w:val="0"/>
        </w:rPr>
        <w:t>EC Arbitration Convention áp dụng cùng quy tắc giới hạn ba năm để trình bày một trường hợp với các cơ quan có thẩm quyền được tìm thấy trong OECD Model.112 Khi thỏa thuận song phương được tìm kiếm với các cơ quan có thẩm quyền ở một Quốc gia Thành viên EU, sẽ có sự lựa chọn về việc liệu MAP của một hiệp định song phương được viện dẫn hay liệu các</w:t>
      </w:r>
    </w:p>
    <w:p>
      <w:pPr>
        <w:spacing w:after="80"/>
      </w:pPr>
      <w:r>
        <w:rPr>
          <w:b w:val="0"/>
          <w:i w:val="0"/>
        </w:rPr>
        <w:t>108. Xem Chương 9, §9.17. 109. Xem Chương 10, §10.04. 110. Điều 14. 111. Điều chỉnh thứ cấp được xem xét trong EU Joint Transfer Pricing Forum Final Report on Secondary Adjustments, 25 tháng 10 năm 2012, JTPF/017/FINAL/2012/EN. 112. Điều 6(1).</w:t>
      </w:r>
    </w:p>
    <w:p>
      <w:pPr>
        <w:spacing w:after="80"/>
      </w:pPr>
      <w:r>
        <w:rPr>
          <w:b w:val="0"/>
          <w:i w:val="0"/>
        </w:rPr>
        <w:t>623</w:t>
      </w:r>
    </w:p>
    <w:p>
      <w:pPr>
        <w:spacing w:after="80"/>
      </w:pPr>
      <w:r>
        <w:rPr>
          <w:b w:val="0"/>
          <w:i w:val="0"/>
        </w:rPr>
        <w:t>quy định tương đương theo Điều 6 của Arbitration Convention được sử dụng (mặc dù MAP của hiệp định song phương trong hầu hết các trường hợp không thể dẫn đến trọng tài). Các giới hạn thời gian liên quan đến các hiệp định song phương khác vẫn phải được xem xét trong bối cảnh các giới hạn trong nước hoặc những giới hạn được quy định trong hiệp định liên quan. Ở Anh, nơi giới hạn thời gian chung để viện dẫn MAP là sáu năm, nếu công ước không được viện dẫn trong giới hạn ba năm của công ước, trọng tài sẽ không thể thực hiện được.</w:t>
      </w:r>
    </w:p>
    <w:p>
      <w:pPr>
        <w:spacing w:after="80"/>
      </w:pPr>
      <w:r>
        <w:rPr>
          <w:b w:val="0"/>
          <w:i w:val="0"/>
        </w:rPr>
        <w:t>Thời hạn ba năm bắt đầu tính từ thông báo đầu tiên về hành động dẫn đến hoặc có khả năng dẫn đến việc đánh thuế hai lần.113 Ý nghĩa của cụm từ này được đề cập trong Bộ Quy tắc Ứng xử (Code of Conduct), theo đó tất cả các Quốc gia Thành viên đã đồng ý rằng ngày của thông báo đánh giá thuế đầu tiên hoặc văn bản tương đương dẫn đến hoặc có khả năng dẫn đến việc đánh thuế hai lần được coi là thời điểm bắt đầu của giai đoạn ba năm. Việc áp dụng chính xác điều này trong luật nội địa của mỗi Quốc gia Thành viên được quy định trong Phụ lục của Bộ Quy tắc Ứng xử.114 Tại Vương quốc Anh, HMRC đã đồng ý rằng đây sẽ là ngày phát hành thông báo theo luật định được yêu cầu để hoàn tất một đánh giá và/hoặc bất kỳ thủ tục kháng nghị liên quan nào cho kỳ đánh giá đang xét, hoặc một lá thư chấp thuận của một viên chức thuộc ban HMRC đối với các điều khoản dàn xếp cho kỳ đang xét.115 Bộ Quy tắc Ứng xử Sửa đổi (Revised Code of Conduct) khuyến nghị rằng các Quốc gia Thành viên áp dụng định nghĩa này cho các trường hợp chuyển giá (transfer pricing) để xác định giai đoạn ba năm trong Điều 25(1) của Mẫu OECD (OECD Model) trong các hiệp định thuế song phương giữa các Quốc gia Thành viên.116</w:t>
      </w:r>
    </w:p>
    <w:p>
      <w:pPr>
        <w:spacing w:after="80"/>
      </w:pPr>
      <w:r>
        <w:rPr>
          <w:b w:val="0"/>
          <w:i w:val="0"/>
        </w:rPr>
        <w:t>Bộ Quy tắc Ứng xử Sửa đổi khuyến nghị rằng các Quốc gia Thành viên nên coi một trường hợp được điều chỉnh bởi Công ước Trọng tài (Arbitration Convention) khi trường hợp đó được trình bày đúng thời hạn sau ngày các Quốc gia Thành viên mới gia nhập Công ước Trọng tài có hiệu lực, ngay cả khi việc điều chỉnh áp dụng cho các năm tài chính trước đó.117</w:t>
      </w:r>
    </w:p>
    <w:p>
      <w:pPr>
        <w:spacing w:after="80"/>
      </w:pPr>
      <w:r>
        <w:rPr>
          <w:b/>
          <w:i w:val="0"/>
        </w:rPr>
        <w:t>§21.09 CÔNG ƯỚC TRỌNG TÀI: THỦ TỤC ĐIỀU CHỈNH</w:t>
      </w:r>
    </w:p>
    <w:p>
      <w:pPr>
        <w:spacing w:after="80"/>
      </w:pPr>
      <w:r>
        <w:rPr>
          <w:b w:val="0"/>
          <w:i w:val="0"/>
        </w:rPr>
        <w:t>Chi tiết của các thủ tục thỏa thuận song phương và trọng tài chiếm phần lớn nội dung của công ước và tạo nên những đặc điểm đổi mới nhất của nó. Không giống như hầu hết các hiệp định song phương, các thủ tục tìm kiếm thỏa thuận song phương được trình bày chi tiết và dài dòng.</w:t>
      </w:r>
    </w:p>
    <w:p>
      <w:pPr>
        <w:spacing w:after="80"/>
      </w:pPr>
      <w:r>
        <w:rPr>
          <w:b/>
          <w:i w:val="0"/>
        </w:rPr>
        <w:t>[A]Giải quyết Ban đầu</w:t>
      </w:r>
    </w:p>
    <w:p>
      <w:pPr>
        <w:spacing w:after="80"/>
      </w:pPr>
      <w:r>
        <w:rPr>
          <w:b w:val="0"/>
          <w:i w:val="0"/>
        </w:rPr>
        <w:t>Cơ hội giải quyết nhanh chóng các điều chỉnh ban đầu được cung cấp bởi Điều 5, trong đó yêu cầu một quốc gia ký kết có ý định điều chỉnh lợi nhuận của một doanh nghiệp phải thông báo cho doanh nghiệp về hành động dự kiến của mình và tạo cơ hội cho doanh nghiệp đó thông báo cho doanh nghiệp kia. Điều này nhằm trao cho doanh nghiệp kia cơ hội để thông báo lại cho quốc gia ký kết còn lại. Phải dành đủ thời gian cho người nộp thuế để thông báo cho các bên liên quan và quốc gia ký kết còn lại. Nếu sau khi việc này đã được</w:t>
      </w:r>
    </w:p>
    <w:p>
      <w:pPr>
        <w:spacing w:after="80"/>
      </w:pPr>
      <w:r>
        <w:rPr>
          <w:b w:val="0"/>
          <w:i w:val="0"/>
        </w:rPr>
        <w:t>113. Điều 6(1). 114. Bộ Quy tắc Ứng xử, đoạn 1. 115. Xem Tuyên bố Thực hành SP 1/11, đoạn 29 và 30. 116. Bộ Quy tắc Ứng xử Sửa đổi, đoạn 4. 117. Bộ Quy tắc Ứng xử Sửa đổi, đoạn 2.</w:t>
      </w:r>
    </w:p>
    <w:p>
      <w:pPr>
        <w:spacing w:after="80"/>
      </w:pPr>
      <w:r>
        <w:rPr>
          <w:b w:val="0"/>
          <w:i w:val="0"/>
        </w:rPr>
        <w:t>624</w:t>
      </w:r>
    </w:p>
    <w:p>
      <w:pPr>
        <w:spacing w:after="80"/>
      </w:pPr>
      <w:r>
        <w:rPr>
          <w:b w:val="0"/>
          <w:i w:val="0"/>
        </w:rPr>
        <w:t>thực hiện, cả các doanh nghiệp và các quốc gia ký kết đều đồng ý với việc điều chỉnh, thì vấn đề được kết thúc.</w:t>
      </w:r>
    </w:p>
    <w:p>
      <w:pPr>
        <w:spacing w:after="80"/>
      </w:pPr>
      <w:r>
        <w:rPr>
          <w:b/>
          <w:i w:val="0"/>
        </w:rPr>
        <w:t>[B]MAP</w:t>
      </w:r>
    </w:p>
    <w:p>
      <w:pPr>
        <w:spacing w:after="80"/>
      </w:pPr>
      <w:r>
        <w:rPr>
          <w:b w:val="0"/>
          <w:i w:val="0"/>
        </w:rPr>
        <w:t>Nếu một trong hai doanh nghiệp cho rằng nguyên tắc giá thị trường (arm's-length principle) chưa được áp dụng đúng cách, doanh nghiệp đó có thể viện dẫn MAP bất kể bất kỳ biện pháp khắc phục nào khác được quy định theo luật nội địa.118 Trường hợp này có thể được trình bày cho cơ quan có thẩm quyền của quốc gia cư trú hoặc nơi đặt cơ sở thường trú của doanh nghiệp.119 Hơn nữa, nếu các quốc gia khác có thể có liên quan đến trường hợp này, thực tế đó phải được thông báo cùng lúc, và cơ quan có thẩm quyền mà trường hợp được trình bày phải, không chậm trễ, thông báo cho các cơ quan có thẩm quyền của các quốc gia khác đó. Các hiệp định thuế thu nhập của Vương quốc Anh với Pháp và Tây Ban Nha không cho phép trọng tài theo các điều khoản MAP của các hiệp định đó nếu một trường hợp đã được trình bày theo Công ước Trọng tài.120 Các cơ quan có thẩm quyền phải chấp nhận một trường hợp và thực hiện các bước cần thiết nếu các điều kiện trong Điều 6(1) được đáp ứng.121</w:t>
      </w:r>
    </w:p>
    <w:p>
      <w:pPr>
        <w:spacing w:after="80"/>
      </w:pPr>
      <w:r>
        <w:rPr>
          <w:b w:val="0"/>
          <w:i w:val="0"/>
        </w:rPr>
        <w:t>Đây không phải là vấn đề tùy nghi ngoại trừ trường hợp Điều 8(1) được áp dụng.122</w:t>
      </w:r>
    </w:p>
    <w:p>
      <w:pPr>
        <w:spacing w:after="80"/>
      </w:pPr>
      <w:r>
        <w:rPr>
          <w:b w:val="0"/>
          <w:i w:val="0"/>
        </w:rPr>
        <w:t>Không giống như luật nội địa liên quan đến MAP theo các hiệp định song phương, không có quyền theo luật định cụ thể để trình bày một trường hợp. TIOPA 2010, các mục 126 và 127 không đề cập đến vấn đề này. Thực tiễn của HMRC là xử lý cả hai theo cùng một cách.123 Quyền trình bày một trường hợp phát sinh trực tiếp theo Điều 6 của Công ước. Không có thời hạn nào được quy định cho việc giải quyết ban đầu theo Điều 5. Một doanh nghiệp có thể trình bày một trường hợp theo Điều 6(1) ngay cả khi thủ tục giải quyết ban đầu trong Điều 5 chưa hoàn tất.</w:t>
      </w:r>
    </w:p>
    <w:p>
      <w:pPr>
        <w:spacing w:after="80"/>
      </w:pPr>
      <w:r>
        <w:rPr>
          <w:b w:val="0"/>
          <w:i w:val="0"/>
        </w:rPr>
        <w:t>Nếu khiếu nại có vẻ có cơ sở và nếu cơ quan có thẩm quyền tiếp nhận trường hợp không thể tự mình đạt được giải pháp thỏa đáng, thì cơ quan có thẩm quyền tiếp nhận trường hợp phải nỗ lực giải quyết trường hợp bằng thỏa thuận song phương với cơ quan có thẩm quyền của bất kỳ quốc gia ký kết nào khác có liên quan, ngay cả khi các thời hạn theo luật nội địa đã hết.124 Các thủ tục chi tiết để tiến hành MAP được quy định trong Bộ Quy tắc nhằm giải quyết các trường hợp càng nhanh càng tốt, có xét đến tính phức tạp của các vấn đề trong trường hợp cụ thể.125 Bộ Quy tắc Ứng xử Sửa đổi đặt ra các thủ tục để giải quyết các trường hợp tam giác,126 cũng như các biện pháp nhằm đảm bảo tính minh bạch127 và các yêu cầu chi tiết liên quan đến việc chuẩn bị, sử dụng và phản hồi đối với các văn bản lập trường của các cơ quan có thẩm quyền.128 Các Quốc gia Thành viên cũng được khuyến nghị áp dụng các quy tắc và thủ tục tương tự cho các trường hợp chuyển giá khi MAP theo Điều 25(1) của Mẫu OECD trong các hiệp định thuế song phương giữa các Quốc gia Thành viên</w:t>
      </w:r>
    </w:p>
    <w:p>
      <w:pPr>
        <w:spacing w:after="80"/>
      </w:pPr>
      <w:r>
        <w:rPr>
          <w:b w:val="0"/>
          <w:i w:val="0"/>
        </w:rPr>
        <w:t xml:space="preserve">118. Bộ Quy tắc Ứng xử Sửa đổi, đoạn 4. 119. Điều 6(1). 120. Hiệp định Thuế Pháp-Anh (2008), Điều 26(5); Hiệp định Thuế Tây Ban Nha-Anh (2013), Điều 25(5). 121. </w:t>
      </w:r>
      <w:r>
        <w:rPr>
          <w:b w:val="0"/>
          <w:i/>
        </w:rPr>
        <w:t>Bundesfinanzhof (</w:t>
      </w:r>
      <w:r>
        <w:rPr>
          <w:b w:val="0"/>
          <w:i w:val="0"/>
        </w:rPr>
        <w:t>Tòa án Tài chính Liên bang Đức</w:t>
      </w:r>
      <w:r>
        <w:rPr>
          <w:b w:val="0"/>
          <w:i/>
        </w:rPr>
        <w:t>),</w:t>
      </w:r>
      <w:r>
        <w:rPr>
          <w:b w:val="0"/>
          <w:i w:val="0"/>
        </w:rPr>
        <w:t xml:space="preserve"> Vụ án I R 82/17, (19 tháng 3 năm 2020). 122. Xem §21.11. 123. HMRC, Sổ tay Quốc tế, INTM423050. 124. Điều 6(2). 125. Bộ Quy tắc Ứng xử Sửa đổi, đoạn 6. 126. Bộ Quy tắc Ứng xử Sửa đổi, đoạn 6.2. 127. Bộ Quy tắc Ứng xử Sửa đổi, đoạn 6.3. 128. Bộ Quy tắc Ứng xử Sửa đổi, đoạn 6.4.</w:t>
      </w:r>
    </w:p>
    <w:p>
      <w:pPr>
        <w:spacing w:after="80"/>
      </w:pPr>
      <w:r>
        <w:rPr>
          <w:b w:val="0"/>
          <w:i w:val="0"/>
        </w:rPr>
        <w:t>625</w:t>
      </w:r>
    </w:p>
    <w:p>
      <w:pPr>
        <w:spacing w:after="80"/>
      </w:pPr>
      <w:r>
        <w:rPr>
          <w:b w:val="0"/>
          <w:i w:val="0"/>
        </w:rPr>
        <w:t>Trạng thái được viện dẫn.129 Việc giải quyết đánh thuế hai lần theo công ước, dù bằng thỏa thuận hay quyết định của ủy ban cố vấn, đều được thực thi tại Vương quốc Anh theo TIOPA 2010, s. 127.</w:t>
      </w:r>
    </w:p>
    <w:p>
      <w:pPr>
        <w:spacing w:after="80"/>
      </w:pPr>
      <w:r>
        <w:rPr>
          <w:b/>
          <w:i w:val="0"/>
        </w:rPr>
        <w:t>[C]Trọng tài</w:t>
      </w:r>
    </w:p>
    <w:p>
      <w:pPr>
        <w:spacing w:after="80"/>
      </w:pPr>
      <w:r>
        <w:rPr>
          <w:b w:val="0"/>
          <w:i w:val="0"/>
        </w:rPr>
        <w:t>Nếu các cơ quan có thẩm quyền cùng nhau không giải quyết được vấn đề bằng thỏa thuận loại bỏ đánh thuế hai lần trong vòng hai năm kể từ khi vụ việc lần đầu được trình lên, họ phải thành lập một ủy ban cố vấn theo các thủ tục của công ước.130 Do đó, trọng tài không phải là một lựa chọn dành cho người nộp thuế. Các cơ quan có thẩm quyền buộc phải tự động viện đến biện pháp này nếu vụ việc không được giải quyết trong thời hạn quy định. Trường hợp vụ việc đã được trình lên tòa án hoặc hội đồng xét xử, khoảng thời gian hai năm nêu trong tiểu đoạn thứ nhất sẽ được tính từ ngày bản án của tòa phúc thẩm cuối cùng được tuyên. Như vậy, tại Vương quốc Anh, việc thông báo kháng cáo lên Tribunal theo TMA 1970, s. 49D-49G131 sẽ khởi động thời hạn kéo dài này.</w:t>
      </w:r>
    </w:p>
    <w:p>
      <w:pPr>
        <w:spacing w:after="80"/>
      </w:pPr>
      <w:r>
        <w:rPr>
          <w:b w:val="0"/>
          <w:i w:val="0"/>
        </w:rPr>
        <w:t>Bộ Quy tắc Ứng xử Sửa đổi đặt ra các yêu cầu chi tiết về thời điểm một vụ việc được coi là đã được trình lên theo Điều 6(1) nhằm xác định thời điểm bắt đầu của khoảng thời gian hai năm. Theo đó, một vụ việc được coi là đã được trình lên khi người nộp thuế cung cấp những thông tin sau:</w:t>
      </w:r>
    </w:p>
    <w:p>
      <w:pPr>
        <w:spacing w:after="80"/>
      </w:pPr>
      <w:r>
        <w:rPr>
          <w:b w:val="0"/>
          <w:i w:val="0"/>
        </w:rPr>
        <w:t>– thông tin nhận dạng (như tên, địa chỉ, mã số thuế) của</w:t>
      </w:r>
    </w:p>
    <w:p>
      <w:pPr>
        <w:spacing w:after="80"/>
      </w:pPr>
      <w:r>
        <w:rPr>
          <w:b w:val="0"/>
          <w:i w:val="0"/>
        </w:rPr>
        <w:t>doanh nghiệp thuộc quốc gia ký kết đưa ra yêu cầu và của các bên khác trong các giao dịch liên quan; – chi tiết về các sự kiện và hoàn cảnh liên quan của vụ việc (bao gồm chi tiết về</w:t>
      </w:r>
    </w:p>
    <w:p>
      <w:pPr>
        <w:spacing w:after="80"/>
      </w:pPr>
      <w:r>
        <w:rPr>
          <w:b w:val="0"/>
          <w:i w:val="0"/>
        </w:rPr>
        <w:t>mối quan hệ giữa doanh nghiệp và các bên khác trong các giao dịch liên quan); – thông tin nhận dạng các kỳ tính thuế liên quan; – bản sao các thông báo quyết toán thuế, báo cáo kiểm toán thuế hoặc tài liệu tương đương dẫn đến</w:t>
      </w:r>
    </w:p>
    <w:p>
      <w:pPr>
        <w:spacing w:after="80"/>
      </w:pPr>
      <w:r>
        <w:rPr>
          <w:b w:val="0"/>
          <w:i w:val="0"/>
        </w:rPr>
        <w:t>việc bị cho là đánh thuế hai lần; – chi tiết về bất kỳ thủ tục kháng cáo và tố tụng nào do doanh nghiệp hoặc</w:t>
      </w:r>
    </w:p>
    <w:p>
      <w:pPr>
        <w:spacing w:after="80"/>
      </w:pPr>
      <w:r>
        <w:rPr>
          <w:b w:val="0"/>
          <w:i w:val="0"/>
        </w:rPr>
        <w:t>các bên khác trong các giao dịch liên quan khởi xướng và bất kỳ quyết định của tòa án nào liên quan đến vụ việc; – lời giải thích của doanh nghiệp về lý do tại sao doanh nghiệp cho rằng các nguyên tắc nêu trong</w:t>
      </w:r>
    </w:p>
    <w:p>
      <w:pPr>
        <w:spacing w:after="80"/>
      </w:pPr>
      <w:r>
        <w:rPr>
          <w:b w:val="0"/>
          <w:i w:val="0"/>
        </w:rPr>
        <w:t>Điều 4 của công ước Trọng tài đã không được tuân thủ; – cam kết rằng doanh nghiệp sẽ phản hồi càng đầy đủ và nhanh chóng càng tốt</w:t>
      </w:r>
    </w:p>
    <w:p>
      <w:pPr>
        <w:spacing w:after="80"/>
      </w:pPr>
      <w:r>
        <w:rPr>
          <w:b w:val="0"/>
          <w:i w:val="0"/>
        </w:rPr>
        <w:t>đối với mọi yêu cầu hợp lý và phù hợp của cơ quan có thẩm quyền và sẽ để tài liệu trong tầm tay của các cơ quan có thẩm quyền; và</w:t>
      </w:r>
    </w:p>
    <w:p>
      <w:pPr>
        <w:spacing w:after="80"/>
      </w:pPr>
      <w:r>
        <w:rPr>
          <w:b w:val="0"/>
          <w:i w:val="0"/>
        </w:rPr>
        <w:t>129. Bộ Quy tắc Ứng xử Sửa đổi, đoạn 6.5. 130. Điều 7(1). 131. Xem Chương 20, §20.01.</w:t>
      </w:r>
    </w:p>
    <w:p>
      <w:pPr>
        <w:spacing w:after="80"/>
      </w:pPr>
      <w:r>
        <w:rPr>
          <w:b w:val="0"/>
          <w:i w:val="0"/>
        </w:rPr>
        <w:t>626</w:t>
      </w:r>
    </w:p>
    <w:p>
      <w:pPr>
        <w:spacing w:after="80"/>
      </w:pPr>
      <w:r>
        <w:rPr>
          <w:b w:val="0"/>
          <w:i w:val="0"/>
        </w:rPr>
        <w:t>– bất kỳ thông tin bổ sung cụ thể nào mà cơ quan có thẩm quyền yêu cầu</w:t>
      </w:r>
    </w:p>
    <w:p>
      <w:pPr>
        <w:spacing w:after="80"/>
      </w:pPr>
      <w:r>
        <w:rPr>
          <w:b w:val="0"/>
          <w:i w:val="0"/>
        </w:rPr>
        <w:t>trong vòng hai tháng kể từ khi nhận được yêu cầu của người nộp thuế.132</w:t>
      </w:r>
    </w:p>
    <w:p>
      <w:pPr>
        <w:spacing w:after="80"/>
      </w:pPr>
      <w:r>
        <w:rPr>
          <w:b w:val="0"/>
          <w:i w:val="0"/>
        </w:rPr>
        <w:t>Bộ Quy tắc coi khoảng thời gian hai năm bắt đầu từ khi cơ quan có thẩm quyền nhận được thông tin này và yêu cầu, hoặc nếu muộn hơn, thì tính từ ngày thông báo quyết toán thuế hoặc tài liệu tương đương thông báo quyết định cuối cùng về khoản thu nhập bổ sung.133</w:t>
      </w:r>
    </w:p>
    <w:p>
      <w:pPr>
        <w:spacing w:after="80"/>
      </w:pPr>
      <w:r>
        <w:rPr>
          <w:b/>
          <w:i w:val="0"/>
        </w:rPr>
        <w:t>[D]Ủy ban Cố vấn</w:t>
      </w:r>
    </w:p>
    <w:p>
      <w:pPr>
        <w:spacing w:after="80"/>
      </w:pPr>
      <w:r>
        <w:rPr>
          <w:b w:val="0"/>
          <w:i w:val="0"/>
        </w:rPr>
        <w:t xml:space="preserve">Thuật ngữ trọng tài (arbitration) không xuất hiện trong công ước. Ủy ban Cố vấn là hội đồng được thành lập trên cơ sở </w:t>
      </w:r>
      <w:r>
        <w:rPr>
          <w:b w:val="0"/>
          <w:i/>
        </w:rPr>
        <w:t>ad hoc</w:t>
      </w:r>
      <w:r>
        <w:rPr>
          <w:b w:val="0"/>
          <w:i w:val="0"/>
        </w:rPr>
        <w:t xml:space="preserve"> để xét xử các tranh chấp theo công ước.134 Ủy ban bao gồm một chủ tịch cùng hai đại diện của mỗi cơ quan có thẩm quyền và một số chẵn các cá nhân độc lập có uy tín (được bổ nhiệm theo thỏa thuận hoặc bằng cách rút thăm do các cơ quan có thẩm quyền liên quan thực hiện).135 Danh sách các cá nhân độc lập có uy tín do Tổng thư ký Hội đồng EC lập, với năm người được đề cử từ mỗi Quốc gia Thành viên.136 Danh sách này quy định chi tiết các tiêu chuẩn để được đề cử. Chủ tịch phải là người đủ điều kiện giữ chức vụ tư pháp cao nhất tại quốc gia của mình hoặc là một luật gia (jurisconsult) có năng lực được công nhận.137 Người nộp thuế không được tham gia vào việc lựa chọn hội đồng. Các cơ quan có thẩm quyền có thể phản đối các thành viên hội đồng độc lập nếu họ làm việc cho cơ quan thuế liên quan, hoặc nếu họ là chủ sở hữu, người sử dụng lao động, hoặc cố vấn của một trong các bên, hoặc khi không đảm bảo được tính khách quan đầy đủ. Thủ tục thành lập ủy ban được quy định trong Quy tắc Ứng xử Sửa đổi (Revised Code of Conduct).138</w:t>
      </w:r>
    </w:p>
    <w:p>
      <w:pPr>
        <w:spacing w:after="80"/>
      </w:pPr>
      <w:r>
        <w:rPr>
          <w:b w:val="0"/>
          <w:i w:val="0"/>
        </w:rPr>
        <w:t>Quá trình trọng tài diễn ra giữa các quốc gia ký kết liên quan chứ không phải giữa người nộp thuế và các cơ quan chức năng. Đây cũng là một trong những nhược điểm của nó – về nguyên tắc, người nộp thuế không tham gia vào quá trình này. Quy tắc Ứng xử mở rộng các thủ tục cho hoạt động của Ủy ban.139 Tuy nhiên, Điều 10(2) của công ước cho phép các doanh nghiệp liên kết liên quan được xuất hiện hoặc được đại diện trước Ủy ban Cố vấn theo yêu cầu. Các doanh nghiệp liên quan phải xuất hiện trước ủy ban nếu ủy ban yêu cầu họ làm vậy.</w:t>
      </w:r>
    </w:p>
    <w:p>
      <w:pPr>
        <w:spacing w:after="80"/>
      </w:pPr>
      <w:r>
        <w:rPr>
          <w:b/>
          <w:i/>
        </w:rPr>
        <w:t>[1]Thông tin</w:t>
      </w:r>
    </w:p>
    <w:p>
      <w:pPr>
        <w:spacing w:after="80"/>
      </w:pPr>
      <w:r>
        <w:rPr>
          <w:b w:val="0"/>
          <w:i w:val="0"/>
        </w:rPr>
        <w:t>Người nộp thuế liên quan có thể cung cấp bất kỳ thông tin, bằng chứng hoặc tài liệu nào mà họ cho là có thể hữu ích cho ủy ban. Người nộp thuế và các cơ quan có thẩm quyền phải thực hiện mọi yêu cầu cung cấp thông tin từ ủy ban. Tuy nhiên, các quốc gia ký kết không bắt buộc phải thực hiện các biện pháp hành chính</w:t>
      </w:r>
    </w:p>
    <w:p>
      <w:pPr>
        <w:spacing w:after="80"/>
      </w:pPr>
      <w:r>
        <w:rPr>
          <w:b w:val="0"/>
          <w:i w:val="0"/>
        </w:rPr>
        <w:t>132. Quy tắc Ứng xử Sửa đổi, khoản 5(a).133. Quy tắc Ứng xử Sửa đổi, khoản 5(b).134. Điều 9(1).135. Điều 9(3).136. Điều 9(4).137. Điều 9(5).138. Quy tắc Ứng xử Sửa đổi, khoản 7.1.139. Quy tắc Ứng xử Sửa đổi, khoản 7.3.</w:t>
      </w:r>
    </w:p>
    <w:p>
      <w:pPr>
        <w:spacing w:after="80"/>
      </w:pPr>
      <w:r>
        <w:rPr>
          <w:b w:val="0"/>
          <w:i w:val="0"/>
        </w:rPr>
        <w:t>627</w:t>
      </w:r>
    </w:p>
    <w:p>
      <w:pPr>
        <w:spacing w:after="80"/>
      </w:pPr>
      <w:r>
        <w:rPr>
          <w:b w:val="0"/>
          <w:i w:val="0"/>
        </w:rPr>
        <w:t>trái với luật trong nước hoặc thực tiễn hành chính thông thường của họ, hoặc cung cấp thông tin không thể có được theo luật trong nước hoặc thực tiễn hành chính thông thường. Tương tự, các cơ quan có thẩm quyền không có nghĩa vụ cung cấp thông tin làm tiết lộ bất kỳ bí mật thương mại nào hoặc trái với chính sách công.140 Việc HMRC tiết lộ thông tin cho ủy ban được cho phép theo ICTA 1988, s.816(2A). Bản thân ủy ban cũng phải tuân thủ các nghĩa vụ bảo mật. Vương quốc Anh thực thi điều này bằng các chế tài hình sự theo FA 1989, s. 182A.</w:t>
      </w:r>
    </w:p>
    <w:p>
      <w:pPr>
        <w:spacing w:after="80"/>
      </w:pPr>
      <w:r>
        <w:rPr>
          <w:b/>
          <w:i/>
        </w:rPr>
        <w:t>[2]Chi phí</w:t>
      </w:r>
    </w:p>
    <w:p>
      <w:pPr>
        <w:spacing w:after="80"/>
      </w:pPr>
      <w:r>
        <w:rPr>
          <w:b w:val="0"/>
          <w:i w:val="0"/>
        </w:rPr>
        <w:t>Người nộp thuế được quyền có người đại diện và phải tự chịu chi phí của mình liên quan đến quá trình tố tụng. Các chi phí khác của thủ tục được các quốc gia ký kết liên quan chia đều. Việc doanh nghiệp tham gia, dù theo yêu cầu của chính mình hay theo yêu cầu của ủy ban, sẽ do doanh nghiệp tự chịu chi phí.141 Điều 11(3) của công ước quy định rằng chi phí của thủ tục trọng tài do các quốc gia ký kết liên quan chia đều, ngoại trừ chi phí của các doanh nghiệp liên kết. Công ước không đề cập đến chi phí của người nộp thuế; do đó, có vẻ như không thể có phán quyết về chi phí trong vấn đề đó.</w:t>
      </w:r>
    </w:p>
    <w:p>
      <w:pPr>
        <w:spacing w:after="80"/>
      </w:pPr>
      <w:r>
        <w:rPr>
          <w:b/>
          <w:i/>
        </w:rPr>
        <w:t>[3]Ý kiến của Ủy ban Cố vấn</w:t>
      </w:r>
    </w:p>
    <w:p>
      <w:pPr>
        <w:spacing w:after="80"/>
      </w:pPr>
      <w:r>
        <w:rPr>
          <w:b w:val="0"/>
          <w:i w:val="0"/>
        </w:rPr>
        <w:t>Ý kiến của Ủy ban Cố vấn được thông qua theo đa số đơn giản và phải được đưa ra không quá sáu tháng kể từ ngày vấn đề được chuyển đến ủy ban.142 Quyết định nhằm loại bỏ việc đánh thuế hai lần phải được đưa ra trong vòng sáu tháng kể từ ngày Ủy ban Cố vấn đưa ra ý kiến của mình.143 Quy tắc Ứng xử quy định nội dung dự kiến của ý kiến.144 Các cơ quan có thẩm quyền có thể đưa ra quyết định khác với ý kiến của Ủy ban Cố vấn, nhưng nếu họ không đạt được thỏa thuận, họ buộc phải hành động theo ý kiến đó.145 Tại Vương quốc Anh, các ý kiến của Ủy ban Cố vấn được thực thi theo TIOPA 2010, s. 127.</w:t>
      </w:r>
    </w:p>
    <w:p>
      <w:pPr>
        <w:spacing w:after="80"/>
      </w:pPr>
      <w:r>
        <w:rPr>
          <w:b w:val="0"/>
          <w:i w:val="0"/>
        </w:rPr>
        <w:t>Khi các tranh chấp về giá chuyển nhượng (transfer pricing) phát sinh trong bối cảnh các Quốc gia Thành viên EU khác, việc viện dẫn Công ước Trọng tài thay vì chỉ dựa vào hiệp định song phương có những lợi thế. Sự sẵn có của trọng tài thực sự tạo ra động lực để các cơ quan thuế giải quyết vấn đề.</w:t>
      </w:r>
    </w:p>
    <w:p>
      <w:pPr>
        <w:spacing w:after="80"/>
      </w:pPr>
      <w:r>
        <w:rPr>
          <w:b w:val="0"/>
          <w:i w:val="0"/>
        </w:rPr>
        <w:t xml:space="preserve">Phán quyết của CJEU trong </w:t>
      </w:r>
      <w:r>
        <w:rPr>
          <w:b w:val="0"/>
          <w:i/>
        </w:rPr>
        <w:t>Slowakische Republik v Achmea</w:t>
      </w:r>
      <w:r>
        <w:rPr>
          <w:b w:val="0"/>
          <w:i w:val="0"/>
        </w:rPr>
        <w:t xml:space="preserve"> BV146 rằng các điều khoản trọng tài trong các hiệp định đầu tư song phương giữa các Quốc gia Thành viên không tương thích với luật EU, có thể gây nghi ngờ về tính khả thi của yếu tố trọng tài. Tòa án</w:t>
      </w:r>
    </w:p>
    <w:p>
      <w:pPr>
        <w:spacing w:after="80"/>
      </w:pPr>
      <w:r>
        <w:rPr>
          <w:b w:val="0"/>
          <w:i w:val="0"/>
        </w:rPr>
        <w:t xml:space="preserve">140. Điều 10(1).141. Quy tắc Ứng xử Sửa đổi, khoản 7.3(f) đề cập đến việc thanh toán cho ủy ban.142. Điều 11(1).143. Điều 12(1).144. Quy tắc Ứng xử Sửa đổi, khoản 7.4.145. Điều 12(1).146. </w:t>
      </w:r>
      <w:r>
        <w:rPr>
          <w:b w:val="0"/>
          <w:i/>
        </w:rPr>
        <w:t>Slowakische Republik v Achmea BV</w:t>
      </w:r>
      <w:r>
        <w:rPr>
          <w:b w:val="0"/>
          <w:i w:val="0"/>
        </w:rPr>
        <w:t xml:space="preserve"> (Vụ C-284/16) ECLI:EU:C:2018:158.</w:t>
      </w:r>
    </w:p>
    <w:p>
      <w:pPr>
        <w:spacing w:after="80"/>
      </w:pPr>
      <w:r>
        <w:rPr>
          <w:b w:val="0"/>
          <w:i w:val="0"/>
        </w:rPr>
        <w:t>628</w:t>
      </w:r>
    </w:p>
    <w:p>
      <w:pPr>
        <w:spacing w:after="80"/>
      </w:pPr>
      <w:r>
        <w:rPr>
          <w:b w:val="0"/>
          <w:i w:val="0"/>
        </w:rPr>
        <w:t>considered rằng luật EU có thể liên quan đến việc xác định đối tượng của trọng tài hiệp ước đầu tư và rằng một hội đồng trọng tài không có thẩm quyền chuyển các câu hỏi về luật EU lên tòa án. Tính chung thẩm của quyết định trọng tài có nghĩa là những câu hỏi như vậy không thể được đưa ra trước các tòa án quốc gia có thẩm quyền chuyển những câu hỏi đó.</w:t>
      </w:r>
    </w:p>
    <w:p>
      <w:pPr>
        <w:spacing w:after="80"/>
      </w:pPr>
      <w:r>
        <w:rPr>
          <w:b/>
          <w:i w:val="0"/>
        </w:rPr>
        <w:t>§21.10 CÔNG ƯỚC TRỌNG TÀI: LỰA CHỌN DIỄN ĐÀN</w:t>
      </w:r>
    </w:p>
    <w:p>
      <w:pPr>
        <w:spacing w:after="80"/>
      </w:pPr>
      <w:r>
        <w:rPr>
          <w:b w:val="0"/>
          <w:i w:val="0"/>
        </w:rPr>
        <w:t>Công ước Trọng tài cho phép các thủ tục trọng tài hoạt động, ngay cả khi vấn đề đang được xét xử trước tòa án của một Quốc gia Thành viên. Trong bối cảnh này, người nộp thuế không bị ngăn cản kháng cáo các quyết định định giá chuyển nhượng trong khi vẫn tiến hành thủ tục cơ quan có thẩm quyền. Trong trường hợp như vậy, thời hạn hai năm chỉ bắt đầu chạy khi bản án của Tòa Phúc thẩm cuối cùng được đưa ra. Việc thành lập Ủy ban Cố vấn chịu trách nhiệm giải quyết vấn đề đánh thuế hai lần chỉ cần được thiết lập khi thời hạn kháng cáo đã hết hoặc bất kỳ kháng cáo nào đã được rút lại trước khi phán quyết được đưa ra.147 Mức độ mà các biện pháp khắc phục này độc lập trên thực tế bị hạn chế bởi việc kéo dài thời gian cần thiết để tiến qua các giai đoạn khác nhau được quy định trong công ước.</w:t>
      </w:r>
    </w:p>
    <w:p>
      <w:pPr>
        <w:spacing w:after="80"/>
      </w:pPr>
      <w:r>
        <w:rPr>
          <w:b w:val="0"/>
          <w:i w:val="0"/>
        </w:rPr>
        <w:t>Một khía cạnh khác được thêm vào bởi những hậu quả trong luật nội địa của các quyết định tư pháp. Điều này được đề cập trong công ước như sau:</w:t>
      </w:r>
    </w:p>
    <w:p>
      <w:pPr>
        <w:spacing w:after="80"/>
      </w:pPr>
      <w:r>
        <w:rPr>
          <w:b w:val="0"/>
          <w:i w:val="0"/>
        </w:rPr>
        <w:t>7(3) Khi luật nội địa của một quốc gia ký kết không cho phép các cơ quan có thẩm quyền của quốc gia đó bãi bỏ các quyết định của cơ quan tư pháp của họ, khoản 1 sẽ không được áp dụng trừ khi doanh nghiệp liên kết của quốc gia đó đã để thời hạn kháng cáo hết hiệu lực, hoặc đã rút lại bất kỳ kháng cáo nào như vậy trước khi phán quyết được đưa ra. Quy định này sẽ không ảnh hưởng đến kháng cáo nếu và trong phạm vi nó liên quan đến các vấn đề khác ngoài những vấn đề được đề cập trong Điều 6.</w:t>
      </w:r>
    </w:p>
    <w:p>
      <w:pPr>
        <w:spacing w:after="80"/>
      </w:pPr>
      <w:r>
        <w:rPr>
          <w:b w:val="0"/>
          <w:i w:val="0"/>
        </w:rPr>
        <w:t>Vương quốc Anh đã ghi nhận một tuyên bố rằng họ coi điều này áp dụng cho các quyết định của tòa án Vương quốc Anh. Quan điểm của HMRC là trước khi giai đoạn trọng tài có thể bắt đầu, thời hạn kháng cáo phải đã hết mà không có kháng cáo nào được thực hiện hoặc người nộp thuế phải đã rút lại kháng cáo hoặc giải quyết nó bằng thỏa thuận. Kết quả là, người nộp thuế Vương quốc Anh thực chất được đặt vào sự lựa chọn giữa trọng tài hoặc quy trình kháng cáo nội địa. Vì công ước chỉ áp dụng cho định giá chuyển nhượng, kháng cáo có thể liên quan đến các vấn đề đánh thuế hai lần không được công ước đề cập. Trong bối cảnh này, HMRC sẽ đồng ý rằng người nộp thuế sẽ không bị từ chối quyền tiếp cận trọng tài, chỉ vì kháng cáo đang chờ xử lý hoặc quyền kháng cáo, miễn là người nộp thuế đưa ra các cam kết phù hợp thừa nhận rằng quy trình kháng cáo sẽ không mở rộng đến vấn đề định giá chuyển nhượng là đối tượng của trọng tài.148 Diễn đàn Định giá Chuyển nhượng EU lưu ý rằng thực tiễn này được áp dụng rộng rãi ở các Quốc gia Thành viên và chỉ đơn giản khuyến nghị rằng các thủ tục thu thuế nên được tạm hoãn trong quá trình giải quyết tranh chấp.149</w:t>
      </w:r>
    </w:p>
    <w:p>
      <w:pPr>
        <w:spacing w:after="80"/>
      </w:pPr>
      <w:r>
        <w:rPr>
          <w:b w:val="0"/>
          <w:i w:val="0"/>
        </w:rPr>
        <w:t>147. Điều 7(1). Xem §21.09 ở trên.148. HMRC, Sổ tay Quốc tế, INTM423060.149. Quy tắc Ứng xử Sửa đổi, đoạn 8.</w:t>
      </w:r>
    </w:p>
    <w:p>
      <w:pPr>
        <w:spacing w:after="80"/>
      </w:pPr>
      <w:r>
        <w:rPr>
          <w:b w:val="0"/>
          <w:i w:val="0"/>
        </w:rPr>
        <w:t>629</w:t>
      </w:r>
    </w:p>
    <w:p>
      <w:pPr>
        <w:spacing w:after="80"/>
      </w:pPr>
      <w:r>
        <w:rPr>
          <w:b w:val="0"/>
          <w:i w:val="0"/>
        </w:rPr>
        <w:t>Việc trình bày một vụ việc cho MAP theo một hiệp ước song phương150 sẽ không có tác dụng kéo dài thời hạn hai năm. Do đó, về nguyên tắc, một vụ việc có thể được trình bày đồng thời theo Điều 6 của Công ước Trọng tài và theo điều khoản trọng tài của một hiệp ước song phương151 trừ khi hiệp ước song phương yêu cầu phải đưa ra lựa chọn.152</w:t>
      </w:r>
    </w:p>
    <w:p>
      <w:pPr>
        <w:spacing w:after="80"/>
      </w:pPr>
      <w:r>
        <w:rPr>
          <w:b w:val="0"/>
          <w:i w:val="0"/>
        </w:rPr>
        <w:t>Công ước áp dụng nghiêm ngặt cho các tranh chấp định giá chuyển nhượng và không áp dụng cho bất kỳ vấn đề nào khác có thể là đối tượng của thủ tục thỏa thuận song phương. Việc trình bày một vụ việc theo công ước liên quan đến cùng một thủ tục ở Vương quốc Anh như theo các hiệp ước song phương. Biện pháp khắc phục cho việc không thực hiện các quy định của công ước sẽ là thông qua xem xét tư pháp.</w:t>
      </w:r>
    </w:p>
    <w:p>
      <w:pPr>
        <w:spacing w:after="80"/>
      </w:pPr>
      <w:r>
        <w:rPr>
          <w:b/>
          <w:i w:val="0"/>
        </w:rPr>
        <w:t>§21.11 CÔNG ƯỚC TRỌNG TÀI: THỦ TỤC XỬ PHẠT</w:t>
      </w:r>
    </w:p>
    <w:p>
      <w:pPr>
        <w:spacing w:after="80"/>
      </w:pPr>
      <w:r>
        <w:rPr>
          <w:b w:val="0"/>
          <w:i w:val="0"/>
        </w:rPr>
        <w:t>Các cơ quan có thẩm quyền không được yêu cầu khởi xướng thủ tục trọng tài thỏa thuận song phương nếu các thủ tục pháp lý hoặc hành chính trong nước chống lại người nộp thuế đã dẫn đến phán quyết cuối cùng rằng một trong các doanh nghiệp phải chịu một hình phạt nghiêm trọng do một hành động làm phát sinh việc điều chỉnh hoặc chuyển dịch lợi nhuận.153 Việc chấp nhận vụ việc trong hoàn cảnh như vậy thuộc quyền quyết định của cơ quan có thẩm quyền. Trong một vụ việc trước Bundesfinanzhof của Đức, các doanh nghiệp liên kết được kiểm soát bởi một cá nhân đã bị kết án vì đã hỗ trợ trong một vi phạm dẫn đến một hình phạt nghiêm trọng.154 Bản thân doanh nghiệp không bị kết án, nhưng vợ/chồng của cá nhân đó, người là tổng giám đốc của doanh nghiệp Đức, đã bị kết án về tội chính. Tòa án đã giữ nguyên việc thực hiện quyền quyết định từ chối vụ việc.</w:t>
      </w:r>
    </w:p>
    <w:p>
      <w:pPr>
        <w:spacing w:after="80"/>
      </w:pPr>
      <w:r>
        <w:rPr>
          <w:b w:val="0"/>
          <w:i w:val="0"/>
        </w:rPr>
        <w:t>Một phụ lục của công ước nêu chi tiết những gì mỗi Quốc gia Thành viên coi là một hình phạt nghiêm trọng. Thông thường, những điều này liên quan đến hành vi gian lận hoặc hình sự. Ở Vương quốc Anh, 'hình phạt nghiêm trọng' có nghĩa là các biện pháp trừng phạt hình sự và hành chính liên quan đến việc nộp tài khoản, yêu cầu bồi thường hoặc tờ khai thuế không chính xác một cách gian lận hoặc cẩu thả.155 Một cáo buộc đơn thuần rằng thủ tục xử phạt nghiêm trọng sẽ được bắt đầu sẽ không loại bỏ thủ tục của cơ quan có thẩm quyền, mà có thể bị tạm hoãn cho đến khi các thủ tục tư pháp hoặc hành chính được kết thúc.156 Kinh nghiệm thực tế thu được từ năm 1995 đã dẫn đến một khuyến nghị trong Quy tắc Ứng xử Sửa đổi rằng các Quốc gia Thành viên làm rõ hoặc sửa đổi các tuyên bố đơn phương của họ trong phụ lục để phản ánh tốt hơn rằng một hình phạt</w:t>
      </w:r>
    </w:p>
    <w:p>
      <w:pPr>
        <w:spacing w:after="80"/>
      </w:pPr>
      <w:r>
        <w:rPr>
          <w:b w:val="0"/>
          <w:i w:val="0"/>
        </w:rPr>
        <w:t xml:space="preserve">150. Xem Chương 20, §20.05.151. Xem, ví dụ, Hiệp ước Thuế Bỉ-Vương quốc Anh (1987), Điều 25 được chèn bởi Điều XVII(1) của Nghị định thư ngày 24 tháng 6 năm 2009; Hiệp ước Thuế Đức-Vương quốc Anh (2010), Điều 26; Hiệp ước Thuế Ngân hàng Đức-Vương quốc Anh (2011), Điều 8; và Hiệp ước Thuế Hà Lan-Vương quốc Anh (2008), Điều 25.152. Xem, ví dụ, Hiệp ước Thuế Pháp-Vương quốc Anh (2008), Điều 26(5); Hiệp ước Thuế Tây Ban Nha-Vương quốc Anh (2013), Điều 25(5).153. Điều 8(1).154. </w:t>
      </w:r>
      <w:r>
        <w:rPr>
          <w:b w:val="0"/>
          <w:i/>
        </w:rPr>
        <w:t>Bundesfinanzhof</w:t>
      </w:r>
      <w:r>
        <w:rPr>
          <w:b w:val="0"/>
          <w:i w:val="0"/>
        </w:rPr>
        <w:t xml:space="preserve"> (Tòa án Tài chính Liên bang Đức), Vụ án I R 82/17, ngày 19 tháng 3 năm 2020.155. Ở Ireland, 'Các hình phạt nghiêm trọng' bao gồm những hình phạt đối với: (a) không nộp tờ khai; (b) nộp tờ khai không chính xác một cách gian lận hoặc cẩu thả; (c) không lưu giữ hồ sơ đúng cách; (d) không cung cấp tài liệu và hồ sơ để kiểm tra; (e) cản trở những người thực hiện quyền hạn theo luật định; (f) không thông báo về nghĩa vụ chịu thuế; (g) đưa ra tuyên bố sai để được hưởng trợ cấp.156. Điều 8(2). HMRC, Sổ tay Quốc tế, INTM423090.</w:t>
      </w:r>
    </w:p>
    <w:p>
      <w:pPr>
        <w:spacing w:after="80"/>
      </w:pPr>
      <w:r>
        <w:rPr>
          <w:b w:val="0"/>
          <w:i w:val="0"/>
        </w:rPr>
        <w:t>630</w:t>
      </w:r>
    </w:p>
    <w:p>
      <w:pPr>
        <w:spacing w:after="80"/>
      </w:pPr>
      <w:r>
        <w:rPr>
          <w:b w:val="0"/>
          <w:i w:val="0"/>
        </w:rPr>
        <w:t>nghiêm trọng chỉ nên được áp dụng trong các trường hợp ngoại lệ như gian lận.157 Các quy định nội địa của Vương quốc Anh về hình phạt đối với sự không chính xác đã được sửa đổi trong FA 2007, thay thế các thuật ngữ 'gian lận' hoặc 'cẩu thả' bằng 'cố ý' hoặc 'bất cẩn'. Dựa trên kinh nghiệm của mình từ năm 1990, Vương quốc Anh trên thực tế sẽ chỉ thực hiện quyền quyết định của mình theo Điều 8 trong các trường hợp liên quan đến việc áp đặt hình phạt đối với sự không chính xác cố ý. Khi xem xét có nên tiến hành theo Công ước Trọng tài hay không, Vương quốc Anh sẽ tính đến các sự kiện và hoàn cảnh đã dẫn đến việc người nộp thuế phải chịu hình phạt như vậy.158</w:t>
      </w:r>
    </w:p>
    <w:p>
      <w:pPr>
        <w:spacing w:after="80"/>
      </w:pPr>
      <w:r>
        <w:rPr>
          <w:b/>
          <w:i w:val="0"/>
        </w:rPr>
        <w:t>§21.12KẾT LUẬN</w:t>
      </w:r>
    </w:p>
    <w:p>
      <w:pPr>
        <w:spacing w:after="80"/>
      </w:pPr>
      <w:r>
        <w:rPr>
          <w:b w:val="0"/>
          <w:i w:val="0"/>
        </w:rPr>
        <w:t>Công ước là một bước tiến quan trọng trong việc giải quyết các vấn đề chuyển giá ngày càng khó khăn. Kể từ khi công ước có hiệu lực vào ngày 1 tháng 1 năm 1995, được hiểu rằng chỉ có một vụ trọng tài đã được quyết định. Điều này khiến một số người kết luận rằng công ước ít có ý nghĩa thực tiễn. Tuy nhiên, một số nhà hành nghề, cả trong khu vực tư nhân và trong các cơ quan thuế, đã bình luận rằng ngay cả khi không có một vụ trọng tài nào, công ước vẫn có vai trò hữu ích bằng cách khuyến khích các cơ quan thuế áp dụng cách tiếp cận hợp lý đối với chuyển giá trong EU, thay vì mạo hiểm với thủ tục trọng tài. Do đó, thành công của công ước nằm ở việc không có vụ việc nào phát sinh, chứ không phải ở việc có các vụ việc. Công ước quy định rằng các phán quyết của ủy ban có thể được công bố tùy thuộc vào sự đồng ý của người nộp thuế liên quan.159 Chắc chắn sẽ là một đóng góp quan trọng cho việc nghiên cứu về chủ đề này nếu chúng được công bố, đặc biệt nếu cung cấp lý do chi tiết cho các quyết định.</w:t>
      </w:r>
    </w:p>
    <w:p>
      <w:pPr>
        <w:spacing w:after="80"/>
      </w:pPr>
      <w:r>
        <w:rPr>
          <w:b w:val="0"/>
          <w:i w:val="0"/>
        </w:rPr>
        <w:t>Dự thảo chỉ thị ban đầu đề xuất rằng các thỏa thuận hiệp ước hiện hành liên quan đến chuyển giá sẽ vẫn giữ nguyên. Công ước không đề cập đến điểm này. Một tiêu chuẩn duy nhất và một cách tiếp cận thủ tục duy nhất cho tất cả các vấn đề chuyển giá trong Cộng đồng rõ ràng là mong muốn, và Bộ Quy tắc Ứng xử đề xuất các khuyến nghị về giới hạn thời gian, và việc tiến hành MAP nên được mở rộng cho các thủ tục hiệp ước song phương.160 Việc áp dụng trọng tài ràng buộc trong các hiệp ước song phương giữa các Quốc gia Thành viên161 mang lại thêm lựa chọn cho người nộp thuế.</w:t>
      </w:r>
    </w:p>
    <w:p>
      <w:pPr>
        <w:spacing w:after="80"/>
      </w:pPr>
      <w:r>
        <w:rPr>
          <w:b w:val="0"/>
          <w:i w:val="0"/>
        </w:rPr>
        <w:t>Các quy tắc đảm bảo biện pháp bảo vệ thủ tục và thủ tục tố tụng hợp lý trong các phiên họp của Ủy ban Cố vấn không được đề cập trong công ước, mặc dù Bộ Quy tắc Ứng xử đã bổ sung chi tiết cho khung sườn về khía cạnh này. Công ước không chỉ định bất kỳ cơ quan tư pháp nào để giám sát Ủy ban Cố vấn, cũng không đưa ra bất kỳ tiêu chuẩn công bằng nào. Kết quả là người nộp thuế khiếu nại về sự thiếu công bằng sẽ phải viện đến các biện pháp khắc phục theo luật trong nước trong phạm vi quyền tài phán nơi thủ tục tố tụng có thể diễn ra. Sẽ tốt hơn nếu công ước giải quyết vấn đề này cả bằng cách đưa ra một bộ hướng dẫn về tính công bằng thủ tục, chẳng hạn như Nghị quyết năm 1977</w:t>
      </w:r>
    </w:p>
    <w:p>
      <w:pPr>
        <w:spacing w:after="80"/>
      </w:pPr>
      <w:r>
        <w:rPr>
          <w:b w:val="0"/>
          <w:i w:val="0"/>
        </w:rPr>
        <w:t>157. Bộ Quy tắc Ứng xử sửa đổi, đoạn 3. 158. HMRC, Sổ tay Quốc tế, INTM423090. 159. Điều 12(2). 160. Bộ Quy tắc Ứng xử sửa đổi, đoạn 4. 161. Chương 20, §20.13.</w:t>
      </w:r>
    </w:p>
    <w:p>
      <w:pPr>
        <w:spacing w:after="80"/>
      </w:pPr>
      <w:r>
        <w:rPr>
          <w:b w:val="0"/>
          <w:i w:val="0"/>
        </w:rPr>
        <w:t>631</w:t>
      </w:r>
    </w:p>
    <w:p>
      <w:pPr>
        <w:spacing w:after="80"/>
      </w:pPr>
      <w:r>
        <w:rPr>
          <w:b w:val="0"/>
          <w:i w:val="0"/>
        </w:rPr>
        <w:t>của Hội đồng Châu Âu về 'Bảo vệ Cá nhân trong Mối quan hệ với Các Hành vi của Cơ quan Hành chính', và bằng cách cung cấp quy trình kháng cáo, tốt nhất là lên ECJ, như được Ủy ban Châu Âu khuyến nghị. Những vấn đề này phần lớn được giải quyết trong chỉ thị đề xuất về giải quyết tranh chấp đánh thuế hai lần được thảo luận tại §21.02 ở trên.</w:t>
      </w:r>
    </w:p>
    <w:p>
      <w:pPr>
        <w:spacing w:after="80"/>
      </w:pPr>
      <w:r>
        <w:rPr>
          <w:b w:val="0"/>
          <w:i w:val="0"/>
        </w:rPr>
        <w:t>632</w:t>
      </w:r>
    </w:p>
    <w:p>
      <w:pPr>
        <w:spacing w:before="240" w:after="80"/>
      </w:pPr>
      <w:r>
        <w:rPr>
          <w:b/>
          <w:sz w:val="32"/>
        </w:rPr>
        <w:t>CHƯƠNG 22 Hợp tác Hành chính Quốc tế</w:t>
      </w:r>
    </w:p>
    <w:p>
      <w:pPr>
        <w:spacing w:after="80"/>
      </w:pPr>
      <w:r>
        <w:rPr>
          <w:b/>
          <w:i w:val="0"/>
        </w:rPr>
        <w:t>§22.01GIỚI THIỆU</w:t>
      </w:r>
    </w:p>
    <w:p>
      <w:pPr>
        <w:spacing w:after="80"/>
      </w:pPr>
      <w:r>
        <w:rPr>
          <w:b w:val="0"/>
          <w:i w:val="0"/>
        </w:rPr>
        <w:t>Những thay đổi mạnh mẽ trong hợp tác xuyên biên giới giữa các cơ quan thuế và những cải thiện trong khuôn khổ hiệp ước mà trong đó sự hợp tác như vậy được thực hiện là dấu ấn của những phát triển hiệp ước thuế đầu thế kỷ hai mươi mốt. Mặc dù các hiệp ước thuế từ lâu đã quy định việc trao đổi thông tin, phạm vi trao đổi như vậy ban đầu cực kỳ hạn chế. Ngay cả khi đối tượng trao đổi thông tin được hiệp ước cho phép được mở rộng, việc sử dụng thực tế bởi các cơ quan thuế vẫn còn khiêm tốn. Những đổi mới trong lĩnh vực hiệp ước bao gồm các thỏa thuận với các khu vực tài phán không đánh thuế hoặc đánh thuế rất thấp để có được thông tin,1 các thỏa thuận yêu cầu các quốc gia hỗ trợ thu thuế và cung cấp các hợp tác khác bao gồm việc áp đặt thuế khấu trừ không được luật trong nước quy định. Việc đàm phán lại điên cuồng các điều khoản trao đổi thông tin trong các hiệp ước hiện hành của Vương quốc Anh, việc ký kết các thỏa thuận trao đổi thông tin thuế và các công cụ tương tự đã đặc trưng cho chính sách hiệp ước thuế của Vương quốc Anh trong những năm gần đây. Vương quốc Anh đã đi đầu trong các phát triển quốc tế trong lĩnh vực này bao gồm việc thành lập Diễn đàn về Quản lý Thuế2 và Diễn đàn Toàn cầu về Minh bạch và Trao đổi Thông tin cho Mục đích Thuế.3 Tuy nhiên, các tiêu chuẩn và yêu cầu khác nhau trong các công cụ quốc tế chồng chéo khiến đây trở thành một lĩnh vực phát triển phức tạp của luật hiệp ước thuế. Việc tuân thủ của các quốc gia được đánh giá thông qua các đánh giá đồng cấp do Diễn đàn Toàn cầu về Minh bạch và Trao đổi Thông tin cho Mục đích Thuế thực hiện.4</w:t>
      </w:r>
    </w:p>
    <w:p>
      <w:pPr>
        <w:spacing w:after="80"/>
      </w:pPr>
      <w:r>
        <w:rPr>
          <w:b w:val="0"/>
          <w:i w:val="0"/>
        </w:rPr>
        <w:t xml:space="preserve">1. Xem §22.13. 2. www.oecd.org/site/ctpfta/ Cổng Trao đổi Thông tin truy cập ngày 17 tháng 5 năm 2013. 3. http://eoi-tax.org/ truy cập ngày 17 tháng 5 năm 2013. 4. Xem, ví dụ, Ireland: Diễn đàn Toàn cầu về Minh bạch và Trao đổi Thông tin cho Mục đích Thuế: </w:t>
      </w:r>
      <w:r>
        <w:rPr>
          <w:b w:val="0"/>
          <w:i/>
        </w:rPr>
        <w:t xml:space="preserve"> Ireland 2017 (Vòng thứ hai): Báo cáo Đánh giá Đồng cấp về Trao đổi Thông tin theo Yêu cầu, </w:t>
      </w:r>
      <w:r>
        <w:rPr>
          <w:b w:val="0"/>
          <w:i w:val="0"/>
        </w:rPr>
        <w:t xml:space="preserve"> OECD (2017). Vương quốc Anh: Diễn đàn Toàn cầu về Minh bạch và Trao đổi Thông tin cho Mục đích Thuế: </w:t>
      </w:r>
      <w:r>
        <w:rPr>
          <w:b w:val="0"/>
          <w:i/>
        </w:rPr>
        <w:t xml:space="preserve"> Vương quốc Anh 2018 (Vòng thứ hai): Báo cáo Đánh giá Đồng cấp về Trao đổi Thông tin theo Yêu cầu </w:t>
      </w:r>
      <w:r>
        <w:rPr>
          <w:b w:val="0"/>
          <w:i w:val="0"/>
        </w:rPr>
        <w:t>, OECD (2018).</w:t>
      </w:r>
    </w:p>
    <w:p>
      <w:pPr>
        <w:spacing w:after="80"/>
      </w:pPr>
      <w:r>
        <w:rPr>
          <w:b w:val="0"/>
          <w:i w:val="0"/>
        </w:rPr>
        <w:t>633</w:t>
      </w:r>
    </w:p>
    <w:p>
      <w:pPr>
        <w:spacing w:after="80"/>
      </w:pPr>
      <w:r>
        <w:rPr>
          <w:b w:val="0"/>
          <w:i w:val="0"/>
        </w:rPr>
        <w:t>Sự phát triển mạnh mẽ nhất trong thực tiễn hiệp ước thế kỷ hai mươi mốt là sự mở rộng nhanh chóng của hợp tác quốc tế giữa các cơ quan thuế và sự phát triển của các công cụ quốc tế để tạo điều kiện cho điều này. Các cột mốc quan trọng trong OECD là việc đưa vào Điều 27 (Hỗ trợ thu thuế) trong Hiệp ước Mẫu năm 2003, và Điều 26 (Trao đổi thông tin) được sửa đổi trong Hiệp ước Mẫu năm 2005 và Thỏa thuận Mẫu của OECD về Trao đổi Thông tin trong Các vấn đề Thuế. Phiên bản năm 2005 của Điều 26 đã được gọi là 'tiêu chuẩn thuế được quốc tế đồng ý' và đã được các Bộ trưởng Tài chính G20 tán thành tại Cuộc họp Berlin của họ vào năm 2004 để thúc đẩy minh bạch thuế. Nó đã được đưa vào Điều 26 của Hiệp ước Mẫu Liên Hợp Quốc bởi Ủy ban Chuyên gia Liên Hợp Quốc về Hợp tác Quốc tế trong Các vấn đề Thuế tại Cuộc họp tháng 10 năm 2008 của họ. Vào tháng 2 năm 2014, các Bộ trưởng Tài chính G20 đã tán thành Tiêu chuẩn Báo cáo Chung (CRS) cho việc trao đổi thông tin thuế tự động, được Hội đồng OECD phê duyệt vào tháng 7 năm 2014. CRS chịu ơn nhiều từ cách tiếp cận liên chính phủ đối với báo cáo FATCA của Hoa Kỳ,5 mà đến lượt nó, dựa trên Chỉ thị Tiết kiệm của EU.6 Kết quả là một mớ hỗn độn các công cụ pháp lý và nghĩa vụ tương tự nhưng không giống hệt nhau trong lĩnh vực này, đan xen với các thỏa thuận thử nghiệm khác như thỏa thuận Thụy Sĩ-Vương quốc Anh về hợp tác thuế.7 Ngoài ra, OECD đã đề xuất việc sử dụng trao đổi thông tin tự phát bắt buộc về các phán quyết thuế liên quan đến các chế độ ưu đãi nhằm phơi bày các thực tiễn phán quyết có thể được coi là Thực tiễn Thuế Có hại trong bối cảnh Hành động 5 của Xói mòn Cơ sở và Chuyển dịch Lợi nhuận (BEPS).8 Báo cáo Quốc gia theo Quốc gia (CbCR) hàng năm của các doanh nghiệp đa quốc gia lớn về doanh thu, lợi nhuận trước thuế và thuế đã nộp và tích lũy, cũng như số lượng nhân viên, vốn đã ghi, lợi nhuận giữ lại và tài sản hữu hình trong mỗi khu vực tài phán thuế nơi họ kinh doanh là một kết quả quan trọng của Hành động 13 của BEPS.9 Việc trao đổi tự động các báo cáo đó giữa các cơ quan thuế theo các thỏa thuận cơ quan có thẩm quyền được thiết kế riêng nhằm mục đích đánh giá rủi ro chuyển giá được thông tin đầy đủ ở mỗi quốc gia. Chính sách của EU trong lĩnh vực này đã phát triển song song với công việc của OECD. Pháp luật EU đã nhanh chóng có hiệu lực đối với các chính sách này. Sự hợp tác mở rộng giữa các cơ quan thuế của các Quốc gia Thành viên</w:t>
      </w:r>
    </w:p>
    <w:p>
      <w:pPr>
        <w:spacing w:after="80"/>
      </w:pPr>
      <w:r>
        <w:rPr>
          <w:b w:val="0"/>
          <w:i w:val="0"/>
        </w:rPr>
        <w:t xml:space="preserve">5. Xem §22.27. 6. Xem §22.28. Chỉ thị đã bị bãi bỏ vào ngày 15 tháng 11 năm 2015. Xem Chương 14, §14.01. Để biết chi tiết, xem ấn bản thứ 4 của tác phẩm này. 7. Thỏa thuận giữa Liên bang Thụy Sĩ và Vương quốc Liên hiệp Anh và Bắc Ireland về hợp tác trong lĩnh vực thuế ngày 6 tháng 10 năm 2011, được sửa đổi bởi Nghị định thư ngày 20 tháng 3 năm 2012 và Thỏa thuận Chung ngày 18 tháng 4 năm 2012. Thỏa thuận giữa Liên bang Thụy Sĩ và Vương quốc Liên hiệp Anh và Bắc Ireland về hợp tác trong lĩnh vực thuế ngày 6 tháng 10 năm 2011, được sửa đổi bởi Nghị định thư ngày 20 tháng 3 năm 2012 và Thỏa thuận Chung ngày 18 tháng 4 năm 2012. Chấm dứt theo thỏa thuận ngày 14 tháng 11 năm 2016. Hiệp ước có hiệu lực vào ngày 1 tháng 1 năm 2013 và kết thúc vào ngày 31 tháng 12 năm 2016. Tính chất không thỏa đáng của hiệp ước và tiềm năng cho các kết quả không công bằng được nêu bật trong </w:t>
      </w:r>
      <w:r>
        <w:rPr>
          <w:b w:val="0"/>
          <w:i/>
        </w:rPr>
        <w:t xml:space="preserve"> Vrang v Revenue and Customs </w:t>
      </w:r>
      <w:r>
        <w:rPr>
          <w:b w:val="0"/>
          <w:i w:val="0"/>
        </w:rPr>
        <w:t xml:space="preserve"> [2017] EWHC 1055 (Admin), [2017] BTC 12, [2017] STC 1192. Để biết chi tiết, xem ấn bản thứ 4 của cuốn sách này. 8. OECD (2014), Chống lại các Thực tiễn Thuế Có hại Hiệu quả hơn, Tính đến Minh bạch và Bản chất, Dự án Xói mòn Cơ sở và Chuyển dịch Lợi nhuận của OECD/G20, Nhà xuất bản OECD. 9. OECD (2015), Tài liệu Chuyển giá và Báo cáo Quốc gia theo Quốc gia, Hành động 13 – Báo cáo Cuối cùng 2015, Dự án Xói mòn Cơ sở và Chuyển dịch Lợi nhuận của OECD/G20 http://dx.doi.org/10.1787/9789264241480-en.</w:t>
      </w:r>
    </w:p>
    <w:p>
      <w:pPr>
        <w:spacing w:after="80"/>
      </w:pPr>
      <w:r>
        <w:rPr>
          <w:b w:val="0"/>
          <w:i w:val="0"/>
        </w:rPr>
        <w:t>634</w:t>
      </w:r>
    </w:p>
    <w:p>
      <w:pPr>
        <w:spacing w:after="80"/>
      </w:pPr>
      <w:r>
        <w:rPr>
          <w:b w:val="0"/>
          <w:i w:val="0"/>
        </w:rPr>
        <w:t xml:space="preserve">Các quốc gia10 cũng đã làm gia tăng số vụ việc đưa ra trước Tòa án Công lý Liên minh châu Âu (CJEU) liên quan đến hoạt động của luật đó và sự tương tác của nó với </w:t>
      </w:r>
      <w:r>
        <w:rPr>
          <w:b w:val="0"/>
          <w:i/>
        </w:rPr>
        <w:t>Hiến chương về các Quyền cơ bản của Liên minh châu Âu</w:t>
      </w:r>
      <w:r>
        <w:rPr>
          <w:b w:val="0"/>
          <w:i w:val="0"/>
        </w:rPr>
        <w:t>.</w:t>
      </w:r>
    </w:p>
    <w:p>
      <w:pPr>
        <w:spacing w:after="80"/>
      </w:pPr>
      <w:r>
        <w:rPr>
          <w:b w:val="0"/>
          <w:i w:val="0"/>
        </w:rPr>
        <w:t>Chương này bắt đầu với quy tắc về thuế (revenue rule) - quy tắc đặt nền tảng pháp lý, tiếp theo là việc xem xét khuôn khổ pháp luật nội địa của Vương quốc Anh về hợp tác hành chính quốc tế và phân tích các hiệp ước khác nhau tạo nên khuôn khổ pháp lý quốc tế, sau đó là các công cụ của EU.</w:t>
      </w:r>
    </w:p>
    <w:p>
      <w:pPr>
        <w:spacing w:after="80"/>
      </w:pPr>
      <w:r>
        <w:rPr>
          <w:b/>
          <w:i w:val="0"/>
        </w:rPr>
        <w:t>§22.02 QUY TẮC VỀ THUẾ</w:t>
      </w:r>
    </w:p>
    <w:p>
      <w:pPr>
        <w:spacing w:after="80"/>
      </w:pPr>
      <w:r>
        <w:rPr>
          <w:b w:val="0"/>
          <w:i w:val="0"/>
        </w:rPr>
        <w:t xml:space="preserve">Quy tắc cho rằng tòa án của một quốc gia sẽ không thi hành luật hình sự và luật thuế của một quốc gia khác đã được Dicey11 mô tả là đã được thiết lập vững chắc và gần như phổ quát. Hai cách giải thích cho quy tắc này đã được Lord Keith trình bày trong </w:t>
      </w:r>
      <w:r>
        <w:rPr>
          <w:b w:val="0"/>
          <w:i/>
        </w:rPr>
        <w:t>Government of India, Ministry of Finance (Revenue Division) v Taylor</w:t>
      </w:r>
      <w:r>
        <w:rPr>
          <w:b w:val="0"/>
          <w:i w:val="0"/>
        </w:rPr>
        <w:t xml:space="preserve">.12 Một là việc thi hành yêu cầu đòi thuế là sự mở rộng của quyền lực chủ quyền. Hai là tòa án sẽ không công nhận các nghĩa vụ phát sinh ở một quốc gia nước ngoài nếu chúng đi ngược lại "chính sách công đã được thiết lập" của chính quốc gia mình. Tòa án không nên phán xét các quy định về trật tự công của một quốc gia khác. Trong </w:t>
      </w:r>
      <w:r>
        <w:rPr>
          <w:b w:val="0"/>
          <w:i/>
        </w:rPr>
        <w:t>Revenue and Customs Commissioners v Ben Nevis (Holdings) Ltd</w:t>
      </w:r>
      <w:r>
        <w:rPr>
          <w:b w:val="0"/>
          <w:i w:val="0"/>
        </w:rPr>
        <w:t>13, một cuộc tấn công rộng rãi nhắm vào quy tắc về thuế đã được HMRC và Cơ quan Thuế Nam Phi (SARS) thực hiện. Họ lập luận rằng sự tồn tại của thỏa thuận về hỗ trợ thu thuế tại điều 25A của hiệp ước thuế hai lần giữa Nam Phi - Vương quốc Anh ngày 4 tháng 7 năm 2002,14 như được đưa vào bởi Nghị định thư ngày 8 tháng 11 năm 2010,15 đã bãi bỏ Quy tắc về Thuế, đến mức không còn có thể nói rằng có một chính sách công ngăn cản việc thu các khoản nợ thuế phải trả cho SARS với tư cách là cơ quan có thẩm quyền đánh giá và thu thuế tại Nam Phi. Do đó, họ lập luận, giờ đây không còn lý do gì để một quốc gia nước ngoài mà thuế phải trả cho họ không thể trực tiếp thực hiện hành động cưỡng chế. Tòa án Cấp cao đã bác bỏ lập luận này, cho rằng Quy tắc về Thuế vẫn còn hiệu lực pháp luật tại Anh và xứ Wales. Sự phản đối dựa trên chính sách công đối với việc một cơ quan thuế nước ngoài tự mình thực hiện hành động vẫn còn. Do đó, SARS không có tư cách đứng ra khởi kiện nhằm thu hồi trực tiếp hay gián tiếp các khoản thuế phải trả theo luật của Nam Phi.16 Vì vậy, việc các cơ quan thuế của chính phủ nước ngoài không thể thu hoặc thực thi theo cách khác các khoản thuế nước ngoài tại Anh, hoặc việc cơ quan thuế Vương quốc Anh không thể thực thi luật thuế của Vương quốc Anh ở nước ngoài, tạo thành bối cảnh mà trong đó các công cụ đã được phát triển để cho phép việc thực thi như vậy phải được đặt vào.17 Phán quyết về tư cách đứng kiện của SARS đã không được theo đuổi kháng cáo lên Tòa án Phúc thẩm, nơi chỉ lưu ý rằng</w:t>
      </w:r>
    </w:p>
    <w:p>
      <w:pPr>
        <w:spacing w:after="80"/>
      </w:pPr>
      <w:r>
        <w:rPr>
          <w:b w:val="0"/>
          <w:i w:val="0"/>
        </w:rPr>
        <w:t xml:space="preserve">10. Xem, ví dụ, EU </w:t>
      </w:r>
      <w:r>
        <w:rPr>
          <w:b w:val="0"/>
          <w:i/>
        </w:rPr>
        <w:t>Commission Staff Working Document Evaluation of the Council Directive 2011/16/EU on administrative cooperation in the field of taxation</w:t>
      </w:r>
      <w:r>
        <w:rPr>
          <w:b w:val="0"/>
          <w:i w:val="0"/>
        </w:rPr>
        <w:t xml:space="preserve">, SWD(2019)327 final, ngày 12 tháng 9 năm 2019, đoạn 3.2. 11. Collins, L. và cộng sự, </w:t>
      </w:r>
      <w:r>
        <w:rPr>
          <w:b w:val="0"/>
          <w:i/>
        </w:rPr>
        <w:t>Dicey, Morris and Collins on the Conflict of Laws</w:t>
      </w:r>
      <w:r>
        <w:rPr>
          <w:b w:val="0"/>
          <w:i w:val="0"/>
        </w:rPr>
        <w:t xml:space="preserve">, tập 1, tái bản lần thứ 14 (2006), tr. 97. 12. </w:t>
      </w:r>
      <w:r>
        <w:rPr>
          <w:b w:val="0"/>
          <w:i/>
        </w:rPr>
        <w:t>Government of India, Ministry of Finance (Revenue Division) v Taylor</w:t>
      </w:r>
      <w:r>
        <w:rPr>
          <w:b w:val="0"/>
          <w:i w:val="0"/>
        </w:rPr>
        <w:t xml:space="preserve"> [1955] AC 491. 13. </w:t>
      </w:r>
      <w:r>
        <w:rPr>
          <w:b w:val="0"/>
          <w:i/>
        </w:rPr>
        <w:t>Revenue and Customs Commissioners v Ben Nevis (Holdings) Ltd</w:t>
      </w:r>
      <w:r>
        <w:rPr>
          <w:b w:val="0"/>
          <w:i w:val="0"/>
        </w:rPr>
        <w:t xml:space="preserve"> [2012] BTC 240; [2012] EWHC 1807 (Ch); [2012] STC 2157 (Ch. D). 14. SI 2002/3138. 15. SI 2011/2441. 16. Tại các đoạn 51-53. 17. Tại đoạn 16.</w:t>
      </w:r>
    </w:p>
    <w:p>
      <w:pPr>
        <w:spacing w:after="80"/>
      </w:pPr>
      <w:r>
        <w:rPr>
          <w:b w:val="0"/>
          <w:i w:val="0"/>
        </w:rPr>
        <w:t>635</w:t>
      </w:r>
    </w:p>
    <w:p>
      <w:pPr>
        <w:spacing w:after="80"/>
      </w:pPr>
      <w:r>
        <w:rPr>
          <w:b w:val="0"/>
          <w:i w:val="0"/>
        </w:rPr>
        <w:t xml:space="preserve">nguyên tắc này phụ thuộc vào thỏa thuận trái ngược bằng hiệp ước và trong những năm gần đây, những bước xâm phạm rất đáng kể vào nguyên tắc này đã được thực hiện thông qua các hiệp ước.18 Quy tắc này có thể có phần khác biệt liên quan đến việc cung cấp thông tin. Trong </w:t>
      </w:r>
      <w:r>
        <w:rPr>
          <w:b w:val="0"/>
          <w:i/>
        </w:rPr>
        <w:t>Re State of Norway's Applications</w:t>
      </w:r>
      <w:r>
        <w:rPr>
          <w:b w:val="0"/>
          <w:i w:val="0"/>
        </w:rPr>
        <w:t xml:space="preserve">,19 bằng chứng đã được yêu cầu bởi một tòa án thuế Na Uy, thông qua đơn xin do Nhà nước Na Uy đệ trình, được người nộp thuế ủng hộ, để ban hành thư yêu cầu (letters of request) gửi Tòa án Cấp cao tại Anh. Những thư này yêu cầu tòa án, </w:t>
      </w:r>
      <w:r>
        <w:rPr>
          <w:b w:val="0"/>
          <w:i/>
        </w:rPr>
        <w:t>inter alia</w:t>
      </w:r>
      <w:r>
        <w:rPr>
          <w:b w:val="0"/>
          <w:i w:val="0"/>
        </w:rPr>
        <w:t>, triệu tập hai chủ ngân hàng có tên để đưa ra lời khai trực tiếp tại London liên quan đến các vấn đề trong thủ tục tố tụng trước tòa án Na Uy. Thượng viện đã phán quyết rằng thẩm quyền xét xử không bị ảnh hưởng bởi quy tắc rằng tòa án Anh sẽ không thụ lý một vụ kiện nhằm thi hành luật thuế nước ngoài. Thư yêu cầu do tòa án Na Uy ban hành không cấu thành việc cố gắng thi hành, dù trực tiếp hay gián tiếp, luật thuế Na Uy tại Anh mà chỉ đơn thuần tìm kiếm sự hỗ trợ của tòa án Anh để có được bằng chứng nhằm cho phép luật thuế Na Uy được thi hành tại Na Uy. Khi đi đến kết luận này, Thượng viện nhận xét rằng các hiệp ước cho phép trao đổi thông tin quy định những vấn đề vượt xa các yêu cầu đơn giản của tòa án nước ngoài về hỗ trợ trong việc thu thập bằng chứng liên quan đến các thủ tục tố tụng đang chờ xử lý hoặc đang được dự liệu.</w:t>
      </w:r>
    </w:p>
    <w:p>
      <w:pPr>
        <w:spacing w:after="80"/>
      </w:pPr>
      <w:r>
        <w:rPr>
          <w:b w:val="0"/>
          <w:i w:val="0"/>
        </w:rPr>
        <w:t xml:space="preserve">Các giới hạn lãnh thổ đối với thẩm quyền của tòa án và các tòa án thuế cũng đã được xem xét trong </w:t>
      </w:r>
      <w:r>
        <w:rPr>
          <w:b w:val="0"/>
          <w:i/>
        </w:rPr>
        <w:t>R (oao Jimenez) v The First Tier Tribunal (Tax Chamber) &amp; HMRC</w:t>
      </w:r>
      <w:r>
        <w:rPr>
          <w:b w:val="0"/>
          <w:i w:val="0"/>
        </w:rPr>
        <w:t>20, nơi họ phán quyết rằng một thông báo cung cấp thông tin theo FA 2008, Sch. 36 có thể được đưa ra một cách hợp pháp cho một người ở ngoài Vương quốc Anh. Việc thông báo cho một người ở nước ngoài qua đường bưu điện để cung cấp thông tin nhằm kiểm tra tình trạng thuế của họ tại Vương quốc Anh không vi phạm nguyên tắc chủ quyền quốc gia. Việc áp đặt các hình phạt không có nghĩa, trong trường hợp này, rằng quy tắc này hình sự hóa hành vi ở nước ngoài. Một số giới hạn đã được tòa án chỉ ra, bao gồm việc cố gắng thi hành hình phạt hoặc cử một nhân viên HMRC đến xâm nhập cơ sở kinh doanh ở nước ngoài.</w:t>
      </w:r>
    </w:p>
    <w:p>
      <w:pPr>
        <w:spacing w:after="80"/>
      </w:pPr>
      <w:r>
        <w:rPr>
          <w:b w:val="0"/>
          <w:i w:val="0"/>
        </w:rPr>
        <w:t>Việc thi hành gián tiếp luật thuế nước ngoài bao gồm, đặc biệt, trường hợp một công ty nước ngoài đang trong quá trình thanh lý tìm cách thu hồi từ một trong các giám đốc của mình các tài sản nằm dưới sự kiểm soát của người đó, và trường hợp người thanh lý được chỉ định bởi một cơ quan thuế nước ngoài chỉ nhằm mục đích thỏa mãn yêu cầu chưa được thanh toán của cơ quan nước ngoài đó đối với các khoản thuế phải trả.21</w:t>
      </w:r>
    </w:p>
    <w:p>
      <w:pPr>
        <w:spacing w:after="80"/>
      </w:pPr>
      <w:r>
        <w:rPr>
          <w:b w:val="0"/>
          <w:i w:val="0"/>
        </w:rPr>
        <w:t>Một bước xâm phạm lập pháp khác vào Quy tắc về Thuế được ngụ ý trong một phương án thay thế cho điều 13(2) của Luật Mẫu UNCITRAL về Phá sản Xuyên biên giới.22 Cách diễn đạt tiêu chuẩn</w:t>
      </w:r>
    </w:p>
    <w:p>
      <w:pPr>
        <w:spacing w:after="80"/>
      </w:pPr>
      <w:r>
        <w:rPr>
          <w:b w:val="0"/>
          <w:i w:val="0"/>
        </w:rPr>
        <w:t xml:space="preserve">18. </w:t>
      </w:r>
      <w:r>
        <w:rPr>
          <w:b w:val="0"/>
          <w:i/>
        </w:rPr>
        <w:t>Ben Nevis (Holdings) Ltd &amp; Anor v Revenue and Customs Commissioners</w:t>
      </w:r>
      <w:r>
        <w:rPr>
          <w:b w:val="0"/>
          <w:i w:val="0"/>
        </w:rPr>
        <w:t xml:space="preserve"> [2013] STC 1579, [2013] BTC 485, [2013] EWCA Civ 578 tại đoạn 6. 19. </w:t>
      </w:r>
      <w:r>
        <w:rPr>
          <w:b w:val="0"/>
          <w:i/>
        </w:rPr>
        <w:t>In Re State of Norway's Applications (Nos 1 and 2)</w:t>
      </w:r>
      <w:r>
        <w:rPr>
          <w:b w:val="0"/>
          <w:i w:val="0"/>
        </w:rPr>
        <w:t xml:space="preserve"> [1989] 1 All ER 745; [1989] 2 WLR 458; [1990] 1 AC 723. 20. </w:t>
      </w:r>
      <w:r>
        <w:rPr>
          <w:b w:val="0"/>
          <w:i/>
        </w:rPr>
        <w:t>Jimenez, R (on the application of) v The First Tier Tribunal (Tax Chamber) &amp; Ors</w:t>
      </w:r>
      <w:r>
        <w:rPr>
          <w:b w:val="0"/>
          <w:i w:val="0"/>
        </w:rPr>
        <w:t xml:space="preserve"> [2019] EWCA Civ 51, [2019] STC 746, 21 ITL Rep 561, [2019] 1 WLR 2956, [2019] BTC 4. Phán quyết này cũng đặt câu hỏi về </w:t>
      </w:r>
      <w:r>
        <w:rPr>
          <w:b w:val="0"/>
          <w:i/>
        </w:rPr>
        <w:t>Clavis Liberty Fund LP1 (acting through Cowen) v Revenue and Customs Commissioners &amp; Ors</w:t>
      </w:r>
      <w:r>
        <w:rPr>
          <w:b w:val="0"/>
          <w:i w:val="0"/>
        </w:rPr>
        <w:t xml:space="preserve"> [2015] BTC 506, [2015] UKUT 0072 (TCC), [2015] STC 1645, nơi Tòa án Cấp trên phán quyết rằng tòa án không có thẩm quyền triệu tập những nhân chứng ở Jersey và không có mối liên hệ liên quan nào với Vương quốc Anh đến để đưa ra lời khai. Trong </w:t>
      </w:r>
      <w:r>
        <w:rPr>
          <w:b w:val="0"/>
          <w:i/>
        </w:rPr>
        <w:t>Mr and Mrs PQ v Revenue &amp; Customs</w:t>
      </w:r>
      <w:r>
        <w:rPr>
          <w:b w:val="0"/>
          <w:i w:val="0"/>
        </w:rPr>
        <w:t xml:space="preserve"> [2019] UKFTT 371 (TC) [2020] SFTD 1, Tòa án Cấp sơ thẩm xem xét rằng việc những người nhận là công dân Anh có thể tự nó là chưa đủ, nhưng việc họ đã từng là giám đốc và cổ đông của công ty nộp thuế cư trú tại Vương quốc Anh vào thời điểm nghĩa vụ thuế Vương quốc Anh bị cáo buộc phát sinh sẽ là mối liên hệ đủ để cung cấp thẩm quyền ban hành thông báo yêu cầu cung cấp thông tin ngay cả khi họ không cư trú tại Vương quốc Anh vào thời điểm đó. 21. Xem </w:t>
      </w:r>
      <w:r>
        <w:rPr>
          <w:b w:val="0"/>
          <w:i/>
        </w:rPr>
        <w:t>Peter Buchanan Limited v McVey</w:t>
      </w:r>
      <w:r>
        <w:rPr>
          <w:b w:val="0"/>
          <w:i w:val="0"/>
        </w:rPr>
        <w:t xml:space="preserve"> [1955] AC 516. 22. Liên Hợp Quốc, </w:t>
      </w:r>
      <w:r>
        <w:rPr>
          <w:b w:val="0"/>
          <w:i/>
        </w:rPr>
        <w:t>UNCITRAL Model Law on Cross-Border Insolvency with Guide to Enactment and Interpretation</w:t>
      </w:r>
      <w:r>
        <w:rPr>
          <w:b w:val="0"/>
          <w:i w:val="0"/>
        </w:rPr>
        <w:t>, chú thích 2 cho điều 13(2).</w:t>
      </w:r>
    </w:p>
    <w:p>
      <w:pPr>
        <w:spacing w:after="80"/>
      </w:pPr>
      <w:r>
        <w:rPr>
          <w:b w:val="0"/>
          <w:i w:val="0"/>
        </w:rPr>
        <w:t>636</w:t>
      </w:r>
    </w:p>
    <w:p>
      <w:pPr>
        <w:spacing w:after="80"/>
      </w:pPr>
      <w:r>
        <w:rPr>
          <w:b w:val="0"/>
          <w:i w:val="0"/>
        </w:rPr>
        <w:t xml:space="preserve">loại trừ các yêu cầu đòi thuế nước ngoài. Tuy nhiên, cách diễn đạt thay thế cho phép các yêu cầu đòi thuế nước ngoài và bảo hiểm xã hội được đưa ra trong các thủ tục phá sản. Phương án thay thế này được ban hành tại Vương quốc Anh bởi Quy định về Phá sản Xuyên biên giới23, quy định này đã được xác định trong </w:t>
      </w:r>
      <w:r>
        <w:rPr>
          <w:b w:val="0"/>
          <w:i/>
        </w:rPr>
        <w:t>Bundeszentralamt Für Steuern v Special Administrators of MF Global UK Limited</w:t>
      </w:r>
      <w:r>
        <w:rPr>
          <w:b w:val="0"/>
          <w:i w:val="0"/>
        </w:rPr>
        <w:t>24 là trao cho tòa án Anh quyền tùy nghi chấp nhận các yêu cầu như vậy trong các thủ tục phá sản được tiến hành tại đây.</w:t>
      </w:r>
    </w:p>
    <w:p>
      <w:pPr>
        <w:spacing w:after="80"/>
      </w:pPr>
      <w:r>
        <w:rPr>
          <w:b w:val="0"/>
          <w:i w:val="0"/>
        </w:rPr>
        <w:t xml:space="preserve">Lần cuối cùng câu hỏi về việc thi hành luật thuế của một quốc gia tại một quốc gia khác trong trường hợp không có hiệp ước hoặc luật nội địa cho phép việc thi hành như vậy (và những hàm ý của nó theo luật châu Âu) được đưa ra đã diễn ra trước Tòa án Phúc thẩm tại Anh vào cuối thế kỷ XX trong </w:t>
      </w:r>
      <w:r>
        <w:rPr>
          <w:b w:val="0"/>
          <w:i/>
        </w:rPr>
        <w:t>QRS 1 Aps and Others v Frandsen</w:t>
      </w:r>
      <w:r>
        <w:rPr>
          <w:b w:val="0"/>
          <w:i w:val="0"/>
        </w:rPr>
        <w:t>.25 Vụ án liên quan đến nỗ lực của cơ quan thuế Đan Mạch nhằm thu các khoản thuế chưa nộp tại Anh. Bị đơn (ông Frandsen) cư trú tại Vương quốc Anh và có hộ khẩu thường trú tại Anh theo nghĩa của Công ước Brussels về Thẩm quyền và Việc thi hành Bản án trong các Vấn đề Dân sự và Thương mại. Do đó, ông thuộc thẩm quyền của tòa án Anh. Cho đến năm 1992, bị đơn sở hữu trực tiếp hoặc gián tiếp một số công ty Đan Mạch. Vào tháng 11 năm 1992, toàn bộ tài sản của các công ty đã được bán để lấy tiền mặt. Số tiền mặt này sau đó được các công ty sử dụng để mua lại cổ phần của bị đơn. Năm 1994, các công ty bị đưa vào diện thanh lý với lý do chúng đã tham gia vào việc tước bỏ tài sản (asset stripping). Vào tháng 3 năm 1995, cơ quan thuế Đan Mạch yêu cầu các công ty nộp thuế thu nhập doanh nghiệp 30 triệu DKK cộng với 10 triệu DKK tiền lãi. Vào thời điểm đó, các công ty không có tài sản và chủ nợ duy nhất của họ là cơ quan thuế Đan Mạch. Cơ quan thuế Đan Mạch đã chỉ định một người thanh lý và đồng ý tài trợ cho một vụ kiện của các công ty chống lại bị đơn dựa trên luật Đan Mạch cấm các công ty cung cấp hỗ trợ tài chính cho việc mua lại cổ phần của chính mình.</w:t>
      </w:r>
    </w:p>
    <w:p>
      <w:pPr>
        <w:spacing w:after="80"/>
      </w:pPr>
      <w:r>
        <w:rPr>
          <w:b w:val="0"/>
          <w:i w:val="0"/>
        </w:rPr>
        <w:t>Các yêu cầu đã được khởi kiện cả tại Anh và Đan Mạch để đòi lại giá trị của các tài sản đã được bán để tài trợ cho việc mua cổ phần của ông Frandsen. Các công ty cũng yêu cầu, như một phương án thay thế, bồi thường thiệt hại phát sinh từ sự sơ suất hoặc cẩu thả của bị đơn khi để các công ty chịu tổn thất do hậu quả của việc tước bỏ tài sản mà ông đã tham gia. Ông Frandsen đã nộp đơn yêu cầu bãi bỏ vụ kiện tại tòa án Anh với lý do rằng đó là việc thi hành luật thuế nước ngoài.</w:t>
      </w:r>
    </w:p>
    <w:p>
      <w:pPr>
        <w:spacing w:after="80"/>
      </w:pPr>
      <w:r>
        <w:rPr>
          <w:b/>
          <w:i w:val="0"/>
        </w:rPr>
        <w:t>§22.03 CÁC VẤN ĐỀ VỀ THUẾ LÀ GÌ?</w:t>
      </w:r>
    </w:p>
    <w:p>
      <w:pPr>
        <w:spacing w:after="80"/>
      </w:pPr>
      <w:r>
        <w:rPr>
          <w:b w:val="0"/>
          <w:i w:val="0"/>
        </w:rPr>
        <w:t xml:space="preserve">Tại Tòa án Cấp cao trong vụ </w:t>
      </w:r>
      <w:r>
        <w:rPr>
          <w:b w:val="0"/>
          <w:i/>
        </w:rPr>
        <w:t xml:space="preserve"> QRS 1 Aps và Những người khác v Frandsen</w:t>
      </w:r>
      <w:r>
        <w:rPr>
          <w:b w:val="0"/>
          <w:i w:val="0"/>
        </w:rPr>
        <w:t>,26 người ta lập luận rằng mặc dù nguyên tắc về việc thực thi gián tiếp các luật thuế nước ngoài vẫn được áp dụng, vấn đề</w:t>
      </w:r>
    </w:p>
    <w:p>
      <w:pPr>
        <w:spacing w:after="80"/>
      </w:pPr>
      <w:r>
        <w:rPr>
          <w:b w:val="0"/>
          <w:i w:val="0"/>
        </w:rPr>
        <w:t>23.</w:t>
      </w:r>
      <w:r>
        <w:rPr>
          <w:b w:val="0"/>
          <w:i/>
        </w:rPr>
        <w:t>Quy định về Phá sản Xuyên biên giới 2006</w:t>
      </w:r>
      <w:r>
        <w:rPr>
          <w:b w:val="0"/>
          <w:i w:val="0"/>
        </w:rPr>
        <w:t xml:space="preserve"> (SI 2006/1030), điều 13(3) của Phụ lục 1.24.</w:t>
      </w:r>
      <w:r>
        <w:rPr>
          <w:b w:val="0"/>
          <w:i/>
        </w:rPr>
        <w:t>Bundeszentralamt Für Steuern v Heis &amp; Ors (với tư cách là những người quản lý đặc biệt chung của MF Global UK Limited)</w:t>
      </w:r>
      <w:r>
        <w:rPr>
          <w:b w:val="0"/>
          <w:i w:val="0"/>
        </w:rPr>
        <w:t xml:space="preserve"> [2019] EWHC 705 (Ch), tại đoạn 86.25.</w:t>
      </w:r>
      <w:r>
        <w:rPr>
          <w:b w:val="0"/>
          <w:i/>
        </w:rPr>
        <w:t>QRS1ApsandOthersvFrandsen</w:t>
      </w:r>
      <w:r>
        <w:rPr>
          <w:b w:val="0"/>
          <w:i w:val="0"/>
        </w:rPr>
        <w:t xml:space="preserve">[1999]BTC8023,[1999]STC616,CA.Sau thời điểm viết bài, phán quyết đã được đưa ra bởi Tòa án Cấp cao trong vụ </w:t>
      </w:r>
      <w:r>
        <w:rPr>
          <w:b w:val="0"/>
          <w:i/>
        </w:rPr>
        <w:t>Skatteforvaltningen (Cơ quan Thuế và Hải quan Đan Mạch) v Solo Capital Partners LLP và những người khác</w:t>
      </w:r>
      <w:r>
        <w:rPr>
          <w:b w:val="0"/>
          <w:i w:val="0"/>
        </w:rPr>
        <w:t>[2021]EWHC974(Comm). Quyết định này đang trong quá trình kháng cáo.26.</w:t>
      </w:r>
      <w:r>
        <w:rPr>
          <w:b w:val="0"/>
          <w:i/>
        </w:rPr>
        <w:t>QRS 1 Aps v Frandsen</w:t>
      </w:r>
      <w:r>
        <w:rPr>
          <w:b w:val="0"/>
          <w:i w:val="0"/>
        </w:rPr>
        <w:t xml:space="preserve"> [1999] BTC 8023; [1999] STC 616, Ch. D. Xem §22.02 ở trên.</w:t>
      </w:r>
    </w:p>
    <w:p>
      <w:pPr>
        <w:spacing w:after="80"/>
      </w:pPr>
      <w:r>
        <w:rPr>
          <w:b w:val="0"/>
          <w:i w:val="0"/>
        </w:rPr>
        <w:t>637</w:t>
      </w:r>
    </w:p>
    <w:p>
      <w:pPr>
        <w:spacing w:after="80"/>
      </w:pPr>
      <w:r>
        <w:rPr>
          <w:b w:val="0"/>
          <w:i w:val="0"/>
        </w:rPr>
        <w:t>nên được tiếp cận từ quan điểm của Công ước Brussels. Cụ thể, điều 1 quy định:</w:t>
      </w:r>
    </w:p>
    <w:p>
      <w:pPr>
        <w:spacing w:after="80"/>
      </w:pPr>
      <w:r>
        <w:rPr>
          <w:b w:val="0"/>
          <w:i w:val="0"/>
        </w:rPr>
        <w:t>Công ước này sẽ được áp dụng trong các vấn đề dân sự và thương mại bất kể bản chất của Tòa án hay cơ quan tài phán. Công ước đặc biệt sẽ không mở rộng đến các vấn đề thuế, hải quan hoặc hành chính.27</w:t>
      </w:r>
    </w:p>
    <w:p>
      <w:pPr>
        <w:spacing w:after="80"/>
      </w:pPr>
      <w:r>
        <w:rPr>
          <w:b w:val="0"/>
          <w:i w:val="0"/>
        </w:rPr>
        <w:t>Người ta lập luận rằng các thủ tục do người thanh lý tiến hành để thực hiện tài sản của công ty là 'các vấn đề dân sự và thương mại' theo mục đích của điều 1. Hơn nữa, việc thực thi gián tiếp một yêu cầu theo lệnh của cơ quan thuế không phải là một vấn đề thuế. Không có định nghĩa nào về 'các vấn đề thuế' trong công ước và không có quyết định nào của Tòa án Công lý Châu Âu (ECJ) về ý nghĩa của những từ này. Thẩm phán Sullivan không thấy có lý do gì để hạn chế 'các vấn đề thuế' trong bối cảnh công ước chỉ ở việc thực thi trực tiếp mà không phải gián tiếp các yêu cầu thuế. Cần phải xem xét bản chất chứ không chỉ hình thức của yêu cầu.</w:t>
      </w:r>
    </w:p>
    <w:p>
      <w:pPr>
        <w:spacing w:after="80"/>
      </w:pPr>
      <w:r>
        <w:rPr>
          <w:b w:val="0"/>
          <w:i w:val="0"/>
        </w:rPr>
        <w:t xml:space="preserve">Tại Tòa án Phúc thẩm,28 Thẩm phán Simon Brown lưu ý rằng các sự kiện trong tất cả các khía cạnh quan trọng đều không thể phân biệt được với những sự kiện trong vụ </w:t>
      </w:r>
      <w:r>
        <w:rPr>
          <w:b w:val="0"/>
          <w:i/>
        </w:rPr>
        <w:t>Buchanan</w:t>
      </w:r>
      <w:r>
        <w:rPr>
          <w:b w:val="0"/>
          <w:i w:val="0"/>
        </w:rPr>
        <w:t>. Trong trường hợp không có định nghĩa trong công ước hoặc bất kỳ quyết định nào của ECJ về ý nghĩa của thuật ngữ này, phép thử là hỏi các Quốc gia Thành viên ban đầu sẽ coi những gì là các vấn đề thuế cho mục đích của công ước. Sau khi xem xét cả án lệ nước ngoài và các bình luận, do đó người ta đã phán quyết rằng một yêu cầu loại này rõ ràng nằm trong phạm vi của các vấn đề thuế như cách diễn đạt đó sẽ được tất cả các Quốc gia Thành viên hiểu cho mục đích của điều 1 của công ước.</w:t>
      </w:r>
    </w:p>
    <w:p>
      <w:pPr>
        <w:spacing w:after="80"/>
      </w:pPr>
      <w:r>
        <w:rPr>
          <w:b/>
          <w:i w:val="0"/>
        </w:rPr>
        <w:t>§22.04 QUY TẮC CHỐNG THỰC THI CÁC PHÁN QUYẾT THUẾ NƯỚC NGOÀI CÓ TRÁI VỚI HIỆP ƯỚC EU KHÔNG?</w:t>
      </w:r>
    </w:p>
    <w:p>
      <w:pPr>
        <w:spacing w:after="80"/>
      </w:pPr>
      <w:r>
        <w:rPr>
          <w:b w:val="0"/>
          <w:i w:val="0"/>
        </w:rPr>
        <w:t xml:space="preserve">Các công ty trong vụ </w:t>
      </w:r>
      <w:r>
        <w:rPr>
          <w:b w:val="0"/>
          <w:i/>
        </w:rPr>
        <w:t>QRS1ApsandOthersvFrandsen</w:t>
      </w:r>
      <w:r>
        <w:rPr>
          <w:b w:val="0"/>
          <w:i w:val="0"/>
        </w:rPr>
        <w:t>29 lập luận rằng quy tắc chống thực thi gián tiếp luật thuế không tương thích với luật Cộng đồng. Nó dựa trên giả định rằng Công ước Brussels không mở rộng đến yêu cầu này (vì đây là một vấn đề thuế), và do đó các quy tắc quốc gia về thẩm quyền và thực thi được áp dụng. Những quy tắc đó phải tuân theo các quy tắc của Hiệp ước EU, mà không bị Công ước Brussels thay đổi hay giảm bớt. Người thanh lý, theo lập luận, đang tìm cách cung cấp một dịch vụ xuyên biên giới được bảo vệ bởi điều 4930 của hiệp ước. Dịch vụ đó là việc thu hồi tại Anh các khoản tiền mà các công ty Đan Mạch nợ, mà người thanh lý được cơ quan thuế Đan Mạch trả thù lao. Quy tắc chống thực thi các phán quyết thuế nước ngoài có tác dụng hạn chế các quyền của người thanh lý theo điều 49. Bất kỳ hạn chế nào đối với các quyền này đều phải được biện minh một cách khách quan.</w:t>
      </w:r>
    </w:p>
    <w:p>
      <w:pPr>
        <w:spacing w:after="80"/>
      </w:pPr>
      <w:r>
        <w:rPr>
          <w:b w:val="0"/>
          <w:i w:val="0"/>
        </w:rPr>
        <w:t>Cho mục đích của lập luận này, tòa án chỉ giải quyết câu hỏi về sự biện minh khách quan, giả định cho mục đích này tính đúng đắn của các khía cạnh trước đó</w:t>
      </w:r>
    </w:p>
    <w:p>
      <w:pPr>
        <w:spacing w:after="80"/>
      </w:pPr>
      <w:r>
        <w:rPr>
          <w:b w:val="0"/>
          <w:i w:val="0"/>
        </w:rPr>
        <w:t>27.Hiện nay là Quy định (EU) số 1215/2012 về thẩm quyền và việc công nhận và thực thi các phán quyết trong các vấn đề dân sự và thương mại (được đúc kết lại).28.</w:t>
      </w:r>
      <w:r>
        <w:rPr>
          <w:b w:val="0"/>
          <w:i/>
        </w:rPr>
        <w:t>QRS 1 Aps v Frandsen</w:t>
      </w:r>
      <w:r>
        <w:rPr>
          <w:b w:val="0"/>
          <w:i w:val="0"/>
        </w:rPr>
        <w:t xml:space="preserve"> [1999] BTC 8023; [1999] STC 616, Ch. D. Xem §22.02 ở trên.29.</w:t>
      </w:r>
      <w:r>
        <w:rPr>
          <w:b w:val="0"/>
          <w:i/>
        </w:rPr>
        <w:t>QRS 1 Aps v Frandsen</w:t>
      </w:r>
      <w:r>
        <w:rPr>
          <w:b w:val="0"/>
          <w:i w:val="0"/>
        </w:rPr>
        <w:t xml:space="preserve"> [1999] BTC 8023; [1999] STC 616, Ch. D. Xem §22.02 và §22.03 ở trên.30.Trước đây là điều 59.</w:t>
      </w:r>
    </w:p>
    <w:p>
      <w:pPr>
        <w:spacing w:after="80"/>
      </w:pPr>
      <w:r>
        <w:rPr>
          <w:b w:val="0"/>
          <w:i w:val="0"/>
        </w:rPr>
        <w:t>638</w:t>
      </w:r>
    </w:p>
    <w:p>
      <w:pPr>
        <w:spacing w:after="80"/>
      </w:pPr>
      <w:r>
        <w:rPr>
          <w:b w:val="0"/>
          <w:i w:val="0"/>
        </w:rPr>
        <w:t xml:space="preserve">của lập luận. Câu hỏi về sự biện minh được xác định bằng cách xem xét lý do đằng sau quy tắc chống thực thi các yêu cầu thuế nước ngoài. Hai lời giải thích cho quy tắc như được Lord Keith trình bày trong vụ </w:t>
      </w:r>
      <w:r>
        <w:rPr>
          <w:b w:val="0"/>
          <w:i/>
        </w:rPr>
        <w:t xml:space="preserve"> Government of India, Ministry of Finance (Revenue Division) v Taylor</w:t>
      </w:r>
      <w:r>
        <w:rPr>
          <w:b w:val="0"/>
          <w:i w:val="0"/>
        </w:rPr>
        <w:t>.31 Một là việc thực thi một yêu cầu về thuế là một sự mở rộng quyền lực chủ quyền. Hai là một tòa án sẽ không công nhận các nghĩa vụ phát sinh trong một quốc gia nước ngoài nếu chúng đi ngược lại 'chính sách công đã được thiết lập' của chính quốc gia đó. Một tòa án không nên phán xét các quy định về trật tự công cộng của một quốc gia khác. Các công ty lập luận rằng lời giải thích thứ nhất là sự biện minh cho việc loại trừ các yêu cầu thực thi trực tiếp. Tuy nhiên, trong trường hợp các yêu cầu gián tiếp, người ta đồng ý rằng không cần phải xem xét kỹ luật thuế Đan Mạch, và do đó lời giải thích thứ hai không áp dụng. Những lập luận này đã bị tòa án bác bỏ trên cơ sở rằng một khi người ta thừa nhận rằng một yêu cầu gián tiếp bị quy tắc này bắt giữ, đơn giản chỉ vì về bản chất nó là một yêu cầu do một người đại diện cho một quốc gia nước ngoài đưa ra nhằm mang lại hiệu lực ngoài lãnh thổ cho luật thuế của quốc gia đó, thì cả hai lời giải thích đều áp dụng như nhau để biện minh cho việc cấm các yêu cầu gián tiếp cũng như các yêu cầu trực tiếp. Nếu yêu cầu cho rằng đây là một yêu cầu theo luật tư bị bác bỏ, thì không có lý do nào tốt hơn để cho phép các yêu cầu gián tiếp so với các yêu cầu trực tiếp. Tòa án không có nghi ngờ gì về việc giải thích luật Cộng đồng liên quan và do đó cảm thấy không cần thiết phải đưa ra một tham chiếu đến ECJ.</w:t>
      </w:r>
    </w:p>
    <w:p>
      <w:pPr>
        <w:spacing w:after="80"/>
      </w:pPr>
      <w:r>
        <w:rPr>
          <w:b w:val="0"/>
          <w:i w:val="0"/>
        </w:rPr>
        <w:t xml:space="preserve">Mặc dù các tòa án không gặp khó khăn gì trong việc bác bỏ yêu cầu và đặc biệt là bác bỏ gợi ý rằng quy tắc lâu đời đã bị sửa đổi bởi Hiệp ước EC hoặc bởi Công ước Brussels. Thẩm phán Simon Brown thừa nhận rằng trong EU, có thể có những lập luận tốt để không áp dụng quy tắc này đối với cả các yêu cầu trực tiếp và gián tiếp trong khi bác bỏ ý tưởng rằng luật hiện hành cho phép điều này. Ông lưu ý những lời của Lord Templeman trong vụ </w:t>
      </w:r>
      <w:r>
        <w:rPr>
          <w:b w:val="0"/>
          <w:i/>
        </w:rPr>
        <w:t>Williams and Humbert Limited v W&amp;H Trademarks (Jersey) Limited</w:t>
      </w:r>
      <w:r>
        <w:rPr>
          <w:b w:val="0"/>
          <w:i w:val="0"/>
        </w:rPr>
        <w:t>,32 trong đó ông nói:</w:t>
      </w:r>
    </w:p>
    <w:p>
      <w:pPr>
        <w:spacing w:after="80"/>
      </w:pPr>
      <w:r>
        <w:rPr>
          <w:b w:val="0"/>
          <w:i w:val="0"/>
        </w:rPr>
        <w:t>Quy tắc này liên quan đến luật thuế có thể trong tương lai sẽ được sửa đổi bởi các công ước quốc tế hoặc bởi luật của Cộng đồng Kinh tế Châu Âu nhằm ngăn chặn các hành vi gian lận gây thiệt hại cho tất cả các quốc gia và không mang lại lợi ích cho quốc gia nào.</w:t>
      </w:r>
    </w:p>
    <w:p>
      <w:pPr>
        <w:spacing w:after="80"/>
      </w:pPr>
      <w:r>
        <w:rPr>
          <w:b w:val="0"/>
          <w:i w:val="0"/>
        </w:rPr>
        <w:t xml:space="preserve">Mặt khác, yêu cầu phải là về thuế hoặc thuế phải là phụ trợ cho yêu cầu. Trong vụ </w:t>
      </w:r>
      <w:r>
        <w:rPr>
          <w:b w:val="0"/>
          <w:i/>
        </w:rPr>
        <w:t>Revenue and Customs Commissioners v Sunico ApS and others</w:t>
      </w:r>
      <w:r>
        <w:rPr>
          <w:b w:val="0"/>
          <w:i w:val="0"/>
        </w:rPr>
        <w:t>,33 HMRC đã đưa ra một vụ kiện tại Tòa án Cấp cao ở Anh đòi bồi thường thiệt hại chống lại các công ty Đan Mạch và các cá nhân cư trú dựa trên một âm mưu gây thiệt hại nhằm trốn tránh việc nộp thuế giá trị gia tăng (VAT) thông qua một vụ gian lận kiểu carousel. Thiệt hại được yêu cầu bồi thường là số tiền VAT bị cáo buộc trốn tránh. Điều này được tiếp theo bởi một đơn xin gửi đến tòa án Đan Mạch để kê biên tài sản của các bị đơn. ECJ đã phán quyết rằng việc loại trừ các vấn đề thuế và hải quan trong điều 1(1)(a) Quy định 44/2001 của Hội đồng EC (Quy định Brussels) về việc thực thi các phán quyết dân sự là không thể áp dụng. Các yêu cầu bồi thường thiệt hại do tổn thất gây ra bởi một âm mưu gây thiệt hại nhằm thực hiện gian lận VAT tại một Quốc gia Thành viên là 'dân sự và thương mại</w:t>
      </w:r>
    </w:p>
    <w:p>
      <w:pPr>
        <w:spacing w:after="80"/>
      </w:pPr>
      <w:r>
        <w:rPr>
          <w:b w:val="0"/>
          <w:i w:val="0"/>
        </w:rPr>
        <w:t>31.</w:t>
      </w:r>
      <w:r>
        <w:rPr>
          <w:b w:val="0"/>
          <w:i/>
        </w:rPr>
        <w:t>Government of India, Ministry of Finance (Revenue Division) v Taylor</w:t>
      </w:r>
      <w:r>
        <w:rPr>
          <w:b w:val="0"/>
          <w:i w:val="0"/>
        </w:rPr>
        <w:t xml:space="preserve"> [1955] AC 491.32.</w:t>
      </w:r>
      <w:r>
        <w:rPr>
          <w:b w:val="0"/>
          <w:i/>
        </w:rPr>
        <w:t>Williams and Humbert Limited v W &amp; H Trademarks (Jersey) Limited</w:t>
      </w:r>
      <w:r>
        <w:rPr>
          <w:b w:val="0"/>
          <w:i w:val="0"/>
        </w:rPr>
        <w:t xml:space="preserve"> [1986] AC 368.33.</w:t>
      </w:r>
      <w:r>
        <w:rPr>
          <w:b w:val="0"/>
          <w:i/>
        </w:rPr>
        <w:t>RevenueandCustomsCommissionersvSunicoApSandothers</w:t>
      </w:r>
      <w:r>
        <w:rPr>
          <w:b w:val="0"/>
          <w:i w:val="0"/>
        </w:rPr>
        <w:t>(CaseC-49/12)ECLI:EU:C:2013:545, [2014] STC 94.</w:t>
      </w:r>
    </w:p>
    <w:p>
      <w:pPr>
        <w:spacing w:after="80"/>
      </w:pPr>
      <w:r>
        <w:rPr>
          <w:b w:val="0"/>
          <w:i w:val="0"/>
        </w:rPr>
        <w:t>639</w:t>
      </w:r>
    </w:p>
    <w:p>
      <w:pPr>
        <w:spacing w:after="80"/>
      </w:pPr>
      <w:r>
        <w:rPr>
          <w:b w:val="0"/>
          <w:i w:val="0"/>
        </w:rPr>
        <w:t>các vấn đề thuộc phạm vi Brussels Regulation.34 Các bị đơn không phải chịu VAT của Vương quốc Anh và ECJ đã phán quyết rằng mối quan hệ pháp lý giữa HMRC và các bị đơn không dựa trên luật công (trong trường hợp này là thuế) liên quan đến việc thực thi quyền hạn của cơ quan công quyền. Tình trạng này có thể bị đặt nghi vấn bởi thực tế rằng trước khi tìm kiếm lệnh cưỡng chế của Đan Mạch, HMRC đã yêu cầu thông tin về các bị đơn từ chính quyền Đan Mạch theo Regulation 1798/2003/41, điều mà một bên tư nhân sẽ không thể có được. Advocate-General Kokott cho rằng nếu thông tin này được chấp nhận trong thủ tục tố tụng tại Anh, thì HMRC sẽ không hành động với tư cách cá nhân.35 Tòa án cho rằng điều này thuộc thẩm quyền quyết định của tòa án quốc gia. Chỉ những khiếu nại phát sinh từ việc thực thi quyền hạn công mới không thuộc các vấn đề dân sự và thương mại.36 Nếu có một khiếu nại về thuế, thì mối quan hệ chủ quyền là yếu tố then chốt đối với khiếu nại và quyền hạn công.37 Trong trường hợp này, không có khiếu nại về thuế nào kèm theo khiếu nại dân sự.</w:t>
      </w:r>
    </w:p>
    <w:p>
      <w:pPr>
        <w:spacing w:after="80"/>
      </w:pPr>
      <w:r>
        <w:rPr>
          <w:b w:val="0"/>
          <w:i w:val="0"/>
        </w:rPr>
        <w:t>Trong EU, những vấn đề này được giải quyết bằng luật pháp nhằm tạo điều kiện thuận lợi cho cả việc trao đổi thông tin và hỗ trợ thu hồi thuế giữa các cơ quan thuế của các Quốc gia Thành viên. Những khía cạnh này của luật EU được xem xét tại §22.21 (Chỉ thị Hỗ trợ Tương trợ EU); §22.22, §22.23 và §22.24 (trao đổi thông tin tự động của EU), §22.28 (Hiệp định Chỉ thị Tiết kiệm EU) và §22.31 (hỗ trợ tương trợ của EU trong việc thu hồi thuế).</w:t>
      </w:r>
    </w:p>
    <w:p>
      <w:pPr>
        <w:spacing w:after="80"/>
      </w:pPr>
      <w:r>
        <w:rPr>
          <w:b/>
          <w:i w:val="0"/>
        </w:rPr>
        <w:t>§22.05 THẨM QUYỀN HỢP TÁC HÀNH CHÍNH</w:t>
      </w:r>
    </w:p>
    <w:p>
      <w:pPr>
        <w:spacing w:after="80"/>
      </w:pPr>
      <w:r>
        <w:rPr>
          <w:b w:val="0"/>
          <w:i w:val="0"/>
        </w:rPr>
        <w:t>Mặc dù trong lịch sử, các quốc gia có chủ quyền không hợp tác với nhau trong việc quản lý thuế, nhưng một ngoại lệ quan trọng trong ít nhất sáu mươi năm qua là trong lĩnh vực trao đổi thông tin. Điều này được coi là con đường duy nhất mà qua đó các quốc gia ký kết đã thực hiện mục đích được nêu trong tiêu đề của các hiệp định mẫu liên quan đến việc ngăn chặn trốn thuế.</w:t>
      </w:r>
    </w:p>
    <w:p>
      <w:pPr>
        <w:spacing w:after="80"/>
      </w:pPr>
      <w:r>
        <w:rPr>
          <w:b w:val="0"/>
          <w:i w:val="0"/>
        </w:rPr>
        <w:t>Việc trao đổi thông tin với các cơ quan thuế nước ngoài từ lâu đã gắn liền với các hiệp định thuế song phương của Vương quốc Anh. Thẩm quyền trong nước cho việc trao đổi như vậy đã trải qua những thay đổi đáng kể trong những năm đầu của thế kỷ XXI. Trong lịch sử, thẩm quyền trong nước để trao đổi thông tin gắn liền với thẩm quyền giảm thuế hai lần bằng hiệp định.38 Cho đến năm 2000, việc trao đổi thông tin với các đối tác hiệp định chỉ có thể thực hiện trong khuôn khổ của một hiệp định thuế song phương nói chung. Tuy nhiên, như một phần của việc Vương quốc Anh tham gia Chương trình OECD chống các Thực hành Thuế có Hại, FA 2000, s. 146(1) đã dự liệu việc ký kết các thỏa thuận giữa Vương quốc Anh và bất kỳ lãnh thổ nào nhằm mục đích trao đổi thông tin cần thiết để thực hiện luật trong nước của Vương quốc Anh liên quan đến thuế thu nhập, thuế lợi tức vốn và thuế doanh nghiệp đối với thu nhập và lợi tức chịu thuế; và của lãnh thổ kia. Điều này nhằm đưa vào hiệu lực trong luật trong nước các thỏa thuận trao đổi thông tin thuế được ký kết với các thiên đường thuế theo chương trình OECD. Thay đổi lập pháp thứ hai là</w:t>
      </w:r>
    </w:p>
    <w:p>
      <w:pPr>
        <w:spacing w:after="80"/>
      </w:pPr>
      <w:r>
        <w:rPr>
          <w:b w:val="0"/>
          <w:i w:val="0"/>
        </w:rPr>
        <w:t>34. Tại đoạn 44.35. Ý kiến của Advocate-General Kokott, ECLI:EU:C:2013:231, tại đoạn 45.36. Tại đoạn 34.37. Ý kiến của Advocate-General Kokott, tại đoạn 48.38. Xem, ví dụ, ICTA 1988 trước đây, s. 788(2), và TCGA 1992, s. 277(4).</w:t>
      </w:r>
    </w:p>
    <w:p>
      <w:pPr>
        <w:spacing w:after="80"/>
      </w:pPr>
      <w:r>
        <w:rPr>
          <w:b w:val="0"/>
          <w:i w:val="0"/>
        </w:rPr>
        <w:t>640</w:t>
      </w:r>
    </w:p>
    <w:p>
      <w:pPr>
        <w:spacing w:after="80"/>
      </w:pPr>
      <w:r>
        <w:rPr>
          <w:b w:val="0"/>
          <w:i w:val="0"/>
        </w:rPr>
        <w:t>việc mở rộng thẩm quyền trong nước để tiết lộ thông tin cho các cơ quan thuế nước ngoài; trong luật có liên quan, các thuật ngữ 'cần thiết để thực hiện' liên quan đến việc mở rộng này đã được thay đổi thành 'có thể dự đoán được liên quan đến việc quản lý hoặc thực thi' bởi FA 2003, s. 198(1). Bất kỳ hiệp định nào được ký kết trước ngày đó đều phải được đọc như bao gồm ngôn ngữ rộng hơn này, do đó ghi đè các hiệp định với hiệu lực hồi tố.39</w:t>
      </w:r>
    </w:p>
    <w:p>
      <w:pPr>
        <w:spacing w:after="80"/>
      </w:pPr>
      <w:r>
        <w:rPr>
          <w:b w:val="0"/>
          <w:i w:val="0"/>
        </w:rPr>
        <w:t>Thẩm quyền chính hiện tại để thực hiện các hiệp định giải quyết tất cả các hình thức hợp tác hành chính giữa HMRC và các cơ quan thuế nước ngoài được tìm thấy trong FA 2006, s. 173, trong đó quy định:</w:t>
      </w:r>
    </w:p>
    <w:p>
      <w:pPr>
        <w:spacing w:after="80"/>
      </w:pPr>
      <w:r>
        <w:rPr>
          <w:b w:val="0"/>
          <w:i w:val="0"/>
        </w:rPr>
        <w:t>(1) Nếu Bệ hạ bằng Lệnh của Hội đồng tuyên bố rằng –</w:t>
      </w:r>
    </w:p>
    <w:p>
      <w:pPr>
        <w:spacing w:after="80"/>
      </w:pPr>
      <w:r>
        <w:rPr>
          <w:b w:val="0"/>
          <w:i w:val="0"/>
        </w:rPr>
        <w:t>(a) các thỏa thuận liên quan đến việc thực thi thuế quốc tế được quy định</w:t>
      </w:r>
    </w:p>
    <w:p>
      <w:pPr>
        <w:spacing w:after="80"/>
      </w:pPr>
      <w:r>
        <w:rPr>
          <w:b w:val="0"/>
          <w:i w:val="0"/>
        </w:rPr>
        <w:t>trong Lệnh đã được thực hiện liên quan đến bất kỳ lãnh thổ nào hoặc các lãnh thổ bên ngoài Vương quốc Anh, và (b) việc các thỏa thuận đó có hiệu lực là thích hợp,</w:t>
      </w:r>
    </w:p>
    <w:p>
      <w:pPr>
        <w:spacing w:after="80"/>
      </w:pPr>
      <w:r>
        <w:rPr>
          <w:b w:val="0"/>
          <w:i w:val="0"/>
        </w:rPr>
        <w:t>thì các thỏa thuận đó có hiệu lực (và có hiệu lực bất chấp bất kỳ điều gì trong bất kỳ văn bản luật hoặc công cụ nào). (2) Vì mục đích của khoản (1), các thỏa thuận liên quan đến thuế quốc tế</w:t>
      </w:r>
    </w:p>
    <w:p>
      <w:pPr>
        <w:spacing w:after="80"/>
      </w:pPr>
      <w:r>
        <w:rPr>
          <w:b w:val="0"/>
          <w:i w:val="0"/>
        </w:rPr>
        <w:t>thực thi nếu chúng liên quan đến bất kỳ hoặc tất cả những điều sau đây – (a) việc trao đổi thông tin có thể dự đoán được liên quan đến việc quản lý,</w:t>
      </w:r>
    </w:p>
    <w:p>
      <w:pPr>
        <w:spacing w:after="80"/>
      </w:pPr>
      <w:r>
        <w:rPr>
          <w:b w:val="0"/>
          <w:i w:val="0"/>
        </w:rPr>
        <w:t>thực thi hoặc thu hồi bất kỳ loại thuế nào của Vương quốc Anh hoặc thuế nước ngoài;(b)việc thu hồi các khoản nợ liên quan đến bất kỳ loại thuế nào của Vương quốc Anh hoặc thuế nước ngoài;</w:t>
      </w:r>
    </w:p>
    <w:p>
      <w:pPr>
        <w:spacing w:after="80"/>
      </w:pPr>
      <w:r>
        <w:rPr>
          <w:b w:val="0"/>
          <w:i w:val="0"/>
        </w:rPr>
        <w:t>(c)việc tống đạt tài liệu liên quan đến bất kỳ loại thuế nào của Vương quốc Anh hoặc thuế nước ngoài.</w:t>
      </w:r>
    </w:p>
    <w:p>
      <w:pPr>
        <w:spacing w:after="80"/>
      </w:pPr>
      <w:r>
        <w:rPr>
          <w:b w:val="0"/>
          <w:i w:val="0"/>
        </w:rPr>
        <w:t>Do đó, thẩm quyền này hiện áp dụng cho tất cả các loại thuế hoặc nghĩa vụ thuế do Vương quốc Anh áp đặt. Đối với thuế nước ngoài, thẩm quyền này chỉ giới hạn ở thuế hoặc nghĩa vụ thuế được áp đặt theo luật của vùng lãnh thổ, hoặc bất kỳ vùng lãnh thổ nào, mà hiệp định được ký kết liên quan đến vùng lãnh thổ đó.40 Thẩm quyền này có phần tương đồng với thẩm quyền liên quan đến các hiệp định giảm trừ thuế đánh hai lần được cho phép bởi TIOPA 2010, Phần 2, Chương 1.41 Thẩm quyền này không chứa ngôn ngữ trong TIOPA 2010, s.6 giới hạn phạm vi của các hiệp định sáp nhập liên quan đến thực thi thuế quốc tế.42</w:t>
      </w:r>
    </w:p>
    <w:p>
      <w:pPr>
        <w:spacing w:after="80"/>
      </w:pPr>
      <w:r>
        <w:rPr>
          <w:b/>
          <w:i w:val="0"/>
        </w:rPr>
        <w:t>§22.06 TRAO ĐỔI THÔNG TIN: NGHĨA VỤ BẢO MẬT</w:t>
      </w:r>
    </w:p>
    <w:p>
      <w:pPr>
        <w:spacing w:after="80"/>
      </w:pPr>
      <w:r>
        <w:rPr>
          <w:b w:val="0"/>
          <w:i w:val="0"/>
        </w:rPr>
        <w:t>Theo thông luật, dường như không có nghĩa vụ bảo mật nào, mặc dù rõ ràng có một quy ước rằng Cơ quan Thuế không cung cấp cho Bộ Tài chính hoặc các bộ phận chính phủ khác thông tin mật liên quan đến từng người nộp thuế cá nhân.</w:t>
      </w:r>
    </w:p>
    <w:p>
      <w:pPr>
        <w:spacing w:after="80"/>
      </w:pPr>
      <w:r>
        <w:rPr>
          <w:b w:val="0"/>
          <w:i w:val="0"/>
        </w:rPr>
        <w:t>Kể từ năm 2005, tất cả hoạt động thuế đều thuộc sự quản lý của các Ủy viên Thuế và Hải quan.43 Các quan chức của Cơ quan Thuế và Hải quan không được tiết lộ thông tin mà Cơ quan Thuế và Hải quan nắm giữ liên quan đến một chức năng của Cơ quan Thuế và Hải quan.44 Theo luật trong nước, mỗi người được bổ nhiệm làm</w:t>
      </w:r>
    </w:p>
    <w:p>
      <w:pPr>
        <w:spacing w:after="80"/>
      </w:pPr>
      <w:r>
        <w:rPr>
          <w:b w:val="0"/>
          <w:i w:val="0"/>
        </w:rPr>
        <w:t>39. FA 2003, s. 198(3).40. Xem FA 2006, s. 173(3).41. Chương 2.42. Xem Chương 2, §2.07.43. Đạo luật về các Ủy viên Thuế và Hải quan 2005, s. 5.44. Đạo luật về các Ủy viên Thuế và Hải quan 2005, s. 18(1). Xem thêm FA 1989, s. 182.</w:t>
      </w:r>
    </w:p>
    <w:p>
      <w:pPr>
        <w:spacing w:after="80"/>
      </w:pPr>
      <w:r>
        <w:rPr>
          <w:b w:val="0"/>
          <w:i w:val="0"/>
        </w:rPr>
        <w:t>641</w:t>
      </w:r>
    </w:p>
    <w:p>
      <w:pPr>
        <w:spacing w:after="80"/>
      </w:pPr>
      <w:r>
        <w:rPr>
          <w:b w:val="0"/>
          <w:i w:val="0"/>
        </w:rPr>
        <w:t>Ủy viên hoặc quan chức của Cơ quan Thuế và Hải quan phải đưa ra tuyên bố công nhận nghĩa vụ bảo mật này.45 Ngoài ra, một người tiết lộ thông tin thuế và hải quan liên quan đến một người mà danh tính được nêu rõ trong tiết lộ đó, hoặc danh tính có thể được suy ra từ đó, thì phạm tội.46 Điều 8 của Công ước Châu Âu về Nhân quyền có hiệu lực áp đặt nghĩa vụ bảo mật. Một 'Hiến chương Người nộp thuế' bắt buộc yêu cầu HMRC bảo vệ thông tin của người nộp thuế và tôn trọng quyền riêng tư của họ.47 Nghĩa vụ bảo mật phải tuân theo bất kỳ văn bản luật nào cho phép tiết lộ.48</w:t>
      </w:r>
    </w:p>
    <w:p>
      <w:pPr>
        <w:spacing w:after="80"/>
      </w:pPr>
      <w:r>
        <w:rPr>
          <w:b w:val="0"/>
          <w:i w:val="0"/>
        </w:rPr>
        <w:t>Theo luật trong nước của Vương quốc Anh, HMRC có thể tiết lộ thông tin cá nhân cho các bộ phận chính phủ khác theo nhiều đạo luật khác nhau. Như sẽ thấy trong chương này, mức độ mà HMRC có thể tiết lộ thông tin theo luật trong nước ảnh hưởng đến phạm vi tiết lộ cho các cơ quan thuế nước ngoài. Các đạo luật cho phép tiết lộ trong nước bao gồm:</w:t>
      </w:r>
    </w:p>
    <w:p>
      <w:pPr>
        <w:spacing w:after="80"/>
      </w:pPr>
      <w:r>
        <w:rPr>
          <w:b w:val="0"/>
          <w:i w:val="0"/>
        </w:rPr>
        <w:t>–</w:t>
      </w:r>
      <w:r>
        <w:rPr>
          <w:b w:val="0"/>
          <w:i/>
        </w:rPr>
        <w:t>Đạo luật Đăng ký Đất đai</w:t>
      </w:r>
      <w:r>
        <w:rPr>
          <w:b w:val="0"/>
          <w:i w:val="0"/>
        </w:rPr>
        <w:t xml:space="preserve"> 1925, s. 129.–</w:t>
      </w:r>
      <w:r>
        <w:rPr>
          <w:b w:val="0"/>
          <w:i/>
        </w:rPr>
        <w:t>Đạo luật về Ủy viên Nghị viện</w:t>
      </w:r>
      <w:r>
        <w:rPr>
          <w:b w:val="0"/>
          <w:i w:val="0"/>
        </w:rPr>
        <w:t xml:space="preserve"> 1967, s. 8.–</w:t>
      </w:r>
      <w:r>
        <w:rPr>
          <w:b w:val="0"/>
          <w:i/>
        </w:rPr>
        <w:t>Đạo luật Tài chính</w:t>
      </w:r>
      <w:r>
        <w:rPr>
          <w:b w:val="0"/>
          <w:i w:val="0"/>
        </w:rPr>
        <w:t xml:space="preserve"> 1972, s. 127.–</w:t>
      </w:r>
      <w:r>
        <w:rPr>
          <w:b w:val="0"/>
          <w:i/>
        </w:rPr>
        <w:t>Đạo luật Lương hưu An sinh Xã hội</w:t>
      </w:r>
      <w:r>
        <w:rPr>
          <w:b w:val="0"/>
          <w:i w:val="0"/>
        </w:rPr>
        <w:t xml:space="preserve"> 1975, s. 59K(6).49</w:t>
      </w:r>
    </w:p>
    <w:p>
      <w:pPr>
        <w:spacing w:after="80"/>
      </w:pPr>
      <w:r>
        <w:rPr>
          <w:b w:val="0"/>
          <w:i w:val="0"/>
        </w:rPr>
        <w:t>–</w:t>
      </w:r>
      <w:r>
        <w:rPr>
          <w:b w:val="0"/>
          <w:i/>
        </w:rPr>
        <w:t>Đạo luật Tài chính</w:t>
      </w:r>
      <w:r>
        <w:rPr>
          <w:b w:val="0"/>
          <w:i w:val="0"/>
        </w:rPr>
        <w:t xml:space="preserve"> 1978, s. 77.–</w:t>
      </w:r>
      <w:r>
        <w:rPr>
          <w:b w:val="0"/>
          <w:i/>
        </w:rPr>
        <w:t>Đạo luật về Quyền của Người thuê nhà v.v. (Scotland)</w:t>
      </w:r>
      <w:r>
        <w:rPr>
          <w:b w:val="0"/>
          <w:i w:val="0"/>
        </w:rPr>
        <w:t xml:space="preserve"> 1980, s. 1.–</w:t>
      </w:r>
      <w:r>
        <w:rPr>
          <w:b w:val="0"/>
          <w:i/>
        </w:rPr>
        <w:t>Đạo luật An sinh Xã hội và Trợ cấp Nhà ở</w:t>
      </w:r>
      <w:r>
        <w:rPr>
          <w:b w:val="0"/>
          <w:i w:val="0"/>
        </w:rPr>
        <w:t xml:space="preserve"> 1982, s. 25.–</w:t>
      </w:r>
      <w:r>
        <w:rPr>
          <w:b w:val="0"/>
          <w:i/>
        </w:rPr>
        <w:t>Đạo luật Kiểm toán Quốc gia</w:t>
      </w:r>
      <w:r>
        <w:rPr>
          <w:b w:val="0"/>
          <w:i w:val="0"/>
        </w:rPr>
        <w:t xml:space="preserve"> 1983, s. 8.–</w:t>
      </w:r>
      <w:r>
        <w:rPr>
          <w:b w:val="0"/>
          <w:i/>
        </w:rPr>
        <w:t>Đạo luật Bảo vệ Dữ liệu</w:t>
      </w:r>
      <w:r>
        <w:rPr>
          <w:b w:val="0"/>
          <w:i w:val="0"/>
        </w:rPr>
        <w:t xml:space="preserve"> 1984, s. 17.–</w:t>
      </w:r>
      <w:r>
        <w:rPr>
          <w:b w:val="0"/>
          <w:i/>
        </w:rPr>
        <w:t>Đạo luật về các Hiệp hội Nhà ở</w:t>
      </w:r>
      <w:r>
        <w:rPr>
          <w:b w:val="0"/>
          <w:i w:val="0"/>
        </w:rPr>
        <w:t xml:space="preserve"> 1985, s. 62.–</w:t>
      </w:r>
      <w:r>
        <w:rPr>
          <w:b w:val="0"/>
          <w:i/>
        </w:rPr>
        <w:t>Đạo luật An sinh Xã hội</w:t>
      </w:r>
      <w:r>
        <w:rPr>
          <w:b w:val="0"/>
          <w:i w:val="0"/>
        </w:rPr>
        <w:t xml:space="preserve"> 1986, s. 59.–</w:t>
      </w:r>
      <w:r>
        <w:rPr>
          <w:b w:val="0"/>
          <w:i/>
        </w:rPr>
        <w:t>Đạo luật về Thuế Thu nhập và Thuế Doanh nghiệp</w:t>
      </w:r>
      <w:r>
        <w:rPr>
          <w:b w:val="0"/>
          <w:i w:val="0"/>
        </w:rPr>
        <w:t xml:space="preserve"> 1988, ss 375(9) và (10), 816.–</w:t>
      </w:r>
      <w:r>
        <w:rPr>
          <w:b w:val="0"/>
          <w:i/>
        </w:rPr>
        <w:t>Đạo luật Quản lý An sinh Xã hội</w:t>
      </w:r>
      <w:r>
        <w:rPr>
          <w:b w:val="0"/>
          <w:i w:val="0"/>
        </w:rPr>
        <w:t xml:space="preserve"> 1992, s. 122.–</w:t>
      </w:r>
      <w:r>
        <w:rPr>
          <w:b w:val="0"/>
          <w:i/>
        </w:rPr>
        <w:t>Đạo luật về các Tổ chức Từ thiện</w:t>
      </w:r>
      <w:r>
        <w:rPr>
          <w:b w:val="0"/>
          <w:i w:val="0"/>
        </w:rPr>
        <w:t xml:space="preserve"> 1993, s. 10(2).</w:t>
      </w:r>
    </w:p>
    <w:p>
      <w:pPr>
        <w:spacing w:after="80"/>
      </w:pPr>
      <w:r>
        <w:rPr>
          <w:b w:val="0"/>
          <w:i w:val="0"/>
        </w:rPr>
        <w:t>HMRC cũng có thể tiết lộ thông tin cá nhân cho cảnh sát theo:</w:t>
      </w:r>
    </w:p>
    <w:p>
      <w:pPr>
        <w:spacing w:after="80"/>
      </w:pPr>
      <w:r>
        <w:rPr>
          <w:b w:val="0"/>
          <w:i w:val="0"/>
        </w:rPr>
        <w:t>–</w:t>
      </w:r>
      <w:r>
        <w:rPr>
          <w:b w:val="0"/>
          <w:i/>
        </w:rPr>
        <w:t>Đạo luật về các Tội phạm Buôn bán Ma túy</w:t>
      </w:r>
      <w:r>
        <w:rPr>
          <w:b w:val="0"/>
          <w:i w:val="0"/>
        </w:rPr>
        <w:t xml:space="preserve"> 1986, s. 30.–</w:t>
      </w:r>
      <w:r>
        <w:rPr>
          <w:b w:val="0"/>
          <w:i/>
        </w:rPr>
        <w:t>Đạo luật Phòng chống Khủng bố (Quy định Tạm thời)</w:t>
      </w:r>
      <w:r>
        <w:rPr>
          <w:b w:val="0"/>
          <w:i w:val="0"/>
        </w:rPr>
        <w:t xml:space="preserve"> 1989, s. 17, Sch. 17.</w:t>
      </w:r>
    </w:p>
    <w:p>
      <w:pPr>
        <w:spacing w:after="80"/>
      </w:pPr>
      <w:r>
        <w:rPr>
          <w:b/>
          <w:i w:val="0"/>
        </w:rPr>
        <w:t>§22.07 TRAO ĐỔI THÔNG TIN: THẨM QUYỀN TRAO ĐỔI THÔNG TIN</w:t>
      </w:r>
    </w:p>
    <w:p>
      <w:pPr>
        <w:spacing w:after="80"/>
      </w:pPr>
      <w:r>
        <w:rPr>
          <w:b w:val="0"/>
          <w:i w:val="0"/>
        </w:rPr>
        <w:t>Thẩm quyền thực thi các quy định của hiệp định về trao đổi thông tin tự nó không miễn trừ các nghĩa vụ bảo mật. Thẩm quyền cụ thể được cung cấp để làm điều đó.</w:t>
      </w:r>
    </w:p>
    <w:p>
      <w:pPr>
        <w:spacing w:after="80"/>
      </w:pPr>
      <w:r>
        <w:rPr>
          <w:b w:val="0"/>
          <w:i w:val="0"/>
        </w:rPr>
        <w:t>45.Đạo luật về Ủy viên Thuế vụ và Hải quan 2005, s. 3(1).46.Đạo luật về Ủy viên Thuế vụ và Hải quan 2005, s. 19(1).47.Hiến chương Người nộp thuế M09/2009 do HMRC ban hành ngày 12 tháng 11 năm 2009 theo thẩm quyền của Đạo luật về Ủy viên Thuế vụ và Hải quan 2005, s. 16A.48.Đạo luật về Ủy viên Thuế vụ và Hải quan 2005, s. 18(3).49.Từ ngày 18 tháng 7 năm 1990 theo SI 1990/1446.</w:t>
      </w:r>
    </w:p>
    <w:p>
      <w:pPr>
        <w:spacing w:after="80"/>
      </w:pPr>
      <w:r>
        <w:rPr>
          <w:b w:val="0"/>
          <w:i w:val="0"/>
        </w:rPr>
        <w:t>642</w:t>
      </w:r>
    </w:p>
    <w:p>
      <w:pPr>
        <w:spacing w:after="80"/>
      </w:pPr>
      <w:r>
        <w:rPr>
          <w:b w:val="0"/>
          <w:i w:val="0"/>
        </w:rPr>
        <w:t>Theo đó, không có nghĩa vụ bảo mật nào (dù được đặt ra bởi luật hay cách khác) ngăn cản các Ủy viên Thuế vụ và Hải quan của Nữ hoàng hay bất kỳ quan chức Thuế vụ và Hải quan được ủy quyền nào tiết lộ cho bất kỳ quan chức thuế nước ngoài được ủy quyền nào bất kỳ thông tin nào được phép tiết lộ như vậy theo các điều khoản của một hiệp ước.50</w:t>
      </w:r>
    </w:p>
    <w:p>
      <w:pPr>
        <w:spacing w:after="80"/>
      </w:pPr>
      <w:r>
        <w:rPr>
          <w:b w:val="0"/>
          <w:i w:val="0"/>
        </w:rPr>
        <w:t>Thẩm quyền riêng biệt và cụ thể được trao cho việc tiết lộ thông tin cho các cơ quan thuế nước ngoài khi cần thiết để các cơ quan đó có thể cho phép cơ quan thuế nước ngoài đưa ra sự giảm trừ thích đáng theo luật nước ngoài đối với thuế thu nhập, thuế doanh nghiệp, thuế lợi tức vốn và thuế doanh thu dầu khí của Vương quốc Anh.51 Thẩm quyền này chỉ phụ thuộc vào việc luật nước ngoài có quy định về sự giảm trừ đó hay không và không phụ thuộc vào sự tồn tại của một hiệp ước giữa Vương quốc Anh và chính phủ nước ngoài. Nó không chịu sự bảo vệ được tìm thấy trong các hiệp ước thuế.52</w:t>
      </w:r>
    </w:p>
    <w:p>
      <w:pPr>
        <w:spacing w:after="80"/>
      </w:pPr>
      <w:r>
        <w:rPr>
          <w:b w:val="0"/>
          <w:i w:val="0"/>
        </w:rPr>
        <w:t>Việc miễn trừ khỏi nghĩa vụ bảo mật cũng được đưa ra tương tự liên quan đến thông tin được yêu cầu tiết lộ theo Công ước Trọng tài nhằm thực hiện một yêu cầu do Ủy ban Cố vấn được thành lập theo công ước đó đưa ra.53 Điều này cho phép cung cấp thông tin cho chính Ủy ban Cố vấn ngoài các cơ quan có thẩm quyền nước ngoài tham gia vào trọng tài. Không có thẩm quyền như vậy được cung cấp trong trường hợp trọng tài theo một hiệp ước song phương.54</w:t>
      </w:r>
    </w:p>
    <w:p>
      <w:pPr>
        <w:spacing w:after="80"/>
      </w:pPr>
      <w:r>
        <w:rPr>
          <w:b/>
          <w:i w:val="0"/>
        </w:rPr>
        <w:t>§22.08TRAO ĐỔI THÔNG TIN: IRELAND – THẨM QUYỀN TRAO ĐỔI THÔNG TIN</w:t>
      </w:r>
    </w:p>
    <w:p>
      <w:pPr>
        <w:spacing w:after="80"/>
      </w:pPr>
      <w:r>
        <w:rPr>
          <w:b w:val="0"/>
          <w:i w:val="0"/>
        </w:rPr>
        <w:t>Thẩm quyền của Ireland để thực thi các điều khoản trao đổi thông tin trong các hiệp ước đánh thuế hai lần được quy định tại TCA 1997, s. 826(1)(a)(ii)(I). Mục 826(1C)(a)(i) thực thi các thỏa thuận trao đổi thông tin thuế. Trong mỗi trường hợp, thẩm quyền này liên quan đến thông tin nhằm mục đích phòng ngừa và phát hiện hành vi trốn thuế. Cả hai đều áp dụng cho các loại thuế dưới mọi hình thức do Ireland hoặc quốc gia kia áp đặt.</w:t>
      </w:r>
    </w:p>
    <w:p>
      <w:pPr>
        <w:spacing w:after="80"/>
      </w:pPr>
      <w:r>
        <w:rPr>
          <w:b w:val="0"/>
          <w:i w:val="0"/>
        </w:rPr>
        <w:t>Các nghĩa vụ bảo mật được áp đặt cụ thể đối với các Ủy viên Thuế vụ và nhân viên của họ bởi TCA 1997, s. 851A. Việc loại trừ rõ ràng các nghĩa vụ bảo mật đối với các Ủy viên Thuế vụ hoặc bất kỳ quan chức được ủy quyền nào ngăn cản họ tiết lộ thông tin cho các quan chức thuế nước ngoài theo các điều khoản của một hiệp ước được quy định bởi s. 826(7).</w:t>
      </w:r>
    </w:p>
    <w:p>
      <w:pPr>
        <w:spacing w:after="80"/>
      </w:pPr>
      <w:r>
        <w:rPr>
          <w:b/>
          <w:i w:val="0"/>
        </w:rPr>
        <w:t>§22.09TRAO ĐỔI THÔNG TIN: CÁC NGUỒN THÔNG TIN</w:t>
      </w:r>
    </w:p>
    <w:p>
      <w:pPr>
        <w:spacing w:after="80"/>
      </w:pPr>
      <w:r>
        <w:rPr>
          <w:b w:val="0"/>
          <w:i w:val="0"/>
        </w:rPr>
        <w:t>Tại Vương quốc Anh, thông tin mà HMRC được yêu cầu cung cấp có thể được chia thành ba loại. Loại thứ nhất là thông tin mà nó đã nắm giữ. Loại thứ hai là thông tin từ các nguồn chính phủ khác. Liên quan đến loại thứ hai này, FA 2006, s. 173(4)(a), quy định rằng không có nghĩa vụ bảo mật nào (dù được đặt ra bởi luật hay cách khác) ngăn cản bất kỳ Bộ trưởng nào của Vương quyền, hay người có trách nhiệm trong bất kỳ</w:t>
      </w:r>
    </w:p>
    <w:p>
      <w:pPr>
        <w:spacing w:after="80"/>
      </w:pPr>
      <w:r>
        <w:rPr>
          <w:b w:val="0"/>
          <w:i w:val="0"/>
        </w:rPr>
        <w:t>50.FA 2006, s. 173(4)(b).51.TIOPA 2010, s. 129.52.Xem §22.11.53.TIOPA 2010, s. 128.54.Xem Chương 20, §20.13.</w:t>
      </w:r>
    </w:p>
    <w:p>
      <w:pPr>
        <w:spacing w:after="80"/>
      </w:pPr>
      <w:r>
        <w:rPr>
          <w:b w:val="0"/>
          <w:i w:val="0"/>
        </w:rPr>
        <w:t>643</w:t>
      </w:r>
    </w:p>
    <w:p>
      <w:pPr>
        <w:spacing w:after="80"/>
      </w:pPr>
      <w:r>
        <w:rPr>
          <w:b w:val="0"/>
          <w:i w:val="0"/>
        </w:rPr>
        <w:t>bộ chính phủ nào, tiết lộ cho các Ủy viên Thuế vụ và Hải quan của Nữ hoàng hay bất kỳ quan chức Thuế vụ và Hải quan được ủy quyền nào bất kỳ thông tin nào được phép tiết lộ theo một hiệp ước. Do đó, thông tin do bất kỳ bộ phận nào của chính phủ Vương quốc Anh nắm giữ đều có sẵn để cung cấp cho các cơ quan thuế nước ngoài.</w:t>
      </w:r>
    </w:p>
    <w:p>
      <w:pPr>
        <w:spacing w:after="80"/>
      </w:pPr>
      <w:r>
        <w:rPr>
          <w:b w:val="0"/>
          <w:i w:val="0"/>
        </w:rPr>
        <w:t>Nguồn thông tin thứ ba là thông tin mà HMRC có được thông qua việc thực thi các quyền thu thập thông tin của mình. Các quyền của HMRC đã được hợp nhất bởi FA 2008, Sch.36, để áp dụng đồng loạt cho tất cả các loại thuế do HMRC quản lý. Các quyền thông tin của HMRC áp dụng như nhau vì lợi ích của các cơ quan thuế nước ngoài liên quan đến các loại thuế là đối tượng của các hiệp ước cũng như đối với các loại thuế của Vương quốc Anh.55</w:t>
      </w:r>
    </w:p>
    <w:p>
      <w:pPr>
        <w:spacing w:after="80"/>
      </w:pPr>
      <w:r>
        <w:rPr>
          <w:b w:val="0"/>
          <w:i w:val="0"/>
        </w:rPr>
        <w:t>Nghị viện đã trao thêm các quyền hạn quan trọng cho HMRC, những quyền này có thể được triển khai để hỗ trợ các cơ quan thuế nước ngoài thực thi luật thuế của các quốc gia nước ngoài đó. FA 2011, s. 86 và Sch. 2356 có quy định cho phép các quan chức của HMRC thu thập dữ liệu từ các chủ thể nắm giữ dữ liệu bằng thông báo. Mục đích của các quyền hạn này là hỗ trợ việc thực hiện hiệu quả và hiệu suất các chức năng thuế của HMRC dù là cụ thể hay tổng quát hơn, và dù liên quan đến một người nộp thuế cụ thể hay người nộp thuế nói chung.57 Giống như các quyền hạn trong Điều khoản 36 của FA 2008, thẩm quyền rõ ràng được trao cho các quyền hạn này để được sử dụng thay mặt cho các cơ quan thuế nước ngoài,58 với kết quả là dữ liệu được thu thập như vậy có thể được cung cấp cho các cơ quan thuế nước ngoài. Một mục tiêu của luật này là yêu cầu các tổ chức tài chính Vương quốc Anh thu thập và cung cấp số Bảo hiểm Quốc gia và các số nhận dạng thuế khác cho tất cả các tài khoản có lãi suất được mở vào hoặc sau ngày 6 tháng 4 năm 2013.59 Thông tin này trước đây được thu thập theo TMA 1970, ss 17 và 18 liên quan đến các khoản tiền được trả hoặc ghi có cho các cá nhân và tài sản của những người không thường trú tại Vương quốc Anh và cho các ủy thác viên của các quỹ tín thác tùy ý và tích lũy khi các ủy thác viên và người thụ hưởng không cư trú tại Vương quốc Anh, và khi các chủ sở hữu hưởng lợi cư trú tại các quốc gia có hiệp ước về thu nhập từ chứng khoán, đặc biệt là từ các trung gian, lãi suất ngân hàng. Hiệu lực của các quy tắc này là đưa HMRC vào vị trí có thể cung cấp thông tin về thu nhập tiết kiệm cho các cơ quan của các quốc gia khác thông qua hiệp ước. Phạm vi của các quyền hạn mới rộng hơn đáng kể khi bao gồm nhiều loại chủ thể nắm giữ dữ liệu khác nhau.60</w:t>
      </w:r>
    </w:p>
    <w:p>
      <w:pPr>
        <w:spacing w:after="80"/>
      </w:pPr>
      <w:r>
        <w:rPr>
          <w:b w:val="0"/>
          <w:i w:val="0"/>
        </w:rPr>
        <w:t>Phần Bình luận về art.26 của OECD Model nhấn mạnh rằng không chỉ thông tin cụ thể về người nộp thuế mới có thể được trao đổi. Thông tin khác liên quan đến quản lý thuế cũng có thể được trao đổi.61 Do đó, ví dụ, việc sử dụng rộng rãi hơn các quyền trao đổi thông tin quốc tế đã dẫn đến việc thành lập Trung tâm Thông tin về Trú ẩn Thuế Quốc tế Chung (JITSIC), nơi chia sẻ thông tin liên quan đến các kế hoạch tránh thuế giữa các cơ quan thuế tham gia.62</w:t>
      </w:r>
    </w:p>
    <w:p>
      <w:pPr>
        <w:spacing w:after="80"/>
      </w:pPr>
      <w:r>
        <w:rPr>
          <w:b w:val="0"/>
          <w:i w:val="0"/>
        </w:rPr>
        <w:t xml:space="preserve">55.FA 2008, Sch. 36, para. 63(1)(m) và (4).56.Được bổ sung bởi </w:t>
      </w:r>
      <w:r>
        <w:rPr>
          <w:b w:val="0"/>
          <w:i/>
        </w:rPr>
        <w:t>Data-Gathering Powers (Relevant Data) Regulations</w:t>
      </w:r>
      <w:r>
        <w:rPr>
          <w:b w:val="0"/>
          <w:i w:val="0"/>
        </w:rPr>
        <w:t xml:space="preserve"> 2012 (SI 2012/847).57.FA 2011, Sch. 23, para. 2.58.FA 2011, Sch. 23, para. 45(1)(m) và (4).59.HM Revenue and Customs Brief 39/2012, ngày 7 tháng 1 năm 2013.60.FA 2011, Sch. 23, Part 2.61.Bình luận về OECD Model, art. 26, para. 5.1.62.HMRC, International Tax Manual, INTM156020 và INTM156030 http://www.oecd.org/tax/forum-on-tax-administration/jitsic/ truy cập ngày 11 tháng 8 năm 2017.</w:t>
      </w:r>
    </w:p>
    <w:p>
      <w:pPr>
        <w:spacing w:after="80"/>
      </w:pPr>
      <w:r>
        <w:rPr>
          <w:b w:val="0"/>
          <w:i w:val="0"/>
        </w:rPr>
        <w:t>644</w:t>
      </w:r>
    </w:p>
    <w:p>
      <w:pPr>
        <w:spacing w:after="80"/>
      </w:pPr>
      <w:r>
        <w:rPr>
          <w:b w:val="0"/>
          <w:i w:val="0"/>
        </w:rPr>
        <w:t>Các quy định pháp luật đặc biệt yêu cầu việc báo cáo thông tin tài khoản nước ngoài đối với cá nhân và CbCR đối với các doanh nghiệp đa quốc gia.63</w:t>
      </w:r>
    </w:p>
    <w:p>
      <w:pPr>
        <w:spacing w:after="80"/>
      </w:pPr>
      <w:r>
        <w:rPr>
          <w:b/>
          <w:i w:val="0"/>
        </w:rPr>
        <w:t>§22.10 TRAO ĐỔI THÔNG TIN: THỦ TỤC TRONG NƯỚC</w:t>
      </w:r>
    </w:p>
    <w:p>
      <w:pPr>
        <w:spacing w:after="80"/>
      </w:pPr>
      <w:r>
        <w:rPr>
          <w:b w:val="0"/>
          <w:i w:val="0"/>
        </w:rPr>
        <w:t>Việc HMRC yêu cầu thông tin từ các cơ quan thuế nước ngoài khi biết cá nhân có lợi ích ở nước ngoài là chuyện thường thấy.64 Chỉ những nhân viên HMRC được ủy quyền mới có thể tiết lộ thông tin cho nhân viên được ủy quyền của chính phủ quốc gia liên quan.65 Các Ủy viên Thuế vụ và Hải quan đã giao trách nhiệm trao đổi thông tin cho Trung tâm Trao đổi Tình báo (Centre for Exchange of Intelligence - CEI), một bộ phận thuộc HMRC Intelligence.66 CEI chịu trách nhiệm chuyển thông tin cho các cơ quan thuế nước ngoài và sẽ quyết định xem thông tin đó có nằm trong phạm vi của thỏa thuận liên quan và có phù hợp để gửi hay không. Do đó, điều quan trọng là mọi vấn đề có tính chất nhạy cảm tiềm ẩn đều phải được báo cho CEI.67 Các yêu cầu thông tin – cả đến và đi – liên quan đến các kế hoạch tránh thuế mang tính xâm lấn hoặc lạm dụng đều do JITSIC xử lý. Các đại biểu Vương quốc Anh tham gia JITSIC là thành viên của Nhóm Chống Tránh thuế thuộc HMRC.68 Các sổ tay nội bộ của cơ quan thuế đưa ra một số chỉ dẫn về quy trình và các trường hợp phù hợp để trao đổi thông tin.</w:t>
      </w:r>
    </w:p>
    <w:p>
      <w:pPr>
        <w:spacing w:after="80"/>
      </w:pPr>
      <w:r>
        <w:rPr>
          <w:b w:val="0"/>
          <w:i w:val="0"/>
        </w:rPr>
        <w:t xml:space="preserve">Mặc dù các cơ chế trao đổi thông tin được quy định rõ ràng về mặt pháp luật, quá trình này lại được tiến hành hoàn toàn bí mật. Không có quy định nào về việc thông báo hay tham vấn với người nộp thuế. Sổ tay </w:t>
      </w:r>
      <w:r>
        <w:rPr>
          <w:b w:val="0"/>
          <w:i/>
        </w:rPr>
        <w:t>Double Taxation Relief Manual</w:t>
      </w:r>
      <w:r>
        <w:rPr>
          <w:b w:val="0"/>
          <w:i w:val="0"/>
        </w:rPr>
        <w:t>69 của HMRC có đề cập đến "các vấn đề có tính chất nhạy cảm tiềm ẩn (ví dụ, một 'bí mật thương mại')", những vấn đề này cần được báo cho nhóm liên lạc chịu trách nhiệm trao đổi thông tin. Việc thông báo cho HMRC rằng có thông tin không nên được trao đổi là một vấn đề tế nhị. Có những vấn đề rõ ràng liên quan đến việc thiếu minh bạch trong quá trình này. Trong bối cảnh đó, các quy tắc liên quan đến việc chia sẻ thông tin với các bộ ngành khác ở Vương quốc Anh rất đa dạng và có thể cần được giải thích. Chẳng hạn, việc thực thi các giới hạn trong FA 2003, s. 197(2) có thể là một vấn đề phức tạp về mặt pháp lý, đòi hỏi kiến thức chi tiết về hệ thống pháp luật của quốc gia ký kết khác. Điều này đặt gánh nặng lớn lên những người chịu trách nhiệm quản lý việc trao đổi thông tin. Những quan chức không thể chê trách, chăm chỉ và tận tụy, sẽ thấy việc tuân thủ đúng đắn các quy tắc hiện hành cực kỳ khó khăn. Tính bí mật của quá trình này làm suy giảm niềm tin vào nó khi nhìn từ bên ngoài, cũng giống như</w:t>
      </w:r>
    </w:p>
    <w:p>
      <w:pPr>
        <w:spacing w:after="80"/>
      </w:pPr>
      <w:r>
        <w:rPr>
          <w:b w:val="0"/>
          <w:i w:val="0"/>
        </w:rPr>
        <w:t xml:space="preserve">63.Xem §22.11 và §22.12.64.Bằng chứng của HMRC trong </w:t>
      </w:r>
      <w:r>
        <w:rPr>
          <w:b w:val="0"/>
          <w:i/>
        </w:rPr>
        <w:t>R (on the application of JJ Management LLP) v R &amp; C Commrs</w:t>
      </w:r>
      <w:r>
        <w:rPr>
          <w:b w:val="0"/>
          <w:i w:val="0"/>
        </w:rPr>
        <w:t xml:space="preserve"> [2019] EWHC 2006 (Admin), [2019] STC 1772, [2019] BTC 21, tại para. 104.65.HMRC, International Tax Manual, INTM153280.66.HMRC, International Tax Manual, INTM156010.67.HMRC, International Tax Manual, INTM156030.68.HMRC, International Tax Manual, INTM156020. JITSIC dường như có liên quan đến việc trao đổi thông tin trong </w:t>
      </w:r>
      <w:r>
        <w:rPr>
          <w:b w:val="0"/>
          <w:i/>
        </w:rPr>
        <w:t>Derrin Brothers Properties Ltd &amp; Ors, R (on the application of) v A Judge of the First Tier Tribunal (Tax Chamber) &amp; Ors</w:t>
      </w:r>
      <w:r>
        <w:rPr>
          <w:b w:val="0"/>
          <w:i w:val="0"/>
        </w:rPr>
        <w:t xml:space="preserve"> [2016] EWCA Civ 15, [2016] BTC 10, [2016] STC 1081, xem para. 3. Việc trao đổi này liên quan đến tranh chấp thuế của Úc được xét xử với tên </w:t>
      </w:r>
      <w:r>
        <w:rPr>
          <w:b w:val="0"/>
          <w:i/>
        </w:rPr>
        <w:t>Bywater Investments Ltd and others v Commissioner of Taxation; Hua Wang Bank Berhad v Commissioner of Taxation</w:t>
      </w:r>
      <w:r>
        <w:rPr>
          <w:b w:val="0"/>
          <w:i w:val="0"/>
        </w:rPr>
        <w:t xml:space="preserve"> [2016] HCA 45. Xem Chương 6, §6.05.69.Tại DT351.</w:t>
      </w:r>
    </w:p>
    <w:p>
      <w:pPr>
        <w:spacing w:after="80"/>
      </w:pPr>
      <w:r>
        <w:rPr>
          <w:b w:val="0"/>
          <w:i w:val="0"/>
        </w:rPr>
        <w:t>645</w:t>
      </w:r>
    </w:p>
    <w:p>
      <w:pPr>
        <w:spacing w:after="80"/>
      </w:pPr>
      <w:r>
        <w:rPr>
          <w:b w:val="0"/>
          <w:i w:val="0"/>
        </w:rPr>
        <w:t>cách các nhà quản lý thuế coi việc giữ bí mật thông tin người nộp thuế là làm suy giảm niềm tin vào việc tuân thủ các quy tắc thuế.</w:t>
      </w:r>
    </w:p>
    <w:p>
      <w:pPr>
        <w:spacing w:after="80"/>
      </w:pPr>
      <w:r>
        <w:rPr>
          <w:b w:val="0"/>
          <w:i w:val="0"/>
        </w:rPr>
        <w:t xml:space="preserve">Ủy ban Keith70 đã khuyến nghị rằng cần đưa ra các thủ tục để người nộp thuế có thể được thông báo về các yêu cầu cung cấp thông tin nhạy cảm về mặt thương mại và rằng cần thiết lập cơ hội để phản đối việc trao đổi thông tin trước một hội đồng tài phán độc lập. Cơ quan Thuế Nội địa đã phản đối điều này.71 Dường như cũng không có sự chú ý nào được dành cho vấn đề này khi soạn thảo các quyền hạn trong FA 2008, Sch. 36. Quyền như vậy có khả năng tồn tại theo </w:t>
      </w:r>
      <w:r>
        <w:rPr>
          <w:b w:val="0"/>
          <w:i/>
        </w:rPr>
        <w:t>Human Rights Act</w:t>
      </w:r>
      <w:r>
        <w:rPr>
          <w:b w:val="0"/>
          <w:i w:val="0"/>
        </w:rPr>
        <w:t xml:space="preserve"> 1998, và việc các quan chức HMRC không tôn trọng quyền đó có thể dẫn đến yêu cầu bồi thường thiệt hại.72</w:t>
      </w:r>
    </w:p>
    <w:p>
      <w:pPr>
        <w:spacing w:after="80"/>
      </w:pPr>
      <w:r>
        <w:rPr>
          <w:b/>
          <w:i w:val="0"/>
        </w:rPr>
        <w:t>§22.11 TRAO ĐỔI THÔNG TIN: TRIỂN KHAI CRS</w:t>
      </w:r>
    </w:p>
    <w:p>
      <w:pPr>
        <w:spacing w:after="80"/>
      </w:pPr>
      <w:r>
        <w:rPr>
          <w:b w:val="0"/>
          <w:i w:val="0"/>
        </w:rPr>
        <w:t>Một hạn chế then chốt đối với việc trao đổi thông tin là Vương quốc Anh không thể cung cấp thông tin mà không thể thu thập được theo luật trong nước của mình hoặc trong quá trình quản lý thông thường các luật đó.73 Thông tin mà các công cụ quốc tế mới này yêu cầu thường không được thu thập theo các quyền hạn về thông tin liên quan đến quản lý thuế trong FA 2008, Sch. 36 hay theo cách khác.</w:t>
      </w:r>
    </w:p>
    <w:p>
      <w:pPr>
        <w:spacing w:after="80"/>
      </w:pPr>
      <w:r>
        <w:rPr>
          <w:b w:val="0"/>
          <w:i w:val="0"/>
        </w:rPr>
        <w:t xml:space="preserve">Tại Vương quốc Anh, </w:t>
      </w:r>
      <w:r>
        <w:rPr>
          <w:b w:val="0"/>
          <w:i/>
        </w:rPr>
        <w:t>Finance Act</w:t>
      </w:r>
      <w:r>
        <w:rPr>
          <w:b w:val="0"/>
          <w:i w:val="0"/>
        </w:rPr>
        <w:t xml:space="preserve"> 2013, s. 222(1) trao quyền cho Bộ Tài chính ban hành các quy định nhằm thực thi, hoặc cho phép thực thi, thỏa thuận với Hoa Kỳ liên quan đến FATCA và các thỏa thuận khác tương ứng hoặc về cơ bản tương tự thỏa thuận với Hoa Kỳ, cũng như để thực thi các "thỏa thuận" tương ứng, hoặc các thỏa thuận về cơ bản tương tự để trao đổi thông tin thuế. Mục 222(2) trao quyền áp đặt các nghĩa vụ tuân thủ lên các thực thể tài chính liên quan. Vương quốc Anh thực thi việc trao đổi tự động thông tin tài khoản tài chính của EU,74 Thỏa thuận Đa phương giữa các Cơ quan Có thẩm quyền về Trao đổi Tự động Thông tin Tài khoản Tài chính (Multilateral Competent Authority Agreement on the Automatic Exchange of Financial Account Information - MCAA),75 và thỏa thuận liên chính phủ với Hoa Kỳ để triển khai FATCA76 bằng một công cụ duy nhất – </w:t>
      </w:r>
      <w:r>
        <w:rPr>
          <w:b w:val="0"/>
          <w:i/>
        </w:rPr>
        <w:t>International Tax Compliance Regulations</w:t>
      </w:r>
      <w:r>
        <w:rPr>
          <w:b w:val="0"/>
          <w:i w:val="0"/>
        </w:rPr>
        <w:t xml:space="preserve"> 2015.77 Các thỏa thuận liên chính phủ với các Lãnh thổ Phụ thuộc Vương miện và Gibraltar78 được thực thi tại Vương quốc Anh bằng các quy định riêng – </w:t>
      </w:r>
      <w:r>
        <w:rPr>
          <w:b w:val="0"/>
          <w:i/>
        </w:rPr>
        <w:t>International Tax Compliance (Crown Dependencies and Gibraltar) Regulations</w:t>
      </w:r>
      <w:r>
        <w:rPr>
          <w:b w:val="0"/>
          <w:i w:val="0"/>
        </w:rPr>
        <w:t xml:space="preserve"> 2014.79 Các quy định này đặt ra khuôn khổ trong nước để giúp Vương quốc Anh đáp ứng các nghĩa vụ quốc tế của mình. Như vậy, bốn chế độ tương tự nhau, nhưng không hoàn toàn giống nhau, được điều chỉnh cho</w:t>
      </w:r>
    </w:p>
    <w:p>
      <w:pPr>
        <w:spacing w:after="80"/>
      </w:pPr>
      <w:r>
        <w:rPr>
          <w:b w:val="0"/>
          <w:i w:val="0"/>
        </w:rPr>
        <w:t>70.Báo cáo của Ủy ban về Quyền hạn Thực thi của các Cơ quan Thuế (CMND 8822), paras 23, 4.1-3.71.Inland Revenue and the Taxpayer (tháng 12 năm 1986), para. 6.5.5.72.Human Rights Act 1998, s. 8.73.OECD/COE Mutual Assistance Convention, art. 21(2)(c); OECD Model art. 26(2)(b). Xem §22.13.74.Xem §22.18.75.Xem §22.17.76.Xem §22.28.77.(SI 2015/878).78.Xem §22.14.79.SI 2014/520.</w:t>
      </w:r>
    </w:p>
    <w:p>
      <w:pPr>
        <w:spacing w:after="80"/>
      </w:pPr>
      <w:r>
        <w:rPr>
          <w:b w:val="0"/>
          <w:i w:val="0"/>
        </w:rPr>
        <w:t>646</w:t>
      </w:r>
    </w:p>
    <w:p>
      <w:pPr>
        <w:spacing w:after="80"/>
      </w:pPr>
      <w:r>
        <w:rPr>
          <w:b w:val="0"/>
          <w:i w:val="0"/>
        </w:rPr>
        <w:t xml:space="preserve">phù hợp với các nghĩa vụ cụ thể. </w:t>
      </w:r>
      <w:r>
        <w:rPr>
          <w:b w:val="0"/>
          <w:i/>
        </w:rPr>
        <w:t>International Tax Compliance Regulations</w:t>
      </w:r>
      <w:r>
        <w:rPr>
          <w:b w:val="0"/>
          <w:i w:val="0"/>
        </w:rPr>
        <w:t xml:space="preserve"> 2015 thiết lập các yêu cầu thẩm định chung, được sửa đổi cho chế độ EU và MCAA ở một bên và FATCA ở bên kia.80</w:t>
      </w:r>
    </w:p>
    <w:p>
      <w:pPr>
        <w:spacing w:after="80"/>
      </w:pPr>
      <w:r>
        <w:rPr>
          <w:b/>
          <w:i w:val="0"/>
        </w:rPr>
        <w:t>§22.12 TRAO ĐỔI THÔNG TIN: TRIỂN KHAI BÁO CÁO THEO TỪNG QUỐC GIA</w:t>
      </w:r>
    </w:p>
    <w:p>
      <w:pPr>
        <w:spacing w:after="80"/>
      </w:pPr>
      <w:r>
        <w:rPr>
          <w:b w:val="0"/>
          <w:i w:val="0"/>
        </w:rPr>
        <w:t xml:space="preserve">Nhằm tạo thuận lợi cho việc trao đổi thông tin CbCR (báo cáo theo từng quốc gia), như được đề xuất trong Báo cáo cuối cùng của Hành động 13 thuộc BEPS,81 </w:t>
      </w:r>
      <w:r>
        <w:rPr>
          <w:b w:val="0"/>
          <w:i/>
        </w:rPr>
        <w:t>Luật Tài chính</w:t>
      </w:r>
      <w:r>
        <w:rPr>
          <w:b w:val="0"/>
          <w:i w:val="0"/>
        </w:rPr>
        <w:t xml:space="preserve"> 2015, mục 122 trao cho Bộ Tài chính quyền hạn rộng rãi để ban hành các quy định triển khai CbCR có trong hướng dẫn của OECD về CbCR.82 Một Báo cáo theo từng Quốc gia phải được nộp bởi thực thể mẹ tối cao cư trú tại Vương quốc Anh của bất kỳ tập đoàn đa quốc gia nào có doanh thu hợp nhất của tập đoàn ít nhất là 750 triệu EUR83 cho các kỳ kế toán bắt đầu từ ngày 1 tháng 1 năm 2016.84 Trường hợp thực thể mẹ tối cao không cư trú tại một khu vực tài phán yêu cầu nộp Báo cáo theo từng Quốc gia, hoặc không có thỏa thuận trao đổi thông tin với Vương quốc Anh đang hoạt động hiệu quả, thì thực thể hàng đầu tại Vương quốc Anh của một tập đoàn đa quốc gia phải nộp Báo cáo theo từng Quốc gia bao gồm tất cả các thực thể cấu thành sẽ được đưa vào báo cáo tài chính hợp nhất của thực thể Vương quốc Anh nếu đó là một thực thể có lợi ích được giao dịch công khai trên một sàn chứng khoán.85 Các thực thể có mười hai tháng kể từ ngày kết thúc kỳ kế toán liên quan để nộp báo cáo cho HMRC.86</w:t>
      </w:r>
    </w:p>
    <w:p>
      <w:pPr>
        <w:spacing w:after="80"/>
      </w:pPr>
      <w:r>
        <w:rPr>
          <w:b w:val="0"/>
          <w:i w:val="0"/>
        </w:rPr>
        <w:t>Nội dung và hình thức của báo cáo87 được quy định bởi Chương V của Hướng dẫn OECD về Chuyển giá liên quan đến Tài liệu hóa88 đã được sửa đổi bởi Báo cáo cuối cùng của Hành động 13 thuộc BEPS89 và Hướng dẫn của OECD (2017) về Triển khai Báo cáo theo từng Quốc gia.90</w:t>
      </w:r>
    </w:p>
    <w:p>
      <w:pPr>
        <w:spacing w:after="80"/>
      </w:pPr>
      <w:r>
        <w:rPr>
          <w:b w:val="0"/>
          <w:i w:val="0"/>
        </w:rPr>
        <w:t xml:space="preserve">80. Quy định 3, 4 và 5.81. OECD (2015), Tài liệu hóa Chuyển giá và Báo cáo theo từng Quốc gia, Hành động 13 – Báo cáo cuối cùng 2015, Dự án Chống xói mòn cơ sở thuế và chuyển dịch lợi nhuận của OECD/G20 http://dx.doi.org/10.1787/9789264241480-en.82. </w:t>
      </w:r>
      <w:r>
        <w:rPr>
          <w:b w:val="0"/>
          <w:i/>
        </w:rPr>
        <w:t>Quy định về Thuế (Chống xói mòn cơ sở thuế và chuyển dịch lợi nhuận) (Báo cáo theo từng Quốc gia)</w:t>
      </w:r>
      <w:r>
        <w:rPr>
          <w:b w:val="0"/>
          <w:i w:val="0"/>
        </w:rPr>
        <w:t xml:space="preserve"> 2016 (SI 2016/237), đã được sửa đổi bởi (SI 2017/497) (SI 2016/237, đã được sửa đổi bởi SI 2017/497).83. SI 2016/237, quy định 4.84. SI 2016/237, quy định 3(3).85. SI 2016/237, quy định 3(4).86. SI 2016/237, quy định 3(1).87. FA 2106, mục 122(2) (SI 2016/237), quy định 2(1).88. OECD (2017), Hướng dẫn OECD về Chuyển giá cho các Doanh nghiệp Đa quốc gia và Cơ quan Thuế 2017 http://dx.doi.org/10.1787/tpg-2017-en.89. OECD (2015), Tài liệu hóa Chuyển giá và Báo cáo theo từng Quốc gia, Hành động 13 – Báo cáo cuối cùng 2015, Dự án Chống xói mòn cơ sở thuế và chuyển dịch lợi nhuận của OECD/G20 http://dx.doi.org/10.1787/9789264241480-en.90. OECD (2017), Hướng dẫn về Triển khai Báo cáo theo từng Quốc gia – Hành động 13 thuộc BEPS, OECD, Paris www.oecd.org/tax/guidance-on-the-implementation-of-country-by-country-reporting-beps-action-13.pdf.</w:t>
      </w:r>
    </w:p>
    <w:p>
      <w:pPr>
        <w:spacing w:after="80"/>
      </w:pPr>
      <w:r>
        <w:rPr>
          <w:b w:val="0"/>
          <w:i w:val="0"/>
        </w:rPr>
        <w:t>647</w:t>
      </w:r>
    </w:p>
    <w:p>
      <w:pPr>
        <w:spacing w:after="80"/>
      </w:pPr>
      <w:r>
        <w:rPr>
          <w:b/>
          <w:i w:val="0"/>
        </w:rPr>
        <w:t>§22.13 TRAO ĐỔI THÔNG TIN: CÁC QUY ĐỊNH TRONG HIỆP ĐỊNH THUẾ ĐÁNH HAI LẦN</w:t>
      </w:r>
    </w:p>
    <w:p>
      <w:pPr>
        <w:spacing w:after="80"/>
      </w:pPr>
      <w:r>
        <w:rPr>
          <w:b w:val="0"/>
          <w:i w:val="0"/>
        </w:rPr>
        <w:t>Mọi hiệp định thuế đánh hai lần song phương mà Vương quốc Anh đã ký kết đều có một điều khoản xử lý việc trao đổi thông tin. Thực tiễn của Vương quốc Anh nhìn chung phù hợp với Mẫu của OECD, phiên bản mới nhất của mẫu này được phản ánh, ví dụ, trong Hiệp định Thuế Thu nhập giữa Vương quốc Anh và Ả Rập Xê Út hiện hành như sau:</w:t>
      </w:r>
    </w:p>
    <w:p>
      <w:pPr>
        <w:spacing w:after="80"/>
      </w:pPr>
      <w:r>
        <w:rPr>
          <w:b w:val="0"/>
          <w:i w:val="0"/>
        </w:rPr>
        <w:t xml:space="preserve">26(1) Các cơ quan có thẩm quyền của các quốc gia ký kết sẽ trao đổi những thông tin có thể dự đoán trước được là có liên quan để thực hiện các quy định của Công ước này hoặc để quản lý hoặc thực thi pháp luật trong nước của các quốc gia ký kết liên quan đến các loại thuế thuộc mọi loại và mọi mô tả được áp đặt thay mặt cho các quốc gia ký kết, hoặc các phân khu chính trị hoặc chính quyền địa phương của họ, trong phạm vi việc đánh thuế theo đó không trái với Công ước này, </w:t>
      </w:r>
      <w:r>
        <w:rPr>
          <w:b w:val="0"/>
          <w:i/>
        </w:rPr>
        <w:t>đặc biệt là để ngăn chặn gian lận và tạo thuận lợi cho việc quản lý các quy định luật định chống lại việc tránh nghĩa vụ pháp lý.</w:t>
      </w:r>
      <w:r>
        <w:rPr>
          <w:b w:val="0"/>
          <w:i w:val="0"/>
        </w:rPr>
        <w:t xml:space="preserve"> Việc trao đổi thông tin không bị hạn chế bởi các điều 1 và 2 của Công ước này.</w:t>
      </w:r>
    </w:p>
    <w:p>
      <w:pPr>
        <w:spacing w:after="80"/>
      </w:pPr>
      <w:r>
        <w:rPr>
          <w:b w:val="0"/>
          <w:i w:val="0"/>
        </w:rPr>
        <w:t>Các hiệp định theo hình thức này quy định việc trao đổi thông tin ở mức độ rất rộng. OECD đã thông qua ngưỡng tiết lộ rộng "có thể dự đoán trước được là có liên quan" trong mẫu năm 2005. Điều 2 của Nghị định thư Bổ sung ngày 11 tháng 9 năm 2009 của Hiệp định Vương quốc Anh - Áo ghi nhận thỏa thuận rằng "tiêu chuẩn 'có thể dự đoán trước được là có liên quan' nhằm mục đích quy định việc trao đổi thông tin trong các vấn đề thuế ở mức độ rộng nhất có thể và, đồng thời, làm rõ rằng các Quốc gia Ký kết không được tự do tham gia vào các 'cuộc săn lùng thông tin' hoặc yêu cầu thông tin không có khả năng liên quan đến các vấn đề thuế của một người nộp thuế cụ thể". Thông tin thuộc phạm vi điều này nếu:</w:t>
      </w:r>
    </w:p>
    <w:p>
      <w:pPr>
        <w:spacing w:after="80"/>
      </w:pPr>
      <w:r>
        <w:rPr>
          <w:b w:val="0"/>
          <w:i w:val="0"/>
        </w:rPr>
        <w:t>– thông tin đó là để thực hiện các quy định của hiệp định; hoặc – thông tin đó là để thực hiện các quy định của pháp luật trong nước của một trong hai quốc gia ký kết</w:t>
      </w:r>
    </w:p>
    <w:p>
      <w:pPr>
        <w:spacing w:after="80"/>
      </w:pPr>
      <w:r>
        <w:rPr>
          <w:b w:val="0"/>
          <w:i w:val="0"/>
        </w:rPr>
        <w:t>liên quan đến các loại thuế được hiệp định bao gồm trong phạm vi việc đánh thuế theo đó không trái với hiệp định.</w:t>
      </w:r>
    </w:p>
    <w:p>
      <w:pPr>
        <w:spacing w:after="80"/>
      </w:pPr>
      <w:r>
        <w:rPr>
          <w:b w:val="0"/>
          <w:i w:val="0"/>
        </w:rPr>
        <w:t>Điều này trao quyền hạn rộng rãi để trao đổi thông tin. Thông tin không bị giới hạn ở các loại thuế là đối tượng của hiệp định, cũng không bị giới hạn ở những người thuộc phạm vi của hiệp định. Do đó, thông tin có thể được trao đổi về những người không cư trú tại một trong hai quốc gia ký kết. Cách diễn đạt in nghiêng không có trong Mẫu của OECD nhưng thường thấy trong các hiệp định gần đây của Vương quốc Anh với nhiều cách diễn đạt khác nhau kể từ năm 2000. Với phạm vi quyền hạn rộng như vậy, không rõ ngôn ngữ bổ sung này thêm được điều gì. Hiệp định trao đổi thông tin với Brazil91 mở rộng tiêu chuẩn liên quan đến thông tin "có thể" liên quan, so với thông tin "có thể dự đoán trước được là có liên quan".</w:t>
      </w:r>
    </w:p>
    <w:p>
      <w:pPr>
        <w:spacing w:after="80"/>
      </w:pPr>
      <w:r>
        <w:rPr>
          <w:b w:val="0"/>
          <w:i w:val="0"/>
        </w:rPr>
        <w:t xml:space="preserve">Trong </w:t>
      </w:r>
      <w:r>
        <w:rPr>
          <w:b w:val="0"/>
          <w:i/>
        </w:rPr>
        <w:t>Kotton v First Tier Tribunal (Tax Chamber)</w:t>
      </w:r>
      <w:r>
        <w:rPr>
          <w:b w:val="0"/>
          <w:i w:val="0"/>
        </w:rPr>
        <w:t>,92 Tòa án Cấp cao đã bác bỏ lập luận rằng một thông báo gửi cho bên thứ ba yêu cầu cung cấp thông tin theo yêu cầu của</w:t>
      </w:r>
    </w:p>
    <w:p>
      <w:pPr>
        <w:spacing w:after="80"/>
      </w:pPr>
      <w:r>
        <w:rPr>
          <w:b w:val="0"/>
          <w:i w:val="0"/>
        </w:rPr>
        <w:t xml:space="preserve">91. Hiệp định giữa Chính phủ Vương quốc Liên hiệp Anh và Bắc Ireland và Chính phủ Cộng hòa Liên bang Brazil về Trao đổi Thông tin Liên quan đến Thuế ngày 28 tháng 9 năm 2012, điều 1.92. </w:t>
      </w:r>
      <w:r>
        <w:rPr>
          <w:b w:val="0"/>
          <w:i/>
        </w:rPr>
        <w:t>Kotton v First Tier Tribunal (Tax Chamber) &amp; Anor</w:t>
      </w:r>
      <w:r>
        <w:rPr>
          <w:b w:val="0"/>
          <w:i w:val="0"/>
        </w:rPr>
        <w:t xml:space="preserve"> [2019] EWHC 1327 (Admin), [2019] BTC 16.</w:t>
      </w:r>
    </w:p>
    <w:p>
      <w:pPr>
        <w:spacing w:after="80"/>
      </w:pPr>
      <w:r>
        <w:rPr>
          <w:b w:val="0"/>
          <w:i w:val="0"/>
        </w:rPr>
        <w:t>648</w:t>
      </w:r>
    </w:p>
    <w:p>
      <w:pPr>
        <w:spacing w:after="80"/>
      </w:pPr>
      <w:r>
        <w:rPr>
          <w:b w:val="0"/>
          <w:i w:val="0"/>
        </w:rPr>
        <w:t>Cơ quan Thuế Thụy Điển (STA) theo điều 24 của hiệp định Thụy Điển - Vương quốc Anh không "được yêu cầu một cách hợp lý" cho mục đích kiểm tra tình trạng thuế của một cá nhân trong phạm vi FA 2008, Sch. 36, đoạn 2 và 3. Thông báo đã được gửi cho American Express tại Vương quốc Anh để cung cấp chi tiết về chi tiêu trên một thẻ do họ phát hành nhằm xem xét các chi phí đi lại được tính vào thẻ. Việc liên lạc rộng rãi giữa STA và HMRC cho thấy rằng cơ quan STA đang xem xét liệu ông Kotton có cư trú tại Thụy Điển hay không. Thực tế rằng có một tranh chấp thực sự về nơi cư trú có nghĩa là thông tin có khả năng liên quan trực tiếp, bất chấp những mâu thuẫn và thiếu chính xác trong những gì STA đã nói để hỗ trợ cho yêu cầu. Điều đáng tò mò là không có việc xem xét yêu cầu của điều 24 của hiệp định và vụ án được tranh luận hoàn toàn dựa trên các quyền hạn thông tin trong nước của Vương quốc Anh. Các kết luận của tòa án chỉ ra rằng thông tin dù sao cũng sẽ có thể dự đoán trước được là có liên quan.</w:t>
      </w:r>
    </w:p>
    <w:p>
      <w:pPr>
        <w:spacing w:after="80"/>
      </w:pPr>
      <w:r>
        <w:rPr>
          <w:b w:val="0"/>
          <w:i w:val="0"/>
        </w:rPr>
        <w:t>Các hiệp định trước đây không cho phép trao đổi thông tin rộng rãi đến vậy. Nhiều hiệp định được xây dựng theo mẫu ngôn ngữ trước đó của OECD, chẳng hạn như Hiệp định tránh đánh thuế hai lần giữa Hàn Quốc và Vương quốc Anh, Điều 27(1), phần liên quan có nội dung như sau:</w:t>
      </w:r>
    </w:p>
    <w:p>
      <w:pPr>
        <w:spacing w:after="80"/>
      </w:pPr>
      <w:r>
        <w:rPr>
          <w:b w:val="0"/>
          <w:i w:val="0"/>
        </w:rPr>
        <w:t>Cơ quan có thẩm quyền của các quốc gia ký kết sẽ trao đổi những thông tin cần thiết để thực hiện các quy định của Công ước này hoặc các luật trong nước của các quốc gia ký kết liên quan đến các loại thuế thuộc phạm vi Công ước, trong chừng mực việc đánh thuế theo đó không trái với Công ước.</w:t>
      </w:r>
    </w:p>
    <w:p>
      <w:pPr>
        <w:spacing w:after="80"/>
      </w:pPr>
      <w:r>
        <w:rPr>
          <w:b w:val="0"/>
          <w:i w:val="0"/>
        </w:rPr>
        <w:t>Thông tin thuộc phạm vi điều khoản này nếu thông tin đó cần thiết để thực hiện các quy định của hiệp định; hoặc các quy định của luật trong nước của một trong hai quốc gia ký kết chỉ liên quan đến các loại thuế thuộc phạm vi hiệp định. Một số hiệp định giới hạn việc trao đổi chỉ với thông tin cần thiết để thực hiện các quy định của hiệp định, hoặc để phòng chống gian lận, hoặc để thực thi các quy định luật định chống tránh thuế hợp pháp liên quan đến các loại thuế là đối tượng của thỏa thuận. Ví dụ về điều này có thể thấy trong Hiệp định Seychelles-Vương quốc Anh, Điều 14(1), và Hiệp định Namibia-Vương quốc Anh, Điều 21. Trong các hiệp định này, khi việc áp dụng chính hiệp định hoặc hành vi trốn thuế hay các quy định luật định chống tránh thuế không phải là vấn đề đang bàn, thì không được phép trao đổi thông tin. Vì cư dân của các quốc gia thứ ba nói chung sẽ không thể hưởng lợi từ các hiệp định như vậy, nên thông tin liên quan đến họ chỉ có thể được trao đổi trong các trường hợp liên quan đến gian lận thuế hoặc việc áp dụng các quy định luật định chống tránh thuế tại một trong các quốc gia ký kết.</w:t>
      </w:r>
    </w:p>
    <w:p>
      <w:pPr>
        <w:spacing w:after="80"/>
      </w:pPr>
      <w:r>
        <w:rPr>
          <w:b w:val="0"/>
          <w:i w:val="0"/>
        </w:rPr>
        <w:t>Phạm vi thẩm quyền cung cấp thông tin còn bị giới hạn thêm. Ví dụ, Điều 27(2) của Hiệp định tránh đánh thuế hai lần giữa Hàn Quốc và Vương quốc Anh (áp dụng theo Điều 26(3) của Mẫu OECD) có nội dung như sau:</w:t>
      </w:r>
    </w:p>
    <w:p>
      <w:pPr>
        <w:spacing w:after="80"/>
      </w:pPr>
      <w:r>
        <w:rPr>
          <w:b w:val="0"/>
          <w:i w:val="0"/>
        </w:rPr>
        <w:t>Trong mọi trường hợp, các quy định của khoản 1 sẽ không được giải thích theo cách áp đặt lên một quốc gia ký kết nghĩa vụ:</w:t>
      </w:r>
    </w:p>
    <w:p>
      <w:pPr>
        <w:spacing w:after="80"/>
      </w:pPr>
      <w:r>
        <w:rPr>
          <w:b w:val="0"/>
          <w:i w:val="0"/>
        </w:rPr>
        <w:t>(a) thực hiện các biện pháp hành chính trái với luật pháp và thông lệ hành chính của quốc gia đó hoặc của quốc gia ký kết kia;</w:t>
      </w:r>
    </w:p>
    <w:p>
      <w:pPr>
        <w:spacing w:after="80"/>
      </w:pPr>
      <w:r>
        <w:rPr>
          <w:b w:val="0"/>
          <w:i w:val="0"/>
        </w:rPr>
        <w:t>(b) cung cấp thông tin không thể thu thập được theo luật pháp hoặc trong tiến trình hành chính thông thường của quốc gia đó hoặc của quốc gia ký kết kia;</w:t>
      </w:r>
    </w:p>
    <w:p>
      <w:pPr>
        <w:spacing w:after="80"/>
      </w:pPr>
      <w:r>
        <w:rPr>
          <w:b w:val="0"/>
          <w:i w:val="0"/>
        </w:rPr>
        <w:t>(c) cung cấp thông tin có thể tiết lộ bất kỳ bí mật thương mại, kinh doanh, công nghiệp, thương mại hoặc nghề nghiệp hay quy trình thương mại nào, hoặc thông tin mà việc tiết lộ sẽ trái với chính sách công (ordre public).</w:t>
      </w:r>
    </w:p>
    <w:p>
      <w:pPr>
        <w:spacing w:after="80"/>
      </w:pPr>
      <w:r>
        <w:rPr>
          <w:b w:val="0"/>
          <w:i w:val="0"/>
        </w:rPr>
        <w:t>649</w:t>
      </w:r>
    </w:p>
    <w:p>
      <w:pPr>
        <w:spacing w:after="80"/>
      </w:pPr>
      <w:r>
        <w:rPr>
          <w:b w:val="0"/>
          <w:i w:val="0"/>
        </w:rPr>
        <w:t xml:space="preserve">Tính hợp pháp của cả yêu cầu cung cấp thông tin lẫn việc cung cấp thông tin đều được các quy định này điều chỉnh. Trong các hiệp định hiện đại, một quốc gia ký kết không có nghĩa vụ thực hiện các bước hành chính vượt quá các bước mà cả hai quốc gia đều có. Do đó, Vương quốc Anh không thể sử dụng quyền hạn thông tin của mình thay cho cơ quan thuế nước ngoài, cũng không thể tự mình sử dụng các quyền hạn thông tin đó, cũng không thể sử dụng các quyền hạn thông tin mà quốc gia kia có nhưng Vương quốc Anh không có. Phán quyết trong </w:t>
      </w:r>
      <w:r>
        <w:rPr>
          <w:b w:val="0"/>
          <w:i/>
        </w:rPr>
        <w:t>R (theo đơn của Derrin Brother Properties Ltd) v HMRC</w:t>
      </w:r>
      <w:r>
        <w:rPr>
          <w:b w:val="0"/>
          <w:i w:val="0"/>
        </w:rPr>
        <w:t>,93 liên quan đến yêu cầu của Cơ quan Thuế Úc đề nghị HMRC hỗ trợ thu thập thông tin theo Điều 27 của Hiệp định tránh đánh thuế hai lần giữa Úc và Vương quốc Anh, và do đó xoay quanh các quyền hạn theo FA 2008, Sch. 36.</w:t>
      </w:r>
    </w:p>
    <w:p>
      <w:pPr>
        <w:spacing w:after="80"/>
      </w:pPr>
      <w:r>
        <w:rPr>
          <w:b w:val="0"/>
          <w:i w:val="0"/>
        </w:rPr>
        <w:t xml:space="preserve">Tương tự, một quốc gia ký kết không có nghĩa vụ cung cấp thông tin không thể thu thập được theo luật pháp hoặc trong tiến trình hành chính thông thường của quốc gia đó hoặc của quốc gia ký kết kia. Điều này có nghĩa là, ví dụ, nếu quốc gia ký kết kia không cho phép thông tin được trao đổi giữa các cơ quan chính phủ, thì cơ quan có thẩm quyền của Vương quốc Anh không được cung cấp thông tin thu được theo cách này. Trong </w:t>
      </w:r>
      <w:r>
        <w:rPr>
          <w:b w:val="0"/>
          <w:i/>
        </w:rPr>
        <w:t>R (oao JJ Management LLP) v HMRC</w:t>
      </w:r>
      <w:r>
        <w:rPr>
          <w:b w:val="0"/>
          <w:i w:val="0"/>
        </w:rPr>
        <w:t>,94 người nộp thuế đã không thành công trong việc phản đối các yêu cầu của Vương quốc Anh gửi đến cơ quan thuế Tây Ban Nha và Bồ Đào Nha để lấy thông tin về một cá nhân cư trú tại Vương quốc Anh, người sở hữu các công ty kinh doanh siêu thị nhập khẩu thực phẩm từ Vương quốc Anh để bán cho người tiêu dùng Anh tại các quốc gia đó. Người ta lập luận rằng HMRC không thể tiến hành một cuộc điều tra không chính thức. Điều này có nghĩa là thông tin được yêu cầu từ các cơ quan thuế khác không thể thu thập được theo luật pháp hoặc trong tiến trình hành chính thông thường của quốc gia yêu cầu theo Điều 25(3)(b) của Hiệp định Tây Ban Nha-Vương quốc Anh, chẳng hạn. Người ta lập luận rằng một cuộc điều tra chính thức, ngoài thời hạn thông thường, đòi hỏi phải có lý do để nghi ngờ rằng thuế phải nộp chưa được thanh toán. Tuy nhiên, không cần lý do cho các cuộc điều tra về tờ khai trong thời hạn. Tuy vậy, tòa án nhận thấy rằng các cuộc điều tra không chính thức, khi người nộp thuế được mời tự nguyện cung cấp thông tin, là hợp pháp. Điều này đã được Tòa phúc thẩm giữ nguyên.95</w:t>
      </w:r>
    </w:p>
    <w:p>
      <w:pPr>
        <w:spacing w:after="80"/>
      </w:pPr>
      <w:r>
        <w:rPr>
          <w:b w:val="0"/>
          <w:i w:val="0"/>
        </w:rPr>
        <w:t>Các bên đã đưa ra ít lập luận về chính các hiệp định. Theo quan điểm của tác giả, điều đó thật đáng tiếc. Vấn đề quan trọng hơn đã không được đề cập, cụ thể là liệu một cuộc điều tra không chính thức, không có căn cứ, có cấu thành một "cuộc đi câu" (fishing expedition) khiến thông tin không thể được trao đổi vì không có khả năng liên quan có thể dự đoán trước hay không.96</w:t>
      </w:r>
    </w:p>
    <w:p>
      <w:pPr>
        <w:spacing w:after="80"/>
      </w:pPr>
      <w:r>
        <w:rPr>
          <w:b w:val="0"/>
          <w:i w:val="0"/>
        </w:rPr>
        <w:t>Mặc dù không cần thiết cho phán quyết, Nugee J, tại Tòa án cấp cao, cho rằng Điều 25(3)(b) không phải bàn về việc liệu Vương quốc Anh có thể thu thập cùng thông tin đó tại Vương quốc Anh hay không, tức là sao kê ngân hàng Tây Ban Nha của một công ty Tây Ban Nha. Điều khoản này bàn về việc liệu Vương quốc Anh có đang yêu cầu cơ quan thuế nước ngoài cung cấp thông tin trong hoàn cảnh mà Vương quốc Anh không thể thu thập thông tin tương tự tại Vương quốc Anh hay không, ví dụ như sao kê ngân hàng của một công ty Vương quốc Anh.97</w:t>
      </w:r>
    </w:p>
    <w:p>
      <w:pPr>
        <w:spacing w:after="80"/>
      </w:pPr>
      <w:r>
        <w:rPr>
          <w:b w:val="0"/>
          <w:i w:val="0"/>
        </w:rPr>
        <w:t>93.</w:t>
      </w:r>
      <w:r>
        <w:rPr>
          <w:b w:val="0"/>
          <w:i/>
        </w:rPr>
        <w:t>R (theo đơn của Derrin Brother Properties Ltd) v Revenue and Customs Commissioners &amp; Ors</w:t>
      </w:r>
      <w:r>
        <w:rPr>
          <w:b w:val="0"/>
          <w:i w:val="0"/>
        </w:rPr>
        <w:t xml:space="preserve"> [2016] EWCA Civ 15, [2016] BTC 10, [2016] STC 1081.94.</w:t>
      </w:r>
      <w:r>
        <w:rPr>
          <w:b w:val="0"/>
          <w:i/>
        </w:rPr>
        <w:t>JJ Management LLP &amp; Ors, R (theo đơn của) v Revenue and Customs &amp; Ano</w:t>
      </w:r>
      <w:r>
        <w:rPr>
          <w:b w:val="0"/>
          <w:i w:val="0"/>
        </w:rPr>
        <w:t xml:space="preserve"> [2019] EWHC 2006 (Admin), [2019] STC 1772, [2019] BTC 21, [2020] QB 619, [2020] 2 WLR 195.95.</w:t>
      </w:r>
      <w:r>
        <w:rPr>
          <w:b w:val="0"/>
          <w:i/>
        </w:rPr>
        <w:t>JJ Management LLP và những người khác v Revenue and Customs Commissioners và một người khác</w:t>
      </w:r>
      <w:r>
        <w:rPr>
          <w:b w:val="0"/>
          <w:i w:val="0"/>
        </w:rPr>
        <w:t xml:space="preserve"> [2020] EWCA Civ 784, [2020] STC 1422, [2020] BTC 18, [2020] 3 WLR 545, [2021] QB 257. Các vấn đề hiệp định, vì là </w:t>
      </w:r>
      <w:r>
        <w:rPr>
          <w:b w:val="0"/>
          <w:i/>
        </w:rPr>
        <w:t>obiter dicta,</w:t>
      </w:r>
      <w:r>
        <w:rPr>
          <w:b w:val="0"/>
          <w:i w:val="0"/>
        </w:rPr>
        <w:t xml:space="preserve"> không phải là đối tượng của kháng cáo.96.Bình luận của OECD về Điều 26, khoản 5.97.Tại khoản 111.</w:t>
      </w:r>
    </w:p>
    <w:p>
      <w:pPr>
        <w:spacing w:after="80"/>
      </w:pPr>
      <w:r>
        <w:rPr>
          <w:b w:val="0"/>
          <w:i w:val="0"/>
        </w:rPr>
        <w:t>650</w:t>
      </w:r>
    </w:p>
    <w:p>
      <w:pPr>
        <w:spacing w:after="80"/>
      </w:pPr>
      <w:r>
        <w:rPr>
          <w:b w:val="0"/>
          <w:i w:val="0"/>
        </w:rPr>
        <w:t>650</w:t>
      </w:r>
    </w:p>
    <w:p>
      <w:pPr>
        <w:spacing w:after="80"/>
      </w:pPr>
      <w:r>
        <w:rPr>
          <w:b w:val="0"/>
          <w:i w:val="0"/>
        </w:rPr>
        <w:t>Tranh cãi hơn, và theo quan điểm của tác giả là sai lầm, Nugee J đã chấp nhận lập luận của HMRC rằng ngay cả khi Vương quốc Anh không thể thu thập thông tin tương tự trong nội địa Vương quốc Anh, điều đó cũng không khiến yêu cầu trở thành bất hợp pháp, mà sẽ cho phép cơ quan thuế nước ngoài có quyền từ chối cung cấp thông tin vì thiếu tính có đi có lại.98 Bài viết sử dụng từ 'shall' trong cả Điều 26(1) và (3), ngụ ý rằng việc trao đổi thông tin là bắt buộc, chứ không phải tùy nghi. Các giới hạn đối với nghĩa vụ được quy định trong Điều 26(3) cũng mang tính bắt buộc trong việc giải phóng một quốc gia ký kết khỏi nghĩa vụ cung cấp thông tin và có hiệu lực như một lệnh cấm cung cấp thông tin thuộc phạm vi Điều 26(3), trên cơ sở rằng cơ quan thuế phải tuân theo nghĩa vụ bảo mật chung. Một số hiệp ước cũ hơn khác hoàn toàn không chứa những giới hạn này,99 dẫn đến kết quả là, ví dụ, Vương quốc Anh có thể sử dụng quyền hạn thông tin trong FA 2008, Sch. 36, để thu thập thông tin thay mặt cho các quốc gia đó ngay cả khi cơ quan thuế ở đó không có quyền hạn như vậy.</w:t>
      </w:r>
    </w:p>
    <w:p>
      <w:pPr>
        <w:spacing w:after="80"/>
      </w:pPr>
      <w:r>
        <w:rPr>
          <w:b w:val="0"/>
          <w:i w:val="0"/>
        </w:rPr>
        <w:t>Thứ hai, không có nghĩa vụ cung cấp thông tin mà sẽ tiết lộ bất kỳ bí mật thương mại, kinh doanh, công nghiệp, thương mại hoặc nghề nghiệp nào, hoặc quy trình thương mại, hoặc thông tin mà việc tiết lộ sẽ trái với chính sách công. Một số hiệp ước như hiệp ước giữa Vương quốc Anh với Zimbabwe không chứa điều khoản loại trừ vì chính sách công.</w:t>
      </w:r>
    </w:p>
    <w:p>
      <w:pPr>
        <w:spacing w:after="80"/>
      </w:pPr>
      <w:r>
        <w:rPr>
          <w:b w:val="0"/>
          <w:i w:val="0"/>
        </w:rPr>
        <w:t>Một đổi mới khác của OECD Model 2003 được phản ánh trong Điều 26(4) của hiệp ước đánh thuế hai lần Saudi Arabia-Vương quốc Anh:</w:t>
      </w:r>
    </w:p>
    <w:p>
      <w:pPr>
        <w:spacing w:after="80"/>
      </w:pPr>
      <w:r>
        <w:rPr>
          <w:b w:val="0"/>
          <w:i w:val="0"/>
        </w:rPr>
        <w:t>Nếu thông tin được một quốc gia ký kết yêu cầu theo Điều này, quốc gia ký kết kia phải sử dụng các biện pháp thu thập thông tin của mình để thu thập thông tin được yêu cầu, ngay cả khi quốc gia kia có thể không cần thông tin đó cho mục đích thuế của chính mình. Nghĩa vụ được quy định trong câu trên phải tuân theo các giới hạn của khoản (3) của Điều này, nhưng trong mọi trường hợp, những giới hạn đó không được giải thích là cho phép một quốc gia ký kết từ chối cung cấp thông tin chỉ vì quốc gia đó không có lợi ích trong nước đối với thông tin đó.</w:t>
      </w:r>
    </w:p>
    <w:p>
      <w:pPr>
        <w:spacing w:after="80"/>
      </w:pPr>
      <w:r>
        <w:rPr>
          <w:b w:val="0"/>
          <w:i w:val="0"/>
        </w:rPr>
        <w:t>Do đó, mỗi quốc gia ký kết buộc phải đưa bộ máy thông tin của mình phục vụ cho quốc gia kia, thuần túy như một phần mở rộng của bộ máy của quốc gia kia. Cả FA 2008, Sch. 36, lẫn các quy định kế nhiệm của nó, hay FA 2011, Sch. 23 đều không yêu cầu bất kỳ lợi ích nào của Vương quốc Anh trong một vấn đề liên quan đến việc thực thi quyền hạn đối với một loại thuế nước ngoài có liên quan. Câu thứ hai của điều khoản hiệp ước này sẽ loại trừ một quy tắc như vậy, và bất kỳ lập luận nào cho rằng việc quốc gia được yêu cầu không có lợi ích trong thông tin có nghĩa là việc cung cấp thông tin đó sẽ trái với chính sách công.</w:t>
      </w:r>
    </w:p>
    <w:p>
      <w:pPr>
        <w:spacing w:after="80"/>
      </w:pPr>
      <w:r>
        <w:rPr>
          <w:b w:val="0"/>
          <w:i w:val="0"/>
        </w:rPr>
        <w:t>Hiệp ước đánh thuế hai lần Pháp-Vương quốc Anh cũng phản ánh một phần sự phát triển mới trong OECD Model 2005:</w:t>
      </w:r>
    </w:p>
    <w:p>
      <w:pPr>
        <w:spacing w:after="80"/>
      </w:pPr>
      <w:r>
        <w:rPr>
          <w:b w:val="0"/>
          <w:i w:val="0"/>
        </w:rPr>
        <w:t>27(5) Trong mọi trường hợp, các quy định của khoản 3 không được giải thích là cho phép một quốc gia ký kết từ chối cung cấp thông tin chỉ vì thông tin đó được nắm giữ bởi một ngân hàng, tổ chức tài chính khác, người được ủy thác hoặc người hành động với tư cách đại lý hoặc người được ủy thác, hoặc vì thông tin đó liên quan đến quyền sở hữu trong một người.</w:t>
      </w:r>
    </w:p>
    <w:p>
      <w:pPr>
        <w:spacing w:after="80"/>
      </w:pPr>
      <w:r>
        <w:rPr>
          <w:b w:val="0"/>
          <w:i w:val="0"/>
        </w:rPr>
        <w:t>Các hiệp ước tuân theo OECD Model không quy định rõ phương thức hoặc hoàn cảnh trao đổi thông tin. Tuy nhiên, OECD Commentary giải thích chi tiết về</w:t>
      </w:r>
    </w:p>
    <w:p>
      <w:pPr>
        <w:spacing w:after="80"/>
      </w:pPr>
      <w:r>
        <w:rPr>
          <w:b w:val="0"/>
          <w:i w:val="0"/>
        </w:rPr>
        <w:t>98. Tại đoạn 112. 99. Ví dụ, Vương quốc Anh-Myanmar (Miến Điện), Điều 15; Vương quốc Anh-Nigeria, Điều 25.</w:t>
      </w:r>
    </w:p>
    <w:p>
      <w:pPr>
        <w:spacing w:after="80"/>
      </w:pPr>
      <w:r>
        <w:rPr>
          <w:b w:val="0"/>
          <w:i w:val="0"/>
        </w:rPr>
        <w:t>651</w:t>
      </w:r>
    </w:p>
    <w:p>
      <w:pPr>
        <w:spacing w:after="80"/>
      </w:pPr>
      <w:r>
        <w:rPr>
          <w:b w:val="0"/>
          <w:i w:val="0"/>
        </w:rPr>
        <w:t>ba hình thức trao đổi thông thường: theo yêu cầu, tự động và tự phát, có thể được bổ sung bằng các cơ chế khác như kiểm tra đồng thời, kiểm tra thuế ở nước ngoài và trao đổi thông tin trong toàn ngành.100 Trong trường hợp ba hình thức trao đổi thông tin tự động hiện đại, các thỏa thuận chi tiết của cơ quan có thẩm quyền dựa trên các mô hình do OECD phát triển quy định rõ phương thức trao đổi.101</w:t>
      </w:r>
    </w:p>
    <w:p>
      <w:pPr>
        <w:spacing w:after="80"/>
      </w:pPr>
      <w:r>
        <w:rPr>
          <w:b/>
          <w:i w:val="0"/>
        </w:rPr>
        <w:t>[A] Sử dụng thông tin đã trao đổi</w:t>
      </w:r>
    </w:p>
    <w:p>
      <w:pPr>
        <w:spacing w:after="80"/>
      </w:pPr>
      <w:r>
        <w:rPr>
          <w:b w:val="0"/>
          <w:i w:val="0"/>
        </w:rPr>
        <w:t xml:space="preserve">Trong </w:t>
      </w:r>
      <w:r>
        <w:rPr>
          <w:b w:val="0"/>
          <w:i/>
        </w:rPr>
        <w:t>Derrin Brother Properties Ltd</w:t>
      </w:r>
      <w:r>
        <w:rPr>
          <w:b w:val="0"/>
          <w:i w:val="0"/>
        </w:rPr>
        <w:t>, Tòa án cấp cao cũng nhận xét102 rằng mặc dù Điều 27(1) của Hiệp ước Australia-Vương quốc Anh giới hạn việc sử dụng thông tin của quốc gia yêu cầu vào các loại thuế mà hiệp ước áp dụng, thông tin thu được về một người không bị giới hạn sử dụng liên quan đến người đó. Do đó, việc yêu cầu thông tin nhầm lẫn giữa các bên nào là người nộp thuế và các bên nào là bên thứ ba mà thông tin được yêu cầu từ họ, sẽ không làm vô hiệu các thông báo yêu cầu thông tin đang được xem xét.</w:t>
      </w:r>
    </w:p>
    <w:p>
      <w:pPr>
        <w:spacing w:after="80"/>
      </w:pPr>
      <w:r>
        <w:rPr>
          <w:b w:val="0"/>
          <w:i w:val="0"/>
        </w:rPr>
        <w:t>Các hiệp ước ban đầu áp đặt một nghĩa vụ đơn giản và nghiêm ngặt về bảo mật và tiết lộ như được minh họa bởi Điều 25 của hiệp ước đánh thuế hai lần Nigeria-Vương quốc Anh:</w:t>
      </w:r>
    </w:p>
    <w:p>
      <w:pPr>
        <w:spacing w:after="80"/>
      </w:pPr>
      <w:r>
        <w:rPr>
          <w:b w:val="0"/>
          <w:i w:val="0"/>
        </w:rPr>
        <w:t>Mọi thông tin được trao đổi như vậy phải được coi là bí mật và không được tiết lộ cho bất kỳ người nào khác ngoài những người (bao gồm cả tòa án hoặc cơ quan hành chính) có liên quan đến việc đánh giá, thu, thực thi hoặc truy tố đối với các loại thuế là đối tượng của Hiệp định này. Không có thông tin nào được trao đổi mà sẽ tiết lộ bất kỳ bí mật thương mại, kinh doanh, công nghiệp hoặc nghề nghiệp nào hoặc quy trình thương mại.</w:t>
      </w:r>
    </w:p>
    <w:p>
      <w:pPr>
        <w:spacing w:after="80"/>
      </w:pPr>
      <w:r>
        <w:rPr>
          <w:b w:val="0"/>
          <w:i w:val="0"/>
        </w:rPr>
        <w:t>Gần đây hơn, các hiệp ước, tuân theo tiêu chuẩn OECD mới nhất, đã áp dụng cách tiếp cận dễ dãi hơn đối với quốc gia nhận. Nghị định thư năm 2009 của Hiệp ước Vương quốc Anh-Thụy Sĩ mô tả nghĩa vụ của quốc gia nhận như sau:</w:t>
      </w:r>
    </w:p>
    <w:p>
      <w:pPr>
        <w:spacing w:after="80"/>
      </w:pPr>
      <w:r>
        <w:rPr>
          <w:b w:val="0"/>
          <w:i w:val="0"/>
        </w:rPr>
        <w:t>25(2) Mọi thông tin mà một Quốc gia ký kết nhận được theo khoản 1 phải được đối xử như thông tin mật theo cùng cách thức như thông tin thu được theo luật trong nước của Quốc gia đó và chỉ được tiết lộ cho những người hoặc cơ quan có thẩm quyền (bao gồm tòa án và các cơ quan hành chính) có liên quan đến việc đánh giá hoặc thu thuế, việc thực thi hoặc truy tố liên quan đến việc xác định các kháng nghị liên quan đến các loại thuế được đề cập trong khoản 1, hoặc việc giám sát các hoạt động trên. Những người hoặc cơ quan có thẩm quyền đó chỉ được sử dụng thông tin cho những mục đích như vậy. Họ có thể tiết lộ thông tin trong các thủ tục tòa án công khai hoặc trong các quyết định tư pháp. Mặc dù đã nêu trên, thông tin mà một Quốc gia ký kết nhận được có thể được sử dụng cho các mục đích khác khi thông tin đó có thể được sử dụng cho những mục đích khác như vậy theo luật của cả hai Quốc gia và cơ quan có thẩm quyền của Quốc gia cung cấp cho phép sử dụng như vậy.</w:t>
      </w:r>
    </w:p>
    <w:p>
      <w:pPr>
        <w:spacing w:after="80"/>
      </w:pPr>
      <w:r>
        <w:rPr>
          <w:b w:val="0"/>
          <w:i w:val="0"/>
        </w:rPr>
        <w:t>100.Bình luận của OECD đối với điều 26 của Mô hình OECD, đoạn 9.1.101.Đối với trao đổi tự động thông tin tài khoản tài chính, xem §22.17 và §22.18; đối với trao đổi tự động Báo cáo theo từng Quốc gia, xem §22.24 và đối với trao đổi tự động các phán quyết, xem §22.23.102.</w:t>
      </w:r>
      <w:r>
        <w:rPr>
          <w:b w:val="0"/>
          <w:i/>
        </w:rPr>
        <w:t>R (theo đơn của Derrin Brother Properties Ltd) v Revenue and Customs Commissioners &amp; Ors</w:t>
      </w:r>
      <w:r>
        <w:rPr>
          <w:b w:val="0"/>
          <w:i w:val="0"/>
        </w:rPr>
        <w:t xml:space="preserve"> [2014] BTC 21 [2014] EWHC 1152 (Admin), [2014] STC 2238. Tại đoạn 6.</w:t>
      </w:r>
    </w:p>
    <w:p>
      <w:pPr>
        <w:spacing w:after="80"/>
      </w:pPr>
      <w:r>
        <w:rPr>
          <w:b w:val="0"/>
          <w:i w:val="0"/>
        </w:rPr>
        <w:t>652</w:t>
      </w:r>
    </w:p>
    <w:p>
      <w:pPr>
        <w:spacing w:after="80"/>
      </w:pPr>
      <w:r>
        <w:rPr>
          <w:b w:val="0"/>
          <w:i w:val="0"/>
        </w:rPr>
        <w:t>Theo các hiệp ước như vậy, quốc gia nhận không được yêu cầu làm gì hơn ngoài việc đối xử với thông tin theo cùng cách như thông tin thu được trong nước. Việc tiết lộ cũng được phép cho những người hoặc cơ quan có thẩm quyền liên quan đến việc giám sát hoạt động quản lý và các kháng nghị. Cả hai quy tắc đều cho phép quốc gia nhận có quyền tự quyết trong cách họ xử lý thông tin của người nộp thuế và không tìm cách áp đặt một tiêu chuẩn được quốc tế công nhận. Rõ ràng rằng một quốc gia cung cấp không thể cho phép sử dụng thông tin được cung cấp cho một mục đích khác với mục đích mà quốc gia đó được phép sử dụng thông tin đó. Việc sử dụng thông tin thu được từ các cơ quan thuế nước ngoài đã được thể hiện rõ trong các quyết định gần đây của các Ủy viên Đặc biệt và Tòa án Thuế.103</w:t>
      </w:r>
    </w:p>
    <w:p>
      <w:pPr>
        <w:spacing w:after="80"/>
      </w:pPr>
      <w:r>
        <w:rPr>
          <w:b w:val="0"/>
          <w:i w:val="0"/>
        </w:rPr>
        <w:t>Một giới hạn theo luật trong nước được áp đặt đối với các Ủy viên của HMRC và cho phép các quan chức Revenue and Customs không tiết lộ bất kỳ thông tin nào theo một hiệp ước trừ khi họ hài lòng rằng các cơ quan có thẩm quyền của lãnh thổ liên quan bị ràng buộc bởi, hoặc đã cam kết tuân thủ, các quy tắc bảo mật đối với thông tin không kém nghiêm ngặt hơn những quy tắc áp dụng cho thông tin đó ở Vương quốc Anh và song hành với các nghĩa vụ hiệp ước này.104 Cơ sở chính xác cho điều này trong các hiệp ước là không rõ ràng nhưng dường như là một giới hạn pháp lý thuộc loại được dự liệu bởi điều 26(2)(a) của Mô hình OECD.</w:t>
      </w:r>
    </w:p>
    <w:p>
      <w:pPr>
        <w:spacing w:after="80"/>
      </w:pPr>
      <w:r>
        <w:rPr>
          <w:b w:val="0"/>
          <w:i w:val="0"/>
        </w:rPr>
        <w:t>Hướng dẫn của HMRC nhấn mạnh rằng họ bị ràng buộc bởi các cam kết quốc tế này. Hướng dẫn cảnh báo rằng trước khi bất kỳ thông tin nào liên quan đến người nộp thuế được tiết lộ cho một bộ phận hoặc cơ quan khác, cần phải xác định và loại trừ thông tin đã được nhận từ một cơ quan thuế nước ngoài. Thông tin từ một cơ quan thuế nước ngoài không thể được HMRC sử dụng cho các mục đích khác, chẳng hạn như mức lương tối thiểu quốc gia hoặc các khoản tín dụng thuế.105</w:t>
      </w:r>
    </w:p>
    <w:p>
      <w:pPr>
        <w:spacing w:after="80"/>
      </w:pPr>
      <w:r>
        <w:rPr>
          <w:b w:val="0"/>
          <w:i w:val="0"/>
        </w:rPr>
        <w:t>Sẽ không bất công khi lưu ý rằng ở một số đối tác hiệp ước của Vương quốc Anh, việc tôn trọng pháp quyền của những người nắm quyền là yếu. Điều này có thể đi kèm với việc coi nhẹ các nghĩa vụ pháp lý quốc tế và do đó, các quyền pháp lý trong nước và quốc tế có thể mang tính lý thuyết nhiều hơn là thực tiễn. Nếu thông tin được sử dụng cho các phương tiện không chính đáng, đặc biệt là một cách bí mật, các biện pháp khắc phục pháp lý tại địa phương khó có thể có ích nhiều.</w:t>
      </w:r>
    </w:p>
    <w:p>
      <w:pPr>
        <w:spacing w:after="80"/>
      </w:pPr>
      <w:r>
        <w:rPr>
          <w:b/>
          <w:i w:val="0"/>
        </w:rPr>
        <w:t>[B]Các Điều khoản Hiệp ước Đánh thuế Hai lần Khác Liên quan đến Trao đổi Thông tin</w:t>
      </w:r>
    </w:p>
    <w:p>
      <w:pPr>
        <w:spacing w:after="80"/>
      </w:pPr>
      <w:r>
        <w:rPr>
          <w:b w:val="0"/>
          <w:i w:val="0"/>
        </w:rPr>
        <w:t>Một số thủ tục theo các hiệp ước đánh thuế hai lần song phương ngầm liên quan đến việc trao đổi thông tin. Các hiệp ước bao gồm điều 9(2) của Mô hình OECD liên quan đến việc điều chỉnh giá chuyển nhượng yêu cầu các cơ quan có thẩm quyền tham khảo ý kiến lẫn nhau, nếu cần thiết, trong việc xác định các điều chỉnh. Tương tự, việc viện đến thủ tục thỏa thuận chung trong điều 25(1) yêu cầu liên lạc với nhau. Tuy nhiên, dường như là</w:t>
      </w:r>
    </w:p>
    <w:p>
      <w:pPr>
        <w:spacing w:after="80"/>
      </w:pPr>
      <w:r>
        <w:rPr>
          <w:b w:val="0"/>
          <w:i w:val="0"/>
        </w:rPr>
        <w:t xml:space="preserve">103.Xem </w:t>
      </w:r>
      <w:r>
        <w:rPr>
          <w:b w:val="0"/>
          <w:i/>
        </w:rPr>
        <w:t>Shepherd v R &amp; C Commrs</w:t>
      </w:r>
      <w:r>
        <w:rPr>
          <w:b w:val="0"/>
          <w:i w:val="0"/>
        </w:rPr>
        <w:t xml:space="preserve"> (2005) Sp C 484, đoạn 30; </w:t>
      </w:r>
      <w:r>
        <w:rPr>
          <w:b w:val="0"/>
          <w:i/>
        </w:rPr>
        <w:t>R v Holden (HMIT)</w:t>
      </w:r>
      <w:r>
        <w:rPr>
          <w:b w:val="0"/>
          <w:i w:val="0"/>
        </w:rPr>
        <w:t xml:space="preserve"> (2004) Sp C 422, tại đoạn 85. Xem thêm </w:t>
      </w:r>
      <w:r>
        <w:rPr>
          <w:b w:val="0"/>
          <w:i/>
        </w:rPr>
        <w:t>Megantic Services Ltd v Revenue and Customs Commissioners</w:t>
      </w:r>
      <w:r>
        <w:rPr>
          <w:b w:val="0"/>
          <w:i w:val="0"/>
        </w:rPr>
        <w:t xml:space="preserve"> [2011] BVC1,513[2011]UKUTB2(TCC) liên quan đến việc sử dụng bằng chứng thu được ở nước ngoài theo Nghị định thư năm 2001 đối với Công ước về Tương trợ trong các Vấn đề Hình sự giữa các Quốc gia thành viên của Liên minh Châu Âu.104.FA 2006, s. 173(5).105.HMRC, Sổ tay Thuế Quốc tế, INTM156050.</w:t>
      </w:r>
    </w:p>
    <w:p>
      <w:pPr>
        <w:spacing w:after="80"/>
      </w:pPr>
      <w:r>
        <w:rPr>
          <w:b w:val="0"/>
          <w:i w:val="0"/>
        </w:rPr>
        <w:t>653</w:t>
      </w:r>
    </w:p>
    <w:p>
      <w:pPr>
        <w:spacing w:after="80"/>
      </w:pPr>
      <w:r>
        <w:rPr>
          <w:b w:val="0"/>
          <w:i w:val="0"/>
        </w:rPr>
        <w:t>trong những trường hợp này, thông tin về người nộp thuế cần được xử lý theo các yêu cầu trao đổi thông tin của các điều khoản hiệp ước liên quan đó.</w:t>
      </w:r>
    </w:p>
    <w:p>
      <w:pPr>
        <w:spacing w:after="80"/>
      </w:pPr>
      <w:r>
        <w:rPr>
          <w:b w:val="0"/>
          <w:i w:val="0"/>
        </w:rPr>
        <w:t>Điều 10(1) của Công ước Trọng tài cũng chứa các quy định về thông tin. Ngoài việc cho phép các doanh nghiệp bị ảnh hưởng gửi thông tin, công ước yêu cầu các cơ quan có thẩm quyền của các quốc gia ký kết thực hiện bất kỳ yêu cầu nào do Ủy ban Cố vấn đưa ra về thông tin, bằng chứng hoặc tài liệu. Thẩm quyền này phải chịu các giới hạn thường thấy trong các hiệp ước đánh thuế hai lần, cụ thể là các quốc gia không có bất kỳ nghĩa vụ nào:</w:t>
      </w:r>
    </w:p>
    <w:p>
      <w:pPr>
        <w:spacing w:after="80"/>
      </w:pPr>
      <w:r>
        <w:rPr>
          <w:b w:val="0"/>
          <w:i w:val="0"/>
        </w:rPr>
        <w:t>– thực hiện các biện pháp hành chính trái với luật trong nước hoặc thông lệ</w:t>
      </w:r>
    </w:p>
    <w:p>
      <w:pPr>
        <w:spacing w:after="80"/>
      </w:pPr>
      <w:r>
        <w:rPr>
          <w:b w:val="0"/>
          <w:i w:val="0"/>
        </w:rPr>
        <w:t>hành chính thông thường;– cung cấp thông tin không thể thu được theo luật trong nước hoặc thông lệ</w:t>
      </w:r>
    </w:p>
    <w:p>
      <w:pPr>
        <w:spacing w:after="80"/>
      </w:pPr>
      <w:r>
        <w:rPr>
          <w:b w:val="0"/>
          <w:i w:val="0"/>
        </w:rPr>
        <w:t>hành chính thông thường; hoặc– cung cấp thông tin có thể tiết lộ bất kỳ bí mật thương mại, kinh doanh, công nghiệp hoặc</w:t>
      </w:r>
    </w:p>
    <w:p>
      <w:pPr>
        <w:spacing w:after="80"/>
      </w:pPr>
      <w:r>
        <w:rPr>
          <w:b w:val="0"/>
          <w:i w:val="0"/>
        </w:rPr>
        <w:t>thông tin bí mật nghề nghiệp, hoặc thông tin của bên xử lý, mà việc tiết lộ thông tin đó sẽ trái với chính sách công.</w:t>
      </w:r>
    </w:p>
    <w:p>
      <w:pPr>
        <w:spacing w:after="80"/>
      </w:pPr>
      <w:r>
        <w:rPr>
          <w:b w:val="0"/>
          <w:i w:val="0"/>
        </w:rPr>
        <w:t>Một cuộc trao đổi công hàm ngày 15 tháng 12 năm 1996 liên quan đến Nghị định thư 1996 bổ sung cho hiệp ước giữa Vương quốc Anh với Đan Mạch có chứa một nghĩa vụ cụ thể khá bất thường về việc trao đổi thông tin liên quan đến việc áp dụng các quy định hạn chế quyền lợi (limitation of benefit) gắn với các khoản thanh toán cổ tức, tiền lãi và tiền bản quyền. Cuộc trao đổi công hàm yêu cầu cơ quan có thẩm quyền của mỗi quốc gia ký kết phải thông báo cho quốc gia kia khi các quy định hạn chế quyền lợi của hiệp ước, đã được sửa đổi bởi Nghị định thư, liên quan đến cổ tức, tiền lãi và tiền bản quyền được áp dụng để từ chối việc giảm thuế. Đây là một điều khoản có phần kỳ lạ. Lý do của nó thì chẳng rõ ràng chút nào. Nó dường như không áp đặt bất kỳ nghĩa vụ bổ sung cụ thể nào lên các quốc gia ký kết ngoài các quy định trao đổi thông tin hiện có trong cả hiệp ước lẫn Chỉ thị Hỗ trợ Tương trợ của EU.106 Cách diễn đạt tương tự cũng xuất hiện trong chính văn bản hiệp ước tại Điều 11(10) của Hiệp ước Singapore-Vương quốc Anh.</w:t>
      </w:r>
    </w:p>
    <w:p>
      <w:pPr>
        <w:spacing w:after="80"/>
      </w:pPr>
      <w:r>
        <w:rPr>
          <w:b/>
          <w:i w:val="0"/>
        </w:rPr>
        <w:t>§22.14 CÁC HIỆP ĐỊNH TRAO ĐỔI THÔNG TIN THUẾ</w:t>
      </w:r>
    </w:p>
    <w:p>
      <w:pPr>
        <w:spacing w:after="80"/>
      </w:pPr>
      <w:r>
        <w:rPr>
          <w:b w:val="0"/>
          <w:i w:val="0"/>
        </w:rPr>
        <w:t>Cho đến năm 2000, việc trao đổi thông tin với các đối tác hiệp ước nói chung chỉ có thể thực hiện trong khuôn khổ một hiệp ước đánh thuế hai lần. Tuy nhiên, như một phần trong việc Vương quốc Anh tham gia Chương trình của OECD chống lại các Thực hành Thuế có Hại, FA2000, s.146(1) đã dự liệu việc ký kết các hiệp định giữa Vương quốc Anh và chính phủ của bất kỳ vùng lãnh thổ nào đơn thuần nhằm mục đích trao đổi thông tin. Mục đích của các hiệp định như vậy không hẳn là để trao đổi thông tin mà là để thu thập thông tin từ các khu vực tài phán thiên đường thuế, nơi thường không đánh thuế, mặc dù luật pháp cũng dự liệu việc cung cấp thông tin cho các quốc gia ký kết khác như vậy. Thẩm quyền để thực thi các hiệp ước như vậy nay được dẫn chiếu theo quyền hạn chung để làm điều đó liên quan đến việc thực thi quốc tế tại FA 2006, s. 173.</w:t>
      </w:r>
    </w:p>
    <w:p>
      <w:pPr>
        <w:spacing w:after="80"/>
      </w:pPr>
      <w:r>
        <w:rPr>
          <w:b w:val="0"/>
          <w:i w:val="0"/>
        </w:rPr>
        <w:t>106. 77/799/EEC vào thời điểm Nghị định thư Đan Mạch-Vương quốc Anh (1996) được ký kết. Xem §22.21 dưới đây.</w:t>
      </w:r>
    </w:p>
    <w:p>
      <w:pPr>
        <w:spacing w:after="80"/>
      </w:pPr>
      <w:r>
        <w:rPr>
          <w:b w:val="0"/>
          <w:i w:val="0"/>
        </w:rPr>
        <w:t>654</w:t>
      </w:r>
    </w:p>
    <w:p>
      <w:pPr>
        <w:spacing w:after="80"/>
      </w:pPr>
      <w:r>
        <w:rPr>
          <w:b w:val="0"/>
          <w:i w:val="0"/>
        </w:rPr>
        <w:t>Hai mươi tư hiệp định trao đổi thông tin thuế đã được ký kết với các khu vực tài phán đánh thuế thấp hoặc bằng không và một hiệp định với Brazil. Mô hình107 có thể được minh họa bằng hiệp định với Bermuda, nơi không đánh bất kỳ loại thuế nào. Mặc dù được soạn thảo theo các điều khoản có đi có lại, rõ ràng ý định là yêu cầu Bermuda cung cấp thông tin cho Vương quốc Anh. Hiệp định quy định việc trao đổi thông tin liên quan đến tất cả các loại thuế hiện hành do các quốc gia ký kết áp đặt và các loại thuế tương tự trong tương lai.108 Thông tin chỉ có thể được trao đổi theo yêu cầu.109 Ở khía cạnh này, chúng khác với các điều khoản trao đổi thông tin trong các hiệp ước thuế thu nhập toàn diện, vốn dự liệu việc trao đổi tự nguyện, tự động và theo yêu cầu.110 Nếu thông tin mà cơ quan có thẩm quyền được yêu cầu nắm giữ không đủ để cho phép cơ quan đó tuân thủ yêu cầu, thì cơ quan đó phải sử dụng mọi biện pháp thu thập thông tin liên quan để cung cấp cho cơ quan có thẩm quyền yêu cầu những thông tin được yêu cầu, ngay cả khi cơ quan được yêu cầu không cần thông tin đó cho mục đích thuế của chính mình.111 Cả hai vùng lãnh thổ phải đảm bảo rằng các cơ quan có thẩm quyền tương ứng của mình có thẩm quyền thu thập và cung cấp thông tin do ngân hàng và người được ủy thác nắm giữ cũng như thông tin về quyền sở hữu các công ty, tùy theo các giới hạn112 và sự cần thiết của việc cơ quan yêu cầu phải chứng minh tính liên quan của thông tin được tìm kiếm.113 Các cuộc kiểm tra thuế để phỏng vấn cá nhân và xem xét hồ sơ với sự đồng ý bằng văn bản của những người liên quan có thể được HMRC tiến hành tại Bermuda.114</w:t>
      </w:r>
    </w:p>
    <w:p>
      <w:pPr>
        <w:spacing w:after="80"/>
      </w:pPr>
      <w:r>
        <w:rPr>
          <w:b w:val="0"/>
          <w:i w:val="0"/>
        </w:rPr>
        <w:t>Các điều khoản trao đổi thông tin trong các hiệp ước thuế thu nhập toàn diện không cho phép tiến hành các cuộc kiểm tra như vậy ở nước ngoài.</w:t>
      </w:r>
    </w:p>
    <w:p>
      <w:pPr>
        <w:spacing w:after="80"/>
      </w:pPr>
      <w:r>
        <w:rPr>
          <w:b w:val="0"/>
          <w:i w:val="0"/>
        </w:rPr>
        <w:t>Một số vùng lãnh thổ này cũng có thể là thành viên của các hiệp định theo Chỉ thị Tiết kiệm của EU.115</w:t>
      </w:r>
    </w:p>
    <w:p>
      <w:pPr>
        <w:spacing w:after="80"/>
      </w:pPr>
      <w:r>
        <w:rPr>
          <w:b/>
          <w:i w:val="0"/>
        </w:rPr>
        <w:t>§22.15 CÁC HIỆP ĐỊNH VỚI CÁC LÃNH THỔ PHỤ THUỘC VƯƠNG MIỆN VÀ CÁC LÃNH THỔ HẢI NGOẠI NHẰM CẢI THIỆN VIỆC TUÂN THỦ THUẾ QUỐC TẾ</w:t>
      </w:r>
    </w:p>
    <w:p>
      <w:pPr>
        <w:spacing w:after="80"/>
      </w:pPr>
      <w:r>
        <w:rPr>
          <w:b w:val="0"/>
          <w:i w:val="0"/>
        </w:rPr>
        <w:t>Các hiệp định riêng biệt đã được ký kết để thực thi việc trao đổi thông tin tự động về các tài khoản tài chính, theo mô hình của các hiệp định liên chính phủ của Hoa Kỳ.116 Giữa Vương quốc Anh với từng vùng Gibraltar, Guernsey, Đảo Man và</w:t>
      </w:r>
    </w:p>
    <w:p>
      <w:pPr>
        <w:spacing w:after="80"/>
      </w:pPr>
      <w:r>
        <w:rPr>
          <w:b w:val="0"/>
          <w:i w:val="0"/>
        </w:rPr>
        <w:t>107. Dựa trên Hiệp định Mẫu của OECD về Trao đổi Thông tin trong các Vấn đề Thuế (Model TIEA 2002). Một Nghị định thư Mẫu bổ sung cho Hiệp định (2015) mở rộng phạm vi của Model TIEA để bao gồm cả việc trao đổi thông tin tự động và tự nguyện.108. Thỏa thuận giữa Chính phủ Vương quốc Liên hiệp Anh và Bắc Ireland và Chính phủ Bermuda về Trao đổi Thông tin liên quan đến Thuế ngày 4 tháng 12 năm 2007 (SI 2008/1789), Điều 3.109. Thỏa thuận Trao đổi Thông tin Bermuda-Vương quốc Anh (2007), Điều 5(1). Việc trao đổi thông tin tự động theo Điều 4 của Thư Trao đổi ngày 19 và 27 tháng 6 năm 2017 giữa Vương quốc Anh và Bermuda, thay thế Thỏa thuận năm 2007 giữa hai Chính phủ về Trao đổi Thông tin liên quan đến Thuế, sẽ được áp dụng từ ngày 1 tháng 1 năm 2016. Điều này sẽ tạo điều kiện thuận lợi cho việc trao đổi thông tin tự động theo tiêu chuẩn báo cáo chung.110. Xem §22.13.111. Thỏa thuận Trao đổi Thông tin Bermuda-Vương quốc Anh (2007), Điều 5(2).112. Thỏa thuận Trao đổi Thông tin Bermuda-Vương quốc Anh (2007), Điều 5(4).113. Thỏa thuận Trao đổi Thông tin Bermuda-Vương quốc Anh (2007), Điều 5(7).114. Thỏa thuận Trao đổi Thông tin Bermuda-Vương quốc Anh (2007), Điều 6.115. Xem Chương 3, §3.12 và Chương 14, §14.01.116. Xem §22.28.</w:t>
      </w:r>
    </w:p>
    <w:p>
      <w:pPr>
        <w:spacing w:after="80"/>
      </w:pPr>
      <w:r>
        <w:rPr>
          <w:b w:val="0"/>
          <w:i w:val="0"/>
        </w:rPr>
        <w:t>655</w:t>
      </w:r>
    </w:p>
    <w:p>
      <w:pPr>
        <w:spacing w:after="80"/>
      </w:pPr>
      <w:r>
        <w:rPr>
          <w:b w:val="0"/>
          <w:i w:val="0"/>
        </w:rPr>
        <w:t>Jersey, các hiệp định này có đi có lại.117 Chúng được thực thi tại Vương quốc Anh bởi Quy định về Tuân thủ Thuế Quốc tế (Các Lãnh thổ Phụ thuộc Vương miện và Gibraltar) năm 2014.118</w:t>
      </w:r>
    </w:p>
    <w:p>
      <w:pPr>
        <w:spacing w:after="80"/>
      </w:pPr>
      <w:r>
        <w:rPr>
          <w:b w:val="0"/>
          <w:i w:val="0"/>
        </w:rPr>
        <w:t>Các hiệp định không có đi có lại với một số Lãnh thổ Hải ngoại nhất định, gồm Bermuda, Quần đảo Virgin thuộc Anh, Quần đảo Cayman, Montserrat và Quần đảo Turks và Caicos, cũng theo mô hình của các hiệp định liên chính phủ của Hoa Kỳ,119 yêu cầu các vùng lãnh thổ đó cung cấp thông tin về tài khoản tài chính cho HMRC, nhưng các tổ chức tài chính Vương quốc Anh sẽ không có bất kỳ nghĩa vụ báo cáo nào đối với các tài khoản Vương quốc Anh theo các hiệp định này. HMRC đã công bố việc chuyển sang áp dụng CRS cho việc trao đổi thông tin tự động liên quan đến các Lãnh thổ Phụ thuộc Vương miện và Lãnh thổ Hải ngoại. Các hiệp định liên chính phủ dựa trên những hiệp định này sẽ được thay thế bằng các hiệp định tạo điều kiện thuận lợi cho CRS từ năm 2018 trở đi.120</w:t>
      </w:r>
    </w:p>
    <w:p>
      <w:pPr>
        <w:spacing w:after="80"/>
      </w:pPr>
      <w:r>
        <w:rPr>
          <w:b/>
          <w:i w:val="0"/>
        </w:rPr>
        <w:t>§22.16 CÔNG ƯỚC VỀ TƯƠNG TRỢ HÀNH CHÍNH TRONG CÁC VẤN ĐỀ THUẾ</w:t>
      </w:r>
    </w:p>
    <w:p>
      <w:pPr>
        <w:spacing w:after="80"/>
      </w:pPr>
      <w:r>
        <w:rPr>
          <w:b w:val="0"/>
          <w:i w:val="0"/>
        </w:rPr>
        <w:t>Một trong những nỗ lực toàn diện nhất nhằm thúc đẩy hợp tác xuyên biên giới là Công ước đa phương về Tương trợ hành chính trong các vấn đề thuế (Joint Convention on Administrative Assistance in Tax Matters), được mở để ký kết cho các thành viên của Hội đồng Châu Âu (Council of Europe) và OECD vào ngày 25 tháng 1 năm 1988. Công ước này được phát triển bởi OECD và Hội đồng Châu Âu, và ban đầu chỉ dành cho sự tham gia của các thành viên của những tổ chức đó.121 Tư cách thành viên trong mỗi trường hợp đều yêu cầu các quốc gia phải trở thành thành viên của Công ước Châu Âu về Nhân quyền (European Convention on Human Rights) và tuân thủ các tiêu chuẩn tối thiểu về dân chủ và pháp quyền.122 Công ước đã được sửa đổi bởi Nghị định thư ngày 27 tháng 5 năm 2010 (gọi là 'Nghị định thư 2010'), để cho phép bất kỳ quốc gia nào yêu cầu được mời đều có thể ký và phê chuẩn Công ước đã được sửa đổi bởi Nghị định thư 2010.123 Mọi yêu cầu theo hướng này phải được gửi đến Tổng Thư ký của OECD hoặc Tổng Thư ký của Hội đồng Châu Âu. Mọi quyết định mời các quốc gia yêu cầu trở thành thành viên đều được đưa ra trên cơ sở đồng thuận giữa các thành viên hiện có. Hướng dẫn về quy trình trở thành thành viên chỉ ra rằng quyết định mời</w:t>
      </w:r>
    </w:p>
    <w:p>
      <w:pPr>
        <w:spacing w:after="80"/>
      </w:pPr>
      <w:r>
        <w:rPr>
          <w:b w:val="0"/>
          <w:i w:val="0"/>
        </w:rPr>
        <w:t>117. Hiệp định giữa Chính phủ Vương quốc Liên hiệp Anh và Bắc Ireland với Chính phủ Gibraltar về Cải thiện Tuân thủ Thuế Quốc tế ngày 21 tháng 11 năm 2013; Hiệp định giữa Chính phủ Vương quốc Liên hiệp Anh và Bắc Ireland với Bang Guernsey về Cải thiện Tuân thủ Thuế Quốc tế ngày 22 tháng 10 năm 2013; Hiệp định giữa Chính phủ Vương quốc Liên hiệp Anh và Bắc Ireland với Chính phủ Đảo Man về Cải thiện Tuân thủ Thuế Quốc tế ngày 10 tháng 10 năm 2013; và Hiệp định giữa Chính phủ Vương quốc Liên hiệp Anh và Bắc Ireland với Chính phủ Jersey về Cải thiện Tuân thủ Thuế Quốc tế ngày 22 tháng 10 năm 2013. 118. (Quy định về Tuân thủ Thuế Quốc tế (Các Lãnh thổ Phụ thuộc Vương miện và Gibraltar) năm 2014 (SI 2014/520)). 119. Xem §22.18. 120. Thông báo của HMRC ngày 13 tháng 6 năm 2016 https://www.gov.uk/guidance/automatic-exchange-of-information-alternative-reporting-regime-for-bermuda truy cập ngày 15 tháng 8 năm 2017. 121. Điều 28(1). 122. Xem https://www.coe.int/en/web/portal truy cập ngày 25 tháng 7 năm 2021. 123. Điều 28(5) được bổ sung bởi Nghị định thư 2010.</w:t>
      </w:r>
    </w:p>
    <w:p>
      <w:pPr>
        <w:spacing w:after="80"/>
      </w:pPr>
      <w:r>
        <w:rPr>
          <w:b w:val="0"/>
          <w:i w:val="0"/>
        </w:rPr>
        <w:t>656</w:t>
      </w:r>
    </w:p>
    <w:p>
      <w:pPr>
        <w:spacing w:after="80"/>
      </w:pPr>
      <w:r>
        <w:rPr>
          <w:b w:val="0"/>
          <w:i w:val="0"/>
        </w:rPr>
        <w:t xml:space="preserve">quốc gia yêu cầu trở thành thành viên sẽ xem xét, </w:t>
      </w:r>
      <w:r>
        <w:rPr>
          <w:b w:val="0"/>
          <w:i/>
        </w:rPr>
        <w:t>trong đó có</w:t>
      </w:r>
      <w:r>
        <w:rPr>
          <w:b w:val="0"/>
          <w:i w:val="0"/>
        </w:rPr>
        <w:t>, các quy tắc và thông lệ về bảo mật của quốc gia liên quan, và liệu quốc gia đó có phải là thành viên của Diễn đàn Toàn cầu về Minh bạch và Trao đổi Thông tin vì Mục đích Thuế (Global Forum on Transparency and Exchange of Information for Tax Purposes) hay không.124 Tính đến ngày 16 tháng 3 năm 2021, 141 vùng lãnh thổ đã ký Công ước, hoặc Công ước và Nghị định thư 2010 (hoặc trở thành đối tượng áp dụng của Công ước thông qua việc mở rộng).</w:t>
      </w:r>
    </w:p>
    <w:p>
      <w:pPr>
        <w:spacing w:after="80"/>
      </w:pPr>
      <w:r>
        <w:rPr>
          <w:b w:val="0"/>
          <w:i w:val="0"/>
        </w:rPr>
        <w:t>Công ước dự liệu sự hợp tác rộng khắp giữa các cơ quan quản lý thuế. Các hình thức hỗ trợ dành cho các quốc gia ký kết bao gồm trao đổi thông tin,125 tham gia vào các cuộc kiểm tra thuế nước ngoài,126 tống đạt tài liệu127</w:t>
      </w:r>
    </w:p>
    <w:p>
      <w:pPr>
        <w:spacing w:after="80"/>
      </w:pPr>
      <w:r>
        <w:rPr>
          <w:b w:val="0"/>
          <w:i w:val="0"/>
        </w:rPr>
        <w:t>và hỗ trợ thu hồi thuế.128 Các loại thuế có khả năng được bao gồm cũng được dự kiến là toàn diện, bao gồm thuế xe cơ giới, thuế di sản và các khoản đóng góp an sinh xã hội ngoài thuế thu nhập và vốn, và VAT.129 Việc áp dụng Công ước không đồng nhất cũng không đơn giản vì hai lý do. Thứ nhất, các quốc gia có thể tuyên bố bảo lưu (reservation) khi ký hoặc phê chuẩn Công ước, hoặc liên quan đến các loại thuế được bao gồm hoặc liên quan đến một số loại hỗ trợ nhất định mà họ sẽ không cung cấp.130 Tại Vương quốc Anh, công ước áp dụng hiệu quả cho tất cả các loại thuế ngoại trừ thuế hải quan, thuế do hoặc thay mặt các phân khu chính trị hoặc chính quyền địa phương của các quốc gia ký kết áp đặt và các khoản đóng góp an sinh xã hội.131 Trong trường hợp của Ireland, các loại thuế được bao gồm là thuế thu nhập (bao gồm khoản phí xã hội phổ quát), thuế doanh nghiệp, thuế lợi tức vốn, thuế thu nhận vốn, thuế tài sản địa phương, VAT, thuế tiêu thụ đặc biệt và thuế tem.132</w:t>
      </w:r>
    </w:p>
    <w:p>
      <w:pPr>
        <w:spacing w:after="80"/>
      </w:pPr>
      <w:r>
        <w:rPr>
          <w:b w:val="0"/>
          <w:i w:val="0"/>
        </w:rPr>
        <w:t>Thứ hai, một số quốc gia là thành viên của Công ước nhưng không phải là thành viên của Nghị định thư 2010. Những khác biệt giữa hai bên liên quan đến, ví dụ, tiêu chuẩn trao đổi thông tin và các giới hạn về hỗ trợ có nghĩa là các thành viên khác nhau sẽ phải chịu các nghĩa vụ khác nhau. Bản thân Công ước không giải quyết vấn đề áp dụng bất đối xứng của nó. Tuy nhiên, đoạn 14 của Bình luận Giải thích (Explanatory Commentary) về các quy định của Công ước nêu rõ:</w:t>
      </w:r>
    </w:p>
    <w:p>
      <w:pPr>
        <w:spacing w:after="80"/>
      </w:pPr>
      <w:r>
        <w:rPr>
          <w:b w:val="0"/>
          <w:i w:val="0"/>
        </w:rPr>
        <w:t>Hơn nữa, nguyên tắc pháp lý về có đi có lại (reciprocity) là một yếu tố cân bằng khác trong việc thực thi Công ước, vì một quốc gia không thể yêu cầu một hình thức hỗ trợ mà nước đó không sẵn sàng cấp cho các quốc gia khác. Cùng nguyên tắc có đi có lại cũng là một yếu tố trong sự phát triển của tương trợ lẫn nhau; bởi vì một quốc gia muốn thu được nhiều lợi ích hơn từ Công ước sẽ được khuyến khích cung cấp hỗ trợ rộng rãi hơn cho các quốc gia khác.</w:t>
      </w:r>
    </w:p>
    <w:p>
      <w:pPr>
        <w:spacing w:after="80"/>
      </w:pPr>
      <w:r>
        <w:rPr>
          <w:b w:val="0"/>
          <w:i w:val="0"/>
        </w:rPr>
        <w:t>124. www.oecd.org/ctp/exchange-of-tax-information/Process_to_Become_a_Party_to_the_Amended_Convention.pdf truy cập ngày 26 tháng 5 năm 2013. 125. Chương III, mục II. 126. Điều 9. 127. Chương III, mục III. 128. Chương III, mục II. 129. Điều 2. Xem Chương 5, §5.02. 130. Điều 30. Danh sách các bảo lưu và tuyên bố được duy trì bởi Hội đồng Châu Âu https://www.coe.int/en/web/conventions/full-list/-/conventions/treaty/127/declarations. 131. Tuyên bố contained trong một lá thư từ Đại sứ Vương quốc Anh gửi OECD, được lưu chiểu cùng văn kiện phê chuẩn ngày 24 tháng 1 năm 2008, và được Giám đốc Các vấn đề Pháp lý của OECD chuyển tiếp bằng một lá thư ngày 6 tháng 2 năm 2008, được Ban Thư ký Tổng đăng ký ngày 11 tháng 2 năm 2008. 132. Tuyên bố contained trong văn kiện phê chuẩn được lưu chiểu với Tổng Thư ký OECD ngày 29 tháng 5 năm 2013.</w:t>
      </w:r>
    </w:p>
    <w:p>
      <w:pPr>
        <w:spacing w:after="80"/>
      </w:pPr>
      <w:r>
        <w:rPr>
          <w:b w:val="0"/>
          <w:i w:val="0"/>
        </w:rPr>
        <w:t>657</w:t>
      </w:r>
    </w:p>
    <w:p>
      <w:pPr>
        <w:spacing w:after="80"/>
      </w:pPr>
      <w:r>
        <w:rPr>
          <w:b/>
          <w:i w:val="0"/>
        </w:rPr>
        <w:t>[A] Trao đổi Thông tin</w:t>
      </w:r>
    </w:p>
    <w:p>
      <w:pPr>
        <w:spacing w:after="80"/>
      </w:pPr>
      <w:r>
        <w:rPr>
          <w:b w:val="0"/>
          <w:i w:val="0"/>
        </w:rPr>
        <w:t>Nghị định thư 2010 nâng cấp việc trao đổi bất kỳ thông tin nào lên cùng tiêu chuẩn như được quy định tại Điều 26 của Mẫu OECD (OECD Model), để yêu cầu cung cấp thông tin có khả năng dự đoán được là có liên quan cho việc quản lý hoặc thực thi pháp luật trong nước liên quan đến các loại thuế được Công ước bao gồm.133 Tiêu chuẩn này được biết đến với tên gọi tiêu chuẩn quốc tế thay cho tiêu chuẩn OECD. Thẩm quyền cụ thể quy định việc trao đổi thông tin theo yêu cầu,134 trao đổi thông tin tự động như có thể được thỏa thuận giữa hai hoặc nhiều thành viên,135 và trao đổi thông tin tự nguyện trong các trường hợp được chỉ định.136</w:t>
      </w:r>
    </w:p>
    <w:p>
      <w:pPr>
        <w:spacing w:after="80"/>
      </w:pPr>
      <w:r>
        <w:rPr>
          <w:b w:val="0"/>
          <w:i w:val="0"/>
        </w:rPr>
        <w:t>Trao đổi tự động thông tin tài khoản tài chính được giải quyết bởi Thỏa thuận Cơ quan Có thẩm quyền Đa phương về Tiêu chuẩn Báo cáo Chung (Multilateral Competent Authority Agreement for the Common Reporting Standard - CRS MCAA).137 Trao đổi tự động Báo cáo Quốc gia theo Quốc gia (Country-by-Country Reports) cũng được xử lý tương tự bởi Thỏa thuận Cơ quan Có thẩm quyền Đa phương về Trao đổi Báo cáo CbC (Multilateral Competent Authority Agreement on the Exchange of CbC Reports - 'CbC MCAA').138 Cả hai đều được thực hiện trong khuôn khổ Điều 6.</w:t>
      </w:r>
    </w:p>
    <w:p>
      <w:pPr>
        <w:spacing w:after="80"/>
      </w:pPr>
      <w:r>
        <w:rPr>
          <w:b/>
          <w:i w:val="0"/>
        </w:rPr>
        <w:t>[B] Kiểm tra Thuế ở Nước ngoài</w:t>
      </w:r>
    </w:p>
    <w:p>
      <w:pPr>
        <w:spacing w:after="80"/>
      </w:pPr>
      <w:r>
        <w:rPr>
          <w:b w:val="0"/>
          <w:i w:val="0"/>
        </w:rPr>
        <w:t>Cơ quan có thẩm quyền của bất kỳ quốc gia nào có thể yêu cầu rằng đại diện của mình có mặt tại phần thích hợp của một cuộc kiểm tra thuế tại quốc gia được yêu cầu. Quốc gia được yêu cầu có thể quyết định thời gian và địa điểm của sự hiện diện liên quan và đưa ra mọi quyết định liên quan đến việc tiến hành cuộc kiểm tra thuế. Một thành viên có thể bất cứ lúc nào tuyên bố (hoặc rút lại tuyên bố) về ý định không chấp nhận các yêu cầu này, như một quy tắc chung.139</w:t>
      </w:r>
    </w:p>
    <w:p>
      <w:pPr>
        <w:spacing w:after="80"/>
      </w:pPr>
      <w:r>
        <w:rPr>
          <w:b/>
          <w:i w:val="0"/>
        </w:rPr>
        <w:t>[C] Thu hồi Các Khoản Nợ Thuế</w:t>
      </w:r>
    </w:p>
    <w:p>
      <w:pPr>
        <w:spacing w:after="80"/>
      </w:pPr>
      <w:r>
        <w:rPr>
          <w:b w:val="0"/>
          <w:i w:val="0"/>
        </w:rPr>
        <w:t>Theo yêu cầu, các quốc gia phải thực hiện các bước cần thiết để thu hồi các khiếu nại thuế của quốc gia yêu cầu như thể đó là khiếu nại thuế của chính mình,140 cũng như các biện pháp bảo toàn ngay cả khi khiếu nại đang bị tranh chấp hoặc chưa là đối tượng của một văn bản cho phép cưỡng chế thi hành.141 Thời hạn thu hồi là theo luật của quốc gia yêu cầu, nhưng trong mọi trường hợp, các yêu cầu chỉ có thể được thi hành nếu được gửi trong vòng chưa đầy mười lăm năm kể từ ngày của văn bản gốc cho phép cưỡng chế thi hành.142 Các khiếu nại thuế có thể thu hồi theo</w:t>
      </w:r>
    </w:p>
    <w:p>
      <w:pPr>
        <w:spacing w:after="80"/>
      </w:pPr>
      <w:r>
        <w:rPr>
          <w:b w:val="0"/>
          <w:i w:val="0"/>
        </w:rPr>
        <w:t>133. Công ước, điều 4. 134. Điều 5. 135. Điều 6. 136. Điều 7. 137. Xem §22.17. 138. Xem §22.19. 139. Điều 9. 140. Điều 11. 141. Điều 11. 142. Điều 14.</w:t>
      </w:r>
    </w:p>
    <w:p>
      <w:pPr>
        <w:spacing w:after="80"/>
      </w:pPr>
      <w:r>
        <w:rPr>
          <w:b w:val="0"/>
          <w:i w:val="0"/>
        </w:rPr>
        <w:t>658</w:t>
      </w:r>
    </w:p>
    <w:p>
      <w:pPr>
        <w:spacing w:after="80"/>
      </w:pPr>
      <w:r>
        <w:rPr>
          <w:b w:val="0"/>
          <w:i w:val="0"/>
        </w:rPr>
        <w:t>Công ước không có bất kỳ ưu tiên nào được dành riêng cho các khiếu nại thuế ở quốc gia được yêu cầu.143</w:t>
      </w:r>
    </w:p>
    <w:p>
      <w:pPr>
        <w:spacing w:after="80"/>
      </w:pPr>
      <w:r>
        <w:rPr>
          <w:b/>
          <w:i w:val="0"/>
        </w:rPr>
        <w:t>[D]Giới hạn của các nghĩa vụ hỗ trợ</w:t>
      </w:r>
    </w:p>
    <w:p>
      <w:pPr>
        <w:spacing w:after="80"/>
      </w:pPr>
      <w:r>
        <w:rPr>
          <w:b w:val="0"/>
          <w:i w:val="0"/>
        </w:rPr>
        <w:t>Nghị định thư 2010 tập hợp trong điều 21 các biện pháp bảo vệ chung và giới hạn đối với nghĩa vụ cung cấp hỗ trợ như sau:</w:t>
      </w:r>
    </w:p>
    <w:p>
      <w:pPr>
        <w:spacing w:after="80"/>
      </w:pPr>
      <w:r>
        <w:rPr>
          <w:b w:val="0"/>
          <w:i w:val="0"/>
        </w:rPr>
        <w:t>(1) Không có gì trong Công ước này ảnh hưởng đến các quyền và biện pháp bảo vệ được đảm bảo cho</w:t>
      </w:r>
    </w:p>
    <w:p>
      <w:pPr>
        <w:spacing w:after="80"/>
      </w:pPr>
      <w:r>
        <w:rPr>
          <w:b w:val="0"/>
          <w:i w:val="0"/>
        </w:rPr>
        <w:t>các cá nhân bởi luật pháp hoặc thực tiễn hành chính của Quốc gia được yêu cầu. (2) Ngoại trừ trường hợp [thời hạn thu hồi thuế], các quy định của</w:t>
      </w:r>
    </w:p>
    <w:p>
      <w:pPr>
        <w:spacing w:after="80"/>
      </w:pPr>
      <w:r>
        <w:rPr>
          <w:b w:val="0"/>
          <w:i w:val="0"/>
        </w:rPr>
        <w:t>Công ước này sẽ không được giải thích theo cách áp đặt lên Quốc gia được yêu cầu nghĩa vụ: (a) thực hiện các biện pháp trái với luật pháp hoặc thực tiễn hành chính của chính mình</w:t>
      </w:r>
    </w:p>
    <w:p>
      <w:pPr>
        <w:spacing w:after="80"/>
      </w:pPr>
      <w:r>
        <w:rPr>
          <w:b w:val="0"/>
          <w:i w:val="0"/>
        </w:rPr>
        <w:t>hoặc luật pháp hoặc thực tiễn hành chính của Quốc gia yêu cầu; (b) thực hiện các biện pháp trái với trật tự công cộng (ordre</w:t>
      </w:r>
    </w:p>
    <w:p>
      <w:pPr>
        <w:spacing w:after="80"/>
      </w:pPr>
      <w:r>
        <w:rPr>
          <w:b w:val="0"/>
          <w:i w:val="0"/>
        </w:rPr>
        <w:t>public); (c) cung cấp thông tin không thể có được theo luật pháp hoặc thực tiễn</w:t>
      </w:r>
    </w:p>
    <w:p>
      <w:pPr>
        <w:spacing w:after="80"/>
      </w:pPr>
      <w:r>
        <w:rPr>
          <w:b w:val="0"/>
          <w:i w:val="0"/>
        </w:rPr>
        <w:t>hành chính của chính mình hoặc theo luật pháp của Quốc gia yêu cầu hoặc thực tiễn hành chính của quốc gia đó; (d) cung cấp thông tin tiết lộ bất kỳ bí mật thương mại, kinh doanh,</w:t>
      </w:r>
    </w:p>
    <w:p>
      <w:pPr>
        <w:spacing w:after="80"/>
      </w:pPr>
      <w:r>
        <w:rPr>
          <w:b w:val="0"/>
          <w:i w:val="0"/>
        </w:rPr>
        <w:t>công nghiệp, thương mại hoặc nghề nghiệp nào, hoặc quy trình thương mại, hoặc thông tin mà việc tiết lộ sẽ trái với trật tự công cộng (ordre public); (e) cung cấp hỗ trợ hành chính nếu và trong phạm vi mà quốc gia đó cho rằng</w:t>
      </w:r>
    </w:p>
    <w:p>
      <w:pPr>
        <w:spacing w:after="80"/>
      </w:pPr>
      <w:r>
        <w:rPr>
          <w:b w:val="0"/>
          <w:i w:val="0"/>
        </w:rPr>
        <w:t>việc đánh thuế ở Quốc gia yêu cầu trái với các nguyên tắc đánh thuế được chấp nhận chung hoặc với các quy định của một công ước về tránh đánh thuế hai lần, hoặc của bất kỳ công ước nào khác mà Quốc gia được yêu cầu đã ký kết với Quốc gia yêu cầu; (f) cung cấp hỗ trợ hành chính cho mục đích quản lý hoặc</w:t>
      </w:r>
    </w:p>
    <w:p>
      <w:pPr>
        <w:spacing w:after="80"/>
      </w:pPr>
      <w:r>
        <w:rPr>
          <w:b w:val="0"/>
          <w:i w:val="0"/>
        </w:rPr>
        <w:t>thực thi một quy định của luật thuế của Quốc gia yêu cầu, hoặc bất kỳ yêu cầu nào liên quan đến đó, mà phân biệt đối xử với công dân của Quốc gia được yêu cầu so với công dân của Quốc gia yêu cầu trong cùng hoàn cảnh; (g) cung cấp hỗ trợ hành chính nếu Quốc gia yêu cầu chưa</w:t>
      </w:r>
    </w:p>
    <w:p>
      <w:pPr>
        <w:spacing w:after="80"/>
      </w:pPr>
      <w:r>
        <w:rPr>
          <w:b w:val="0"/>
          <w:i w:val="0"/>
        </w:rPr>
        <w:t>theo đuổi tất cả các biện pháp hợp lý có sẵn theo luật pháp hoặc thực tiễn hành chính của mình, trừ trường hợp việc sử dụng các biện pháp đó sẽ gây ra khó khăn không tương xứng; (h) cung cấp hỗ trợ trong việc thu hồi trong những trường hợp mà việc hành chính</w:t>
      </w:r>
    </w:p>
    <w:p>
      <w:pPr>
        <w:spacing w:after="80"/>
      </w:pPr>
      <w:r>
        <w:rPr>
          <w:b w:val="0"/>
          <w:i w:val="0"/>
        </w:rPr>
        <w:t>gánh nặng đó đối với Quốc gia đó rõ ràng là không tương xứng với lợi ích mà Quốc gia yêu cầu sẽ nhận được.144</w:t>
      </w:r>
    </w:p>
    <w:p>
      <w:pPr>
        <w:spacing w:after="80"/>
      </w:pPr>
      <w:r>
        <w:rPr>
          <w:b w:val="0"/>
          <w:i w:val="0"/>
        </w:rPr>
        <w:t>Thông tin nhận được phải được coi là bí mật và được bảo vệ ở quốc gia nhận theo cùng cách thức như thông tin thu được theo luật trong nước của quốc gia đó, và nếu nhận được dữ liệu cá nhân, thì phải được xử lý tuân thủ cả luật trong nước của quốc gia nhận và quốc gia cung cấp.145</w:t>
      </w:r>
    </w:p>
    <w:p>
      <w:pPr>
        <w:spacing w:after="80"/>
      </w:pPr>
      <w:r>
        <w:rPr>
          <w:b w:val="0"/>
          <w:i w:val="0"/>
        </w:rPr>
        <w:t>143.Xem thêm §22.30 về các biện pháp song phương để hỗ trợ thu hồi thuế.144.Điều 21.145.Điều 22.</w:t>
      </w:r>
    </w:p>
    <w:p>
      <w:pPr>
        <w:spacing w:after="80"/>
      </w:pPr>
      <w:r>
        <w:rPr>
          <w:b w:val="0"/>
          <w:i w:val="0"/>
        </w:rPr>
        <w:t>659</w:t>
      </w:r>
    </w:p>
    <w:p>
      <w:pPr>
        <w:spacing w:after="80"/>
      </w:pPr>
      <w:r>
        <w:rPr>
          <w:b/>
          <w:i w:val="0"/>
        </w:rPr>
        <w:t>[E]Không hồi tố</w:t>
      </w:r>
    </w:p>
    <w:p>
      <w:pPr>
        <w:spacing w:after="80"/>
      </w:pPr>
      <w:r>
        <w:rPr>
          <w:b w:val="0"/>
          <w:i w:val="0"/>
        </w:rPr>
        <w:t>Công ước, được sửa đổi bởi Nghị định thư 2010, có hiệu lực đối với hỗ trợ hành chính liên quan đến các kỳ tính thuế bắt đầu từ hoặc sau ngày 1 tháng 1 của năm tiếp theo năm mà Công ước, như đã được sửa đổi, có hiệu lực đối với một bên. Khi không có kỳ tính thuế, Công ước có hiệu lực đối với hỗ trợ liên quan đến các khoản thuế phát sinh từ hoặc sau ngày 1 tháng 1 của năm tiếp theo năm có hiệu lực. Tuy nhiên, bất kỳ hai hoặc nhiều bên nào cũng có thể thỏa thuận lẫn nhau rằng Công ước có hiệu lực đối với các kỳ trước đó.146</w:t>
      </w:r>
    </w:p>
    <w:p>
      <w:pPr>
        <w:spacing w:after="80"/>
      </w:pPr>
      <w:r>
        <w:rPr>
          <w:b/>
          <w:i w:val="0"/>
        </w:rPr>
        <w:t>§22.17THỎA THUẬN ĐA PHƯƠNG GIỮA CÁC CƠ QUAN CÓ THẨM QUYỀN VỀ TRAO ĐỔI TỰ ĐỘNG THÔNG TIN TÀI KHOẢN TÀI CHÍNH</w:t>
      </w:r>
    </w:p>
    <w:p>
      <w:pPr>
        <w:spacing w:after="80"/>
      </w:pPr>
      <w:r>
        <w:rPr>
          <w:b w:val="0"/>
          <w:i w:val="0"/>
        </w:rPr>
        <w:t>Điều 6 của Công ước Hỗ trợ Tương trợ cho phép trao đổi thông tin tự động theo thỏa thuận giữa hai hoặc nhiều bên của Công ước. Điều 24(1) cho phép các cơ quan có thẩm quyền của hai hoặc nhiều bên thỏa thuận lẫn nhau về cách thức áp dụng Công ước giữa họ với nhau. Trên cơ sở thẩm quyền này, một MCAA, quy định việc trao đổi thông tin song phương tự động thông qua CRS, đã được ký kết. Tính đến ngày 10 tháng 12 năm 2020, các cơ quan có thẩm quyền của 110 khu vực tài phán, bao gồm Ireland và Vương quốc Anh, đã trở thành các bên tham gia. Thỏa thuận giữa các cơ quan có thẩm quyền phản ánh đầy đủ CRS đa phương của OECD.147</w:t>
      </w:r>
    </w:p>
    <w:p>
      <w:pPr>
        <w:spacing w:after="80"/>
      </w:pPr>
      <w:r>
        <w:rPr>
          <w:b/>
          <w:i w:val="0"/>
        </w:rPr>
        <w:t>§22.18CRS CỦA OECD</w:t>
      </w:r>
    </w:p>
    <w:p>
      <w:pPr>
        <w:spacing w:after="80"/>
      </w:pPr>
      <w:r>
        <w:rPr>
          <w:b w:val="0"/>
          <w:i w:val="0"/>
        </w:rPr>
        <w:t>Vào ngày 15 tháng 7 năm 2014, Hội đồng OECD đã phê duyệt việc thông qua CRS để yêu cầu các tổ chức tài chính xác định và báo cáo tài khoản của chủ tài khoản hoặc người kiểm soát chủ tài khoản cư trú tại các quốc gia tham gia cho cơ quan thuế ở quốc gia của tổ chức đó để chuyển tiếp đến cơ quan thuế ở quốc gia cư trú của chủ tài khoản hoặc người kiểm soát.148 CRS dựa nhiều vào chế độ FATCA của Hoa Kỳ và đặc biệt là cách tiếp cận liên chính phủ để thực hiện FATCA.149</w:t>
      </w:r>
    </w:p>
    <w:p>
      <w:pPr>
        <w:spacing w:after="80"/>
      </w:pPr>
      <w:r>
        <w:rPr>
          <w:b w:val="0"/>
          <w:i w:val="0"/>
        </w:rPr>
        <w:t>Các vấn đề cụ thể của Hoa Kỳ, đặc biệt là đánh thuế trên cơ sở quốc tịch và thuế khấu trừ theo FATCA, phân biệt các thỏa thuận liên chính phủ để hợp tác với Hoa Kỳ theo FATCA với CRS. Các thỏa thuận liên chính phủ với Hoa Kỳ về FATCA hoàn toàn là song phương, trong khi OECD dự tính một cách tiếp cận đa phương đối với</w:t>
      </w:r>
    </w:p>
    <w:p>
      <w:pPr>
        <w:spacing w:after="80"/>
      </w:pPr>
      <w:r>
        <w:rPr>
          <w:b w:val="0"/>
          <w:i w:val="0"/>
        </w:rPr>
        <w:t>146.Điều 28(6). Công ước đã được ký thay mặt Vương quốc Anh vào ngày 24 tháng 5 năm 2007 và được đưa vào hiệu lực tại Vương quốc Anh bởi Lệnh Hỗ trợ Hành chính Tương trợ Quốc tế về Thuế năm 2007 (SI 2007/2126). Nghị định thư 2012 đã được ký thay mặt Vương quốc Anh vào ngày 24 tháng 1 năm 2008 và được đưa vào hiệu lực tại Vương quốc Anh bởi Lệnh Hỗ trợ Tương trợ Quốc tế về Thuế năm 2011 (SI 2011/1079). Cả hai đều được ban hành theo thẩm quyền của FA 2006, s. 173. Thủ tục của Vương quốc Anh được quy định trong HMRC, Sổ tay Quản lý Nợ và Ngân hàng, DMBM560200.147.Xem §22.28.148.OECD(2014), Tiêu chuẩn Trao đổi Tự động Thông tin Tài khoản Tài chính trong các Vấn đề Thuế, OECD Publishing (Tiêu chuẩn OECD).149.Tiêu chuẩn OECD, Phần IIA (MCAA). Xem Phụ lục A cho một mô hình đa phương.</w:t>
      </w:r>
    </w:p>
    <w:p>
      <w:pPr>
        <w:spacing w:after="80"/>
      </w:pPr>
      <w:r>
        <w:rPr>
          <w:b w:val="0"/>
          <w:i w:val="0"/>
        </w:rPr>
        <w:t>660</w:t>
      </w:r>
    </w:p>
    <w:p>
      <w:pPr>
        <w:spacing w:after="80"/>
      </w:pPr>
      <w:r>
        <w:rPr>
          <w:b w:val="0"/>
          <w:i w:val="0"/>
        </w:rPr>
        <w:t>CRS. Nội dung của cách tiếp cận mới của OECD đối với trao đổi tự động thông tin tài khoản tài chính được tạo thành từ văn bản của một Thỏa thuận Mẫu giữa các Cơ quan có Thẩm quyền150 và một tiêu chuẩn chung về báo cáo và thẩm định (due diligence) đối với thông tin tài khoản tài chính,151 cùng với các bình luận phong phú về từng nội dung.152 Cùng nhau, chúng tạo thành CRS. OECD đặt mục tiêu thiết lập một chế độ toàn diện bao gồm CRS, một cơ sở pháp lý và vận hành cho việc trao đổi thông tin, và các giải pháp kỹ thuật chung hoặc tương thích.</w:t>
      </w:r>
    </w:p>
    <w:p>
      <w:pPr>
        <w:spacing w:after="80"/>
      </w:pPr>
      <w:r>
        <w:rPr>
          <w:b w:val="0"/>
          <w:i w:val="0"/>
        </w:rPr>
        <w:t>Công ước Đa phương của OECD về Hỗ trợ Hành chính Tương trợ trong các Vấn đề Thuế là công cụ chính để cung cấp cơ sở pháp lý quốc tế cho chế độ này,153</w:t>
      </w:r>
    </w:p>
    <w:p>
      <w:pPr>
        <w:spacing w:after="80"/>
      </w:pPr>
      <w:r>
        <w:rPr>
          <w:b w:val="0"/>
          <w:i w:val="0"/>
        </w:rPr>
        <w:t>cùng với nhiều hiệp ước song phương154 hoặc các thỏa thuận giữa các cơ quan có thẩm quyền được lập theo Điều 26 của Mẫu OECD trong các hiệp ước thuế song phương.155</w:t>
      </w:r>
    </w:p>
    <w:p>
      <w:pPr>
        <w:spacing w:after="80"/>
      </w:pPr>
      <w:r>
        <w:rPr>
          <w:b w:val="0"/>
          <w:i w:val="0"/>
        </w:rPr>
        <w:t>Thông tin tài chính cần phải báo cáo bao gồm nhiều loại thu nhập đầu tư khác nhau như lãi và cổ tức, cũng như số dư tài khoản.156 Chủ tài khoản thuộc diện phải báo cáo bao gồm cá nhân, công ty, quỹ tín thác (trust) hoặc các thỏa thuận tương tự.157 Tổ chức tài chính phải báo cáo là ngân hàng và các tổ chức tài chính khác như công ty môi giới, một số phương tiện đầu tư tập thể nhất định và một số công ty bảo hiểm nhất định.158 Các thực hành thẩm định chi tiết đối với tổ chức tài chính được quy định cụ thể.159</w:t>
      </w:r>
    </w:p>
    <w:p>
      <w:pPr>
        <w:spacing w:after="80"/>
      </w:pPr>
      <w:r>
        <w:rPr>
          <w:b w:val="0"/>
          <w:i w:val="0"/>
        </w:rPr>
        <w:t>Thỏa thuận mẫu giữa các cơ quan có thẩm quyền dự liệu việc cung cấp thông tin cần thiết một cách tự động theo định dạng điện tử được chỉ định trong vòng chín tháng kể từ mỗi năm dương lịch.160</w:t>
      </w:r>
    </w:p>
    <w:p>
      <w:pPr>
        <w:spacing w:after="80"/>
      </w:pPr>
      <w:r>
        <w:rPr>
          <w:b/>
          <w:i w:val="0"/>
        </w:rPr>
        <w:t>§22.19 THỎA THUẬN ĐA PHƯƠNG GIỮA CÁC CƠ QUAN CÓ THẨM QUYỀN VỀ VIỆC TRAO ĐỔI BÁO CÁO THEO QUỐC GIA</w:t>
      </w:r>
    </w:p>
    <w:p>
      <w:pPr>
        <w:spacing w:after="80"/>
      </w:pPr>
      <w:r>
        <w:rPr>
          <w:b w:val="0"/>
          <w:i w:val="0"/>
        </w:rPr>
        <w:t>Thỏa thuận đa phương giữa các cơ quan có thẩm quyền về việc trao đổi báo cáo theo quốc gia (gọi tắt là 'CbC MCAA')161 được lập theo Điều 6 của Công ước về tương trợ nhằm thực thi các đề xuất trong Báo cáo cuối cùng về Hành động 13 của BEPS liên quan đến tài liệu về giá chuyển nhượng và báo cáo theo quốc gia (CbCR).162 Chức năng trung tâm của CbC MCAA là yêu cầu trao đổi tự động các báo cáo theo quốc gia163 không muộn hơn mười lăm</w:t>
      </w:r>
    </w:p>
    <w:p>
      <w:pPr>
        <w:spacing w:after="80"/>
      </w:pPr>
      <w:r>
        <w:rPr>
          <w:b w:val="0"/>
          <w:i w:val="0"/>
        </w:rPr>
        <w:t xml:space="preserve">150. Xem §22.17. 151. Tiêu chuẩn OECD, Phần IIB. 152. Tiêu chuẩn OECD, Phần III. 153. Xem §22.23. 154. Xem §22.16. 155. Xem §22.13. 156. Tiêu chuẩn OECD, Phần IIA, Mục I. 157. Tiêu chuẩn OECD, Phần IIA, Mục VIII D. 158. Tiêu chuẩn OECD, Phần IIA, Mục VIII D. 159. Tiêu chuẩn OECD, Phần IIA, Mục II đến VII. 160. MCAA, mục 3. 161. </w:t>
      </w:r>
      <w:r>
        <w:rPr>
          <w:b w:val="0"/>
          <w:i/>
        </w:rPr>
        <w:t>Thỏa thuận đa phương giữa các cơ quan có thẩm quyền về việc trao đổi báo cáo theo quốc gia</w:t>
      </w:r>
      <w:r>
        <w:rPr>
          <w:b w:val="0"/>
          <w:i w:val="0"/>
        </w:rPr>
        <w:t xml:space="preserve"> http://www.oecd.org/tax/automatic-exchange/about-automatic-exchange/cbc-mcaa.pdf. 162. OECD (2015), Tài liệu về giá chuyển nhượng và báo cáo theo quốc gia, Hành động 13 – Báo cáo cuối cùng 2015, Dự án chống xói mòn cơ sở thuế và chuyển dịch lợi nhuận của OECD/G20 http://dx.doi.org/10.1787/9789264241480-en, tr. 45. 163. CbC MCAA, mục 2(1).</w:t>
      </w:r>
    </w:p>
    <w:p>
      <w:pPr>
        <w:spacing w:after="80"/>
      </w:pPr>
      <w:r>
        <w:rPr>
          <w:b w:val="0"/>
          <w:i w:val="0"/>
        </w:rPr>
        <w:t>661</w:t>
      </w:r>
    </w:p>
    <w:p>
      <w:pPr>
        <w:spacing w:after="80"/>
      </w:pPr>
      <w:r>
        <w:rPr>
          <w:b w:val="0"/>
          <w:i w:val="0"/>
        </w:rPr>
        <w:t>tháng sau ngày cuối cùng của năm tài chính của Tập đoàn đa quốc gia (MNE Group) mà báo cáo liên quan.164 Đây là một trong những tiêu chuẩn tối thiểu của OECD BEPS và sẽ phải chịu sự đánh giá đồng cấp (peer review).165 Các phương thức truyền tải và mã hóa được chuẩn hóa sẽ được sử dụng.166 Ngoài ra, các cơ quan có thẩm quyền được yêu cầu thông báo cho nhau khi họ có lý do để tin rằng một thực thể báo cáo là đối tượng cư trú thuế tại một khu vực tài phán khác đã mắc lỗi có thể dẫn đến việc báo cáo thông tin không chính xác hoặc không đầy đủ, hoặc rằng một thực thể báo cáo đã không nộp báo cáo CbC. Tính đến ngày 12 tháng 3 năm 2021, tám mươi chín cơ quan thuế là thành viên của CbC MCAA.167 Hoa Kỳ không phải là thành viên của CbC MCAA nhưng Vương quốc Anh đã ký kết một thỏa thuận song phương với Hoa Kỳ về vấn đề này theo Điều 27 của hiệp định thuế song phương Anh-Mỹ (2001).168</w:t>
      </w:r>
    </w:p>
    <w:p>
      <w:pPr>
        <w:spacing w:after="80"/>
      </w:pPr>
      <w:r>
        <w:rPr>
          <w:b/>
          <w:i w:val="0"/>
        </w:rPr>
        <w:t>§22.20 TRAO ĐỔI THÔNG TIN TỰ NGUYỆN BẮT BUỘC VỀ CÁC QUYẾT ĐỊNH THUẾ</w:t>
      </w:r>
    </w:p>
    <w:p>
      <w:pPr>
        <w:spacing w:after="80"/>
      </w:pPr>
      <w:r>
        <w:rPr>
          <w:b w:val="0"/>
          <w:i w:val="0"/>
        </w:rPr>
        <w:t>Báo cáo cuối cùng về Hành động 5 của BEPS liên quan đến các thực hành thuế có hại169 kêu gọi trao đổi thông tin tự nguyện bắt buộc đối với các quyết định thuế.170 Mục đích của việc trao đổi này là phơi bày và ngăn cản việc áp dụng các chế độ thuế ưu đãi mang tính hành chính.171 Chương 5 của Báo cáo cuối cùng đặt ra 'khuôn khổ OECD đã được thống nhất cho việc trao đổi thông tin tự nguyện bắt buộc đối với các quyết định thuế'. Sáu loại quyết định thuế dành riêng cho từng đối tượng nộp thuế sau đây được xác định có thể gây ra những lo ngại về BEPS liên quan đến việc đối xử thuế ưu đãi:</w:t>
      </w:r>
    </w:p>
    <w:p>
      <w:pPr>
        <w:spacing w:after="80"/>
      </w:pPr>
      <w:r>
        <w:rPr>
          <w:b w:val="0"/>
          <w:i w:val="0"/>
        </w:rPr>
        <w:t>(1) các quyết định liên quan đến các chế độ ưu đãi; (2) các thỏa thuận định giá trước đơn phương hoặc các quyết định về giá chuyển nhượng đơn phương xuyên biên giới khác</w:t>
      </w:r>
    </w:p>
    <w:p>
      <w:pPr>
        <w:spacing w:after="80"/>
      </w:pPr>
      <w:r>
        <w:rPr>
          <w:b w:val="0"/>
          <w:i w:val="0"/>
        </w:rPr>
        <w:t>(3) các quyết định xuyên biên giới quy định việc điều chỉnh giảm lợi nhuận chịu thuế</w:t>
      </w:r>
    </w:p>
    <w:p>
      <w:pPr>
        <w:spacing w:after="80"/>
      </w:pPr>
      <w:r>
        <w:rPr>
          <w:b w:val="0"/>
          <w:i w:val="0"/>
        </w:rPr>
        <w:t>(4) các quyết định về cơ sở thường trú; (5) các quyết định về trung gian chuyển tiếp của các bên liên kết; và (6) bất kỳ loại quyết định nào khác được Diễn đàn OECD về các thực hành thuế có hại đồng ý</w:t>
      </w:r>
    </w:p>
    <w:p>
      <w:pPr>
        <w:spacing w:after="80"/>
      </w:pPr>
      <w:r>
        <w:rPr>
          <w:b w:val="0"/>
          <w:i w:val="0"/>
        </w:rPr>
        <w:t>rằng nếu không có trao đổi thông tin tự nguyện thì sẽ gây ra</w:t>
      </w:r>
    </w:p>
    <w:p>
      <w:pPr>
        <w:spacing w:after="80"/>
      </w:pPr>
      <w:r>
        <w:rPr>
          <w:b w:val="0"/>
          <w:i w:val="0"/>
        </w:rPr>
        <w:t>164. CbC MCAA, mục 3(2). 165. OECD (2017), Hành động 13 của BEPS về báo cáo theo quốc gia – Tài liệu đánh giá đồng cấp, Dự án chống xói mòn cơ sở thuế và chuyển dịch lợi nhuận của OECD/G20, OECD, Paris. 166. OECD (2016), Lược đồ XML báo cáo theo quốc gia: Hướng dẫn sử dụng cho cơ quan thuế và người nộp thuế, OECD www.oecd.org/tax/country-by-country-reporting-xml-schema-user-guide-for-tax-administrations-and-taxpayers.pdf. 167. CbC MCAA, mục 4. 168. Thỏa thuận giữa Cơ quan có thẩm quyền của Hợp chủng quốc Hoa Kỳ và Cơ quan có thẩm quyền của Vương quốc Liên hiệp Anh và Bắc Ireland về việc trao đổi báo cáo theo quốc gia ngày 16 tháng 8 năm 2017. 169. OECD (2015), Chống lại các thực hành thuế có hại hiệu quả hơn, có tính đến tính minh bạch và thực chất, Hành động 5 – Báo cáo cuối cùng 2015, Dự án chống xói mòn cơ sở thuế và chuyển dịch lợi nhuận của OECD/G20 ('Báo cáo cuối cùng về Hành động 5 của BEPS'). 170. Báo cáo cuối cùng về Hành động 5 của BEPS, đoạn 89. 171. Báo cáo cuối cùng về Hành động 5 của BEPS, đoạn 90.</w:t>
      </w:r>
    </w:p>
    <w:p>
      <w:pPr>
        <w:spacing w:after="80"/>
      </w:pPr>
      <w:r>
        <w:rPr>
          <w:b w:val="0"/>
          <w:i w:val="0"/>
        </w:rPr>
        <w:t>662</w:t>
      </w:r>
    </w:p>
    <w:p>
      <w:pPr>
        <w:spacing w:after="80"/>
      </w:pPr>
      <w:r>
        <w:rPr>
          <w:b w:val="0"/>
          <w:i w:val="0"/>
        </w:rPr>
        <w:t>những lo ngại về BEPS.172 Hướng dẫn được cung cấp để cho phép trao đổi theo định dạng điện tử được chuẩn hóa.173</w:t>
      </w:r>
    </w:p>
    <w:p>
      <w:pPr>
        <w:spacing w:after="80"/>
      </w:pPr>
      <w:r>
        <w:rPr>
          <w:b w:val="0"/>
          <w:i w:val="0"/>
        </w:rPr>
        <w:t>Không giống như CRS và việc trao đổi Báo cáo theo từng quốc gia, việc trao đổi bắt buộc này không được thể hiện trong một thỏa thuận giữa các cơ quan có thẩm quyền được ủy quyền bởi hiệp ước. Khuôn khổ này được trình bày trong Chương 5 của Báo cáo cuối cùng về Hành động 5 của BEPS. Thay vào đó, OECD hướng tới việc giám sát việc tuân thủ thông qua một quy trình đánh giá đồng cấp.174</w:t>
      </w:r>
    </w:p>
    <w:p>
      <w:pPr>
        <w:spacing w:after="80"/>
      </w:pPr>
      <w:r>
        <w:rPr>
          <w:b/>
          <w:i w:val="0"/>
        </w:rPr>
        <w:t>§22.21 CHỈ THỊ HỖ TRỢ TƯƠNG TRỢ EU</w:t>
      </w:r>
    </w:p>
    <w:p>
      <w:pPr>
        <w:spacing w:after="80"/>
      </w:pPr>
      <w:r>
        <w:rPr>
          <w:b w:val="0"/>
          <w:i w:val="0"/>
        </w:rPr>
        <w:t>Các hiệp ước song phương giữa các Quốc gia Thành viên EU luôn quy định việc trao đổi thông tin. Ngoài ra, chủ đề trao đổi thông tin cũng được xử lý bởi luật Liên minh. Chỉ thị Trao đổi Thông tin đầu tiên vào năm 1976 không đề cập đến thuế trực thu. Nó chỉ bao gồm thuế hải quan, thuế nông nghiệp và một số khiếu nại theo chính sách nông nghiệp chung, với VAT được thêm vào năm 1979. Nó cũng khác với các Chỉ thị khác ở chỗ nó quy định hỗ trợ tương trợ để thu hồi các khiếu nại liên quan đến một số loại thuế gián thu nhất định. Chỉ thị đó đã được thay thế bằng Chỉ thị Hội đồng 77/799/EEC rộng hơn, bao gồm hỗ trợ tương trợ của các cơ quan có thẩm quyền trong lĩnh vực thuế trực thu và VAT. Nó cũng đã được thay thế bằng Chỉ thị Hội đồng 2011/16/EU ngày 15 tháng 2 năm 2011 về hợp tác hành chính trong lĩnh vực thuế và bãi bỏ Chỉ thị 77/799/EEC175 có hiệu lực từ ngày 18 tháng 1 năm 2012 (DAC 1).</w:t>
      </w:r>
    </w:p>
    <w:p>
      <w:pPr>
        <w:spacing w:after="80"/>
      </w:pPr>
      <w:r>
        <w:rPr>
          <w:b w:val="0"/>
          <w:i w:val="0"/>
        </w:rPr>
        <w:t>Chỉ thị này chi tiết hơn đáng kể so với các quy định của Điều 26 của Mô hình OECD, đồng thời phản ánh các tiêu chuẩn của OECD. Nó cũng thể hiện những cải tiến xuất phát từ một nghiên cứu của Ủy ban về hiệu quả của chỉ thị trước đó.176 Ví dụ, các yêu cầu cung cấp thông tin bị giới hạn trong các trường hợp đánh giá cụ thể,177 và việc trao đổi thông tin tự động và sự hiện diện xuyên biên giới của các quan chức thuế178 đòi hỏi phải có thỏa thuận giữa các Quốc gia Thành viên liên quan. Các Quốc gia Thành viên có thể từ chối cung cấp thông tin trên cơ sở luật trong nước.179 Tất cả các loại thuế dưới bất kỳ hình thức nào được áp đặt bởi, hoặc thay mặt cho, một Quốc gia Thành viên hoặc các phân khu lãnh thổ hoặc hành chính của Quốc gia Thành viên đó, bao gồm cả chính quyền địa phương, đều nằm trong phạm vi của chỉ thị.180 Không giống như chỉ thị tiền nhiệm, các loại thuế hiện hành không được liệt kê. Thay vào đó, một số loại thuế</w:t>
      </w:r>
    </w:p>
    <w:p>
      <w:pPr>
        <w:spacing w:after="80"/>
      </w:pPr>
      <w:r>
        <w:rPr>
          <w:b w:val="0"/>
          <w:i w:val="0"/>
        </w:rPr>
        <w:t>172. Báo cáo cuối cùng về Hành động 5 của BEPS, đoạn 91.173. OECD (2016), Exchange on Tax Rulings XML Schema: User Guide for Tax Administrations, OECD www.oecd.org/tax/exchange-on-tax-rulings-xml-schema-user-guide-for-tax-administrations.pdf.174. OECD (2017), BEPS Action 5 on Harmful Tax Practices – Terms of Reference and Methodology for the Conduct of the Peer Reviews of the Action 5 Transparency Framework, OECD/G20 Base Erosion and Profit Shifting Project, OECD, Paris www.oecd.org/tax/beps/beps-action-5-harmful-tax-practices-peer-review-transparency-framework.pdf.175. OJ 2011, L 345/8.176. Thông tin của Ủy ban về việc ngăn chặn và chống lại các hành vi sai trái của doanh nghiệp và tài chính (COM (2004) 611 final).177. Chỉ thị 77/799, điều 2(1).178. Chỉ thị 77/799, điều 4 và 6.179. Chỉ thị 77/799, điều 8.180. Chỉ thị 2011/16, điều 2(1).</w:t>
      </w:r>
    </w:p>
    <w:p>
      <w:pPr>
        <w:spacing w:after="80"/>
      </w:pPr>
      <w:r>
        <w:rPr>
          <w:b w:val="0"/>
          <w:i w:val="0"/>
        </w:rPr>
        <w:t>663</w:t>
      </w:r>
    </w:p>
    <w:p>
      <w:pPr>
        <w:spacing w:after="80"/>
      </w:pPr>
      <w:r>
        <w:rPr>
          <w:b w:val="0"/>
          <w:i w:val="0"/>
        </w:rPr>
        <w:t xml:space="preserve">được bao phủ bởi các công cụ EU khác được loại trừ cụ thể.181 Trong </w:t>
      </w:r>
      <w:r>
        <w:rPr>
          <w:b w:val="0"/>
          <w:i/>
        </w:rPr>
        <w:t xml:space="preserve"> ELISA</w:t>
      </w:r>
      <w:r>
        <w:rPr>
          <w:b w:val="0"/>
          <w:i w:val="0"/>
        </w:rPr>
        <w:t>,182 ECJ kết luận rằng một loại thuế hàng năm của Pháp là 3% trên giá trị thương mại của bất động sản hoặc quyền được đưa ra vào năm 1992, là một loại thuế đánh vào vốn theo nghĩa của chỉ thị tiền nhiệm, vì nó ảnh hưởng đến một phần tài sản của pháp nhân liên quan. Mục đích của chỉ thị hỗ trợ tương trợ là để chống trốn thuế và tránh thuế và cho phép các Quốc gia Thành viên xác định chính xác số thuế cần thu. Nó điều chỉnh sự hợp tác giữa các cơ quan thuế của các Quốc gia Thành viên. Nó không trao quyền cho các cá nhân để có được thông tin như vậy để cho phép họ tuân thủ các quy tắc VAT về nguồn cung trong nội bộ EU.183</w:t>
      </w:r>
    </w:p>
    <w:p>
      <w:pPr>
        <w:spacing w:after="80"/>
      </w:pPr>
      <w:r>
        <w:rPr>
          <w:b/>
          <w:i w:val="0"/>
        </w:rPr>
        <w:t>[A] Trao đổi theo yêu cầu</w:t>
      </w:r>
    </w:p>
    <w:p>
      <w:pPr>
        <w:spacing w:after="80"/>
      </w:pPr>
      <w:r>
        <w:rPr>
          <w:b w:val="0"/>
          <w:i w:val="0"/>
        </w:rPr>
        <w:t xml:space="preserve">Chỉ thị quy định việc ủy quyền cụ thể cho các trao đổi theo yêu cầu, trao đổi thông tin tự động và trao đổi thông tin tự nguyện. Liên quan đến trao đổi theo yêu cầu, các cơ quan được yêu cầu phải truyền đạt thông tin có thể dự đoán được liên quan đến việc quản lý và thực thi luật trong nước của quốc gia yêu cầu mà họ có trong tay, hoặc mà họ có được do kết quả của các cuộc điều tra hành chính mà họ thực hiện.184 Phù hợp với các tiêu chuẩn của OECD, 'liên quan có thể dự đoán được' nhằm mục đích cung cấp việc trao đổi thông tin trong các vấn đề thuế ở mức độ rộng nhất có thể và đồng thời làm rõ rằng các Quốc gia Thành viên không được tự do tham gia vào 'các cuộc thám hiểm câu cá' hoặc yêu cầu thông tin không có khả năng liên quan đến các vấn đề thuế của một người nộp thuế nhất định.185 CJEU dựa vào Đoạn 9 và Mô hình OECD, cùng với Bình luận của nó trong </w:t>
      </w:r>
      <w:r>
        <w:rPr>
          <w:b w:val="0"/>
          <w:i/>
        </w:rPr>
        <w:t xml:space="preserve"> Berlioz Investment Fund SA v Directeur de l'administration des Contributions directes,</w:t>
      </w:r>
      <w:r>
        <w:rPr>
          <w:b w:val="0"/>
          <w:i w:val="0"/>
        </w:rPr>
        <w:t>186 để kết luận rằng mục đích của liên quan có thể dự đoán được là 'để cho phép cơ quan yêu cầu có được bất kỳ thông tin nào mà nó cho là hợp lý cho mục đích điều tra của mình, trong khi không cho phép nó rõ ràng vượt quá các tham số của cuộc điều tra đó cũng như không đặt gánh nặng quá mức lên cơ quan được yêu cầu'.187 Do đó, trước hết là quốc gia yêu cầu quyết định liệu thông tin có liên quan có thể dự đoán được hay không. Tuy nhiên, mặc dù cơ quan yêu cầu có quyền tự quyết, nó không thể yêu cầu thông tin không liên quan đến cuộc điều tra, điều này sẽ nằm ngoài phạm vi của chỉ thị.188 Do đó, trong khi quốc gia yêu cầu có một biên độ đánh giá trong việc quyết định những gì có thể dự đoán được liên quan, người nhận lệnh thông tin có quyền chống lại lệnh nếu thông tin rõ ràng</w:t>
      </w:r>
    </w:p>
    <w:p>
      <w:pPr>
        <w:spacing w:after="80"/>
      </w:pPr>
      <w:r>
        <w:rPr>
          <w:b w:val="0"/>
          <w:i w:val="0"/>
        </w:rPr>
        <w:t xml:space="preserve">181. Chỉ thị 2011/16, điều 2(2): thuế giá trị gia tăng, thuế hải quan và đóng góp an sinh xã hội.182. </w:t>
      </w:r>
      <w:r>
        <w:rPr>
          <w:b w:val="0"/>
          <w:i/>
        </w:rPr>
        <w:t>Européenne et Luxembourgeoise d'investissements SA (ELISA) v Directeur général des impôts, Ministère public</w:t>
      </w:r>
      <w:r>
        <w:rPr>
          <w:b w:val="0"/>
          <w:i w:val="0"/>
        </w:rPr>
        <w:t xml:space="preserve"> (Case C-451/05) [2011] BTC 513 tại đoạn 37; [2007] ECR I-825; [2008] STC 17621.183. </w:t>
      </w:r>
      <w:r>
        <w:rPr>
          <w:b w:val="0"/>
          <w:i/>
        </w:rPr>
        <w:t>Twoh International BV v Staatssecretaris van Financiën</w:t>
      </w:r>
      <w:r>
        <w:rPr>
          <w:b w:val="0"/>
          <w:i w:val="0"/>
        </w:rPr>
        <w:t xml:space="preserve"> (Case C-184/05) [2007] ECR I-7897 tại đoạn 31.184. Điều 5(1).185. Lời nói đầu, Đoạn 9.186. </w:t>
      </w:r>
      <w:r>
        <w:rPr>
          <w:b w:val="0"/>
          <w:i/>
        </w:rPr>
        <w:t>Berlioz Investment Fund SA v Directeur de l'administration des Contributions directes</w:t>
      </w:r>
      <w:r>
        <w:rPr>
          <w:b w:val="0"/>
          <w:i w:val="0"/>
        </w:rPr>
        <w:t xml:space="preserve"> (Case C-682/15) ECLI:EU:C:2017:373, [2017] BTC 15.187. Tại đoạn 68.188. Tại đoạn 70 và 71.</w:t>
      </w:r>
    </w:p>
    <w:p>
      <w:pPr>
        <w:spacing w:after="80"/>
      </w:pPr>
      <w:r>
        <w:rPr>
          <w:b w:val="0"/>
          <w:i w:val="0"/>
        </w:rPr>
        <w:t>664</w:t>
      </w:r>
    </w:p>
    <w:p>
      <w:pPr>
        <w:spacing w:after="80"/>
      </w:pPr>
      <w:r>
        <w:rPr>
          <w:b w:val="0"/>
          <w:i w:val="0"/>
        </w:rPr>
        <w:t xml:space="preserve">không liên quan.189 Trong </w:t>
      </w:r>
      <w:r>
        <w:rPr>
          <w:b w:val="0"/>
          <w:i/>
        </w:rPr>
        <w:t xml:space="preserve"> Luxembourg v B, C, D, and F.C</w:t>
      </w:r>
      <w:r>
        <w:rPr>
          <w:b w:val="0"/>
          <w:i w:val="0"/>
        </w:rPr>
        <w:t>,190 CJEU tòa án lưu ý rằng trong trường hợp yêu cầu thông tin liên quan đến các cuộc điều tra ở giai đoạn sơ bộ có thể có nghĩa là một số thông tin được yêu cầu cuối cùng có thể không liên quan. Nó phán quyết rằng trong khi liên quan có thể dự đoán được phải được đánh giá bằng tham chiếu đến quyền riêng tư,191 thực tế đó một mình không làm cho thông tin rõ ràng không có liên quan có thể dự đoán được.</w:t>
      </w:r>
    </w:p>
    <w:p>
      <w:pPr>
        <w:spacing w:after="80"/>
      </w:pPr>
      <w:r>
        <w:rPr>
          <w:b w:val="0"/>
          <w:i w:val="0"/>
        </w:rPr>
        <w:t>Quốc gia Thành viên được yêu cầu phải sắp xếp việc tiến hành các cuộc điều tra thích hợp cần thiết để có được thông tin đó.192 Chỉ thị rõ ràng rằng khi thực hiện quyền thu thập thông tin theo yêu cầu, các Quốc gia Thành viên phải hành động như thể đang tiến hành vì lợi ích của chính mình. Việc cung cấp thông tin được yêu cầu là bắt buộc nếu cơ quan yêu cầu đã cạn kiệt các nguồn thông tin thông thường mà nó có thể đã sử dụng trong các trường hợp để có được thông tin được yêu cầu, mà không có nguy cơ gây nguy hiểm cho việc đạt được các mục tiêu của mình.193</w:t>
      </w:r>
    </w:p>
    <w:p>
      <w:pPr>
        <w:spacing w:after="80"/>
      </w:pPr>
      <w:r>
        <w:rPr>
          <w:b w:val="0"/>
          <w:i w:val="0"/>
        </w:rPr>
        <w:t>Các giới hạn thời gian nghiêm ngặt được áp đặt cho các cơ quan được yêu cầu để cung cấp thông tin hoặc để biện minh cho việc không làm như vậy. Yêu cầu thông tin phải được xác nhận trong vòng bảy ngày kể từ khi nhận được194 và thông tin được yêu cầu phải được cung cấp trong vòng hai tháng kể từ khi nhận được yêu cầu nếu cơ quan được yêu cầu có thông tin đó, nếu không thì không muộn hơn sáu tháng kể từ ngày đó.195 Tương tự, bất kỳ sự không có khả năng đáp ứng giới hạn thời gian phải được thông báo trong vòng ba tháng196 và bất kỳ sự không có khả năng hoặc từ chối cung cấp thông tin, không thuộc quyền sở hữu của cơ quan được yêu cầu, phải được thông báo trong vòng một tháng kể từ yêu cầu.197</w:t>
      </w:r>
    </w:p>
    <w:p>
      <w:pPr>
        <w:spacing w:after="80"/>
      </w:pPr>
      <w:r>
        <w:rPr>
          <w:b/>
          <w:i w:val="0"/>
        </w:rPr>
        <w:t>[B] Trao đổi tự động</w:t>
      </w:r>
    </w:p>
    <w:p>
      <w:pPr>
        <w:spacing w:after="80"/>
      </w:pPr>
      <w:r>
        <w:rPr>
          <w:b w:val="0"/>
          <w:i w:val="0"/>
        </w:rPr>
        <w:t>Liên quan đến trao đổi thông tin tự động, từ ngày 1 tháng 1 năm 2014, các cơ quan có thẩm quyền phải tự động trao đổi thông tin có sẵn liên quan đến cư dân ở các Quốc gia Thành viên khác, về các loại thu nhập và vốn cụ thể sau:</w:t>
      </w:r>
    </w:p>
    <w:p>
      <w:pPr>
        <w:spacing w:after="80"/>
      </w:pPr>
      <w:r>
        <w:rPr>
          <w:b w:val="0"/>
          <w:i w:val="0"/>
        </w:rPr>
        <w:t>(a) thu nhập từ việc làm; (b) phí của giám đốc;</w:t>
      </w:r>
    </w:p>
    <w:p>
      <w:pPr>
        <w:spacing w:after="80"/>
      </w:pPr>
      <w:r>
        <w:rPr>
          <w:b w:val="0"/>
          <w:i w:val="0"/>
        </w:rPr>
        <w:t>(c) các sản phẩm bảo hiểm nhân thọ không được điều chỉnh bởi các văn bản pháp luật khác của Liên minh về</w:t>
      </w:r>
    </w:p>
    <w:p>
      <w:pPr>
        <w:spacing w:after="80"/>
      </w:pPr>
      <w:r>
        <w:rPr>
          <w:b w:val="0"/>
          <w:i w:val="0"/>
        </w:rPr>
        <w:t>trao đổi thông tin và các biện pháp tương tự khác; (d) lương hưu;</w:t>
      </w:r>
    </w:p>
    <w:p>
      <w:pPr>
        <w:spacing w:after="80"/>
      </w:pPr>
      <w:r>
        <w:rPr>
          <w:b w:val="0"/>
          <w:i w:val="0"/>
        </w:rPr>
        <w:t>(e) quyền sở hữu và thu nhập từ bất động sản.198</w:t>
      </w:r>
    </w:p>
    <w:p>
      <w:pPr>
        <w:spacing w:after="80"/>
      </w:pPr>
      <w:r>
        <w:rPr>
          <w:b w:val="0"/>
          <w:i w:val="0"/>
        </w:rPr>
        <w:t>189. Tại đoạn 89.190.</w:t>
      </w:r>
      <w:r>
        <w:rPr>
          <w:b w:val="0"/>
          <w:i/>
        </w:rPr>
        <w:t>State of the Grand Duchy of Luxembourg v B</w:t>
      </w:r>
      <w:r>
        <w:rPr>
          <w:b w:val="0"/>
          <w:i w:val="0"/>
        </w:rPr>
        <w:t xml:space="preserve"> (Vụ án C-245/19)</w:t>
      </w:r>
      <w:r>
        <w:rPr>
          <w:b w:val="0"/>
          <w:i/>
        </w:rPr>
        <w:t xml:space="preserve"> và B, C, D, F.C.</w:t>
      </w:r>
      <w:r>
        <w:rPr>
          <w:b w:val="0"/>
          <w:i w:val="0"/>
        </w:rPr>
        <w:t xml:space="preserve"> (Vụ án C-246/19)ECLI:EU:C:2020:795, tại các đoạn 122 và 123.191.Được thảo luận dưới tiêu đề</w:t>
      </w:r>
      <w:r>
        <w:rPr>
          <w:b w:val="0"/>
          <w:i/>
        </w:rPr>
        <w:t xml:space="preserve"> Quyền của người nộp thuế</w:t>
      </w:r>
      <w:r>
        <w:rPr>
          <w:b w:val="0"/>
          <w:i w:val="0"/>
        </w:rPr>
        <w:t xml:space="preserve"> bên dưới.192.Điều 6.193.Điều 17(1).194.Điều 7(3).195.Điều 7(1).196.Điều 7(5).197.Điều 7(6).198.Điều 8(1).</w:t>
      </w:r>
    </w:p>
    <w:p>
      <w:pPr>
        <w:spacing w:after="80"/>
      </w:pPr>
      <w:r>
        <w:rPr>
          <w:b w:val="0"/>
          <w:i w:val="0"/>
        </w:rPr>
        <w:t>665</w:t>
      </w:r>
    </w:p>
    <w:p>
      <w:pPr>
        <w:spacing w:after="80"/>
      </w:pPr>
      <w:r>
        <w:rPr>
          <w:b w:val="0"/>
          <w:i w:val="0"/>
        </w:rPr>
        <w:t>Việc xác định đặc điểm của các mục này được thực hiện theo pháp luật quốc gia của Quốc gia Thành viên truyền đạt thông tin. Chỉ thị dự kiến thu thập dữ liệu về khối lượng thông tin được trao đổi cũng như phân tích chi phí - lợi ích nhằm đánh giá hiệu quả của chế độ này và việc mở rộng nó sang cổ tức, lợi nhuận vốn và tiền bản quyền từ ngày 1 tháng 1 năm 2017.199 Việc trao đổi thông tin tự động về các tài khoản tài chính từ năm 2017 (DAC 2) được thảo luận tại §22.22.</w:t>
      </w:r>
    </w:p>
    <w:p>
      <w:pPr>
        <w:spacing w:after="80"/>
      </w:pPr>
      <w:r>
        <w:rPr>
          <w:b/>
          <w:i w:val="0"/>
        </w:rPr>
        <w:t>[C]Trao đổi tự phát</w:t>
      </w:r>
    </w:p>
    <w:p>
      <w:pPr>
        <w:spacing w:after="80"/>
      </w:pPr>
      <w:r>
        <w:rPr>
          <w:b w:val="0"/>
          <w:i w:val="0"/>
        </w:rPr>
        <w:t>Việc trao đổi thông tin tự phát có thể được thực hiện trong các trường hợp sau:200</w:t>
      </w:r>
    </w:p>
    <w:p>
      <w:pPr>
        <w:spacing w:after="80"/>
      </w:pPr>
      <w:r>
        <w:rPr>
          <w:b w:val="0"/>
          <w:i w:val="0"/>
        </w:rPr>
        <w:t>(1) cơ quan có thẩm quyền của một Quốc gia Thành viên có căn cứ để cho rằng</w:t>
      </w:r>
    </w:p>
    <w:p>
      <w:pPr>
        <w:spacing w:after="80"/>
      </w:pPr>
      <w:r>
        <w:rPr>
          <w:b w:val="0"/>
          <w:i w:val="0"/>
        </w:rPr>
        <w:t>có thể có sự thất thu thuế ở một Quốc gia Thành viên khác; (2) một người có nghĩa vụ nộp thuế được giảm hoặc miễn thuế ở</w:t>
      </w:r>
    </w:p>
    <w:p>
      <w:pPr>
        <w:spacing w:after="80"/>
      </w:pPr>
      <w:r>
        <w:rPr>
          <w:b w:val="0"/>
          <w:i w:val="0"/>
        </w:rPr>
        <w:t>một Quốc gia Thành viên, điều này sẽ dẫn đến việc tăng thuế hoặc phát sinh nghĩa vụ nộp thuế ở Quốc gia Thành viên kia; (3) các giao dịch kinh doanh giữa một người có nghĩa vụ nộp thuế ở một Quốc gia Thành viên và một</w:t>
      </w:r>
    </w:p>
    <w:p>
      <w:pPr>
        <w:spacing w:after="80"/>
      </w:pPr>
      <w:r>
        <w:rPr>
          <w:b w:val="0"/>
          <w:i w:val="0"/>
        </w:rPr>
        <w:t>người có nghĩa vụ nộp thuế ở quốc gia khác được tiến hành thông qua một hoặc nhiều quốc gia theo cách có thể dẫn đến việc tiết kiệm thuế ở một trong hai Quốc gia Thành viên hoặc cả hai; (4) cơ quan có thẩm quyền của một Quốc gia Thành viên có căn cứ để cho rằng</w:t>
      </w:r>
    </w:p>
    <w:p>
      <w:pPr>
        <w:spacing w:after="80"/>
      </w:pPr>
      <w:r>
        <w:rPr>
          <w:b w:val="0"/>
          <w:i w:val="0"/>
        </w:rPr>
        <w:t>có thể tiết kiệm thuế do việc chuyển lợi nhuận một cách nhân tạo trong các nhóm doanh nghiệp; hoặc (5) thông tin được cơ quan có thẩm quyền</w:t>
      </w:r>
    </w:p>
    <w:p>
      <w:pPr>
        <w:spacing w:after="80"/>
      </w:pPr>
      <w:r>
        <w:rPr>
          <w:b w:val="0"/>
          <w:i w:val="0"/>
        </w:rPr>
        <w:t>của quốc gia khác chuyển đến một Quốc gia Thành viên đã giúp thu được thông tin có thể liên quan đến việc đánh giá nghĩa vụ nộp thuế ở Quốc gia Thành viên sau.</w:t>
      </w:r>
    </w:p>
    <w:p>
      <w:pPr>
        <w:spacing w:after="80"/>
      </w:pPr>
      <w:r>
        <w:rPr>
          <w:b w:val="0"/>
          <w:i w:val="0"/>
        </w:rPr>
        <w:t>Việc áp dụng các quy định này liên quan đến nghĩa vụ tự phát cung cấp thông tin đã được ECJ xem xét trong</w:t>
      </w:r>
      <w:r>
        <w:rPr>
          <w:b w:val="0"/>
          <w:i/>
        </w:rPr>
        <w:t xml:space="preserve"> WN v Staatssecretaris van Financien</w:t>
      </w:r>
      <w:r>
        <w:rPr>
          <w:b w:val="0"/>
          <w:i w:val="0"/>
        </w:rPr>
        <w:t>.201 Trong trường hợp đó, một người nộp thuế cư trú tại Hà Lan đã khấu trừ các khoản thanh toán cấp dưỡng mà anh ta thực hiện cho người vợ ly thân của mình khi tính thu nhập chịu thuế ở Hà Lan. Vợ anh ta sống ở Tây Ban Nha. Cơ quan thuế Hà Lan cho rằng các khoản thanh toán này có thể ảnh hưởng đến việc thu thuế ở Tây Ban Nha. Họ đề xuất gửi thông tin về các khoản thanh toán này cho cơ quan chức năng Tây Ban Nha. Người nộp thuế phản đối với lý do rằng họ không được phép làm như vậy theo Chỉ thị Hỗ trợ Tương hỗ. Anh ta khiếu nại rằng không có cơ sở để xác định rằng các khoản thanh toán này sẽ dẫn đến việc đánh thuế ở Tây Ban Nha.</w:t>
      </w:r>
    </w:p>
    <w:p>
      <w:pPr>
        <w:spacing w:after="80"/>
      </w:pPr>
      <w:r>
        <w:rPr>
          <w:b w:val="0"/>
          <w:i w:val="0"/>
        </w:rPr>
        <w:t>Tuy nhiên, tòa án đã phán quyết rằng đối với mục đích của điều khoản này trong chỉ thị, chỉ cần quốc gia cung cấp thông tin cho rằng khoản thuế bị thất thu là đủ. Không cần phải chứng minh hoặc phải được đề cập đến bằng một biện pháp rõ ràng bởi quốc gia tiếp nhận.</w:t>
      </w:r>
    </w:p>
    <w:p>
      <w:pPr>
        <w:spacing w:after="80"/>
      </w:pPr>
      <w:r>
        <w:rPr>
          <w:b w:val="0"/>
          <w:i w:val="0"/>
        </w:rPr>
        <w:t xml:space="preserve">199. Điều 8(2)-(7). 200. Điều 9. 201. </w:t>
      </w:r>
      <w:r>
        <w:rPr>
          <w:b w:val="0"/>
          <w:i/>
        </w:rPr>
        <w:t>WN v Staatssecretaris van Financien</w:t>
      </w:r>
      <w:r>
        <w:rPr>
          <w:b w:val="0"/>
          <w:i w:val="0"/>
        </w:rPr>
        <w:t xml:space="preserve"> (Vụ án C-420/98) [2000] ECR I-02847; [2001] BTC 366; [2001] STC 974.</w:t>
      </w:r>
    </w:p>
    <w:p>
      <w:pPr>
        <w:spacing w:after="80"/>
      </w:pPr>
      <w:r>
        <w:rPr>
          <w:b w:val="0"/>
          <w:i w:val="0"/>
        </w:rPr>
        <w:t>666</w:t>
      </w:r>
    </w:p>
    <w:p>
      <w:pPr>
        <w:spacing w:after="80"/>
      </w:pPr>
      <w:r>
        <w:rPr>
          <w:b w:val="0"/>
          <w:i w:val="0"/>
        </w:rPr>
        <w:t>Cách giải thích đó phù hợp với cả ngôn từ nguyên văn của điều khoản lẫn mục đích của chỉ thị, vốn là để cho phép đánh giá chính xác thuế thu nhập và thuế vốn ở nhiều quốc gia khác nhau và để chống trốn thuế.</w:t>
      </w:r>
    </w:p>
    <w:p>
      <w:pPr>
        <w:spacing w:after="80"/>
      </w:pPr>
      <w:r>
        <w:rPr>
          <w:b w:val="0"/>
          <w:i w:val="0"/>
        </w:rPr>
        <w:t>Trong bối cảnh mục đích của chỉ thị, thông tin chỉ có ích cho cơ quan thuế của quốc gia tiếp nhận nếu nó đến trước khi việc đánh giá thuế liên quan được thực hiện. Không thể kỳ vọng rằng quốc gia cung cấp thông tin có hiểu biết sâu rộng về khuôn khổ pháp lý và thực tế ở quốc gia kia, điều mà sẽ phải được ngụ ý bởi một yêu cầu rằng việc đánh giá thuế đã phải được thực hiện rồi. Điều khoản này có nghĩa là một quốc gia phải chuyển thông tin cho quốc gia khác khi quốc gia trước có căn cứ để cho rằng nếu không có thông tin đó, một khoản tiết kiệm thuế không chính đáng có thể phát sinh ở quốc gia sau. Bản án ngụ ý rằng bất kỳ khoản thanh toán nào cho một người nhận ở một Quốc gia Thành viên khác đều có thể có hậu quả về thuế ở quốc gia đó và chỉ riêng điều này đã biện minh cho việc cung cấp thông tin.</w:t>
      </w:r>
    </w:p>
    <w:p>
      <w:pPr>
        <w:spacing w:after="80"/>
      </w:pPr>
      <w:r>
        <w:rPr>
          <w:b w:val="0"/>
          <w:i w:val="0"/>
        </w:rPr>
        <w:t xml:space="preserve">Trong </w:t>
      </w:r>
      <w:r>
        <w:rPr>
          <w:b w:val="0"/>
          <w:i/>
        </w:rPr>
        <w:t>Hy Lạp v Tsapalos và Diamantakis</w:t>
      </w:r>
      <w:r>
        <w:rPr>
          <w:b w:val="0"/>
          <w:i w:val="0"/>
        </w:rPr>
        <w:t>,202 ECJ đã phán quyết rằng Chỉ thị 76/308 về hỗ trợ tương trợ để thu hồi thuế hải quan được áp dụng cho các khiếu nại phát sinh trước khi chỉ thị có hiệu lực ở Quốc gia nơi cơ quan được yêu cầu đặt trụ sở. Tòa án lưu ý rằng, theo án lệ đã được thiết lập của mình, các quy tắc tố tụng thường được coi là áp dụng cho tất cả các thủ tục đang chờ xử lý tại thời điểm chúng có hiệu lực, trong khi các quy tắc nội dung thường được giải thích là không áp dụng cho các tình huống tồn tại trước khi chúng có hiệu lực. Tòa án phán quyết rằng chỉ thị thực thi có tính chất tố tụng. Nhận xét tương tự cũng có thể được đưa ra liên quan đến việc trao đổi thông tin.</w:t>
      </w:r>
    </w:p>
    <w:p>
      <w:pPr>
        <w:spacing w:after="80"/>
      </w:pPr>
      <w:r>
        <w:rPr>
          <w:b w:val="0"/>
          <w:i w:val="0"/>
        </w:rPr>
        <w:t>Sự phân biệt giữa trao đổi thông tin tự nguyện và tự động có phần mờ nhạt. Điều 9(1) được diễn đạt bằng các thuật ngữ mang tính bắt buộc và một giới hạn thời gian được áp đặt cho việc truyền đạt thông tin đó nếu nó trở nên có sẵn cho cơ quan thuế.203 Trao đổi tự động có lẽ được mô tả chính xác hơn là trao đổi thường lệ, trong khi việc trao đổi được quy định bởi Điều 9(1) là không thường lệ. Quyền tùy ý được trao cho các cơ quan thuế để trao đổi thông tin khác mà họ biết và có thể hữu ích cho các đối tác của họ ở các Quốc gia Thành viên khác.204</w:t>
      </w:r>
    </w:p>
    <w:p>
      <w:pPr>
        <w:spacing w:after="80"/>
      </w:pPr>
      <w:r>
        <w:rPr>
          <w:b/>
          <w:i w:val="0"/>
        </w:rPr>
        <w:t>[D] Trao đổi thông tin với các quốc gia thứ ba</w:t>
      </w:r>
    </w:p>
    <w:p>
      <w:pPr>
        <w:spacing w:after="80"/>
      </w:pPr>
      <w:r>
        <w:rPr>
          <w:b w:val="0"/>
          <w:i w:val="0"/>
        </w:rPr>
        <w:t>Thông tin mà một Quốc gia Thành viên nhận được từ một quốc gia thứ ba nằm trong phạm vi của chỉ thị có thể được cung cấp cho các cơ quan có thẩm quyền của các Quốc gia Thành viên khác nếu nó có thể hữu ích, và cho bất kỳ Quốc gia Thành viên nào yêu cầu trong phạm vi được phép bởi hiệp ước với quốc gia thứ ba đó.205 Thông tin mà một Quốc gia Thành viên nhận được theo chỉ thị có thể được truyền đạt cho các quốc gia thứ ba nếu được pháp luật trong nước của Quốc gia Thành viên đó cho phép và nếu hai yêu cầu được đáp ứng. Thứ nhất, cơ quan có thẩm quyền của Quốc gia Thành viên nơi thông tin bắt nguồn đã đồng ý với việc</w:t>
      </w:r>
    </w:p>
    <w:p>
      <w:pPr>
        <w:spacing w:after="80"/>
      </w:pPr>
      <w:r>
        <w:rPr>
          <w:b w:val="0"/>
          <w:i w:val="0"/>
        </w:rPr>
        <w:t xml:space="preserve">202. </w:t>
      </w:r>
      <w:r>
        <w:rPr>
          <w:b w:val="0"/>
          <w:i/>
        </w:rPr>
        <w:t>Elliniko Dimosio v Nikolaos Tsapalos và Konstantinos Diamantakis</w:t>
      </w:r>
      <w:r>
        <w:rPr>
          <w:b w:val="0"/>
          <w:i w:val="0"/>
        </w:rPr>
        <w:t xml:space="preserve"> (Các vụ án hợp nhất C-361/02 và C-362/02) [2004] ECR I-6405; [2004] STC 1220. 203. Điều 10(1). 204. Điều 9(2). 205. Điều 24(1).</w:t>
      </w:r>
    </w:p>
    <w:p>
      <w:pPr>
        <w:spacing w:after="80"/>
      </w:pPr>
      <w:r>
        <w:rPr>
          <w:b w:val="0"/>
          <w:i w:val="0"/>
        </w:rPr>
        <w:t>667</w:t>
      </w:r>
    </w:p>
    <w:p>
      <w:pPr>
        <w:spacing w:after="80"/>
      </w:pPr>
      <w:r>
        <w:rPr>
          <w:b w:val="0"/>
          <w:i w:val="0"/>
        </w:rPr>
        <w:t>truyền đạt đó. Thứ hai, quốc gia thứ ba liên quan đã cam kết cung cấp sự hợp tác cần thiết để thu thập bằng chứng về tính chất bất thường hoặc bất hợp pháp của các giao dịch có vẻ như vi phạm hoặc tạo thành sự lạm dụng luật thuế.206 Không rõ luật của quốc gia nào phải là đối tượng của sự vi phạm hoặc lạm dụng để kích hoạt các điều khoản này.</w:t>
      </w:r>
    </w:p>
    <w:p>
      <w:pPr>
        <w:spacing w:after="80"/>
      </w:pPr>
      <w:r>
        <w:rPr>
          <w:b/>
          <w:i w:val="0"/>
        </w:rPr>
        <w:t>[E] Các hình thức hợp tác hành chính khác</w:t>
      </w:r>
    </w:p>
    <w:p>
      <w:pPr>
        <w:spacing w:after="80"/>
      </w:pPr>
      <w:r>
        <w:rPr>
          <w:b w:val="0"/>
          <w:i w:val="0"/>
        </w:rPr>
        <w:t>Hỗ trợ hành chính ngoài việc trao đổi thông tin đơn thuần được chỉ thị dự liệu. Do đó, các quy tắc cụ thể quy định về sự hiện diện của các quan chức của một quốc gia tại các văn phòng của cơ quan thuế ở một Quốc gia Thành viên khác và về sự tham gia của họ vào các cuộc điều tra hành chính,207 việc kiểm tra đồng thời người nộp thuế208 và thông báo hành chính,209 cũng như phản hồi về việc trao đổi thông tin,210 chia sẻ thực tiễn tốt nhất và kinh nghiệm.211</w:t>
      </w:r>
    </w:p>
    <w:p>
      <w:pPr>
        <w:spacing w:after="80"/>
      </w:pPr>
      <w:r>
        <w:rPr>
          <w:b w:val="0"/>
          <w:i w:val="0"/>
        </w:rPr>
        <w:t>Các quan chức được cơ quan yêu cầu ủy quyền có thể có mặt tại văn phòng của Quốc gia Thành viên được yêu cầu và có mặt trong các cuộc điều tra hành chính được thực hiện trên lãnh thổ của Quốc gia Thành viên được yêu cầu nhằm trao đổi thông tin thu được như vậy. Sự hiện diện này chỉ có thể được thực hiện theo thỏa thuận giữa các cơ quan liên quan và phù hợp với các thỏa thuận do cơ quan được yêu cầu đặt ra.212 Nếu được pháp luật của Quốc gia Thành viên được yêu cầu cho phép, các thỏa thuận như vậy có thể cho phép các quan chức của cơ quan yêu cầu có mặt trong các cuộc điều tra hành chính và phỏng vấn các cá nhân và kiểm tra hồ sơ. Việc một người đang bị điều tra từ chối tuân thủ các biện pháp kiểm tra của cơ quan yêu cầu trong những trường hợp như vậy được xử lý như thể việc từ chối đó là chống lại cơ quan được yêu cầu.213</w:t>
      </w:r>
    </w:p>
    <w:p>
      <w:pPr>
        <w:spacing w:after="80"/>
      </w:pPr>
      <w:r>
        <w:rPr>
          <w:b/>
          <w:i w:val="0"/>
        </w:rPr>
        <w:t>[F] Tống đạt thông báo</w:t>
      </w:r>
    </w:p>
    <w:p>
      <w:pPr>
        <w:spacing w:after="80"/>
      </w:pPr>
      <w:r>
        <w:rPr>
          <w:b w:val="0"/>
          <w:i w:val="0"/>
        </w:rPr>
        <w:t>Cơ quan thuế chỉ có thể yêu cầu thông báo tại một quốc gia khác nếu cơ quan đó không thể thực hiện thông báo theo luật của mình về việc tống đạt thông báo, hoặc khi việc thông báo như vậy sẽ gây ra những khó khăn không tương xứng. Tuy nhiên, chỉ thị này cho phép cơ quan thuế của bất kỳ Quốc gia Thành viên nào thông báo bất kỳ tài liệu nào bằng thư bảo đảm hoặc bằng phương tiện điện tử trực tiếp đến một người trong lãnh thổ của một Quốc gia Thành viên khác.214 Dựa trên quyền hạn này, những yêu cầu như vậy có khả năng sẽ rất hiếm khi xảy ra.</w:t>
      </w:r>
    </w:p>
    <w:p>
      <w:pPr>
        <w:spacing w:after="80"/>
      </w:pPr>
      <w:r>
        <w:rPr>
          <w:b w:val="0"/>
          <w:i w:val="0"/>
        </w:rPr>
        <w:t>Khi có yêu cầu như vậy, các Quốc gia Thành viên có nghĩa vụ, khi nhận được yêu cầu từ một Quốc gia Thành viên khác, phải chuyển giao các văn bản và quyết định của cơ quan thuế yêu cầu</w:t>
      </w:r>
    </w:p>
    <w:p>
      <w:pPr>
        <w:spacing w:after="80"/>
      </w:pPr>
      <w:r>
        <w:rPr>
          <w:b w:val="0"/>
          <w:i w:val="0"/>
        </w:rPr>
        <w:t>206. Điều 24(2). 207. Điều 11. 208. Điều 12. 209. Điều 13. 210. Điều 14. 211. Điều 15. 212. Điều 11(1). 213. Điều 11(2). 214. Điều 13(4).</w:t>
      </w:r>
    </w:p>
    <w:p>
      <w:pPr>
        <w:spacing w:after="80"/>
      </w:pPr>
      <w:r>
        <w:rPr>
          <w:b w:val="0"/>
          <w:i w:val="0"/>
        </w:rPr>
        <w:t>668</w:t>
      </w:r>
    </w:p>
    <w:p>
      <w:pPr>
        <w:spacing w:after="80"/>
      </w:pPr>
      <w:r>
        <w:rPr>
          <w:b w:val="0"/>
          <w:i w:val="0"/>
        </w:rPr>
        <w:t>thay mặt họ cho bất kỳ người nào cư trú trong phạm vi quyền tài phán của họ.215 Quốc gia Thành viên nhận được yêu cầu thông báo như vậy chỉ cần sử dụng cùng phương thức để thông báo cho người nộp thuế như luật trong nước của mình cho phép đối với các tài liệu tương tự xuất phát từ cơ quan thuế của mình.216 Ngày chuyển giao và phản hồi từ người nhận thông báo phải được thông báo cho quốc gia yêu cầu.217</w:t>
      </w:r>
    </w:p>
    <w:p>
      <w:pPr>
        <w:spacing w:after="80"/>
      </w:pPr>
      <w:r>
        <w:rPr>
          <w:b/>
          <w:i w:val="0"/>
        </w:rPr>
        <w:t>[G]Giới hạn về Hợp tác</w:t>
      </w:r>
    </w:p>
    <w:p>
      <w:pPr>
        <w:spacing w:after="80"/>
      </w:pPr>
      <w:r>
        <w:rPr>
          <w:b w:val="0"/>
          <w:i w:val="0"/>
        </w:rPr>
        <w:t>Chỉ thị này áp dụng các giới hạn đối với nghĩa vụ cung cấp thông tin phù hợp rộng rãi với Điều 26 của OECD Model, nhưng cơ quan được yêu cầu phải thông báo cho cơ quan yêu cầu về các lý do từ chối yêu cầu cung cấp thông tin.218 Do đó, không có nghĩa vụ thực hiện điều tra hoặc truyền đạt thông tin nếu việc tiến hành các cuộc điều tra đó hoặc thu thập thông tin được yêu cầu cho mục đích riêng của mình sẽ trái với luật của quốc gia được yêu cầu,219 hoặc nếu bản thân quốc gia yêu cầu không thể, vì lý do pháp lý, cung cấp thông tin tương tự.220 Điều này hẹp hơn so với giới hạn của OECD, vốn cũng giới hạn nghĩa vụ của các quốc gia dựa trên thực tiễn hành chính của chính họ. Việc cung cấp thông tin có thể bị từ chối nếu nó dẫn đến tiết lộ bí mật thương mại, công nghiệp hoặc nghề nghiệp hoặc quy trình thương mại, hoặc thông tin mà việc tiết lộ sẽ trái với chính sách công.221 Không giống như OECD Model, chỉ thị này không, về mặt ngôn từ, phủ nhận bí mật ngân hàng như một lý do để không cung cấp thông tin. Tuy nhiên, đoạn 20 của Lời nói đầu tuyên bố rằng các Quốc gia Thành viên không nên từ chối truyền đạt thông tin vì họ không có lợi ích trong nước hoặc vì thông tin được nắm giữ bởi một ngân hàng, tổ chức tài chính khác, người được ủy thác hoặc người hành động với tư cách đại lý hoặc ủy thác, hoặc vì nó liên quan đến quyền sở hữu trong một người.</w:t>
      </w:r>
    </w:p>
    <w:p>
      <w:pPr>
        <w:spacing w:after="80"/>
      </w:pPr>
      <w:r>
        <w:rPr>
          <w:b/>
          <w:i w:val="0"/>
        </w:rPr>
        <w:t>[H]Bảo mật và Bảo vệ Dữ liệu</w:t>
      </w:r>
    </w:p>
    <w:p>
      <w:pPr>
        <w:spacing w:after="80"/>
      </w:pPr>
      <w:r>
        <w:rPr>
          <w:b w:val="0"/>
          <w:i w:val="0"/>
        </w:rPr>
        <w:t>Thông tin được truyền đạt theo chỉ thị này phải tuân theo các nghĩa vụ bảo mật chính thức và được hưởng sự bảo vệ dành cho thông tin tương tự theo luật quốc gia của Quốc gia Thành viên đã nhận được nó.222 Quy tắc này có hiệu lực trực tiếp.223</w:t>
      </w:r>
    </w:p>
    <w:p>
      <w:pPr>
        <w:spacing w:after="80"/>
      </w:pPr>
      <w:r>
        <w:rPr>
          <w:b w:val="0"/>
          <w:i w:val="0"/>
        </w:rPr>
        <w:t>Mọi trao đổi thông tin theo chỉ thị này đều phải tuân theo Data Protection Directive.224 Các quyền của chủ thể dữ liệu trong các Điều 10, 11(1), 12 và 21 của Data Protection Directive bị hạn chế nhằm mục đích áp dụng đúng đắn</w:t>
      </w:r>
    </w:p>
    <w:p>
      <w:pPr>
        <w:spacing w:after="80"/>
      </w:pPr>
      <w:r>
        <w:rPr>
          <w:b w:val="0"/>
          <w:i w:val="0"/>
        </w:rPr>
        <w:t>215. Điều 13(1). 216. Điều 13(2). 217. Điều 13(3). 218. Điều 17(5). 219. Điều 17(2). 220. Điều 17(3). 221. Điều 17(4). 222. Điều 16(1). 223. Xem Chương 14, §14.03. 224. Directive 95/46/EC của Nghị viện Châu Âu và Hội đồng ngày 24 tháng 10 năm 1995 về bảo vệ cá nhân liên quan đến việc xử lý dữ liệu cá nhân và về việc di chuyển tự do dữ liệu đó OJ L 281, 23/11/1995 P. 0031 – 0050.</w:t>
      </w:r>
    </w:p>
    <w:p>
      <w:pPr>
        <w:spacing w:after="80"/>
      </w:pPr>
      <w:r>
        <w:rPr>
          <w:b w:val="0"/>
          <w:i w:val="0"/>
        </w:rPr>
        <w:t>669</w:t>
      </w:r>
    </w:p>
    <w:p>
      <w:pPr>
        <w:spacing w:after="80"/>
      </w:pPr>
      <w:r>
        <w:rPr>
          <w:b w:val="0"/>
          <w:i w:val="0"/>
        </w:rPr>
        <w:t>Mutual Assistance Directive trong phạm vi cần thiết, như được cho phép bởi Điều 13(1)(e) của Data Protection Directive (các biện pháp cần thiết để bảo vệ 'lợi ích kinh tế hoặc tài chính quan trọng của một Quốc gia Thành viên hoặc của Liên minh Châu Âu, bao gồm các vấn đề tiền tệ, ngân sách và thuế').225</w:t>
      </w:r>
    </w:p>
    <w:p>
      <w:pPr>
        <w:spacing w:after="80"/>
      </w:pPr>
      <w:r>
        <w:rPr>
          <w:b w:val="0"/>
          <w:i w:val="0"/>
        </w:rPr>
        <w:t xml:space="preserve">Sự tương tác giữa các nghĩa vụ bảo mật và quyền được xét xử công bằng (được thảo luận dưới đây) đã được xem xét trong </w:t>
      </w:r>
      <w:r>
        <w:rPr>
          <w:b w:val="0"/>
          <w:i/>
        </w:rPr>
        <w:t>Berlioz Investment Fund SA</w:t>
      </w:r>
      <w:r>
        <w:rPr>
          <w:b w:val="0"/>
          <w:i w:val="0"/>
        </w:rPr>
        <w:t xml:space="preserve">.226 Tòa án đã phán quyết rằng, khi chống lại yêu cầu cung cấp thông tin và bất kỳ hình phạt liên quan nào đối với việc không tuân thủ, người liên quan không cần phải có quyền truy cập vào toàn bộ yêu cầu cung cấp thông tin để người đó được xét xử công bằng. Chỉ cần người đó có thông tin tối thiểu được đề cập trong Điều 20(2) của Chỉ thị, cụ thể là danh tính của người nộp thuế và mục đích thuế mà thông tin được tìm kiếm. Nếu tòa án trong thủ tục tố tụng như vậy xem xét rằng thông tin là không đủ, thì thông tin bổ sung phải được cung cấp, với sự quan tâm đúng mức đến khả năng bảo mật của một số thông tin đó.227 Số lượng thông tin tối thiểu cần thiết cho một phiên xét xử công bằng có thể được xác định bởi bản chất của thủ tục tố tụng. Do đó, trong </w:t>
      </w:r>
      <w:r>
        <w:rPr>
          <w:b w:val="0"/>
          <w:i/>
        </w:rPr>
        <w:t>Ispas v Direct¸ia Generala˘a Finant¸elor Publice Cluj</w:t>
      </w:r>
      <w:r>
        <w:rPr>
          <w:b w:val="0"/>
          <w:i w:val="0"/>
        </w:rPr>
        <w:t>,228 Tòa án đã phán quyết rằng việc tôn trọng quyền bào chữa, như một nguyên tắc chung của luật EU, có nghĩa là, trong các thủ tục hành chính để xác minh hoặc thiết lập nghĩa vụ thuế, nếu các cá nhân yêu cầu như vậy, họ có quyền được cung cấp thông tin và tài liệu mà cơ quan thuế nắm giữ và xem xét khi đưa ra quyết định.229</w:t>
      </w:r>
    </w:p>
    <w:p>
      <w:pPr>
        <w:spacing w:after="80"/>
      </w:pPr>
      <w:r>
        <w:rPr>
          <w:b w:val="0"/>
          <w:i w:val="0"/>
        </w:rPr>
        <w:t>Quyền này chỉ có thể bị hạn chế, trong trường hợp các biện pháp được cung cấp thực sự tương ứng với các mục tiêu lợi ích công cộng được theo đuổi bởi biện pháp được đề cập và không tạo thành, xét theo các mục tiêu được theo đuổi, sự can thiệp không tương xứng và không thể chấp nhận được làm tổn hại đến chính bản chất của các quyền được bảo đảm.230 Tòa án chấp nhận rằng các cơ quan thuế không cần phải cung cấp thông tin tự động mà phải làm như vậy theo yêu cầu.231 Các hạn chế chính đáng đối với việc tiết lộ này là bảo mật hoặc bí mật nghề nghiệp, có thể bị xâm phạm bởi quyền truy cập vào thông tin và tài liệu trong một số trường hợp.232</w:t>
      </w:r>
    </w:p>
    <w:p>
      <w:pPr>
        <w:spacing w:after="80"/>
      </w:pPr>
      <w:r>
        <w:rPr>
          <w:b/>
          <w:i w:val="0"/>
        </w:rPr>
        <w:t>[I]Sử dụng Thông tin</w:t>
      </w:r>
    </w:p>
    <w:p>
      <w:pPr>
        <w:spacing w:after="80"/>
      </w:pPr>
      <w:r>
        <w:rPr>
          <w:b w:val="0"/>
          <w:i w:val="0"/>
        </w:rPr>
        <w:t>Thông tin như vậy có thể được sử dụng cho việc quản lý và thực thi pháp luật thuế nội địa của các Quốc gia Thành viên nằm trong phạm vi của chỉ thị và các loại thuế và nghĩa vụ khác được quy định tại Điều 2 của Chỉ thị Hội đồng 2010/24/EU ngày 16 tháng 3 năm 2010 về hỗ trợ tương trợ trong việc thu hồi các khoản nợ liên quan đến thuế, nghĩa vụ và các biện pháp khác, hoặc cho việc đánh giá và thực thi an sinh xã hội bắt buộc</w:t>
      </w:r>
    </w:p>
    <w:p>
      <w:pPr>
        <w:spacing w:after="80"/>
      </w:pPr>
      <w:r>
        <w:rPr>
          <w:b w:val="0"/>
          <w:i w:val="0"/>
        </w:rPr>
        <w:t>225. Điều 25. 226.</w:t>
      </w:r>
      <w:r>
        <w:rPr>
          <w:b w:val="0"/>
          <w:i/>
        </w:rPr>
        <w:t>Berlioz Investment Fund SA v Directeur de l'administration des Contributions directes</w:t>
      </w:r>
      <w:r>
        <w:rPr>
          <w:b w:val="0"/>
          <w:i w:val="0"/>
        </w:rPr>
        <w:t xml:space="preserve"> (Vụ án C-682/15) ECLI:EU:C:2017:373, [2017] BTC 15. 227. Tại đoạn 100. 228.</w:t>
      </w:r>
      <w:r>
        <w:rPr>
          <w:b w:val="0"/>
          <w:i/>
        </w:rPr>
        <w:t>Teodor Ispas, Anduța Ispas v Direcția Generală a Finanțelor Publice Cluj</w:t>
      </w:r>
      <w:r>
        <w:rPr>
          <w:b w:val="0"/>
          <w:i w:val="0"/>
        </w:rPr>
        <w:t xml:space="preserve"> (Vụ án C-298/16) ECLI:EU:C:2017:843. 229. Tại đoạn 39. 230. Tại đoạn 35. 231. Tại đoạn 32. 232. Tại đoạn 36.</w:t>
      </w:r>
    </w:p>
    <w:p>
      <w:pPr>
        <w:spacing w:after="80"/>
      </w:pPr>
      <w:r>
        <w:rPr>
          <w:b w:val="0"/>
          <w:i w:val="0"/>
        </w:rPr>
        <w:t>670</w:t>
      </w:r>
    </w:p>
    <w:p>
      <w:pPr>
        <w:spacing w:after="80"/>
      </w:pPr>
      <w:r>
        <w:rPr>
          <w:b w:val="0"/>
          <w:i w:val="0"/>
        </w:rPr>
        <w:t>các khoản đóng góp.233 Thông tin có thể được sử dụng trong mối liên hệ với các thủ tục tố tụng tư pháp và hành chính có thể liên quan đến các hình phạt, được khởi xướng do vi phạm pháp luật thuế, tuân theo pháp luật điều chỉnh quyền của bị cáo và nhân chứng trong các thủ tục tố tụng đó.234 Thông tin nhận được theo chỉ thị có thể được sử dụng cho các mục đích khác trong phạm vi pháp luật cho phép ở quốc gia nhận, nếu quốc gia cung cấp đồng ý. Quốc gia cung cấp chỉ có thể đồng ý nếu thông tin có thể được sử dụng cho các mục đích tương tự ở quốc gia đó.235 Nếu một quốc gia nhận xét thấy thông tin nhận được có khả năng hữu ích cho cơ quan có thẩm quyền của một Quốc gia Thành viên thứ ba, quốc gia đó có thể chuyển thông tin đó cho Quốc gia Thành viên thứ ba theo các quy tắc và thủ tục trong chỉ thị này. Quốc gia đó phải thông báo cho Quốc gia Thành viên nơi thông tin bắt nguồn về ý định của mình. Quốc gia Thành viên nơi thông tin bắt nguồn có thể phản đối việc chia sẻ như vậy trong vòng mười ngày kể từ khi có thông báo về ý định truyền đạt thông tin.236</w:t>
      </w:r>
    </w:p>
    <w:p>
      <w:pPr>
        <w:spacing w:after="80"/>
      </w:pPr>
      <w:r>
        <w:rPr>
          <w:b/>
          <w:i w:val="0"/>
        </w:rPr>
        <w:t>[J] Quyền của Người nộp thuế</w:t>
      </w:r>
    </w:p>
    <w:p>
      <w:pPr>
        <w:spacing w:after="80"/>
      </w:pPr>
      <w:r>
        <w:rPr>
          <w:b w:val="0"/>
          <w:i/>
        </w:rPr>
        <w:t>Hiến chương về các Quyền Cơ bản của Liên minh Châu Âu</w:t>
      </w:r>
      <w:r>
        <w:rPr>
          <w:b w:val="0"/>
          <w:i w:val="0"/>
        </w:rPr>
        <w:t xml:space="preserve"> áp dụng cho các thể chế EU và đối với các Quốc gia Thành viên liên quan đến việc họ thực thi luật Liên minh. Do đó, Hiến chương áp dụng cho việc thực thi Chỉ thị.237 Hai quyền chính được đề cập là quyền riêng tư tại Điều 7 và quyền bảo vệ dữ liệu cá nhân tại Điều 8. Những quyền này được thực hiện thông qua quyền được hưởng biện pháp khắc phục hiệu quả được quy định tại Điều 47. Điều này được hỗ trợ bởi Điều 19(1) của Hiệp ước về Liên minh Châu Âu, trong đó yêu cầu các Quốc gia Thành viên cung cấp các biện pháp khắc phục đủ để đảm bảo bảo vệ pháp lý hiệu quả trong các lĩnh vực thuộc phạm vi luật Liên minh.238 (Điều 52(1) của Hiến chương cho phép hạn chế việc thực hiện các quyền trong Hiến chương với điều kiện (i) được quy định bởi pháp luật, (ii) tôn trọng bản chất của các quyền đang được đề cập và (iii) tương xứng ở chỗ chúng cần thiết và thực sự đáp ứng các mục tiêu vì lợi ích chung được Liên minh công nhận hoặc nhu cầu bảo vệ quyền của người khác. Các quyền liên quan bao gồm thủ tục tố tụng hợp lý được quy định tại Điều 41 của Hiến chương.)</w:t>
      </w:r>
    </w:p>
    <w:p>
      <w:pPr>
        <w:spacing w:after="80"/>
      </w:pPr>
      <w:r>
        <w:rPr>
          <w:b w:val="0"/>
          <w:i w:val="0"/>
        </w:rPr>
        <w:t xml:space="preserve">Trong </w:t>
      </w:r>
      <w:r>
        <w:rPr>
          <w:b w:val="0"/>
          <w:i/>
        </w:rPr>
        <w:t>Jiří Sabou v Finanční ředitelství pro hlavní město Prahu,</w:t>
      </w:r>
      <w:r>
        <w:rPr>
          <w:b w:val="0"/>
          <w:i w:val="0"/>
        </w:rPr>
        <w:t>239 ECJ đã xem xét mối quan hệ giữa các yếu tố này của chỉ thị hỗ trợ tương trợ và Điều 41(2)(a) của Hiến chương, trong đó quy định:240</w:t>
      </w:r>
    </w:p>
    <w:p>
      <w:pPr>
        <w:spacing w:after="80"/>
      </w:pPr>
      <w:r>
        <w:rPr>
          <w:b/>
          <w:i w:val="0"/>
        </w:rPr>
        <w:t>Quyền được quản lý tốt</w:t>
      </w:r>
    </w:p>
    <w:p>
      <w:pPr>
        <w:spacing w:after="80"/>
      </w:pPr>
      <w:r>
        <w:rPr>
          <w:b w:val="0"/>
          <w:i w:val="0"/>
        </w:rPr>
        <w:t>1. Mọi người đều có quyền được các thể chế và cơ quan của Liên minh xử lý các vấn đề của mình một cách vô tư, công bằng và trong thời gian hợp lý</w:t>
      </w:r>
    </w:p>
    <w:p>
      <w:pPr>
        <w:spacing w:after="80"/>
      </w:pPr>
      <w:r>
        <w:rPr>
          <w:b w:val="0"/>
          <w:i w:val="0"/>
        </w:rPr>
        <w:t>233. Xem §22.31. 234. Điều 16(1). 235. Điều 16(2). 236. Điều 16(3). 237.</w:t>
      </w:r>
      <w:r>
        <w:rPr>
          <w:b w:val="0"/>
          <w:i/>
        </w:rPr>
        <w:t>Berlioz Investment Fund SA v Directeur de l'administration des Contributions directes</w:t>
      </w:r>
      <w:r>
        <w:rPr>
          <w:b w:val="0"/>
          <w:i w:val="0"/>
        </w:rPr>
        <w:t xml:space="preserve"> (Vụ án C-682/15) ECLI:EU:C:2017:373, [2017] BTC 15, tại các đoạn 34-37. 238.</w:t>
      </w:r>
      <w:r>
        <w:rPr>
          <w:b w:val="0"/>
          <w:i/>
        </w:rPr>
        <w:t>State of the Grand Duchy of Luxembourg v B</w:t>
      </w:r>
      <w:r>
        <w:rPr>
          <w:b w:val="0"/>
          <w:i w:val="0"/>
        </w:rPr>
        <w:t xml:space="preserve"> (Vụ án C-245/19)</w:t>
      </w:r>
      <w:r>
        <w:rPr>
          <w:b w:val="0"/>
          <w:i/>
        </w:rPr>
        <w:t xml:space="preserve"> và B, C, D, F.C.</w:t>
      </w:r>
      <w:r>
        <w:rPr>
          <w:b w:val="0"/>
          <w:i w:val="0"/>
        </w:rPr>
        <w:t xml:space="preserve"> (Vụ án C-246/19) ECLI:EU:C:2020:795 tại đoạn 47. 239.</w:t>
      </w:r>
      <w:r>
        <w:rPr>
          <w:b w:val="0"/>
          <w:i/>
        </w:rPr>
        <w:t>Jiří Sabou v Finanční ředitelství pro hlavní město Prahu</w:t>
      </w:r>
      <w:r>
        <w:rPr>
          <w:b w:val="0"/>
          <w:i w:val="0"/>
        </w:rPr>
        <w:t xml:space="preserve"> (Vụ án C-276/12) ECLI:EU:C:2013:678. 240. OJ 2007 C 303, tr. 1.</w:t>
      </w:r>
    </w:p>
    <w:p>
      <w:pPr>
        <w:spacing w:after="80"/>
      </w:pPr>
      <w:r>
        <w:rPr>
          <w:b w:val="0"/>
          <w:i w:val="0"/>
        </w:rPr>
        <w:t>671</w:t>
      </w:r>
    </w:p>
    <w:p>
      <w:pPr>
        <w:spacing w:after="80"/>
      </w:pPr>
      <w:r>
        <w:rPr>
          <w:b w:val="0"/>
          <w:i w:val="0"/>
        </w:rPr>
        <w:t>2. Quyền này bao gồm: (a) quyền của mọi người được lắng nghe, trước khi bất kỳ biện pháp cá nhân nào</w:t>
      </w:r>
    </w:p>
    <w:p>
      <w:pPr>
        <w:spacing w:after="80"/>
      </w:pPr>
      <w:r>
        <w:rPr>
          <w:b w:val="0"/>
          <w:i w:val="0"/>
        </w:rPr>
        <w:t>có thể ảnh hưởng bất lợi đến họ được thực hiện</w:t>
      </w:r>
    </w:p>
    <w:p>
      <w:pPr>
        <w:spacing w:after="80"/>
      </w:pPr>
      <w:r>
        <w:rPr>
          <w:b w:val="0"/>
          <w:i w:val="0"/>
        </w:rPr>
        <w:t>Tòa án đã phán quyết rằng cơ quan có thẩm quyền của quốc gia được yêu cầu phải áp dụng luật quốc gia và các quy tắc thủ tục của mình. Mặc dù Chỉ thị không trao các quyền cụ thể cho người nộp thuế, quyền bào chữa là một nguyên tắc chung của luật EU, áp dụng khi các cơ quan thực hiện một biện pháp có thể ảnh hưởng bất lợi đến một cá nhân. Điều này bao gồm quyền phản hồi một cách hiệu quả đối với thông tin mà các cơ quan dự định dựa vào để đưa ra quyết định của mình. Các Quốc gia Thành viên phải tuân theo điều này khi hành động của họ nằm trong phạm vi luật EU, ngay cả khi luật EU liên quan không quy định rõ ràng yêu cầu thủ tục như vậy. Tòa án đã phán quyết rằng ở giai đoạn thu thập thông tin, quyền được lắng nghe không trao quyền được thông báo về yêu cầu hỗ trợ từ một Quốc gia Thành viên này đến một Quốc gia Thành viên khác, cũng không trao quyền tham gia vào việc xây dựng yêu cầu thông tin, cũng không trao quyền tham gia vào việc thẩm vấn nhân chứng do Quốc gia Thành viên được yêu cầu tổ chức. Hơn nữa, Chỉ thị không điều chỉnh câu hỏi về các tình huống mà người nộp thuế có thể phản đối tính chính xác của thông tin do Quốc gia Thành viên được yêu cầu chuyển giao, và nó không áp đặt bất kỳ nghĩa vụ cụ thể nào liên quan đến nội dung của thông tin được chuyển giao. Đây là những vấn đề thuộc luật quốc gia. Tổng Chưởng lý Kokott có quan điểm rằng quốc gia được yêu cầu, về nguyên tắc, phải cung cấp thông tin về các cuộc điều tra mà thông tin được cung cấp dựa trên đó. Bà nói rằng luật EU không ngăn cản người nộp thuế phản đối tính đúng đắn của thông tin được cung cấp trong các thủ tục thuế quốc gia. Trên cơ sở này, quyền của người nộp thuế sẽ khác nhau trên khắp Liên minh tùy theo luật của các Quốc gia Thành viên. Do đó, việc thiếu các lý do chính sách công để từ chối cung cấp thông tin sẽ làm suy yếu các quyền của người nộp thuế ở những quốc gia nơi chúng tồn tại.</w:t>
      </w:r>
    </w:p>
    <w:p>
      <w:pPr>
        <w:spacing w:after="80"/>
      </w:pPr>
      <w:r>
        <w:rPr>
          <w:b/>
          <w:i w:val="0"/>
        </w:rPr>
        <w:t>[K] Quyền được hưởng Biện pháp Khắc phục Hiệu quả</w:t>
      </w:r>
    </w:p>
    <w:p>
      <w:pPr>
        <w:spacing w:after="80"/>
      </w:pPr>
      <w:r>
        <w:rPr>
          <w:b w:val="0"/>
          <w:i w:val="0"/>
        </w:rPr>
        <w:t xml:space="preserve">Trong </w:t>
      </w:r>
      <w:r>
        <w:rPr>
          <w:b w:val="0"/>
          <w:i/>
        </w:rPr>
        <w:t>Berlioz Investment Fund SA</w:t>
      </w:r>
      <w:r>
        <w:rPr>
          <w:b w:val="0"/>
          <w:i w:val="0"/>
        </w:rPr>
        <w:t xml:space="preserve">,241 tòa án đã phán quyết rằng một người được yêu cầu cung cấp thông tin trong bối cảnh trao đổi giữa các cơ quan thuế có quyền phản đối tính hợp pháp của yêu cầu cung cấp thông tin theo Điều 47 của Hiến chương EU. Tòa án đã phân biệt vụ án </w:t>
      </w:r>
      <w:r>
        <w:rPr>
          <w:b w:val="0"/>
          <w:i/>
        </w:rPr>
        <w:t>Sabou</w:t>
      </w:r>
      <w:r>
        <w:rPr>
          <w:b w:val="0"/>
          <w:i w:val="0"/>
        </w:rPr>
        <w:t xml:space="preserve"> liên quan đến các yêu cầu thông tin do một cơ quan thuế gửi cho một Quốc gia Thành viên khác và quyền của người nộp thuế là đối tượng của một cuộc điều tra thuế ở quốc gia yêu cầu được tham gia vào thủ tục tố tụng. Tuy nhiên, không có yêu cầu thông tin nào được gửi đến người liên quan, không giống như trường hợp của </w:t>
      </w:r>
      <w:r>
        <w:rPr>
          <w:b w:val="0"/>
          <w:i/>
        </w:rPr>
        <w:t>Berlioz</w:t>
      </w:r>
      <w:r>
        <w:rPr>
          <w:b w:val="0"/>
          <w:i w:val="0"/>
        </w:rPr>
        <w:t xml:space="preserve"> liên quan đến yêu cầu cung cấp thông tin của cơ quan được yêu cầu sau một yêu cầu thông tin từ một cơ quan yêu cầu khác.</w:t>
      </w:r>
    </w:p>
    <w:p>
      <w:pPr>
        <w:spacing w:after="80"/>
      </w:pPr>
      <w:r>
        <w:rPr>
          <w:b w:val="0"/>
          <w:i w:val="0"/>
        </w:rPr>
        <w:t xml:space="preserve">Tại </w:t>
      </w:r>
      <w:r>
        <w:rPr>
          <w:b w:val="0"/>
          <w:i/>
        </w:rPr>
        <w:t>Luxembourg v B, C, D, và F.C.</w:t>
      </w:r>
      <w:r>
        <w:rPr>
          <w:b w:val="0"/>
          <w:i w:val="0"/>
        </w:rPr>
        <w:t>, 242 Tòa án Công lý Liên minh Châu Âu (CJEU) đã phán quyết rằng luật quốc gia yêu cầu cung cấp thông tin mà áp đặt hình phạt nhưng không cho phép yêu cầu cung cấp thông tin bị</w:t>
      </w:r>
    </w:p>
    <w:p>
      <w:pPr>
        <w:spacing w:after="80"/>
      </w:pPr>
      <w:r>
        <w:rPr>
          <w:b w:val="0"/>
          <w:i w:val="0"/>
        </w:rPr>
        <w:t>241.</w:t>
      </w:r>
      <w:r>
        <w:rPr>
          <w:b w:val="0"/>
          <w:i/>
        </w:rPr>
        <w:t>Berlioz Investment Fund SA v Directeur de l'administration des Contributions directes</w:t>
      </w:r>
      <w:r>
        <w:rPr>
          <w:b w:val="0"/>
          <w:i w:val="0"/>
        </w:rPr>
        <w:t xml:space="preserve"> (Vụ án C-682/15) ECLI:EU:C:2017:373, [2017] BTC 15. 242.</w:t>
      </w:r>
      <w:r>
        <w:rPr>
          <w:b w:val="0"/>
          <w:i/>
        </w:rPr>
        <w:t>State of the Grand Duchy of Luxembourg v B</w:t>
      </w:r>
      <w:r>
        <w:rPr>
          <w:b w:val="0"/>
          <w:i w:val="0"/>
        </w:rPr>
        <w:t xml:space="preserve"> (Vụ án C-245/19)</w:t>
      </w:r>
      <w:r>
        <w:rPr>
          <w:b w:val="0"/>
          <w:i/>
        </w:rPr>
        <w:t xml:space="preserve"> và B, C, D, F.C.</w:t>
      </w:r>
      <w:r>
        <w:rPr>
          <w:b w:val="0"/>
          <w:i w:val="0"/>
        </w:rPr>
        <w:t xml:space="preserve"> (Vụ án C-246/19) ECLI:EU:C:2020:795 tại đoạn 47.</w:t>
      </w:r>
    </w:p>
    <w:p>
      <w:pPr>
        <w:spacing w:after="80"/>
      </w:pPr>
      <w:r>
        <w:rPr>
          <w:b w:val="0"/>
          <w:i w:val="0"/>
        </w:rPr>
        <w:t>672</w:t>
      </w:r>
    </w:p>
    <w:p>
      <w:pPr>
        <w:spacing w:after="80"/>
      </w:pPr>
      <w:r>
        <w:rPr>
          <w:b w:val="0"/>
          <w:i w:val="0"/>
        </w:rPr>
        <w:t>bị khiếu nại trước một hội đồng hoặc tòa án độc lập là xâm phạm quyền được khắc phục theo Điều 47 và không được biện hộ bởi Điều 52(1). Trong trường hợp đó, cơ quan thuế Tây Ban Nha đã yêu cầu cơ quan thuế Luxembourg cung cấp thông tin về một cá nhân cư trú tại Tây Ban Nha, người đang là đối tượng của một cuộc điều tra thuế tại đó. Cơ quan thuế Luxembourg yêu cầu một công ty và một ngân hàng cung cấp thông tin, bao gồm cả thông tin liên quan đến quyền sở hữu các công ty của cá nhân đó. Tòa án phân biệt giữa yêu cầu cung cấp thông tin kèm hình phạt khi không tuân thủ, và việc xác định nghĩa vụ thuế có thể phát sinh từ thông tin đó. Do đó, việc không có biện pháp khắc phục cho người nộp thuế liên quan đến yêu cầu đối với bên thứ ba là tương xứng vì biện pháp khắc phục của người nộp thuế nằm ở quyền được tranh chấp việc đánh giá thuế có thể phát sinh sau đó. 243 Người nắm giữ thông tin, người đối mặt với hình phạt khi không tuân thủ, được quyền có biện pháp khắc phục hiệu quả để tranh chấp yêu cầu đó. 244</w:t>
      </w:r>
    </w:p>
    <w:p>
      <w:pPr>
        <w:spacing w:after="80"/>
      </w:pPr>
      <w:r>
        <w:rPr>
          <w:b w:val="0"/>
          <w:i w:val="0"/>
        </w:rPr>
        <w:t>Thông tin thu được vi phạm luật EU và đặc biệt là vi phạm Điều 7 của Hiến chương Quyền cơ bản của EU (quyền riêng tư) phải bị bỏ qua và mọi quyết định dựa trên đó phải bị hủy bỏ. Bằng chứng cũng phải bị bỏ qua nếu tòa án quốc gia không thể xác định liệu nó có được thu thập phù hợp với luật EU hay không. 245 CJEU đã từ chối thẩm quyền xét xử một vụ án liên quan đến thuế thu nhập cá nhân của một cá nhân cư trú tại Bỉ, người đang là đối tượng của một cuộc điều tra về gian lận thuế giá trị gia tăng (VAT). Người ta lập luận rằng thông tin thu được bất hợp pháp liên quan đến gian lận VAT, nơi luật EU được áp dụng, không thể được sử dụng trong một vấn đề liên quan đến nghĩa vụ thuế thu nhập cá nhân của họ. Tòa án phán quyết rằng vì thuế thu nhập hoàn toàn là vấn đề của luật Bỉ, luật EU không được áp dụng, và tòa án không có thẩm quyền. 246</w:t>
      </w:r>
    </w:p>
    <w:p>
      <w:pPr>
        <w:spacing w:after="80"/>
      </w:pPr>
      <w:r>
        <w:rPr>
          <w:b/>
          <w:i w:val="0"/>
        </w:rPr>
        <w:t>[L]Tương tác với các Hiệp định Thuế</w:t>
      </w:r>
    </w:p>
    <w:p>
      <w:pPr>
        <w:spacing w:after="80"/>
      </w:pPr>
      <w:r>
        <w:rPr>
          <w:b w:val="0"/>
          <w:i w:val="0"/>
        </w:rPr>
        <w:t xml:space="preserve">Chỉ thị này không hạn chế việc áp dụng rộng hơn các nghĩa vụ trao đổi thông tin khác. 247 Trong </w:t>
      </w:r>
      <w:r>
        <w:rPr>
          <w:b w:val="0"/>
          <w:i/>
        </w:rPr>
        <w:t>ELISA</w:t>
      </w:r>
      <w:r>
        <w:rPr>
          <w:b w:val="0"/>
          <w:i w:val="0"/>
        </w:rPr>
        <w:t>, 248 ECJ được yêu cầu xem xét sự tương tác giữa các quy định trao đổi thông tin trong một hiệp định thuế và những quy định trong chỉ thị. Trao đổi thông tin theo hiệp định song phương Pháp-Luxembourg không bao gồm thông tin liên quan đến một số công ty holding được thành lập theo luật Luxembourg. Hiệp định được đề cập có phạm vi hẹp hơn so với chỉ thị, do đó câu hỏi về một hiệp định có phạm vi rộng hơn không áp dụng cho vấn đề này. Tòa án</w:t>
      </w:r>
    </w:p>
    <w:p>
      <w:pPr>
        <w:spacing w:after="80"/>
      </w:pPr>
      <w:r>
        <w:rPr>
          <w:b w:val="0"/>
          <w:i w:val="0"/>
        </w:rPr>
        <w:t>243. Tại các đoạn 91-93. 244. Tại đoạn 105. 245.</w:t>
      </w:r>
      <w:r>
        <w:rPr>
          <w:b w:val="0"/>
          <w:i/>
        </w:rPr>
        <w:t>WebMindLicenses Kft v Nemzeti Adó- és Vámhivatal Kiemelt Adó- és Vám Fo</w:t>
      </w:r>
      <w:r>
        <w:rPr>
          <w:b w:val="0"/>
          <w:i w:val="0"/>
        </w:rPr>
        <w:t>″</w:t>
      </w:r>
      <w:r>
        <w:rPr>
          <w:b w:val="0"/>
          <w:i/>
        </w:rPr>
        <w:t>igazgatóság</w:t>
      </w:r>
      <w:r>
        <w:rPr>
          <w:b w:val="0"/>
          <w:i w:val="0"/>
        </w:rPr>
        <w:t xml:space="preserve"> (Vụ án C-419/14) ECLI:EU:C:2015:832, [2016] 4 WLR 50, [2016] 2 CMLR 671, [2016] BVC 4, [2017] STC 97. Xem thêm </w:t>
      </w:r>
      <w:r>
        <w:rPr>
          <w:b w:val="0"/>
          <w:i/>
        </w:rPr>
        <w:t>Criminal proceedings against Petar Dzivev and Others</w:t>
      </w:r>
      <w:r>
        <w:rPr>
          <w:b w:val="0"/>
          <w:i w:val="0"/>
        </w:rPr>
        <w:t xml:space="preserve"> (Vụ án C-310/16) ECLI:EU:C:2019:30. 246.</w:t>
      </w:r>
      <w:r>
        <w:rPr>
          <w:b w:val="0"/>
          <w:i/>
        </w:rPr>
        <w:t>IN and JM v Belgische Staat</w:t>
      </w:r>
      <w:r>
        <w:rPr>
          <w:b w:val="0"/>
          <w:i w:val="0"/>
        </w:rPr>
        <w:t xml:space="preserve"> (Các vụ án hợp nhất C-469/18 và C-470/18) ECLI:EU:C:2019:895. Trong trường hợp đó, thông tin được thu thập vi phạm Điều 20 của </w:t>
      </w:r>
      <w:r>
        <w:rPr>
          <w:b w:val="0"/>
          <w:i/>
        </w:rPr>
        <w:t>Hiệp định Tương trợ Tư pháp và Dẫn độ trong các Vấn đề Hình sự giữa Vương quốc Bỉ, Đại Công quốc Luxembourg và Vương quốc Hà Lan</w:t>
      </w:r>
      <w:r>
        <w:rPr>
          <w:b w:val="0"/>
          <w:i w:val="0"/>
        </w:rPr>
        <w:t>, ngày 27 tháng 6 năm 1962. Câu hỏi vẫn có thể nằm trong phạm vi của các công cụ quốc tế khác như Công ước Châu Âu về Nhân quyền. 247. Điều 1(3). 248.</w:t>
      </w:r>
      <w:r>
        <w:rPr>
          <w:b w:val="0"/>
          <w:i/>
        </w:rPr>
        <w:t>Européenne et Luxembourgeoise d'investissements SA (Elisa) v Directeur général des impôts and Ministère public</w:t>
      </w:r>
      <w:r>
        <w:rPr>
          <w:b w:val="0"/>
          <w:i w:val="0"/>
        </w:rPr>
        <w:t xml:space="preserve"> (Vụ án C-451/05) [2011] BTC 513 [2007] ECR I-825; [2008] STC 17621.</w:t>
      </w:r>
    </w:p>
    <w:p>
      <w:pPr>
        <w:spacing w:after="80"/>
      </w:pPr>
      <w:r>
        <w:rPr>
          <w:b w:val="0"/>
          <w:i w:val="0"/>
        </w:rPr>
        <w:t>673</w:t>
      </w:r>
    </w:p>
    <w:p>
      <w:pPr>
        <w:spacing w:after="80"/>
      </w:pPr>
      <w:r>
        <w:rPr>
          <w:b w:val="0"/>
          <w:i w:val="0"/>
        </w:rPr>
        <w:t>kết luận, tuy nhiên, rằng thông tin về công ty Luxembourg không nằm trong phạm vi của chỉ thị vì việc loại trừ các công ty holding Luxembourg trong hiệp định song phương chỉ phản ánh luật trong nước và, theo Điều 8(1) của chỉ thị, các Quốc gia Thành viên không có nghĩa vụ cung cấp thông tin mà luật pháp hoặc thực tiễn hành chính của họ ngăn cản việc thu thập hoặc sử dụng thông tin đó cho mục đích riêng của họ. 249</w:t>
      </w:r>
    </w:p>
    <w:p>
      <w:pPr>
        <w:spacing w:after="80"/>
      </w:pPr>
      <w:r>
        <w:rPr>
          <w:b w:val="0"/>
          <w:i w:val="0"/>
        </w:rPr>
        <w:t>Các Quốc gia Thành viên được yêu cầu dành đối xử tối huệ quốc (most-favoured-nation) liên quan đến trao đổi thông tin. Khi một Quốc gia Thành viên cung cấp hợp tác rộng hơn cho một quốc gia thứ ba so với quy định trong chỉ thị này, Quốc gia Thành viên đó không được từ chối cung cấp hợp tác rộng hơn như vậy cho bất kỳ Quốc gia Thành viên nào khác muốn tham gia vào hợp tác rộng hơn lẫn nhau với Quốc gia Thành viên đó. 250 Do đó, các Quốc gia Thành viên sẽ được yêu cầu ký kết các điều khoản hiệp định song phương với nhau, nếu họ đồng ý hợp tác rộng hơn với bất kỳ quốc gia thứ ba nào. Điều 19 của chỉ thị buộc các Quốc gia Thành viên này phải cung cấp cùng một sự hợp tác cho tất cả các Quốc gia Thành viên khác muốn có những thỏa thuận như vậy. Điều này không yêu cầu các thỏa thuận đó phải có đi có lại, và do đó, các Quốc gia Thành viên khác có thể yêu cầu hợp tác rộng hơn như vậy mà không cần tự mình cung cấp nó.</w:t>
      </w:r>
    </w:p>
    <w:p>
      <w:pPr>
        <w:spacing w:after="80"/>
      </w:pPr>
      <w:r>
        <w:rPr>
          <w:b/>
          <w:i w:val="0"/>
        </w:rPr>
        <w:t>[M]Thực thi tại Ireland</w:t>
      </w:r>
    </w:p>
    <w:p>
      <w:pPr>
        <w:spacing w:after="80"/>
      </w:pPr>
      <w:r>
        <w:rPr>
          <w:b w:val="0"/>
          <w:i w:val="0"/>
        </w:rPr>
        <w:t>Khi thực thi Chỉ thị Tương trợ Lẫn nhau của EU, Quy định về Liên minh Châu Âu (Hợp tác Hành chính trong Lĩnh vực Thuế) năm 2012 251 chỉ định The Revenue Commissioners là cơ quan có thẩm quyền và tại Ireland cho tất cả các vấn đề theo chỉ thị. 252 Quy định 6(1) cho phép các cơ quan công quyền phản hồi các yêu cầu theo chỉ thị mà không vi phạm các lệnh cấm tiết lộ thông tin. Để có thể tuân thủ các nghĩa vụ theo chỉ thị, và thông tin sẽ không bị hạn chế trong quyền sở hữu của họ, quy định 6(4) áp đặt nghĩa vụ bảo mật yêu cầu thông tin chỉ được sử dụng cho các mục đích được chỉ thị cho phép. Các quyền hạn của Revenue được quy định trong TCA 1997, Phần 38, Chương 4 áp dụng trên toàn bộ việc quản lý chỉ thị.</w:t>
      </w:r>
    </w:p>
    <w:p>
      <w:pPr>
        <w:spacing w:after="80"/>
      </w:pPr>
      <w:r>
        <w:rPr>
          <w:b/>
          <w:i w:val="0"/>
        </w:rPr>
        <w:t>§22.22 TRAO ĐỔI THÔNG TIN TÀI CHÍNH TỰ ĐỘNG CỦA EU</w:t>
      </w:r>
    </w:p>
    <w:p>
      <w:pPr>
        <w:spacing w:after="80"/>
      </w:pPr>
      <w:r>
        <w:rPr>
          <w:b w:val="0"/>
          <w:i w:val="0"/>
        </w:rPr>
        <w:t>Chỉ thị Tương trợ Lẫn nhau của EU 253 đã được sửa đổi vào tháng 12 năm 2014 để thực thi CRS của OECD. 254 Trao đổi tự động giờ đây được định nghĩa là 'việc truyền đạt có hệ thống thông tin được xác định trước về cư dân ở các quốc gia thành viên khác đến quốc gia cư trú thành viên liên quan, mà không cần yêu cầu trước, theo định kỳ được thiết lập trước</w:t>
      </w:r>
    </w:p>
    <w:p>
      <w:pPr>
        <w:spacing w:after="80"/>
      </w:pPr>
      <w:r>
        <w:rPr>
          <w:b w:val="0"/>
          <w:i w:val="0"/>
        </w:rPr>
        <w:t>249. Tại đoạn 55. 250. Điều 19. 251. Quy định về Liên minh Châu Âu (Hợp tác Hành chính trong Lĩnh vực Thuế) năm 2012, SI 549 của 2012. 252. SI 589/2012, quy định 4. 253. Bởi Chỉ thị Hội đồng 2014/107/EU ngày 9 tháng 12 năm 2014 sửa đổi Chỉ thị 2011/16/EU về trao đổi thông tin tự động bắt buộc trong lĩnh vực thuế (DAC 2). 254. Điều 3(9) đối với Tiêu chuẩn Báo cáo Chung, xem §22.18.</w:t>
      </w:r>
    </w:p>
    <w:p>
      <w:pPr>
        <w:spacing w:after="80"/>
      </w:pPr>
      <w:r>
        <w:rPr>
          <w:b w:val="0"/>
          <w:i w:val="0"/>
        </w:rPr>
        <w:t>674</w:t>
      </w:r>
    </w:p>
    <w:p>
      <w:pPr>
        <w:spacing w:after="80"/>
      </w:pPr>
      <w:r>
        <w:rPr>
          <w:b w:val="0"/>
          <w:i w:val="0"/>
        </w:rPr>
        <w:t>các khoảng thời gian'.255 Các Quốc gia Thành viên được yêu cầu thực hiện các biện pháp cần thiết để yêu cầu các Tổ chức Tài chính Báo cáo thực hiện các quy tắc báo cáo và thẩm định theo quy định tại Phụ lục I và II của Chỉ thị, sau đó truyền đạt thông tin được quy định thông qua trao đổi tự động liên quan đến các Tài khoản Phải báo cáo trong các khung thời gian cụ thể.256 Các quy tắc báo cáo và thẩm định nhằm mục đích nhất quán với các quy tắc trong CRS do OECD phát triển. Hơn nữa, phạm vi thông tin được đề cập nhằm bao gồm cùng thông tin như trong CRS và Thỏa thuận giữa các Cơ quan có thẩm quyền theo Mẫu của OECD. Cơ quan có thẩm quyền của một Quốc gia Thành viên có thể thông báo cho cơ quan có thẩm quyền của bất kỳ Quốc gia Thành viên nào khác rằng họ muốn từ chối nhận một phần hoặc toàn bộ thông tin, nhưng không từ chối việc thu thập và cung cấp thông tin đó.257 Người ta dự kiến rằng mỗi Quốc gia Thành viên sẽ chỉ có một danh sách duy nhất các Tổ chức Tài chính Không Báo cáo được định nghĩa trong nước258 và các Tài khoản Được loại trừ259 để thực hiện Chỉ thị và các thỏa thuận khác thực hiện CRS. Việc báo cáo đầu tiên sẽ áp dụng cho các kỳ tính thuế từ ngày 1 tháng 1 năm 2016. Các quy định này được thực thi tại Ireland bởi TCA 1997, s. 891G.260</w:t>
      </w:r>
    </w:p>
    <w:p>
      <w:pPr>
        <w:spacing w:after="80"/>
      </w:pPr>
      <w:r>
        <w:rPr>
          <w:b/>
          <w:i w:val="0"/>
        </w:rPr>
        <w:t>§22.23 TRAO ĐỔI TỰ ĐỘNG CỦA EU ĐỐI VỚI CÁC QUYẾT ĐỊNH THUẾ XUYÊN BIÊN GIỚI</w:t>
      </w:r>
    </w:p>
    <w:p>
      <w:pPr>
        <w:spacing w:after="80"/>
      </w:pPr>
      <w:r>
        <w:rPr>
          <w:b w:val="0"/>
          <w:i w:val="0"/>
        </w:rPr>
        <w:t>Chỉ thị Hỗ trợ Tương trợ của EU đã được sửa đổi vào tháng 12 năm 2015261 để thực hiện Báo cáo Cuối cùng về Hành động 5 của OECD BEPS về các thực tiễn thuế có hại262 bằng cách đưa ra cơ chế trao đổi thông tin tự nguyện bắt buộc đối với các quyết định thuế xuyên biên giới trước và các thỏa thuận định giá trước (APAs). Các Quốc gia Thành viên được yêu cầu tự động trao đổi thông tin về các quyết định thuế và APAs được ban hành, sửa đổi hoặc gia hạn vào hoặc sau ngày 1 tháng 1 năm 2017.263 Các quy tắc chuyển tiếp cũng yêu cầu một số quyết định nhất định được ban hành trước ngày đó.264 Thông tin phải được cung cấp cho cơ quan có thẩm quyền của tất cả các Quốc gia Thành viên khác (không chỉ những quốc gia bị ảnh hưởng bởi quyết định), cũng như cho Ủy ban Châu Âu. Các quy định này được thực thi tại Ireland bởi TCA 1997, s. 891GA. 'Quyết định thuế xuyên biên giới trước' được định nghĩa rộng rãi bao gồm bất kỳ thỏa thuận, thông tin liên lạc, hoặc bất kỳ công cụ hoặc hành động nào khác có hiệu lực tương tự, bao gồm cả một quyết định được ban hành, sửa đổi hoặc gia hạn trong bối cảnh kiểm toán thuế, và được ban hành, sửa đổi hoặc gia hạn bởi, hoặc thay mặt cho, chính phủ hoặc cơ quan thuế của một Quốc gia Thành viên, hoặc các phân khu lãnh thổ hoặc hành chính của Quốc gia Thành viên, bao gồm cả chính quyền địa phương, bất kể quyết định đó có được sử dụng thực tế hay không. Chỉ những quyết định được ban hành cho một</w:t>
      </w:r>
    </w:p>
    <w:p>
      <w:pPr>
        <w:spacing w:after="80"/>
      </w:pPr>
      <w:r>
        <w:rPr>
          <w:b w:val="0"/>
          <w:i w:val="0"/>
        </w:rPr>
        <w:t>255. Điều 8(3a).256. Điều 8(3).257. Phụ lục I, mục VIII B.258. Phụ lục I, mục VIII A(17).259. Điều 8(5)(a).260. Được bổ sung bởi Quy định về Trao đổi Thông tin Tự động Bắt buộc trong Lĩnh vực Thuế năm 2015 (SI 609/2015).261. Bởi Chỉ thị Hội đồng (EU) 2015/2376 ngày 8 tháng 12 năm 2015 sửa đổi Chỉ thị 2011/16/EU về trao đổi thông tin tự động bắt buộc trong lĩnh vực thuế (DAC 3).262. Xem §22.01.263. Điều 8a (1).264. Điều 8a (2).</w:t>
      </w:r>
    </w:p>
    <w:p>
      <w:pPr>
        <w:spacing w:after="80"/>
      </w:pPr>
      <w:r>
        <w:rPr>
          <w:b w:val="0"/>
          <w:i w:val="0"/>
        </w:rPr>
        <w:t>675</w:t>
      </w:r>
    </w:p>
    <w:p>
      <w:pPr>
        <w:spacing w:after="80"/>
      </w:pPr>
      <w:r>
        <w:rPr>
          <w:b w:val="0"/>
          <w:i w:val="0"/>
        </w:rPr>
        <w:t>một người hoặc những người cụ thể, và dựa vào đó có thể tin cậy vào việc giải thích hoặc áp dụng một quy định pháp lý hoặc hành chính liên quan đến luật thuế của Quốc gia Thành viên, đều được bao gồm. Quyết định phải được đưa ra trước các giao dịch hoặc các hoạt động mà nó đề cập.265</w:t>
      </w:r>
    </w:p>
    <w:p>
      <w:pPr>
        <w:spacing w:after="80"/>
      </w:pPr>
      <w:r>
        <w:rPr>
          <w:b w:val="0"/>
          <w:i w:val="0"/>
        </w:rPr>
        <w:t>Một số APAs song phương hoặc đa phương với các quốc gia thứ ba được loại trừ khỏi trao đổi tự động nếu hiệp định tránh đánh thuế hai lần mà theo đó thỏa thuận được ký kết không cho phép tiết lộ cho các bên thứ ba.266</w:t>
      </w:r>
    </w:p>
    <w:p>
      <w:pPr>
        <w:spacing w:after="80"/>
      </w:pPr>
      <w:r>
        <w:rPr>
          <w:b/>
          <w:i w:val="0"/>
        </w:rPr>
        <w:t>§22.24 TRAO ĐỔI TỰ ĐỘNG CỦA EU ĐỐI VỚI BÁO CÁO THEO QUỐC GIA</w:t>
      </w:r>
    </w:p>
    <w:p>
      <w:pPr>
        <w:spacing w:after="80"/>
      </w:pPr>
      <w:r>
        <w:rPr>
          <w:b w:val="0"/>
          <w:i w:val="0"/>
        </w:rPr>
        <w:t>Chỉ thị Hỗ trợ Tương trợ của EU đã được sửa đổi vào tháng 5 năm 2016267 để thực hiện Báo cáo Cuối cùng về Hành động 13 của OECD BEPS bằng cách đưa ra cơ chế trao đổi tự động bắt buộc đối với Báo cáo theo Quốc gia.268 Chỉ thị cũng áp đặt nghĩa vụ lên các Quốc gia Thành viên yêu cầu CbCR269 và quy định thông tin tối thiểu được yêu cầu.270</w:t>
      </w:r>
    </w:p>
    <w:p>
      <w:pPr>
        <w:spacing w:after="80"/>
      </w:pPr>
      <w:r>
        <w:rPr>
          <w:b w:val="0"/>
          <w:i w:val="0"/>
        </w:rPr>
        <w:t>Các Quốc gia Thành viên phải tự động trao đổi Báo cáo theo Quốc gia không muộn hơn mười lăm tháng sau ngày cuối cùng của năm tài chính của Nhóm MNE mà Báo cáo liên quan.271 Chỉ thị cũng nêu rõ rằng Báo cáo theo Quốc gia chỉ có thể được sử dụng cho mục đích đánh giá rủi ro chuyển giá ở mức cao và các rủi ro khác liên quan đến BEPS, bao gồm đánh giá rủi ro không tuân thủ của các thành viên trong Nhóm MNE với các quy tắc chuyển giá hiện hành, và khi thích hợp cho phân tích kinh tế và thống kê. Do đó, các điều chỉnh chuyển giá không thể dựa trên chúng. Thông tin được trao đổi này có thể tạo cơ sở cho các cuộc điều tra về các vấn đề thuế của một tập đoàn đa quốc gia trong quá trình kiểm toán thuế với các điều chỉnh đối với thu nhập chịu thuế khi thích hợp.272 Các quy định này được thực thi tại Ireland bởi TCA 1997, s. 891H.273</w:t>
      </w:r>
    </w:p>
    <w:p>
      <w:pPr>
        <w:spacing w:after="80"/>
      </w:pPr>
      <w:r>
        <w:rPr>
          <w:b/>
          <w:i w:val="0"/>
        </w:rPr>
        <w:t>§22.25 QUYỀN TRUY CẬP CỦA CƠ QUAN THUẾ EU ĐỐI VỚI THÔNG TIN CHỦ SỞ HỮU HƯỞNG LỢI VỀ CHỐNG RỬA TIỀN</w:t>
      </w:r>
    </w:p>
    <w:p>
      <w:pPr>
        <w:spacing w:after="80"/>
      </w:pPr>
      <w:r>
        <w:rPr>
          <w:b w:val="0"/>
          <w:i w:val="0"/>
        </w:rPr>
        <w:t>Chỉ thị Hỗ trợ Tương trợ của EU đã được sửa đổi vào tháng 11 năm 2016274 để yêu cầu các Quốc gia Thành viên cho phép cơ quan thuế truy cập thông tin về chủ sở hữu hưởng lợi và thông tin liên quan mà các thực thể có nghĩa vụ được yêu cầu duy trì theo</w:t>
      </w:r>
    </w:p>
    <w:p>
      <w:pPr>
        <w:spacing w:after="80"/>
      </w:pPr>
      <w:r>
        <w:rPr>
          <w:b w:val="0"/>
          <w:i w:val="0"/>
        </w:rPr>
        <w:t>265. Điều 3(14). Xem thêm Điều 3(15) về định nghĩa 'thỏa thuận định giá trước'.266. Điều 8a (3).267. Bởi Chỉ thị Hội đồng (EU) 2016/881 ngày 25 tháng 5 năm 2016 sửa đổi Chỉ thị 2011/16/EU về trao đổi thông tin tự động bắt buộc trong lĩnh vực thuế (DAC 4).268. Xem §22.01.269. Điều 8aa(1).270. Điều 8aa(3).271. Điều 8aa(4).272. Điều 16(6).273. Được bổ sung bởi Quy định về Thuế (Báo cáo theo Quốc gia) năm 2015 (SI 629/2015).274. Chỉ thị Hội đồng (EU) 2016/2258 ngày 6 tháng 12 năm 2016 sửa đổi Chỉ thị 2011/16/EU về quyền truy cập thông tin chống rửa tiền của cơ quan thuế (DAC 5).</w:t>
      </w:r>
    </w:p>
    <w:p>
      <w:pPr>
        <w:spacing w:after="80"/>
      </w:pPr>
      <w:r>
        <w:rPr>
          <w:b w:val="0"/>
          <w:i w:val="0"/>
        </w:rPr>
        <w:t>676</w:t>
      </w:r>
    </w:p>
    <w:p>
      <w:pPr>
        <w:spacing w:after="80"/>
      </w:pPr>
      <w:r>
        <w:rPr>
          <w:b w:val="0"/>
          <w:i w:val="0"/>
        </w:rPr>
        <w:t>Chỉ thị chống rửa tiền thứ tư của EU.275 Điều 22, khoản 1a của chỉ thị đã sửa đổi yêu cầu cấp quyền truy cập vào thông tin và hồ sơ thẩm định khách hàng và chủ sở hữu hưởng lợi được quy định tại các Điều 13, 30, 31 và 40 của chỉ thị chống rửa tiền thứ tư.</w:t>
      </w:r>
    </w:p>
    <w:p>
      <w:pPr>
        <w:spacing w:after="80"/>
      </w:pPr>
      <w:r>
        <w:rPr>
          <w:b/>
          <w:i w:val="0"/>
        </w:rPr>
        <w:t>§22.26 QUY ĐỊNH CÔNG BỐ BẮT BUỘC CỦA EU ĐỐI VỚI CÁC TRUNG GIAN VÀ TRAO ĐỔI TỰ ĐỘNG THÔNG TIN VỀ HOẠCH ĐỊNH THUẾ XUYÊN BIÊN GIỚI</w:t>
      </w:r>
    </w:p>
    <w:p>
      <w:pPr>
        <w:spacing w:after="80"/>
      </w:pPr>
      <w:r>
        <w:rPr>
          <w:b w:val="0"/>
          <w:i w:val="0"/>
        </w:rPr>
        <w:t>Việc sửa đổi Chỉ thị về Hỗ trợ Tương trợ của EU vào tháng 5 năm 2018</w:t>
      </w:r>
      <w:r>
        <w:rPr>
          <w:b w:val="0"/>
          <w:i/>
        </w:rPr>
        <w:t>276</w:t>
      </w:r>
      <w:r>
        <w:rPr>
          <w:b w:val="0"/>
          <w:i w:val="0"/>
        </w:rPr>
        <w:t xml:space="preserve"> đã đưa ra một cơ chế công bố bắt buộc đối với hoạch định thuế xuyên biên giới (DAC 6) nhằm tạo hiệu lực lập pháp cho các khuyến nghị trong Báo cáo Cuối cùng về Hành động 12 của OECD BEPS.</w:t>
      </w:r>
      <w:r>
        <w:rPr>
          <w:b w:val="0"/>
          <w:i/>
        </w:rPr>
        <w:t>277</w:t>
      </w:r>
      <w:r>
        <w:rPr>
          <w:b w:val="0"/>
          <w:i w:val="0"/>
        </w:rPr>
        <w:t xml:space="preserve"> Một "thỏa thuận xuyên biên giới" là một thỏa thuận đơn bước hoặc đa bước hoặc một chuỗi các thỏa thuận liên quan đến nhiều hơn một Quốc gia Thành viên hoặc giữa một Quốc gia Thành viên và một quốc gia thứ ba nếu:</w:t>
      </w:r>
    </w:p>
    <w:p>
      <w:pPr>
        <w:spacing w:after="80"/>
      </w:pPr>
      <w:r>
        <w:rPr>
          <w:b w:val="0"/>
          <w:i w:val="0"/>
        </w:rPr>
        <w:t>(a) không phải tất cả những người tham gia vào thỏa thuận đều cư trú vì mục đích thuế tại</w:t>
      </w:r>
    </w:p>
    <w:p>
      <w:pPr>
        <w:spacing w:after="80"/>
      </w:pPr>
      <w:r>
        <w:rPr>
          <w:b w:val="0"/>
          <w:i w:val="0"/>
        </w:rPr>
        <w:t>cùng một khu vực tài phán; (b) một hoặc nhiều người tham gia vào thỏa thuận đồng thời</w:t>
      </w:r>
    </w:p>
    <w:p>
      <w:pPr>
        <w:spacing w:after="80"/>
      </w:pPr>
      <w:r>
        <w:rPr>
          <w:b w:val="0"/>
          <w:i w:val="0"/>
        </w:rPr>
        <w:t>cư trú vì mục đích thuế tại nhiều hơn một khu vực tài phán; (c) một hoặc nhiều người tham gia vào thỏa thuận tiến hành hoạt động kinh doanh tại</w:t>
      </w:r>
    </w:p>
    <w:p>
      <w:pPr>
        <w:spacing w:after="80"/>
      </w:pPr>
      <w:r>
        <w:rPr>
          <w:b w:val="0"/>
          <w:i w:val="0"/>
        </w:rPr>
        <w:t>một khu vực tài phán khác thông qua một cơ sở thường trú đặt tại khu vực tài phán đó và thỏa thuận đó tạo thành một phần hoặc toàn bộ hoạt động kinh doanh của cơ sở thường trú đó; (d) một hoặc nhiều người tham gia vào thỏa thuận tiến hành một hoạt động tại</w:t>
      </w:r>
    </w:p>
    <w:p>
      <w:pPr>
        <w:spacing w:after="80"/>
      </w:pPr>
      <w:r>
        <w:rPr>
          <w:b w:val="0"/>
          <w:i w:val="0"/>
        </w:rPr>
        <w:t>một khu vực tài phán khác mà không cư trú vì mục đích thuế hoặc không tạo ra một cơ sở thường trú đặt tại khu vực tài phán đó; hoặc (e) thỏa thuận đó có khả năng ảnh hưởng đến việc trao đổi tự động</w:t>
      </w:r>
    </w:p>
    <w:p>
      <w:pPr>
        <w:spacing w:after="80"/>
      </w:pPr>
      <w:r>
        <w:rPr>
          <w:b w:val="0"/>
          <w:i w:val="0"/>
        </w:rPr>
        <w:t>thông tin hoặc việc xác định quyền sở hữu hưởng lợi.</w:t>
      </w:r>
      <w:r>
        <w:rPr>
          <w:b w:val="0"/>
          <w:i/>
        </w:rPr>
        <w:t>278</w:t>
      </w:r>
    </w:p>
    <w:p>
      <w:pPr>
        <w:spacing w:after="80"/>
      </w:pPr>
      <w:r>
        <w:rPr>
          <w:b w:val="0"/>
          <w:i w:val="0"/>
        </w:rPr>
        <w:t>Một thỏa thuận xuyên biên giới phải được báo cáo nếu nó chứa ít nhất một trong các dấu hiệu đặc trưng hoặc là một đặc điểm cho thấy nguy cơ tránh thuế tiềm ẩn.</w:t>
      </w:r>
      <w:r>
        <w:rPr>
          <w:b w:val="0"/>
          <w:i/>
        </w:rPr>
        <w:t>279</w:t>
      </w:r>
      <w:r>
        <w:rPr>
          <w:b w:val="0"/>
          <w:i w:val="0"/>
        </w:rPr>
        <w:t xml:space="preserve"> Các dấu hiệu này được quy định trong Phụ lục IV.</w:t>
      </w:r>
    </w:p>
    <w:p>
      <w:pPr>
        <w:spacing w:after="80"/>
      </w:pPr>
      <w:r>
        <w:rPr>
          <w:b w:val="0"/>
          <w:i w:val="0"/>
        </w:rPr>
        <w:t>Bất kỳ người nào thiết kế, tiếp thị, tổ chức hoặc cung cấp để thực hiện hoặc quản lý việc thực hiện một thỏa thuận xuyên biên giới phải được báo cáo đều có nghĩa vụ công bố với tư cách là một "trung gian". Điều này chỉ giới hạn ở bất kỳ</w:t>
      </w:r>
    </w:p>
    <w:p>
      <w:pPr>
        <w:spacing w:after="80"/>
      </w:pPr>
      <w:r>
        <w:rPr>
          <w:b w:val="0"/>
          <w:i w:val="0"/>
        </w:rPr>
        <w:t>275. Chỉ thị (EU) 2015/849 của Nghị viện Châu Âu và Hội đồng ngày 20 tháng 5 năm 2015 về việc ngăn chặn việc sử dụng hệ thống tài chính cho mục đích rửa tiền hoặc tài trợ khủng bố, sửa đổi Quy định (EU) số 648/2012 của Nghị viện Châu Âu và Hội đồng, và bãi bỏ Chỉ thị 2005/60/EC của Nghị viện Châu Âu và Hội đồng và Chỉ thị 2006/70/EC của Ủy ban (Văn bản có liên quan đến EEA). 276. Chỉ thị của Hội đồng 2018/822 sửa đổi Chỉ thị 2011/16/EU về trao đổi thông tin tự động bắt buộc trong lĩnh vực thuế liên quan đến các thỏa thuận xuyên biên giới phải báo cáo (DAC 6). 277. OECD (2015), Quy định Công bố Bắt buộc, Hành động 12 – Báo cáo Cuối cùng 2015, Dự án Xói mòn Cơ sở và Chuyển dịch Lợi nhuận của OECD/G20, OECD. 278. Chỉ thị 2011/16, điều 18. 279. Chỉ thị 2011/16, điều 19 và 20.</w:t>
      </w:r>
    </w:p>
    <w:p>
      <w:pPr>
        <w:spacing w:after="80"/>
      </w:pPr>
      <w:r>
        <w:rPr>
          <w:b w:val="0"/>
          <w:i w:val="0"/>
        </w:rPr>
        <w:t>677</w:t>
      </w:r>
    </w:p>
    <w:p>
      <w:pPr>
        <w:spacing w:after="80"/>
      </w:pPr>
      <w:r>
        <w:rPr>
          <w:b w:val="0"/>
          <w:i w:val="0"/>
        </w:rPr>
        <w:t>chuyên gia đã đăng ký hành nghề luật, thuế hoặc tư vấn và cư trú tại hoặc hoạt động với tư cách đó thông qua một cơ sở thường trú tại một Quốc gia Thành viên.</w:t>
      </w:r>
      <w:r>
        <w:rPr>
          <w:b w:val="0"/>
          <w:i/>
        </w:rPr>
        <w:t>280</w:t>
      </w:r>
      <w:r>
        <w:rPr>
          <w:b w:val="0"/>
          <w:i w:val="0"/>
        </w:rPr>
        <w:t xml:space="preserve"> Nếu trung gian bị ngăn cản công bố do đặc quyền nghề nghiệp pháp lý, thì người nộp thuế đang sử dụng hoặc đề xuất sử dụng thỏa thuận đó được yêu cầu thực hiện việc công bố.</w:t>
      </w:r>
      <w:r>
        <w:rPr>
          <w:b w:val="0"/>
          <w:i/>
        </w:rPr>
        <w:t>281</w:t>
      </w:r>
    </w:p>
    <w:p>
      <w:pPr>
        <w:spacing w:after="80"/>
      </w:pPr>
      <w:r>
        <w:rPr>
          <w:b w:val="0"/>
          <w:i w:val="0"/>
        </w:rPr>
        <w:t>Các Quốc gia Thành viên được yêu cầu tự động truyền đạt các thỏa thuận xuyên biên giới phải báo cáo cho các cơ quan có thẩm quyền của tất cả các Quốc gia Thành viên khác.</w:t>
      </w:r>
      <w:r>
        <w:rPr>
          <w:b w:val="0"/>
          <w:i/>
        </w:rPr>
        <w:t>282</w:t>
      </w:r>
      <w:r>
        <w:rPr>
          <w:b w:val="0"/>
          <w:i w:val="0"/>
        </w:rPr>
        <w:t xml:space="preserve"> DAC 6 được thực hiện tại Ireland bởi TCA 1997, Phần 33, Chương 3A.</w:t>
      </w:r>
    </w:p>
    <w:p>
      <w:pPr>
        <w:spacing w:after="80"/>
      </w:pPr>
      <w:r>
        <w:rPr>
          <w:b w:val="0"/>
          <w:i w:val="0"/>
        </w:rPr>
        <w:t xml:space="preserve">Cơ chế DAC 6 được mô phỏng theo luật Công bố các Cơ chế Tránh thuế của Vương quốc Anh trong Đạo luật Tài chính 2004, Phần 7. Phạm vi rộng của cơ chế công bố được minh họa bởi </w:t>
      </w:r>
      <w:r>
        <w:rPr>
          <w:b w:val="0"/>
          <w:i/>
        </w:rPr>
        <w:t>HMRC v Hyrax Resourcing Ltd &amp; Ors</w:t>
      </w:r>
      <w:r>
        <w:rPr>
          <w:b w:val="0"/>
          <w:i w:val="0"/>
        </w:rPr>
        <w:t>.</w:t>
      </w:r>
      <w:r>
        <w:rPr>
          <w:b w:val="0"/>
          <w:i/>
        </w:rPr>
        <w:t>283</w:t>
      </w:r>
      <w:r>
        <w:rPr>
          <w:b w:val="0"/>
          <w:i w:val="0"/>
        </w:rPr>
        <w:t xml:space="preserve"> Tại đó, Tòa án Sơ thẩm đã nhận xét rằng "các thỏa thuận" có nghĩa rộng. Có một loạt các giao dịch được lên kế hoạch trước đã được giải thích cho những người dùng tiềm năng. Tòa án nhận thấy rằng, theo bất kỳ nghĩa nào của các từ ngữ, một "cơ chế" đã tồn tại trong luật pháp Vương quốc Anh.</w:t>
      </w:r>
      <w:r>
        <w:rPr>
          <w:b w:val="0"/>
          <w:i/>
        </w:rPr>
        <w:t>284</w:t>
      </w:r>
      <w:r>
        <w:rPr>
          <w:b w:val="0"/>
          <w:i w:val="0"/>
        </w:rPr>
        <w:t xml:space="preserve"> Cơ chế được đề cập được xác định là phiên bản mới nhất của một cơ chế đã tồn tại trong nhiều năm và được quảng cáo là giống với các phiên bản trước đó ngoại trừ những thay đổi để tránh bị bắt bởi vòng luật chống tránh thuế mới nhất. Tòa án quyết định rằng không có sự cần thiết tuyệt đối nào để chứng minh "tránh thuế" khi một thỏa thuận đáp ứng các dấu hiệu.</w:t>
      </w:r>
    </w:p>
    <w:p>
      <w:pPr>
        <w:spacing w:after="80"/>
      </w:pPr>
      <w:r>
        <w:rPr>
          <w:b/>
          <w:i w:val="0"/>
        </w:rPr>
        <w:t>§22.27 CÁC HIỆP ĐỊNH TRAO ĐỔI THÔNG TIN TỰ ĐỘNG CỦA EU</w:t>
      </w:r>
    </w:p>
    <w:p>
      <w:pPr>
        <w:spacing w:after="80"/>
      </w:pPr>
      <w:r>
        <w:rPr>
          <w:b w:val="0"/>
          <w:i w:val="0"/>
        </w:rPr>
        <w:t>EU và Thụy Sĩ đã ký một thỏa thuận mở rộng CRS285 về trao đổi thông tin tự động, phù hợp với Chỉ thị 2011/16/EU286 của EU, áp dụng cho Andorra, Liechtenstein, Monaco, San Marino và Thụy Sĩ.287</w:t>
      </w:r>
    </w:p>
    <w:p>
      <w:pPr>
        <w:spacing w:after="80"/>
      </w:pPr>
      <w:r>
        <w:rPr>
          <w:b/>
          <w:i w:val="0"/>
        </w:rPr>
        <w:t>§22.28 THỎA THUẬN MỸ-ANH NHẰM CẢI THIỆN VIỆC TUÂN THỦ THUẾ QUỐC TẾ VÀ TRIỂN KHAI FATCA</w:t>
      </w:r>
    </w:p>
    <w:p>
      <w:pPr>
        <w:spacing w:after="80"/>
      </w:pPr>
      <w:r>
        <w:rPr>
          <w:b w:val="0"/>
          <w:i/>
        </w:rPr>
        <w:t>Đạo luật Tuân thủ Thuế Tài khoản Nước ngoài</w:t>
      </w:r>
      <w:r>
        <w:rPr>
          <w:b w:val="0"/>
          <w:i w:val="0"/>
        </w:rPr>
        <w:t xml:space="preserve"> (FATCA) được Mỹ ban hành vào ngày 18 tháng 3 năm 2010 nhằm giải quyết tình trạng trốn thuế của người nộp thuế Mỹ thông qua việc sử dụng tài khoản và khoản đầu tư ở nước ngoài. Đạo luật này được hệ thống hóa trong </w:t>
      </w:r>
      <w:r>
        <w:rPr>
          <w:b w:val="0"/>
          <w:i/>
        </w:rPr>
        <w:t>Bộ luật Thuế vụ Nội địa Hoa Kỳ</w:t>
      </w:r>
      <w:r>
        <w:rPr>
          <w:b w:val="0"/>
          <w:i w:val="0"/>
        </w:rPr>
        <w:t xml:space="preserve"> (US Internal Revenue Code) tại các §§ 1471-1474.288 Về mặt khái niệm, FATCA tương tự như Chỉ thị Tiết kiệm của EU;289 ở chỗ nó dựa trên sự kết hợp giữa các nghĩa vụ công bố thông tin, được hỗ trợ bởi thuế khấu trừ. Nó khác với chỉ thị của EU ở chỗ đây là một hành động đơn phương của Mỹ nhằm buộc các tổ chức</w:t>
      </w:r>
    </w:p>
    <w:p>
      <w:pPr>
        <w:spacing w:after="80"/>
      </w:pPr>
      <w:r>
        <w:rPr>
          <w:b w:val="0"/>
          <w:i w:val="0"/>
        </w:rPr>
        <w:t>280. Chỉ thị 2011/16, các điều 8ab, khoản 1 và 21.281. Chỉ thị 2011/16, các điều 8ab, khoản 5 và 22.282. Chỉ thị 2011/16, các điều 8ab, khoản 13 và 14.283.</w:t>
      </w:r>
      <w:r>
        <w:rPr>
          <w:b w:val="0"/>
          <w:i/>
        </w:rPr>
        <w:t>Revenue &amp; Customs v Hyrax Resourcing Ltd &amp; Ors</w:t>
      </w:r>
      <w:r>
        <w:rPr>
          <w:b w:val="0"/>
          <w:i w:val="0"/>
        </w:rPr>
        <w:t xml:space="preserve"> [2019] UKFTT 175 (TC) [2019] SFTD 536, [2019] TC 07025.284. Tại khoản 140.285. Xem §22.18.286. Xem §22.22.287. Xem Chương 3, §3.12.288. USC Title 26, Subtitle A, Chapter 4, §§1471-1474.289. Chương 14, §14.01.</w:t>
      </w:r>
    </w:p>
    <w:p>
      <w:pPr>
        <w:spacing w:after="80"/>
      </w:pPr>
      <w:r>
        <w:rPr>
          <w:b w:val="0"/>
          <w:i w:val="0"/>
        </w:rPr>
        <w:t>678</w:t>
      </w:r>
    </w:p>
    <w:p>
      <w:pPr>
        <w:spacing w:after="80"/>
      </w:pPr>
      <w:r>
        <w:rPr>
          <w:b w:val="0"/>
          <w:i w:val="0"/>
        </w:rPr>
        <w:t>tài chính nước ngoài (FFIs) phải tuân thủ trực tiếp. Phạm vi của nó rộng hơn đáng kể so với chỉ thị của EU. Cả đại lý khấu trừ thuế của Mỹ lẫn các FFI đều là đại lý khấu trừ thuế và phải khấu trừ thuế đối với các khoản thanh toán cho các FFI, tức là các tổ chức phi Mỹ, trừ khi các FFI đồng ý chịu ba nghĩa vụ chính: thứ nhất, họ phải thực hiện thẩm định (due diligence) và các hoạt động nhận diện, phân loại tài khoản liên quan đến chủ tài khoản Mỹ. Thứ hai, họ được yêu cầu báo cáo thông tin cho Sở Thuế vụ Hoa Kỳ (IRS) liên quan đến chủ tài khoản Mỹ cũng như chủ sở hữu các phần tham gia trong một số thực thể phi tài chính phi Mỹ nhất định. Thứ ba, họ phải khấu trừ thuế ở mức 30% đối với các khoản thanh toán từ một số nguồn thu nhập nhất định có nguồn gốc từ Mỹ trả cho các FFI không tuân thủ các yêu cầu khác (FFI không tham gia) hoặc cho chủ tài khoản cũng không tuân thủ tương tự (chủ tài khoản cứng đầu).</w:t>
      </w:r>
    </w:p>
    <w:p>
      <w:pPr>
        <w:spacing w:after="80"/>
      </w:pPr>
      <w:r>
        <w:rPr>
          <w:b w:val="0"/>
          <w:i w:val="0"/>
        </w:rPr>
        <w:t>Vào ngày 12 tháng 9 năm 2012, Mỹ và Anh đã ký kết một hiệp ước để triển khai FATCA và 'cải thiện việc tuân thủ thuế quốc tế'.290 Hiệp ước này được xây dựng theo Mẫu I trong hai mẫu thỏa thuận do Bộ Tài chính Mỹ công bố ngày 26 tháng 7 năm 2012, nhằm thực thi một số khía cạnh nhất định của FATCA. Các quy tắc và thủ tục để triển khai hiệp ước được quy định trong một thỏa thuận song phương giữa cơ quan có thẩm quyền của hai quốc gia.291</w:t>
      </w:r>
    </w:p>
    <w:p>
      <w:pPr>
        <w:spacing w:after="80"/>
      </w:pPr>
      <w:r>
        <w:rPr>
          <w:b/>
          <w:i w:val="0"/>
        </w:rPr>
        <w:t>[A] Trao đổi thông tin</w:t>
      </w:r>
    </w:p>
    <w:p>
      <w:pPr>
        <w:spacing w:after="80"/>
      </w:pPr>
      <w:r>
        <w:rPr>
          <w:b w:val="0"/>
          <w:i w:val="0"/>
        </w:rPr>
        <w:t>Mỗi quốc gia được yêu cầu thu thập thông tin cụ thể và tự động trao đổi thông tin này hàng năm.292 Cơ sở pháp lý cho việc trao đổi là điều 27 của Hiệp ước Thuế Thu nhập Mỹ-Anh (2001). Anh được yêu cầu báo cáo dữ liệu mở rộng liên quan đến khách hàng Mỹ của từng Tổ chức Tài chính Anh phải báo cáo,293 và Anh phải báo cáo dữ liệu cụ thể của từng Tổ chức Tài chính Mỹ phải báo cáo liên quan đến các tài khoản do Anh nắm giữ.294 Tổ chức Tài chính Anh là những tổ chức cư trú tại Anh, nhưng không bao gồm bất kỳ chi nhánh nào bên ngoài Anh, và các chi nhánh tại Anh của các tổ chức tài chính.295</w:t>
      </w:r>
    </w:p>
    <w:p>
      <w:pPr>
        <w:spacing w:after="80"/>
      </w:pPr>
      <w:r>
        <w:rPr>
          <w:b/>
          <w:i w:val="0"/>
        </w:rPr>
        <w:t>[B] Hệ quả đối với các Tổ chức Tài chính Anh</w:t>
      </w:r>
    </w:p>
    <w:p>
      <w:pPr>
        <w:spacing w:after="80"/>
      </w:pPr>
      <w:r>
        <w:rPr>
          <w:b w:val="0"/>
          <w:i w:val="0"/>
        </w:rPr>
        <w:t xml:space="preserve">Các Tổ chức Tài chính Anh phải báo cáo đáp ứng các yêu cầu của điều 4(1) được coi là tuân thủ và không phải chịu khấu trừ thuế theo §1471 của </w:t>
      </w:r>
      <w:r>
        <w:rPr>
          <w:b w:val="0"/>
          <w:i/>
        </w:rPr>
        <w:t>Bộ luật Thuế vụ Nội địa Hoa Kỳ</w:t>
      </w:r>
      <w:r>
        <w:rPr>
          <w:b w:val="0"/>
          <w:i w:val="0"/>
        </w:rPr>
        <w:t xml:space="preserve">. Tình trạng này phụ thuộc vào việc Anh tuân thủ các nghĩa vụ trao đổi thông tin của mình theo các điều 2 và 3 của hiệp ước.296 Các tổ chức như vậy cũng không được yêu cầu khấu trừ thuế theo §1471 hoặc 1472 của </w:t>
      </w:r>
      <w:r>
        <w:rPr>
          <w:b w:val="0"/>
          <w:i/>
        </w:rPr>
        <w:t>Bộ luật Thuế vụ Nội địa Hoa Kỳ</w:t>
      </w:r>
      <w:r>
        <w:rPr>
          <w:b w:val="0"/>
          <w:i w:val="0"/>
        </w:rPr>
        <w:t xml:space="preserve"> đối với</w:t>
      </w:r>
    </w:p>
    <w:p>
      <w:pPr>
        <w:spacing w:after="80"/>
      </w:pPr>
      <w:r>
        <w:rPr>
          <w:b w:val="0"/>
          <w:i w:val="0"/>
        </w:rPr>
        <w:t>290. Thỏa thuận giữa Chính phủ Vương quốc Anh và Chính phủ Hợp chủng quốc Hoa Kỳ nhằm cải thiện việc tuân thủ thuế quốc tế và triển khai FATCA ngày 12 tháng 9 năm 2012.291. Thỏa thuận giữa các Cơ quan có thẩm quyền của Hợp chủng quốc Hoa Kỳ và Vương quốc Anh và Bắc Ireland ngày 12 tháng 9 năm 2012.292. Điều 2(1).293. Điều 2(2)(a).294. Điều 2(2)(a).295. Điều 1(1) (Định nghĩa) (g), (n) và (o).296. Điều 4(1).</w:t>
      </w:r>
    </w:p>
    <w:p>
      <w:pPr>
        <w:spacing w:after="80"/>
      </w:pPr>
      <w:r>
        <w:rPr>
          <w:b w:val="0"/>
          <w:i w:val="0"/>
        </w:rPr>
        <w:t>679</w:t>
      </w:r>
    </w:p>
    <w:p>
      <w:pPr>
        <w:spacing w:after="80"/>
      </w:pPr>
      <w:r>
        <w:rPr>
          <w:b w:val="0"/>
          <w:i w:val="0"/>
        </w:rPr>
        <w:t>các tài khoản của chủ tài khoản cứng đầu, hoặc phải đóng các tài khoản đó, nếu Cơ quan có thẩm quyền của Mỹ nhận được thông tin mà Anh được yêu cầu báo cáo liên quan đến các tài khoản đó.297 Nếu không có các quy định hiệp ước như vậy, các tổ chức tài chính Anh sẽ được yêu cầu đăng ký riêng lẻ và ký kết các thỏa thuận cụ thể với IRS để tránh bị khấu trừ thuế.</w:t>
      </w:r>
    </w:p>
    <w:p>
      <w:pPr>
        <w:spacing w:after="80"/>
      </w:pPr>
      <w:r>
        <w:rPr>
          <w:b w:val="0"/>
          <w:i w:val="0"/>
        </w:rPr>
        <w:t xml:space="preserve">Các Tổ chức Tài chính Anh không phải báo cáo, bao gồm các tổ chức phi lợi nhuận và các tổ chức tài chính có cơ sở khách hàng địa phương tại Anh, chẳng hạn như hiệp hội xây dựng (building societies) và hợp tác xã tín dụng (credit unions),298 được coi là FFI được coi là tuân thủ hoặc là chủ sở hữu hưởng lợi được miễn trừ, tùy trường hợp, cho các mục đích của § 1471 của </w:t>
      </w:r>
      <w:r>
        <w:rPr>
          <w:b w:val="0"/>
          <w:i/>
        </w:rPr>
        <w:t>Bộ luật Thuế vụ Nội địa Hoa Kỳ</w:t>
      </w:r>
      <w:r>
        <w:rPr>
          <w:b w:val="0"/>
          <w:i w:val="0"/>
        </w:rPr>
        <w:t>.299</w:t>
      </w:r>
    </w:p>
    <w:p>
      <w:pPr>
        <w:spacing w:after="80"/>
      </w:pPr>
      <w:r>
        <w:rPr>
          <w:b w:val="0"/>
          <w:i w:val="0"/>
        </w:rPr>
        <w:t>Các tổ chức tài chính khác như ngân hàng và công ty bảo hiểm sẽ luôn được yêu cầu báo cáo để đủ điều kiện được miễn khấu trừ thuế.</w:t>
      </w:r>
    </w:p>
    <w:p>
      <w:pPr>
        <w:spacing w:after="80"/>
      </w:pPr>
      <w:r>
        <w:rPr>
          <w:b w:val="0"/>
          <w:i w:val="0"/>
        </w:rPr>
        <w:t xml:space="preserve">Các tổ chức tài chính Vương quốc Anh đáp ứng các yêu cầu của Điều 4(1) được coi là FFI tuân thủ hoặc là chủ sở hữu hưởng lợi được miễn trừ theo Điều 4(3) hoặc (4) nhưng có một thực thể hoặc chi nhánh liên quan hoạt động tại một khu vực tài phán ngăn cản thực thể hoặc chi nhánh liên quan đó đủ điều kiện trở thành FFI tham gia hoặc FFI tuân thủ được coi là tuân thủ các điều khoản của hiệp ước và được coi là tuân thủ hoặc được miễn trừ cho các mục đích của § 1471 của </w:t>
      </w:r>
      <w:r>
        <w:rPr>
          <w:b w:val="0"/>
          <w:i/>
        </w:rPr>
        <w:t xml:space="preserve"> Bộ luật Thuế vụ Hoa Kỳ</w:t>
      </w:r>
      <w:r>
        <w:rPr>
          <w:b w:val="0"/>
          <w:i w:val="0"/>
        </w:rPr>
        <w:t>.300</w:t>
      </w:r>
    </w:p>
    <w:p>
      <w:pPr>
        <w:spacing w:after="80"/>
      </w:pPr>
      <w:r>
        <w:rPr>
          <w:b/>
          <w:i w:val="0"/>
        </w:rPr>
        <w:t>[C]Kế hoạch Hưu trí và Sản phẩm Rủi ro Thấp</w:t>
      </w:r>
    </w:p>
    <w:p>
      <w:pPr>
        <w:spacing w:after="80"/>
      </w:pPr>
      <w:r>
        <w:rPr>
          <w:b w:val="0"/>
          <w:i w:val="0"/>
        </w:rPr>
        <w:t xml:space="preserve">Các kế hoạch hưu trí Vương quốc Anh được mô tả và xác định trong Phụ lục II của hiệp ước được coi là FFI tuân thủ hoặc chủ sở hữu hưởng lợi được miễn trừ, tùy theo trường hợp, cho các mục đích của § 1471 của </w:t>
      </w:r>
      <w:r>
        <w:rPr>
          <w:b w:val="0"/>
          <w:i/>
        </w:rPr>
        <w:t xml:space="preserve"> Bộ luật Thuế vụ Hoa Kỳ</w:t>
      </w:r>
      <w:r>
        <w:rPr>
          <w:b w:val="0"/>
          <w:i w:val="0"/>
        </w:rPr>
        <w:t>.301</w:t>
      </w:r>
    </w:p>
    <w:p>
      <w:pPr>
        <w:spacing w:after="80"/>
      </w:pPr>
      <w:r>
        <w:rPr>
          <w:b w:val="0"/>
          <w:i w:val="0"/>
        </w:rPr>
        <w:t>Các sản phẩm tài chính có rủi ro thấp bị người Hoa Kỳ sử dụng để trốn thuế Hoa Kỳ, bao gồm Tài khoản Tiết kiệm Cá nhân, Trái phiếu Cao cấp, Tiết kiệm và Đầu tư Quốc gia Vương quốc Anh và các chương trình quyền chọn cổ phiếu và khuyến khích được phê duyệt khác nhau, được miễn khỏi việc báo cáo như Tài khoản Báo cáo Hoa Kỳ.302</w:t>
      </w:r>
    </w:p>
    <w:p>
      <w:pPr>
        <w:spacing w:after="80"/>
      </w:pPr>
      <w:r>
        <w:rPr>
          <w:b w:val="0"/>
          <w:i w:val="0"/>
        </w:rPr>
        <w:t>Thỏa thuận Ireland với Hoa Kỳ để thực hiện FATCA303 được thực thi bởi TCA1997, s. 891E.304</w:t>
      </w:r>
    </w:p>
    <w:p>
      <w:pPr>
        <w:spacing w:after="80"/>
      </w:pPr>
      <w:r>
        <w:rPr>
          <w:b w:val="0"/>
          <w:i w:val="0"/>
        </w:rPr>
        <w:t xml:space="preserve">297. Điều 4(2). 298. Thuật ngữ 'Tổ chức Tài chính Vương quốc Anh Không Báo cáo' có nghĩa là bất kỳ Tổ chức Tài chính Vương quốc Anh nào, hoặc thực thể khác cư trú tại Vương quốc Anh được xác định trong Phụ lục II là Tổ chức Tài chính Vương quốc Anh Không Báo cáo hoặc đủ điều kiện theo cách khác như một FFI tuân thủ, một chủ sở hữu hưởng lợi được miễn trừ, hoặc một FFI được loại trừ theo </w:t>
      </w:r>
      <w:r>
        <w:rPr>
          <w:b w:val="0"/>
          <w:i/>
        </w:rPr>
        <w:t xml:space="preserve"> Quy định Kho bạc Hoa Kỳ</w:t>
      </w:r>
      <w:r>
        <w:rPr>
          <w:b w:val="0"/>
          <w:i w:val="0"/>
        </w:rPr>
        <w:t xml:space="preserve"> có liên quan. (Điều 1(1)(q)). 299. Điều 4(4). 300. Điều 4(5). 301. Điều 4(2). 302. Phụ lục II, Phần III. 303. Thỏa thuận giữa Chính phủ Ireland và Chính phủ Hợp chủng quốc Hoa Kỳ về Cải thiện Tuân thủ Thuế Quốc tế và Thực hiện FATCA ngày 21 tháng 12 năm 2012. 304. Đối với các nghĩa vụ tuân thủ, xem Quy định về Báo cáo Thông tin Nhất định của các Tổ chức Tài chính Báo cáo năm 2015 (SI 583/2015).</w:t>
      </w:r>
    </w:p>
    <w:p>
      <w:pPr>
        <w:spacing w:after="80"/>
      </w:pPr>
      <w:r>
        <w:rPr>
          <w:b w:val="0"/>
          <w:i w:val="0"/>
        </w:rPr>
        <w:t>680</w:t>
      </w:r>
    </w:p>
    <w:p>
      <w:pPr>
        <w:spacing w:after="80"/>
      </w:pPr>
      <w:r>
        <w:rPr>
          <w:b/>
          <w:i w:val="0"/>
        </w:rPr>
        <w:t>§22.29 HỖ TRỢ THU HỒI THUẾ: THẨM QUYỀN CUNG CẤP HỖ TRỢ</w:t>
      </w:r>
    </w:p>
    <w:p>
      <w:pPr>
        <w:spacing w:after="80"/>
      </w:pPr>
      <w:r>
        <w:rPr>
          <w:b w:val="0"/>
          <w:i w:val="0"/>
        </w:rPr>
        <w:t>Luật cho phép để thực thi các hiệp ước liên quan đến thực thi thuế quốc tế được quy định trong FA 2006, Phần 9. Mục 173 quy định, một phần, rằng:</w:t>
      </w:r>
    </w:p>
    <w:p>
      <w:pPr>
        <w:spacing w:after="80"/>
      </w:pPr>
      <w:r>
        <w:rPr>
          <w:b w:val="0"/>
          <w:i w:val="0"/>
        </w:rPr>
        <w:t>173(1) Nếu Nữ hoàng bằng Lệnh của Hội đồng tuyên bố rằng –</w:t>
      </w:r>
    </w:p>
    <w:p>
      <w:pPr>
        <w:spacing w:after="80"/>
      </w:pPr>
      <w:r>
        <w:rPr>
          <w:b w:val="0"/>
          <w:i w:val="0"/>
        </w:rPr>
        <w:t>(a) các thỏa thuận liên quan đến thực thi thuế quốc tế được chỉ định</w:t>
      </w:r>
    </w:p>
    <w:p>
      <w:pPr>
        <w:spacing w:after="80"/>
      </w:pPr>
      <w:r>
        <w:rPr>
          <w:b w:val="0"/>
          <w:i w:val="0"/>
        </w:rPr>
        <w:t>trong Lệnh đã được thực hiện liên quan đến bất kỳ lãnh thổ nào hoặc các lãnh thổ bên ngoài Vương quốc Anh; và (b) việc các thỏa thuận đó có hiệu lực là thích hợp, thì các thỏa thuận đó có</w:t>
      </w:r>
    </w:p>
    <w:p>
      <w:pPr>
        <w:spacing w:after="80"/>
      </w:pPr>
      <w:r>
        <w:rPr>
          <w:b w:val="0"/>
          <w:i w:val="0"/>
        </w:rPr>
        <w:t>hiệu lực (và có hiệu lực bất chấp bất kỳ điều gì trong bất kỳ văn bản luật hoặc công cụ nào).</w:t>
      </w:r>
    </w:p>
    <w:p>
      <w:pPr>
        <w:spacing w:after="80"/>
      </w:pPr>
      <w:r>
        <w:rPr>
          <w:b w:val="0"/>
          <w:i w:val="0"/>
        </w:rPr>
        <w:t>173(2) Cho các mục đích của khoản (1), các thỏa thuận liên quan đến thực thi thuế quốc tế nếu chúng liên quan đến bất kỳ hoặc tất cả những điều sau đây –</w:t>
      </w:r>
    </w:p>
    <w:p>
      <w:pPr>
        <w:spacing w:after="80"/>
      </w:pPr>
      <w:r>
        <w:rPr>
          <w:b w:val="0"/>
          <w:i w:val="0"/>
        </w:rPr>
        <w:t>(b) việc thu hồi các khoản nợ liên quan đến bất kỳ loại thuế Vương quốc Anh hoặc thuế nước ngoài nào;</w:t>
      </w:r>
    </w:p>
    <w:p>
      <w:pPr>
        <w:spacing w:after="80"/>
      </w:pPr>
      <w:r>
        <w:rPr>
          <w:b w:val="0"/>
          <w:i w:val="0"/>
        </w:rPr>
        <w:t xml:space="preserve">Thuật ngữ 'thỏa thuận' không được định nghĩa và luật này được sử dụng để thực thi cả các nghĩa vụ theo luật EU và các hiệp ước. Khi các thỏa thuận liên quan đến việc thu hồi thuế nước ngoài theo yêu cầu của luật EU hoặc các hiệp ước, FA 2006, s. 175(1) cho phép Kho bạc ban hành các quy định quy định việc thu hồi các loại thuế nước ngoài đó. </w:t>
      </w:r>
      <w:r>
        <w:rPr>
          <w:b w:val="0"/>
          <w:i/>
        </w:rPr>
        <w:t xml:space="preserve"> Quy định Thu hồi Thuế Nước ngoài</w:t>
      </w:r>
      <w:r>
        <w:rPr>
          <w:b w:val="0"/>
          <w:i w:val="0"/>
        </w:rPr>
        <w:t xml:space="preserve"> 2007305 đặt ra thủ tục chi tiết để thu hồi các loại thuế đó.</w:t>
      </w:r>
    </w:p>
    <w:p>
      <w:pPr>
        <w:spacing w:after="80"/>
      </w:pPr>
      <w:r>
        <w:rPr>
          <w:b w:val="0"/>
          <w:i w:val="0"/>
        </w:rPr>
        <w:t>Yêu cầu thu hồi phải được lập thành văn bản và bao gồm số tiền tương đương tính bằng đồng bảng Anh (sterling) của khoản yêu cầu thu hồi nước ngoài, tính theo tỷ giá hối đoái đại diện nhất vào ngày yêu cầu thu hồi được đưa ra.306 Nhìn chung, không thể đặt ra câu hỏi về trách nhiệm pháp lý của một người đối với khoản yêu cầu thu hồi nước ngoài như một biện pháp bào chữa cho quá trình thu hồi.307</w:t>
      </w:r>
    </w:p>
    <w:p>
      <w:pPr>
        <w:spacing w:after="80"/>
      </w:pPr>
      <w:r>
        <w:rPr>
          <w:b w:val="0"/>
          <w:i w:val="0"/>
        </w:rPr>
        <w:t>Tuy nhiên, không thể thực hiện hành động cưỡng chế nếu người đó chứng minh rằng các thủ tục tố tụng liên quan đến trách nhiệm pháp lý của mình đối với khoản yêu cầu thu hồi nước ngoài đang chờ xử lý, hoặc sắp được khởi kiện, trước một tòa án, hội đồng xét xử hoặc cơ quan có thẩm quyền khác tại lãnh thổ nước ngoài được đề cập, hoặc nếu bất kỳ tranh chấp nước ngoài nào được giải quyết theo hướng có lợi cho người nộp thuế.308 Thời hiệu cho bất kỳ vấn đề nào phát sinh từ việc thu hồi khoản yêu cầu thu hồi nước ngoài là những thời hiệu được áp dụng theo luật hiện hành tại lãnh thổ nước ngoài mà loại thuế đang được đề cập thuộc về đó.309</w:t>
      </w:r>
    </w:p>
    <w:p>
      <w:pPr>
        <w:spacing w:after="80"/>
      </w:pPr>
      <w:r>
        <w:rPr>
          <w:b/>
          <w:i w:val="0"/>
        </w:rPr>
        <w:t>§22.30 HỖ TRỢ THU HỒI THUẾ THEO HIỆP ĐỊNH THUẾ SONG PHƯƠNG</w:t>
      </w:r>
    </w:p>
    <w:p>
      <w:pPr>
        <w:spacing w:after="80"/>
      </w:pPr>
      <w:r>
        <w:rPr>
          <w:b w:val="0"/>
          <w:i w:val="0"/>
        </w:rPr>
        <w:t>Trong phiên bản năm 2005 của hiệp định mẫu, OECD đã giới thiệu một điều khoản mới, Điều 27, cho phép các quốc gia ký kết thu hồi thuế thay mặt cho nhau. Trong khi tư cách thành viên EU đi kèm với các yêu cầu phải duy trì các tiêu chuẩn hành chính và tư pháp cũng như pháp quyền, thì OECD, khi thừa nhận việc tuân thủ các tiêu chuẩn đó có thể không đồng đều</w:t>
      </w:r>
    </w:p>
    <w:p>
      <w:pPr>
        <w:spacing w:after="80"/>
      </w:pPr>
      <w:r>
        <w:rPr>
          <w:b w:val="0"/>
          <w:i w:val="0"/>
        </w:rPr>
        <w:t>305. SI 2007/3507, được sửa đổi bởi SI 2010/794. 306. Quy định 4. 307. Quy định 64. 308. Quy định 10 và 11. 309. Quy định 12.</w:t>
      </w:r>
    </w:p>
    <w:p>
      <w:pPr>
        <w:spacing w:after="80"/>
      </w:pPr>
      <w:r>
        <w:rPr>
          <w:b w:val="0"/>
          <w:i w:val="0"/>
        </w:rPr>
        <w:t>681</w:t>
      </w:r>
    </w:p>
    <w:p>
      <w:pPr>
        <w:spacing w:after="80"/>
      </w:pPr>
      <w:r>
        <w:rPr>
          <w:b w:val="0"/>
          <w:i w:val="0"/>
        </w:rPr>
        <w:t>về quản trị, khuyến nghị một cách tiếp cận thận trọng khi xem xét việc đưa các biện pháp như vậy vào các hiệp định song phương.310 Thỏa thuận đầu tiên thuộc loại này trong một hiệp định song phương là trong Nghị định thư năm 2007 bổ sung cho hiệp định New Zealand - Vương quốc Anh (UK), trong đó cung cấp hỗ trợ toàn diện như được đề xuất bởi Hiệp định mẫu của OECD:</w:t>
      </w:r>
    </w:p>
    <w:p>
      <w:pPr>
        <w:spacing w:after="80"/>
      </w:pPr>
      <w:r>
        <w:rPr>
          <w:b w:val="0"/>
          <w:i w:val="0"/>
        </w:rPr>
        <w:t>25A(1) Các quốc gia ký kết sẽ hỗ trợ lẫn nhau trong việc thu các khoản yêu cầu thu hồi ngân sách. Sự hỗ trợ này không bị giới hạn bởi Điều 1 và Điều 2 của Công ước này. Các cơ quan có thẩm quyền của các quốc gia ký kết có thể thông qua thỏa thuận chung để giải quyết phương thức áp dụng điều khoản này.</w:t>
      </w:r>
    </w:p>
    <w:p>
      <w:pPr>
        <w:spacing w:after="80"/>
      </w:pPr>
      <w:r>
        <w:rPr>
          <w:b w:val="0"/>
          <w:i w:val="0"/>
        </w:rPr>
        <w:t>25A(2) Thuật ngữ 'yêu cầu thu hồi ngân sách' được sử dụng trong điều khoản này có nghĩa là một khoản tiền phải trả liên quan đến các loại thuế thuộc mọi loại và mọi hình thức được áp đặt thay mặt cho các quốc gia ký kết, miễn là việc đánh thuế theo đó không trái với Công ước này hoặc bất kỳ văn kiện nào khác mà các quốc gia ký kết là thành viên, cũng như tiền lãi, các hình phạt hành chính và chi phí thu hồi hoặc bảo quản liên quan đến khoản tiền đó.</w:t>
      </w:r>
    </w:p>
    <w:p>
      <w:pPr>
        <w:spacing w:after="80"/>
      </w:pPr>
      <w:r>
        <w:rPr>
          <w:b w:val="0"/>
          <w:i w:val="0"/>
        </w:rPr>
        <w:t>Cũng như các quy định hiện đại về trao đổi thông tin, mối liên hệ xuyên biên giới không bị giới hạn ở các loại thuế là đối tượng của hiệp định hoặc ở những người cư trú tại một hoặc cả hai quốc gia. Thuật ngữ 'yêu cầu thu hồi ngân sách' giống như thuật ngữ được sử dụng trong Công ước Brussels311 và, mặc dù nó được dự định bao quát tất cả các loại thuế, nhưng việc sử dụng chính cụm từ 'thuế' lại không được giải thích. Các quốc gia ký kết được yêu cầu, theo yêu cầu, thu thuế thay mặt cho nhau đối với các khoản thuế có thể thi hành theo luật của quốc gia yêu cầu và do một người nợ mà, vào thời điểm đó, theo luật của quốc gia yêu cầu, không thể ngăn chặn việc thu các khoản thuế đó. Những yêu cầu như vậy phải được quốc gia được yêu cầu thu theo luật thi hành và thu thuế của mình như thể đó là yêu cầu thu hồi ngân sách của chính mình.312 Điều này bao gồm các biện pháp bảo quản.313 Không thể phản đối sự tồn tại, tính hợp lệ hoặc số tiền của một yêu cầu thu hồi ngân sách của quốc gia yêu cầu thu trước tòa án hoặc cơ quan hành chính của quốc gia được yêu cầu kia.314</w:t>
      </w:r>
    </w:p>
    <w:p>
      <w:pPr>
        <w:spacing w:after="80"/>
      </w:pPr>
      <w:r>
        <w:rPr>
          <w:b w:val="0"/>
          <w:i w:val="0"/>
        </w:rPr>
        <w:t>Các giới hạn đối với nghĩa vụ thu thuế tương tự như các giới hạn đối với việc trao đổi thông tin như sau:</w:t>
      </w:r>
    </w:p>
    <w:p>
      <w:pPr>
        <w:spacing w:after="80"/>
      </w:pPr>
      <w:r>
        <w:rPr>
          <w:b w:val="0"/>
          <w:i w:val="0"/>
        </w:rPr>
        <w:t>Trong mọi trường hợp, các quy định của điều khoản này sẽ không được giải thích theo cách áp đặt lên một quốc gia ký kết nghĩa vụ:</w:t>
      </w:r>
    </w:p>
    <w:p>
      <w:pPr>
        <w:spacing w:after="80"/>
      </w:pPr>
      <w:r>
        <w:rPr>
          <w:b w:val="0"/>
          <w:i w:val="0"/>
        </w:rPr>
        <w:t>(a) thực hiện các biện pháp hành chính trái với luật và thông lệ hành</w:t>
      </w:r>
    </w:p>
    <w:p>
      <w:pPr>
        <w:spacing w:after="80"/>
      </w:pPr>
      <w:r>
        <w:rPr>
          <w:b w:val="0"/>
          <w:i w:val="0"/>
        </w:rPr>
        <w:t>chính của quốc gia đó hoặc của quốc gia ký kết kia; (b) thực hiện các biện pháp trái với chính sách công;</w:t>
      </w:r>
    </w:p>
    <w:p>
      <w:pPr>
        <w:spacing w:after="80"/>
      </w:pPr>
      <w:r>
        <w:rPr>
          <w:b w:val="0"/>
          <w:i w:val="0"/>
        </w:rPr>
        <w:t>(c) cung cấp hỗ trợ nếu quốc gia ký kết kia chưa theo đuổi tất cả</w:t>
      </w:r>
    </w:p>
    <w:p>
      <w:pPr>
        <w:spacing w:after="80"/>
      </w:pPr>
      <w:r>
        <w:rPr>
          <w:b w:val="0"/>
          <w:i w:val="0"/>
        </w:rPr>
        <w:t>các biện pháp thu hồi hoặc bảo quản hợp lý, tùy từng trường hợp, hiện có theo luật hoặc thông lệ hành chính của quốc gia đó; (d) cung cấp hỗ trợ trong những trường hợp mà gánh nặng hành chính đối với quốc gia đó</w:t>
      </w:r>
    </w:p>
    <w:p>
      <w:pPr>
        <w:spacing w:after="80"/>
      </w:pPr>
      <w:r>
        <w:rPr>
          <w:b w:val="0"/>
          <w:i w:val="0"/>
        </w:rPr>
        <w:t>State rõ ràng là không tương xứng với lợi ích mà quốc gia ký kết kia sẽ thu được;</w:t>
      </w:r>
    </w:p>
    <w:p>
      <w:pPr>
        <w:spacing w:after="80"/>
      </w:pPr>
      <w:r>
        <w:rPr>
          <w:b w:val="0"/>
          <w:i w:val="0"/>
        </w:rPr>
        <w:t>310.Bình luận về Điều 27, khoản 1.311.Xem §22.03.312.Điều 25A(3).313.Điều 25A(4).314.Điều 25A(6).</w:t>
      </w:r>
    </w:p>
    <w:p>
      <w:pPr>
        <w:spacing w:after="80"/>
      </w:pPr>
      <w:r>
        <w:rPr>
          <w:b w:val="0"/>
          <w:i w:val="0"/>
        </w:rPr>
        <w:t>682</w:t>
      </w:r>
    </w:p>
    <w:p>
      <w:pPr>
        <w:spacing w:after="80"/>
      </w:pPr>
      <w:r>
        <w:rPr>
          <w:b w:val="0"/>
          <w:i w:val="0"/>
        </w:rPr>
        <w:t>(e) cung cấp hỗ trợ nếu quốc gia đó cho rằng các loại thuế mà</w:t>
      </w:r>
    </w:p>
    <w:p>
      <w:pPr>
        <w:spacing w:after="80"/>
      </w:pPr>
      <w:r>
        <w:rPr>
          <w:b w:val="0"/>
          <w:i w:val="0"/>
        </w:rPr>
        <w:t>việc hỗ trợ được yêu cầu liên quan đến chúng được áp đặt trái với các nguyên tắc thuế được chấp nhận chung.</w:t>
      </w:r>
    </w:p>
    <w:p>
      <w:pPr>
        <w:spacing w:after="80"/>
      </w:pPr>
      <w:r>
        <w:rPr>
          <w:b w:val="0"/>
          <w:i w:val="0"/>
        </w:rPr>
        <w:t>Những thỏa thuận như vậy được thực thi trong luật nội địa bằng lệnh ban hành theo FA 2006, s. 173(1)(b). Việc thực hiện chúng được tiến hành bằng quy định ban hành theo các quyền hạn được cấp theo FA 2006, s. 175.315 Các quy định này áp dụng cùng một cơ chế như trong trường hợp thuế của các Quốc gia Thành viên EU – nghĩa là, khi một cơ quan quản lý thuế nước ngoài yêu cầu thu hồi thuế thay mặt họ, khoản đó được xử lý như thể đó là một khoản thuế thu nhập của Vương quốc Anh nhằm mục đích áp dụng các quyền thu thuế được quy định trong các Đạo luật Thuế.316 Các quy định tương tự kể từ đó đã được thống nhất trong các hiệp ước của Vương quốc Anh với Albania (Điều 27), Quần đảo Faroe (Điều 27), Đức (Điều 28), Liechtenstein (Điều 26), Hà Lan (Điều 27), Mexico (Điều 27A), Oman (Điều 27A) và Nam Phi (Điều 25A) nhưng những trường hợp này chỉ chiếm thiểu số trong các hiệp ước và nghị định thư được ký kết trong giai đoạn này.</w:t>
      </w:r>
    </w:p>
    <w:p>
      <w:pPr>
        <w:spacing w:after="80"/>
      </w:pPr>
      <w:r>
        <w:rPr>
          <w:b w:val="0"/>
          <w:i/>
        </w:rPr>
        <w:t>Ben Nevis (Holdings) Ltd v HMRC</w:t>
      </w:r>
      <w:r>
        <w:rPr>
          <w:b w:val="0"/>
          <w:i w:val="0"/>
        </w:rPr>
        <w:t xml:space="preserve">,317 liên quan đến các yêu cầu của SARS về hỗ trợ thu thuế tại Vương quốc Anh theo Điều 25A của Hiệp ước Nam Phi-Vương quốc Anh ngày 4 tháng 7 năm 2002,318 được đưa vào bởi Nghị định thư ngày 8 tháng 11 năm 2010.319 Ben Nevis phải chịu trách nhiệm với SARS về thuế, tiền phạt và tiền lãi cho các năm 1998, 1999 và 2000 sau phán quyết cuối cùng của một kháng nghị thuế vào tháng 10 năm 2010. Vào ngày 4 tháng 3 năm 2011, phán quyết được đưa ra chống lại công ty trong các thủ tục tố tụng tại Nam Phi đối với những khoản tiền này. HMRC khởi kiện vào ngày 22 tháng 2 năm 2012, thứ nhất để đòi số tiền mà Ben Nevis bị xác định là nợ SARS, thứ hai để được miễn trừ theo s. 423 của </w:t>
      </w:r>
      <w:r>
        <w:rPr>
          <w:b w:val="0"/>
          <w:i/>
        </w:rPr>
        <w:t>Insolvency Act</w:t>
      </w:r>
      <w:r>
        <w:rPr>
          <w:b w:val="0"/>
          <w:i w:val="0"/>
        </w:rPr>
        <w:t xml:space="preserve"> 1986 nhằm cho phép một khoản tiền gửi ngân hàng tại Vương quốc Anh có thể được sử dụng để thanh toán một phần bất kỳ phán quyết nào đạt được trong Yêu cầu Thu hồi Thuế. Đồng thời họ tìm kiếm và đạt được lệnh phong tỏa để bảo toàn khoản tiền gửi ngân hàng trong khi chờ giải quyết các thủ tục tố tụng. Tòa án Phúc thẩm phán quyết rằng giả định chống lại hiệu lực hồi tố không được áp dụng vì Điều 25A không liên quan đến bất kỳ hiệu lực hồi tố phản đối nào. Tòa án nhận thấy rằng Điều 25A không thay đổi hệ quả pháp lý của một giao dịch hoặc hành vi khác được thực hiện trước khi điều khoản này có hiệu lực. Trách nhiệm pháp lý theo luật Nam Phi về việc nộp thuế không bị thay đổi bởi Điều 25A. Quy tắc Doanh thu chỉ ngăn cản việc thực thi khoản nợ tại một khu vực tài phán khác và việc bãi bỏ nó bởi Điều 25A chỉ đơn thuần cho phép khoản nợ được thu tại Vương quốc Anh. Việc bãi bỏ Quy tắc Doanh thu bằng hiệp ước này không tước đi quyền bào chữa tuyệt đối của bị đơn đối với trách nhiệm pháp lý.320 Lloyd Jones, LJ nói:321</w:t>
      </w:r>
    </w:p>
    <w:p>
      <w:pPr>
        <w:spacing w:after="80"/>
      </w:pPr>
      <w:r>
        <w:rPr>
          <w:b w:val="0"/>
          <w:i w:val="0"/>
        </w:rPr>
        <w:t>Theo tôi, không có sự bất công nào trong việc Điều 25A cho phép thực thi các nghĩa vụ thuế đã tồn tại trước đó. Trước khi Công ước 2002 được sửa đổi và được thực thi tại khu vực tài phán này, Quy tắc Doanh thu đã cấm việc thực thi các nghĩa vụ thuế của Nam Phi tại Vương quốc Anh. Tuy nhiên, Quy tắc đó</w:t>
      </w:r>
    </w:p>
    <w:p>
      <w:pPr>
        <w:spacing w:after="80"/>
      </w:pPr>
      <w:r>
        <w:rPr>
          <w:b w:val="0"/>
          <w:i w:val="0"/>
        </w:rPr>
        <w:t>315.</w:t>
      </w:r>
      <w:r>
        <w:rPr>
          <w:b w:val="0"/>
          <w:i/>
        </w:rPr>
        <w:t>Recovery of Foreign Taxes Regulations</w:t>
      </w:r>
      <w:r>
        <w:rPr>
          <w:b w:val="0"/>
          <w:i w:val="0"/>
        </w:rPr>
        <w:t xml:space="preserve"> 2007 (SI 2007/3507).316.SI 2007/3507, reg. 3.317.</w:t>
      </w:r>
      <w:r>
        <w:rPr>
          <w:b w:val="0"/>
          <w:i/>
        </w:rPr>
        <w:t>Ben Nevis (Holdings) Ltd &amp; Anor v Revenue and Customs Commissioners</w:t>
      </w:r>
      <w:r>
        <w:rPr>
          <w:b w:val="0"/>
          <w:i w:val="0"/>
        </w:rPr>
        <w:t xml:space="preserve"> [2013] BTC 485 [2013]EWCA Civ 578.318.SI 2002/3138.319.SI 2011/2441.320.Xem các khoản 51-53.321.Tại khoản 53.</w:t>
      </w:r>
    </w:p>
    <w:p>
      <w:pPr>
        <w:spacing w:after="80"/>
      </w:pPr>
      <w:r>
        <w:rPr>
          <w:b w:val="0"/>
          <w:i w:val="0"/>
        </w:rPr>
        <w:t>683</w:t>
      </w:r>
    </w:p>
    <w:p>
      <w:pPr>
        <w:spacing w:after="80"/>
      </w:pPr>
      <w:r>
        <w:rPr>
          <w:b w:val="0"/>
          <w:i w:val="0"/>
        </w:rPr>
        <w:t>luôn có thể bị bãi bỏ bởi hiệp ước và người nộp thuế không thể có kỳ vọng chính đáng rằng Quy tắc sẽ không bị bãi bỏ trong tương lai.</w:t>
      </w:r>
    </w:p>
    <w:p>
      <w:pPr>
        <w:spacing w:after="80"/>
      </w:pPr>
      <w:r>
        <w:rPr>
          <w:b w:val="0"/>
          <w:i w:val="0"/>
        </w:rPr>
        <w:t xml:space="preserve">Phán quyết trong </w:t>
      </w:r>
      <w:r>
        <w:rPr>
          <w:b w:val="0"/>
          <w:i/>
        </w:rPr>
        <w:t>Ben Nevis</w:t>
      </w:r>
      <w:r>
        <w:rPr>
          <w:b w:val="0"/>
          <w:i w:val="0"/>
        </w:rPr>
        <w:t xml:space="preserve"> được Tòa án Cấp cao đưa ra vào ngày 20 tháng 7 năm 2012.322 Vào ngày 30 tháng 10 năm 2012, một nghị định thư sửa đổi Hiệp ước Ấn Độ-Vương quốc Anh ngày 25 tháng 1 năm 1993 đã được ký kết, đưa ra quy định về hỗ trợ thu thuế.323 Quy định này được đưa ra hồi tố một cách rõ ràng bởi Điều 10(2) của Nghị định thư.</w:t>
      </w:r>
    </w:p>
    <w:p>
      <w:pPr>
        <w:spacing w:after="80"/>
      </w:pPr>
      <w:r>
        <w:rPr>
          <w:b/>
          <w:i w:val="0"/>
        </w:rPr>
        <w:t>§22.31 HỖ TRỢ TƯƠNG TRỢ GIỮA CÁC NƯỚC EU TRONG VIỆC THU HỒI THUẾ</w:t>
      </w:r>
    </w:p>
    <w:p>
      <w:pPr>
        <w:spacing w:after="80"/>
      </w:pPr>
      <w:r>
        <w:rPr>
          <w:b w:val="0"/>
          <w:i w:val="0"/>
        </w:rPr>
        <w:t>Trong Cộng đồng Châu Âu, khả năng hạn chế trong việc thu hồi thuế và nghĩa vụ của một Quốc gia Thành viên bởi một Quốc gia Thành viên khác đã tồn tại kể từ Chỉ thị ngày 15 tháng 3 năm 1976 về Hỗ trợ Tương trợ trong việc Thu hồi các Nghĩa vụ Liên quan đến Cộng đồng.324 Tuy nhiên, chỉ đến những năm đầu của thế kỷ hai mươi mốt, cả các cơ chế luật Cộng đồng lẫn các hiệp ước thuế mới mở rộng đáng kể khả năng của các Quốc gia Thành viên trong việc thu thuế bên ngoài khu vực tài phán quê hương của họ với sự hỗ trợ của các cơ quan quản lý thuế nước ngoài. Năm 2001, phạm vi của chỉ thị được mở rộng để bao gồm, cụ thể là thuế tiêu thụ đặc biệt, VAT, thuế thu nhập và vốn, cũng như thuế đối với phí bảo hiểm và các hình phạt và tiền lãi liên quan.325 Luật EU trong lĩnh vực này đã được hệ thống hóa trong Chỉ thị Hội đồng 2008/55 về hỗ trợ tương trợ trong việc thu hồi các khiếu nại liên quan đến một số khoản thu, nghĩa vụ, thuế và các biện pháp khác và Quy định 1179/2008 quy định các quy tắc chi tiết để thực hiện một số quy định của chỉ thị.</w:t>
      </w:r>
    </w:p>
    <w:p>
      <w:pPr>
        <w:spacing w:after="80"/>
      </w:pPr>
      <w:r>
        <w:rPr>
          <w:b w:val="0"/>
          <w:i w:val="0"/>
        </w:rPr>
        <w:t>Tốc độ thay đổi trong lĩnh vực này thật đáng kinh ngạc, và để làm cho việc hỗ trợ hiệu quả và hữu hiệu hơn, các công cụ pháp lý hoàn toàn mới, thay vì các sửa đổi từng phần, đã được thông qua. Luật hiện hành được tìm thấy trong Chỉ thị Hội đồng 2010/24/EU ngày 16 tháng 3 năm 2010 về hỗ trợ tương trợ trong việc thu hồi các khiếu nại liên quan đến thuế, nghĩa vụ và các biện pháp khác326 và Quy định 1189/2011 quy định các quy tắc chi tiết liên quan đến một số quy định của Chỉ thị Hội đồng 2010/24/EU về hỗ trợ tương trợ trong việc thu hồi các khiếu nại liên quan đến thuế, nghĩa vụ và các biện pháp khác.327 Việc thực thi chỉ thị vào luật Ireland được thực hiện thông qua Quy định Liên minh Châu Âu (Hỗ trợ Tương trợ trong việc Thu hồi các Khiếu nại liên quan đến Thuế, Nghĩa vụ và Các Biện pháp Khác) 2011.328 Quy định Thực thi của EU, do có hiệu lực trực tiếp, không yêu cầu thêm biện pháp lập pháp nào để đưa nó vào luật Ireland. Chỉ thị đã được thực thi tại Vương quốc Anh thông qua FA 2006, s. 173 và Quy định Liên minh Châu Âu (Hỗ trợ Tương trợ trong việc Thu hồi các Khiếu nại liên quan đến Thuế, Nghĩa vụ và Các Biện pháp Khác) 2011329 và hoạt động của nó giữa Vương quốc Anh và Quốc gia Thành viên</w:t>
      </w:r>
    </w:p>
    <w:p>
      <w:pPr>
        <w:spacing w:after="80"/>
      </w:pPr>
      <w:r>
        <w:rPr>
          <w:b w:val="0"/>
          <w:i w:val="0"/>
        </w:rPr>
        <w:t>322.</w:t>
      </w:r>
      <w:r>
        <w:rPr>
          <w:b w:val="0"/>
          <w:i/>
        </w:rPr>
        <w:t>Revenue and Customs Commissioners v Ben Nevis (Holdings) Ltd</w:t>
      </w:r>
      <w:r>
        <w:rPr>
          <w:b w:val="0"/>
          <w:i w:val="0"/>
        </w:rPr>
        <w:t xml:space="preserve"> [2012] BTC 240; [2012] EWHC 1807 (Ch); [2012] STC 2157 (Ch. D).323.Thêm Điều 28B mới vào Hiệp ước Thuế Ấn Độ-Vương quốc Anh (1993).324.76/308 các Điều 2(2)(b), 2(2)(c) và 2(2)(d).325.Xem Điều 2(2).326.31 tháng 3 năm 2010, OJ 2010, L84/53.327.18 tháng 11 năm 2011, OJ 2011, L302/16.328.SI 643/2011.329.SI 2011/2931.</w:t>
      </w:r>
    </w:p>
    <w:p>
      <w:pPr>
        <w:spacing w:after="80"/>
      </w:pPr>
      <w:r>
        <w:rPr>
          <w:b w:val="0"/>
          <w:i w:val="0"/>
        </w:rPr>
        <w:t>684</w:t>
      </w:r>
    </w:p>
    <w:p>
      <w:pPr>
        <w:spacing w:after="80"/>
      </w:pPr>
      <w:r>
        <w:rPr>
          <w:b w:val="0"/>
          <w:i w:val="0"/>
        </w:rPr>
        <w:t>Các quốc gia được gia hạn thêm năm năm sau khi kết thúc giai đoạn chuyển tiếp đối với các khiếu nại đến hạn trước khi kết thúc giai đoạn chuyển tiếp.330</w:t>
      </w:r>
    </w:p>
    <w:p>
      <w:pPr>
        <w:spacing w:after="80"/>
      </w:pPr>
      <w:r>
        <w:rPr>
          <w:b/>
          <w:i w:val="0"/>
        </w:rPr>
        <w:t>[A] Phạm vi</w:t>
      </w:r>
    </w:p>
    <w:p>
      <w:pPr>
        <w:spacing w:after="80"/>
      </w:pPr>
      <w:r>
        <w:rPr>
          <w:b w:val="0"/>
          <w:i w:val="0"/>
        </w:rPr>
        <w:t>Phạm vi của chỉ thị này cực kỳ rộng. Nó áp dụng cho:</w:t>
      </w:r>
    </w:p>
    <w:p>
      <w:pPr>
        <w:spacing w:after="80"/>
      </w:pPr>
      <w:r>
        <w:rPr>
          <w:b w:val="0"/>
          <w:i w:val="0"/>
        </w:rPr>
        <w:t>(a) tất cả các loại thuế và nghĩa vụ dưới bất kỳ hình thức nào do một Quốc gia Thành viên hoặc</w:t>
      </w:r>
    </w:p>
    <w:p>
      <w:pPr>
        <w:spacing w:after="80"/>
      </w:pPr>
      <w:r>
        <w:rPr>
          <w:b w:val="0"/>
          <w:i w:val="0"/>
        </w:rPr>
        <w:t>các đơn vị lãnh thổ hoặc hành chính của quốc gia đó, bao gồm cả chính quyền địa phương, áp đặt hoặc thay mặt quốc gia đó, hoặc thay mặt Liên minh;(b) các khoản hoàn trả, can thiệp và các biện pháp khác tạo thành một phần của hệ thống</w:t>
      </w:r>
    </w:p>
    <w:p>
      <w:pPr>
        <w:spacing w:after="80"/>
      </w:pPr>
      <w:r>
        <w:rPr>
          <w:b w:val="0"/>
          <w:i w:val="0"/>
        </w:rPr>
        <w:t>tài trợ toàn phần hoặc một phần của Quỹ Bảo lãnh Nông nghiệp Châu Âu (EAGF) và Quỹ Nông nghiệp Châu Âu cho Phát triển Nông thôn (EAFRD), bao gồm cả các khoản tiền sẽ được thu liên quan đến các hoạt động này;(c) các khoản thu và nghĩa vụ khác được quy định theo tổ chức chung của</w:t>
      </w:r>
    </w:p>
    <w:p>
      <w:pPr>
        <w:spacing w:after="80"/>
      </w:pPr>
      <w:r>
        <w:rPr>
          <w:b w:val="0"/>
          <w:i w:val="0"/>
        </w:rPr>
        <w:t>thị trường đối với ngành đường.331</w:t>
      </w:r>
    </w:p>
    <w:p>
      <w:pPr>
        <w:spacing w:after="80"/>
      </w:pPr>
      <w:r>
        <w:rPr>
          <w:b w:val="0"/>
          <w:i w:val="0"/>
        </w:rPr>
        <w:t>Nằm trong phạm vi chỉ thị này còn có các hình phạt hành chính, tiền phạt, lệ phí và phụ phí cũng như tiền lãi và chi phí liên quan đến các khiếu nại thuế tương ứng. Lệ phí cấp giấy chứng nhận và các tài liệu tương tự được phát hành liên quan đến các thủ tục hành chính liên quan đến thuế và nghĩa vụ cũng có thể được thu hồi.332</w:t>
      </w:r>
    </w:p>
    <w:p>
      <w:pPr>
        <w:spacing w:after="80"/>
      </w:pPr>
      <w:r>
        <w:rPr>
          <w:b/>
          <w:i w:val="0"/>
        </w:rPr>
        <w:t>[B] Trao đổi thông tin và thông báo tài liệu</w:t>
      </w:r>
    </w:p>
    <w:p>
      <w:pPr>
        <w:spacing w:after="80"/>
      </w:pPr>
      <w:r>
        <w:rPr>
          <w:b w:val="0"/>
          <w:i w:val="0"/>
        </w:rPr>
        <w:t>Chỉ thị này có quy định về thẩm quyền trao đổi thông tin và thông báo tài liệu liên quan đến việc thu hồi các khiếu nại. Mặc dù những quy định này phần lớn trùng lặp với thẩm quyền được nêu trong Chỉ thị về Tương trợ Thuế của EU,333 nhưng rõ ràng là chỉ thị này nhằm mục đích thiết lập một bộ quy tắc toàn diện để giải quyết việc thu thuế xuyên biên giới.</w:t>
      </w:r>
    </w:p>
    <w:p>
      <w:pPr>
        <w:spacing w:after="80"/>
      </w:pPr>
      <w:r>
        <w:rPr>
          <w:b/>
          <w:i w:val="0"/>
        </w:rPr>
        <w:t>[C] Biện pháp thu hồi hoặc phòng ngừa</w:t>
      </w:r>
    </w:p>
    <w:p>
      <w:pPr>
        <w:spacing w:after="80"/>
      </w:pPr>
      <w:r>
        <w:rPr>
          <w:b w:val="0"/>
          <w:i w:val="0"/>
        </w:rPr>
        <w:t>Cả việc thu hồi thuế cũng như các biện pháp phòng ngừa trong trường hợp có khiếu nại tiềm ẩn, đang bị tranh chấp và do đó việc thực thi còn quá sớm, đều được chỉ thị cho phép. Điều 10 áp đặt nghĩa vụ tích cực đối với cơ quan thuế ở quốc gia được yêu cầu phải thu hồi các khiếu nại theo yêu cầu của cơ quan có thẩm quyền ở một Quốc gia Thành viên khác.334 Mọi yêu cầu thu hồi phải kèm theo một công cụ thống nhất cho phép thực thi. Công cụ cho phép thực thi là cơ sở duy nhất cho cả biện pháp thu hồi và biện pháp phòng ngừa. Các Quốc gia Thành viên không được áp đặt bất kỳ hành vi</w:t>
      </w:r>
    </w:p>
    <w:p>
      <w:pPr>
        <w:spacing w:after="80"/>
      </w:pPr>
      <w:r>
        <w:rPr>
          <w:b w:val="0"/>
          <w:i w:val="0"/>
        </w:rPr>
        <w:t>330. Thỏa thuận về việc Vương quốc Liên hiệp Anh và Bắc Ireland rút khỏi Liên minh Châu Âu và Cộng đồng Năng lượng Nguyên tử Châu Âu, (2019/C 384 I/01), điều 100.331. Điều 2(1).332. Điều 2(1).333. Xem §22.21.334. Không có nghĩa vụ hỗ trợ khi số tiền dưới 1.500 EUR. Điều 18(3).</w:t>
      </w:r>
    </w:p>
    <w:p>
      <w:pPr>
        <w:spacing w:after="80"/>
      </w:pPr>
      <w:r>
        <w:rPr>
          <w:b w:val="0"/>
          <w:i w:val="0"/>
        </w:rPr>
        <w:t>685</w:t>
      </w:r>
    </w:p>
    <w:p>
      <w:pPr>
        <w:spacing w:after="80"/>
      </w:pPr>
      <w:r>
        <w:rPr>
          <w:b w:val="0"/>
          <w:i w:val="0"/>
        </w:rPr>
        <w:t>công nhận hoặc yêu cầu bất kỳ bổ sung hoặc thay thế nào khi được yêu cầu thu hồi một khiếu nại thuế. Công cụ này phải chứa thông tin liên quan đến việc nhận dạng và mô tả khiếu nại, bao gồm bản chất của nó, khoảng thời gian mà khiếu nại bao gồm, bất kỳ ngày nào có liên quan đến quá trình thực thi, và số tiền của khiếu nại cùng các thành phần khác nhau của nó, chẳng hạn như tiền gốc và tiền lãi. Công cụ này phải chứa tên và thông tin liên quan đến việc nhận dạng con nợ và thông tin chi tiết về viên chức của cơ quan yêu cầu chịu trách nhiệm đánh giá, cũng như văn phòng nơi có thể có thêm thông tin về khiếu nại, và khả năng phản đối khiếu nại đó.335 Theo đó, không thể có việc thu hồi nào mà không có công cụ cho phép thực thi chứa thông tin tối thiểu. Thông tin hoặc tài liệu khác có thể đi kèm với khiếu nại.336</w:t>
      </w:r>
    </w:p>
    <w:p>
      <w:pPr>
        <w:spacing w:after="80"/>
      </w:pPr>
      <w:r>
        <w:rPr>
          <w:b w:val="0"/>
          <w:i w:val="0"/>
        </w:rPr>
        <w:t xml:space="preserve">Điều 14 của Chỉ thị yêu cầu mọi tranh chấp về trách nhiệm pháp lý hoặc yêu cầu cưỡng chế thi hành tại một Quốc gia Thành viên khác phải được thực hiện tại Quốc gia Thành viên yêu cầu chứ không phải tại Quốc gia Thành viên được yêu cầu. Tuy nhiên, quyền được khắc phục theo Điều 47 của Hiến chương về các Quyền Cơ bản của Liên minh Châu Âu cho phép khiếu nại được tranh chấp khi có sự vi phạm thủ tục tố tụng đúng đắn tại Quốc gia Thành viên yêu cầu. Trong </w:t>
      </w:r>
      <w:r>
        <w:rPr>
          <w:b w:val="0"/>
          <w:i/>
        </w:rPr>
        <w:t>Donnellan v The Revenue Commissioners</w:t>
      </w:r>
      <w:r>
        <w:rPr>
          <w:b w:val="0"/>
          <w:i w:val="0"/>
        </w:rPr>
        <w:t>,337 một công dân Ireland, làm nghề lái xe tải, đã bị buộc tội buôn lậu thuốc lá tại Hy Lạp. Ông được tuyên trắng án vào năm 2002 nhưng đến năm 2009, một khoản tiền phạt đã được áp đặt dựa trên khối lượng hàng hóa bị tịch thu. Nhà chức trách Hy Lạp đã tìm cách thu hồi khoản tiền phạt cộng với lãi, chi phí và các hình phạt tại Ireland. Những vi phạm thủ tục tố tụng đúng đắn của nhà chức trách Hy Lạp, bao gồm việc không thông báo cho ông Donnellan, đã khiến tòa án nhấn mạnh rằng nguyên tắc tin cậy lẫn nhau giữa các Quốc gia Thành viên phải được giải thích một cách chặt chẽ nếu tòa án tiếp nhận muốn tuân theo Quốc gia Thành viên yêu cầu.338 Các Quốc gia Thành viên phải xử lý yêu cầu thu hồi như thể đó là khiếu nại về thuế của chính mình và phải sử dụng các quyền hạn và thủ tục, quy định hoặc biện pháp hành chính liên quan đến loại thuế hoặc nghĩa vụ tương tự, hoặc trong trường hợp không có loại thuế tương tự, thì sử dụng loại thuế hoặc nghĩa vụ tương tự, nhằm mục đích thực hiện việc thu hồi. Nếu quốc gia được yêu cầu không đánh các loại thuế hoặc nghĩa vụ tương tự, thì phải sử dụng các quyền hạn liên quan đến thuế thu nhập cá nhân. Mặc dù Quốc gia Thành viên được yêu cầu phải xử lý khiếu nại theo cùng cách như khiếu nại trong nước, nhưng khiếu nại đó không trở thành khiếu nại trong nước.339 Các quốc gia được yêu cầu không cần phải dành cho khiếu nại của các Quốc gia Thành viên khác những ưu đãi giống như đối với khiếu nại thuế trong nước. Kết quả là theo mặc định, các khiếu nại thuế của các Quốc gia Thành viên khác được xếp ngang hàng với các chủ nợ khác.340 Ưu đãi có thể được thỏa thuận giữa các Quốc gia Thành viên hoặc được quy định bởi luật trong nước của quốc gia được yêu cầu. Nếu có ưu đãi, thì phải áp dụng cho tất cả các khiếu nại của Quốc gia Thành viên với cùng điều kiện. Việc thu hồi được thực hiện bằng đồng tiền của quốc gia được yêu cầu.341 Lãi chậm thanh toán phải được tính từ ngày nhận được yêu cầu thu hồi, phù hợp</w:t>
      </w:r>
    </w:p>
    <w:p>
      <w:pPr>
        <w:spacing w:after="80"/>
      </w:pPr>
      <w:r>
        <w:rPr>
          <w:b w:val="0"/>
          <w:i w:val="0"/>
        </w:rPr>
        <w:t>335. Điều 12(1).336. Điều 12(2). Thủ tục của Vương quốc Anh được quy định trong HMRC, Debt Management and Banking Manual, DMBM560010.337.</w:t>
      </w:r>
      <w:r>
        <w:rPr>
          <w:b w:val="0"/>
          <w:i/>
        </w:rPr>
        <w:t>Eamonn Donnellan v The Revenue Commissioners</w:t>
      </w:r>
      <w:r>
        <w:rPr>
          <w:b w:val="0"/>
          <w:i w:val="0"/>
        </w:rPr>
        <w:t xml:space="preserve"> (Vụ án C-34/17) ECLI:EU:C:2018:282.338. Tại đoạn 50.339.</w:t>
      </w:r>
      <w:r>
        <w:rPr>
          <w:b w:val="0"/>
          <w:i/>
        </w:rPr>
        <w:t>État belge v Pantochim SA</w:t>
      </w:r>
      <w:r>
        <w:rPr>
          <w:b w:val="0"/>
          <w:i w:val="0"/>
        </w:rPr>
        <w:t xml:space="preserve"> (Vụ án C-19/19) ECLI:EU:C:2020:456, tại đoạn 34.340. Tại các đoạn 47-49.341. Điều 13(1). Tại Vương quốc Anh, </w:t>
      </w:r>
      <w:r>
        <w:rPr>
          <w:b w:val="0"/>
          <w:i/>
        </w:rPr>
        <w:t>MARD Regulations</w:t>
      </w:r>
      <w:r>
        <w:rPr>
          <w:b w:val="0"/>
          <w:i w:val="0"/>
        </w:rPr>
        <w:t xml:space="preserve"> không mở rộng bất kỳ ưu đãi nào.</w:t>
      </w:r>
    </w:p>
    <w:p>
      <w:pPr>
        <w:spacing w:after="80"/>
      </w:pPr>
      <w:r>
        <w:rPr>
          <w:b w:val="0"/>
          <w:i w:val="0"/>
        </w:rPr>
        <w:t>686</w:t>
      </w:r>
    </w:p>
    <w:p>
      <w:pPr>
        <w:spacing w:after="80"/>
      </w:pPr>
      <w:r>
        <w:rPr>
          <w:b w:val="0"/>
          <w:i w:val="0"/>
        </w:rPr>
        <w:t>với pháp luật của quốc gia được yêu cầu.342 Cơ quan được yêu cầu có thể cho phép con nợ có thời gian trả nợ hoặc cho phép thanh toán theo từng đợt nếu pháp luật của quốc gia đó cho phép.343</w:t>
      </w:r>
    </w:p>
    <w:p>
      <w:pPr>
        <w:spacing w:after="80"/>
      </w:pPr>
      <w:r>
        <w:rPr>
          <w:b w:val="0"/>
          <w:i/>
        </w:rPr>
        <w:t>Metirato Oy, in liquidation v Suomen valtio/Verohallinto, Eesti Vabariik/Maksu- ja Tolliamet</w:t>
      </w:r>
      <w:r>
        <w:rPr>
          <w:b w:val="0"/>
          <w:i w:val="0"/>
        </w:rPr>
        <w:t>,344 liên quan đến việc hoàn tất các khiếu nại thuế của nhà chức trách thuế Phần Lan và những khiếu nại mà nước này được yêu cầu cưỡng chế thi hành thay cho nhà chức trách thuế Estonia. Tòa án đã phán quyết rằng khả năng của tòa án trong việc hủy bỏ một giao dịch mang lại lợi ích không công bằng cho một chủ nợ gây thiệt hại cho các chủ nợ khác là một biện pháp cưỡng chế thi hành thuộc phạm vi Điều 14(2). Người quản lý lập luận rằng khoản thuế đã nộp cho nhà chức trách thuế Phần Lan là một giao dịch không công bằng như vậy. Tòa án xác định rằng chế độ pháp lý áp dụng trong những trường hợp như vậy là chế độ của Quốc gia Thành viên được yêu cầu và do đó các tranh chấp liên quan đến những biện pháp đó được điều chỉnh bởi chế độ đó, một lần nữa nhấn mạnh nghĩa vụ tin cậy lẫn nhau.</w:t>
      </w:r>
    </w:p>
    <w:p>
      <w:pPr>
        <w:spacing w:after="80"/>
      </w:pPr>
      <w:r>
        <w:rPr>
          <w:b w:val="0"/>
          <w:i w:val="0"/>
        </w:rPr>
        <w:t>Các Quốc gia Thành viên phải, nếu được yêu cầu, thực hiện các biện pháp phòng ngừa để đảm bảo việc thu hồi khi một khiếu nại thuế hoặc công cụ cho phép cưỡng chế thi hành tại quốc gia yêu cầu đang bị tranh chấp tại thời điểm yêu cầu được đưa ra, hoặc khi khiếu nại chưa là đối tượng của một công cụ cho phép cưỡng chế thi hành tại quốc gia đó. Các biện pháp được áp dụng là những biện pháp theo pháp luật (nếu có) và thực tiễn hành chính của quốc gia được yêu cầu, nhưng chỉ trong phạm vi những biện pháp đó cũng có thể thực hiện được, trong một tình huống tương tự, theo pháp luật và thực tiễn hành chính của quốc gia yêu cầu.345 Các thủ tục tương tự như đối với việc thu hồi thuế.346</w:t>
      </w:r>
    </w:p>
    <w:p>
      <w:pPr>
        <w:spacing w:after="80"/>
      </w:pPr>
      <w:r>
        <w:rPr>
          <w:b/>
          <w:i w:val="0"/>
        </w:rPr>
        <w:t>[D] Chi phí</w:t>
      </w:r>
    </w:p>
    <w:p>
      <w:pPr>
        <w:spacing w:after="80"/>
      </w:pPr>
      <w:r>
        <w:rPr>
          <w:b w:val="0"/>
          <w:i w:val="0"/>
        </w:rPr>
        <w:t>Chi phí liên quan đến việc thu hồi thuế phải được yêu cầu từ con nợ theo pháp luật của quốc gia được yêu cầu, quốc gia này cũng có quyền giữ lại những khoản tiền đó. Các Quốc gia Thành viên không có khiếu nại chống lại nhau về chi phí hỗ trợ lẫn nhau mà họ dành cho nhau theo chỉ thị này, ngoại trừ hai trường hợp. Thứ nhất, khi việc thu hồi tạo ra một vấn đề cụ thể, liên quan đến một khoản chi phí rất lớn hoặc liên quan đến việc thu hồi từ tội phạm có tổ chức. Thứ hai, các Quốc gia Thành viên phải chịu trách nhiệm trước Quốc gia Thành viên được yêu cầu về bất kỳ chi phí và tổn thất nào phát sinh do các hành động bị coi là không có căn cứ, xét về cả nội dung của khiếu nại hoặc tính hợp lệ của công cụ cho phép cưỡng chế thi hành và/hoặc các biện pháp phòng ngừa do quốc gia yêu cầu ban hành.347</w:t>
      </w:r>
    </w:p>
    <w:p>
      <w:pPr>
        <w:spacing w:after="80"/>
      </w:pPr>
      <w:r>
        <w:rPr>
          <w:b/>
          <w:i w:val="0"/>
        </w:rPr>
        <w:t>[E] Thời hạn</w:t>
      </w:r>
    </w:p>
    <w:p>
      <w:pPr>
        <w:spacing w:after="80"/>
      </w:pPr>
      <w:r>
        <w:rPr>
          <w:b w:val="0"/>
          <w:i w:val="0"/>
        </w:rPr>
        <w:t>Không cần hỗ trợ nếu yêu cầu hỗ trợ ban đầu được thực hiện đối với các khiếu nại được đưa ra quá năm năm kể từ ngày đến hạn của khiếu nại tại quốc gia yêu cầu. Khi khiếu nại hoặc công cụ ban đầu cho phép cưỡng chế thi hành</w:t>
      </w:r>
    </w:p>
    <w:p>
      <w:pPr>
        <w:spacing w:after="80"/>
      </w:pPr>
      <w:r>
        <w:rPr>
          <w:b w:val="0"/>
          <w:i w:val="0"/>
        </w:rPr>
        <w:t>342. Điều 13(3).343. Điều 13(4).344.</w:t>
      </w:r>
      <w:r>
        <w:rPr>
          <w:b w:val="0"/>
          <w:i/>
        </w:rPr>
        <w:t>Metirato Oy, in liquidation v Suomen valtio/Verohallinto, Eesti Vabariik/Maksu- ja Tolliamet</w:t>
      </w:r>
      <w:r>
        <w:rPr>
          <w:b w:val="0"/>
          <w:i w:val="0"/>
        </w:rPr>
        <w:t xml:space="preserve"> (Vụ án C-695/17) ECLI:EU:C:2019:209.345. Điều 16.346. Điều 17.347. Điều 20.</w:t>
      </w:r>
    </w:p>
    <w:p>
      <w:pPr>
        <w:spacing w:after="80"/>
      </w:pPr>
      <w:r>
        <w:rPr>
          <w:b w:val="0"/>
          <w:i w:val="0"/>
        </w:rPr>
        <w:t>687</w:t>
      </w:r>
    </w:p>
    <w:p>
      <w:pPr>
        <w:spacing w:after="80"/>
      </w:pPr>
      <w:r>
        <w:rPr>
          <w:b w:val="0"/>
          <w:i w:val="0"/>
        </w:rPr>
        <w:t xml:space="preserve">bị tranh chấp, thời hạn năm năm bắt đầu khi khiếu nại hoặc công cụ cho phép cưỡng chế thi hành trở nên không thể tranh chấp. Khi việc hoãn hoặc kế hoạch trả góp được cho phép, thời hạn năm năm bắt đầu khi toàn bộ thời gian thanh toán đã kết thúc, nhưng trong mọi trường hợp như vậy, không cần hỗ trợ quá mười năm kể từ ngày đến hạn của khiếu nại.348 Điều này sẽ ngăn chặn các yêu cầu thu hồi thuộc loại được đưa ra trong </w:t>
      </w:r>
      <w:r>
        <w:rPr>
          <w:b w:val="0"/>
          <w:i/>
        </w:rPr>
        <w:t>Greece v Tsapalos and Diamantakis</w:t>
      </w:r>
      <w:r>
        <w:rPr>
          <w:b w:val="0"/>
          <w:i w:val="0"/>
        </w:rPr>
        <w:t>349 khi nghĩa vụ thuế phát sinh vào năm 1968 và được xác nhận bởi Corte di cassazione của Ý vào năm 1972. Yêu cầu thu hồi đã được nhà chức trách Hy Lạp nhận được vào năm 1992. Mặc dù ECJ đã chấp nhận yêu cầu đó, nhưng vụ án cho thấy rằng việc không tuân thủ chỉ thị sẽ là một biện pháp bảo vệ đối với các thủ tục thu hồi thay cho một Quốc gia Thành viên khác.</w:t>
      </w:r>
    </w:p>
    <w:p>
      <w:pPr>
        <w:spacing w:after="80"/>
      </w:pPr>
      <w:r>
        <w:rPr>
          <w:b/>
          <w:i w:val="0"/>
        </w:rPr>
        <w:t>§22.32 HIỆP ĐỊNH THƯƠNG MẠI VÀ HỢP TÁC EU-UK</w:t>
      </w:r>
    </w:p>
    <w:p>
      <w:pPr>
        <w:spacing w:after="80"/>
      </w:pPr>
      <w:r>
        <w:rPr>
          <w:b w:val="0"/>
          <w:i w:val="0"/>
        </w:rPr>
        <w:t>Việc Vương quốc Anh rời khỏi EU đã chấm dứt hợp tác hành chính giữa Vương quốc Anh và các Quốc gia Thành viên theo luật EU được thảo luận trong chương này vào cuối giai đoạn chuyển tiếp.350 Hiệp định Thương mại và Hợp tác EU-UK chỉ giải quyết việc trao đổi thông tin liên quan đến VAT và hỗ trợ thu VAT, thuế hải quan và thuế tiêu thụ đặc biệt giữa Vương quốc Anh và các Quốc gia Thành viên. Hiệp định này không áp dụng cho những vấn đề như vậy giữa các Quốc gia Thành viên với nhau.351</w:t>
      </w:r>
    </w:p>
    <w:p>
      <w:pPr>
        <w:spacing w:after="80"/>
      </w:pPr>
      <w:r>
        <w:rPr>
          <w:b w:val="0"/>
          <w:i w:val="0"/>
        </w:rPr>
        <w:t>Có lẽ trong bối cảnh này, Vương quốc Anh đã liên kết với Australia, Canada, Hà Lan và Hoa Kỳ để thành lập 'Joint Chiefs of Global Tax Enforcement (J5)' nhằm chia sẻ thông tin tình báo và chuyên môn cũng như hợp tác để 'trấn áp những kẻ kiếm sống bằng việc tạo điều kiện cho tội phạm thuế'.352</w:t>
      </w:r>
    </w:p>
    <w:p>
      <w:pPr>
        <w:spacing w:after="80"/>
      </w:pPr>
      <w:r>
        <w:rPr>
          <w:b w:val="0"/>
          <w:i w:val="0"/>
        </w:rPr>
        <w:t>348.Điều 18.349.</w:t>
      </w:r>
      <w:r>
        <w:rPr>
          <w:b w:val="0"/>
          <w:i/>
        </w:rPr>
        <w:t>EllinikoDimosiovNikolaosTsapalosvàKonstantinosDiamantakis</w:t>
      </w:r>
      <w:r>
        <w:rPr>
          <w:b w:val="0"/>
          <w:i w:val="0"/>
        </w:rPr>
        <w:t>(Các vụ án hợp nhất C-361/02 và C-362/02) [2004] ECR I-6405; [2004] STC 1220.350.Xem Chương 3, §3.13.351.Nghị định thư về Hợp tác Hành chính và Chống Gian lận trong lĩnh vực Thuế Giá trị Gia tăng và về Tương trợ lẫn nhau trong việc Thu hồi các Khoản nợ liên quan đến Thuế và Phí, điều 1.352.Thông cáo báo chí của HMRC, ngày 2 tháng 7 năm 2018 https://www.gov.uk/government/news/tax-chiefs-unite-to-tackle-international-tax-crime.</w:t>
      </w:r>
    </w:p>
    <w:p>
      <w:pPr>
        <w:spacing w:after="80"/>
      </w:pPr>
      <w:r>
        <w:rPr>
          <w:b w:val="0"/>
          <w:i w:val="0"/>
        </w:rPr>
        <w:t>688</w:t>
      </w:r>
    </w:p>
    <w:p>
      <w:pPr>
        <w:spacing w:before="240" w:after="80"/>
      </w:pPr>
      <w:r>
        <w:rPr>
          <w:b/>
          <w:sz w:val="32"/>
        </w:rPr>
        <w:t>Bảng án lệ</w:t>
      </w:r>
    </w:p>
    <w:p>
      <w:pPr>
        <w:spacing w:after="80"/>
      </w:pPr>
      <w:r>
        <w:rPr>
          <w:b/>
          <w:i w:val="0"/>
        </w:rPr>
        <w:t>Úc</w:t>
      </w:r>
    </w:p>
    <w:p>
      <w:pPr>
        <w:spacing w:after="80"/>
      </w:pPr>
      <w:r>
        <w:rPr>
          <w:b w:val="0"/>
          <w:i w:val="0"/>
        </w:rPr>
        <w:t>Addy v Commissioner of Taxation [2019] FCA 1768 457BywaterInvestmentsLtdvàcácbênkhácvCommissionerofTaxation;HuaWangBank</w:t>
      </w:r>
    </w:p>
    <w:p>
      <w:pPr>
        <w:spacing w:after="80"/>
      </w:pPr>
      <w:r>
        <w:rPr>
          <w:b w:val="0"/>
          <w:i w:val="0"/>
        </w:rPr>
        <w:t>BerhadvCommissionerofTaxation[2016]HCA45,19ITLR287114,137,201–202, 645Commissioner of Taxation v Addy [2020] FCAFC 135 456, 457Emanuel v Federal Taxation Commissioner [1968] 10 AITR 672 397Undershaft (No 1) Limited v Commissioner of Taxation [2009] FCA 41 155</w:t>
      </w:r>
    </w:p>
    <w:p>
      <w:pPr>
        <w:spacing w:after="80"/>
      </w:pPr>
      <w:r>
        <w:rPr>
          <w:b/>
          <w:i w:val="0"/>
        </w:rPr>
        <w:t>Bỉ</w:t>
      </w:r>
    </w:p>
    <w:p>
      <w:pPr>
        <w:spacing w:after="80"/>
      </w:pPr>
      <w:r>
        <w:rPr>
          <w:b w:val="0"/>
          <w:i w:val="0"/>
        </w:rPr>
        <w:t>Hof van Cassatie van België (Tòa án Hành chính Tối cao Bỉ) (F.12.0112.N), 9</w:t>
      </w:r>
    </w:p>
    <w:p>
      <w:pPr>
        <w:spacing w:after="80"/>
      </w:pPr>
      <w:r>
        <w:rPr>
          <w:b w:val="0"/>
          <w:i w:val="0"/>
        </w:rPr>
        <w:t>tháng 1 năm 2015, 18 ITLR 33 293JF&amp;BLtdvBelgischeStaat,VụR.2007/9474TòaánPhúcthẩmBrussels,20</w:t>
      </w:r>
    </w:p>
    <w:p>
      <w:pPr>
        <w:spacing w:after="80"/>
      </w:pPr>
      <w:r>
        <w:rPr>
          <w:b w:val="0"/>
          <w:i w:val="0"/>
        </w:rPr>
        <w:t>tháng 12 năm 2007 (Cơ sở Dữ liệu Nghiên cứu Thuế IBFD) 356Tribunal de Première Instance Liège (Tòa án Sơ thẩm), Vụ số 05/5497/A, 16</w:t>
      </w:r>
    </w:p>
    <w:p>
      <w:pPr>
        <w:spacing w:after="80"/>
      </w:pPr>
      <w:r>
        <w:rPr>
          <w:b w:val="0"/>
          <w:i w:val="0"/>
        </w:rPr>
        <w:t>tháng 3 năm 2009 (Cơ sở Dữ liệu Trực tuyến IBFD) 293XvBelgium,HofvanCassatievanBelgië(TòaánHànhchínhTốicaoBỉ),</w:t>
      </w:r>
    </w:p>
    <w:p>
      <w:pPr>
        <w:spacing w:after="80"/>
      </w:pPr>
      <w:r>
        <w:rPr>
          <w:b w:val="0"/>
          <w:i w:val="0"/>
        </w:rPr>
        <w:t>vụ A. 224.757/IX-9262, (ngày 2 tháng 6 năm 2020) 593</w:t>
      </w:r>
    </w:p>
    <w:p>
      <w:pPr>
        <w:spacing w:after="80"/>
      </w:pPr>
      <w:r>
        <w:rPr>
          <w:b/>
          <w:i w:val="0"/>
        </w:rPr>
        <w:t>Canada</w:t>
      </w:r>
    </w:p>
    <w:p>
      <w:pPr>
        <w:spacing w:after="80"/>
      </w:pPr>
      <w:r>
        <w:rPr>
          <w:b w:val="0"/>
          <w:i w:val="0"/>
        </w:rPr>
        <w:t>Bank of Nova Scotia v The Queen [1980] CTC 57 445Black v Canada, 2014 FCA 275 (CanLII) 208, 396Black v The Queen 2014 TCC 12 (CanLII) 128, 208, 251, 396Furness, Withy &amp; Co Ltd v MNR [1966] CTC 482, ExCh 291Gadsden v Minister of National Revenue 83 DTC 127; [1983] CTC 2132 39, 155, 376GulfOffshoreN.S.LimitedvCanada,2006TCC246(CanLII);60DTC2705;[2006]4</w:t>
      </w:r>
    </w:p>
    <w:p>
      <w:pPr>
        <w:spacing w:after="80"/>
      </w:pPr>
      <w:r>
        <w:rPr>
          <w:b w:val="0"/>
          <w:i w:val="0"/>
        </w:rPr>
        <w:t>CTC 2050 được giữ nguyên khi kháng cáo 2007 FCA 302 (CanLII); [2008] 1 CTC 85 262, 393Hale v Canada [1990] 2 CTC 255 (FCTD) 344, 353</w:t>
      </w:r>
    </w:p>
    <w:p>
      <w:pPr>
        <w:spacing w:after="80"/>
      </w:pPr>
      <w:r>
        <w:rPr>
          <w:b w:val="0"/>
          <w:i w:val="0"/>
        </w:rPr>
        <w:t>689</w:t>
      </w:r>
    </w:p>
    <w:p>
      <w:pPr>
        <w:spacing w:after="80"/>
      </w:pPr>
      <w:r>
        <w:rPr>
          <w:b w:val="0"/>
          <w:i w:val="0"/>
        </w:rPr>
        <w:t>Hughes v The Queen [2002] 3 CTC 2184; 2001 CanLII 447 (TCC); 56 DTC 151 369Merrins v The Queen, 2002 CANLII 970 (TCC), affirmed 2003 FCA 147 (CanLII) 367Merritt v The Queen 93 DTC 978 (TCC) 366Minister of National Revenue v Tara Exploration and Development Co Ltd [1974] SCR</w:t>
      </w:r>
    </w:p>
    <w:p>
      <w:pPr>
        <w:spacing w:after="80"/>
      </w:pPr>
      <w:r>
        <w:rPr>
          <w:b w:val="0"/>
          <w:i w:val="0"/>
        </w:rPr>
        <w:t>1057 219Ping Zong v The Queen [2019] TCC 270 154The Queen v Prévost Car Inc [2009] FCA 57 135Saipem UK Limited v The Queen [2011] TCC 25 (CanLII) affd [2011] FCA 243 (CanLII)</w:t>
      </w:r>
    </w:p>
    <w:p>
      <w:pPr>
        <w:spacing w:after="80"/>
      </w:pPr>
      <w:r>
        <w:rPr>
          <w:b w:val="0"/>
          <w:i w:val="0"/>
        </w:rPr>
        <w:t>458, 462Wyatt v Minister of National Revenue [1975] CTC 2055 (TRB) 358Yates v The Queen [2001] CanLII 772 (TCC) 154</w:t>
      </w:r>
    </w:p>
    <w:p>
      <w:pPr>
        <w:spacing w:after="80"/>
      </w:pPr>
      <w:r>
        <w:rPr>
          <w:b/>
          <w:i w:val="0"/>
        </w:rPr>
        <w:t>Cộng hòa Séc</w:t>
      </w:r>
    </w:p>
    <w:p>
      <w:pPr>
        <w:spacing w:after="80"/>
      </w:pPr>
      <w:r>
        <w:rPr>
          <w:b w:val="0"/>
          <w:i w:val="0"/>
        </w:rPr>
        <w:t>BritishAmericanTobacco(CzechRepublic),srovAppealFinancialDirectorate2Afs</w:t>
      </w:r>
    </w:p>
    <w:p>
      <w:pPr>
        <w:spacing w:after="80"/>
      </w:pPr>
      <w:r>
        <w:rPr>
          <w:b w:val="0"/>
          <w:i w:val="0"/>
        </w:rPr>
        <w:t>40/2018 – 58, 22 ITLR297 323</w:t>
      </w:r>
    </w:p>
    <w:p>
      <w:pPr>
        <w:spacing w:after="80"/>
      </w:pPr>
      <w:r>
        <w:rPr>
          <w:b/>
          <w:i w:val="0"/>
        </w:rPr>
        <w:t>Đan Mạch</w:t>
      </w:r>
    </w:p>
    <w:p>
      <w:pPr>
        <w:spacing w:after="80"/>
      </w:pPr>
      <w:r>
        <w:rPr>
          <w:b w:val="0"/>
          <w:i w:val="0"/>
        </w:rPr>
        <w:t>H1 A/S v Skatteministeriet case BS-22068/2020, (3 March 2021) 595VestreLandsret(DanishHighCourtofAppeals,WesternDivision)(Case2498/1992,</w:t>
      </w:r>
    </w:p>
    <w:p>
      <w:pPr>
        <w:spacing w:after="80"/>
      </w:pPr>
      <w:r>
        <w:rPr>
          <w:b w:val="0"/>
          <w:i w:val="0"/>
        </w:rPr>
        <w:t>Vestre Landsret Tydsskrift for Skatter og Afgifter 1995 No. 577 200, 355</w:t>
      </w:r>
    </w:p>
    <w:p>
      <w:pPr>
        <w:spacing w:after="80"/>
      </w:pPr>
      <w:r>
        <w:rPr>
          <w:b/>
          <w:i w:val="0"/>
        </w:rPr>
        <w:t>Liên minh châu Âu</w:t>
      </w:r>
    </w:p>
    <w:p>
      <w:pPr>
        <w:spacing w:after="80"/>
      </w:pPr>
      <w:r>
        <w:rPr>
          <w:b w:val="0"/>
          <w:i w:val="0"/>
        </w:rPr>
        <w:t>A Oy v Veronsaajien oikeudenvalvontayksikko (Case C-292/16), ECLI:EU:C:2017:8887</w:t>
      </w:r>
    </w:p>
    <w:p>
      <w:pPr>
        <w:spacing w:after="80"/>
      </w:pPr>
      <w:r>
        <w:rPr>
          <w:b w:val="0"/>
          <w:i w:val="0"/>
        </w:rPr>
        <w:t>417AB v Finanzamt fur den 6, 7. und 15. Bezirk (Case C-288/04) [2005] ECR I-7837 104Aberdeen Property Fininvest Alpha Oy (Case C-303/07) [2009] ECR I-05145 [2009] STC</w:t>
      </w:r>
    </w:p>
    <w:p>
      <w:pPr>
        <w:spacing w:after="80"/>
      </w:pPr>
      <w:r>
        <w:rPr>
          <w:b w:val="0"/>
          <w:i w:val="0"/>
        </w:rPr>
        <w:t>1945, ECJ 405A-Fonds v Inspecteur van de Belastingdienst, (Case C598/17) ECLI:EU:C:2019:352 61AG Kokott Opinions:2018 in N Luxembourg 1, C-115/16, EU:C:2018:143 412AGF Belgium SA v European Economic Community (Case C-191/94) [1996] ECR I-1859</w:t>
      </w:r>
    </w:p>
    <w:p>
      <w:pPr>
        <w:spacing w:after="80"/>
      </w:pPr>
      <w:r>
        <w:rPr>
          <w:b w:val="0"/>
          <w:i w:val="0"/>
        </w:rPr>
        <w:t>103AirTransportAssociationofAmericaandOthersvSecretaryofStateforEnergyand</w:t>
      </w:r>
    </w:p>
    <w:p>
      <w:pPr>
        <w:spacing w:after="80"/>
      </w:pPr>
      <w:r>
        <w:rPr>
          <w:b w:val="0"/>
          <w:i w:val="0"/>
        </w:rPr>
        <w:t>ClimateChangeCase(CaseC-366/10)2011ECR00000,ECLI:EU:C:2011:864,[2011] WLR (D) 386 6AlexanderHengartner,RudolfGasservLandesregierungVorarlberg(CaseC-70/09)</w:t>
      </w:r>
    </w:p>
    <w:p>
      <w:pPr>
        <w:spacing w:after="80"/>
      </w:pPr>
      <w:r>
        <w:rPr>
          <w:b w:val="0"/>
          <w:i w:val="0"/>
        </w:rPr>
        <w:t>[2010] ECR I-7252 114AlgemeneMaatschappijvoorInvesteringenDienstverleningNV(AMID)vBelgian</w:t>
      </w:r>
    </w:p>
    <w:p>
      <w:pPr>
        <w:spacing w:after="80"/>
      </w:pPr>
      <w:r>
        <w:rPr>
          <w:b w:val="0"/>
          <w:i w:val="0"/>
        </w:rPr>
        <w:t>Án lệ C-141/99 [2004] BTC 141, [2003] STC 356, [2000] ECR I-11619 61Amurta SGPS v Inspecteur van de Belastingdienst (Án lệ C-379/05) [2007] ECR I-09569;</w:t>
      </w:r>
    </w:p>
    <w:p>
      <w:pPr>
        <w:spacing w:after="80"/>
      </w:pPr>
      <w:r>
        <w:rPr>
          <w:b w:val="0"/>
          <w:i w:val="0"/>
        </w:rPr>
        <w:t>[2010] BTC 568 63, 64, 74Argenta Spaarbank NV v Belgische Staat (C-350/11) [2013] ECR 0000, [2013] STC 2097</w:t>
      </w:r>
    </w:p>
    <w:p>
      <w:pPr>
        <w:spacing w:after="80"/>
      </w:pPr>
      <w:r>
        <w:rPr>
          <w:b w:val="0"/>
          <w:i w:val="0"/>
        </w:rPr>
        <w:t>82</w:t>
      </w:r>
    </w:p>
    <w:p>
      <w:pPr>
        <w:spacing w:after="80"/>
      </w:pPr>
      <w:r>
        <w:rPr>
          <w:b w:val="0"/>
          <w:i w:val="0"/>
        </w:rPr>
        <w:t>690</w:t>
      </w:r>
    </w:p>
    <w:p>
      <w:pPr>
        <w:spacing w:after="80"/>
      </w:pPr>
      <w:r>
        <w:rPr>
          <w:b w:val="0"/>
          <w:i w:val="0"/>
        </w:rPr>
        <w:t>AsschervStaatssecretarisvanFinancien(Án lệ C-107/94)[1995]ECRI-02493[1996]</w:t>
      </w:r>
    </w:p>
    <w:p>
      <w:pPr>
        <w:spacing w:after="80"/>
      </w:pPr>
      <w:r>
        <w:rPr>
          <w:b w:val="0"/>
          <w:i w:val="0"/>
        </w:rPr>
        <w:t>BTC 563; [1996] STC 1025 58, 63Associationfrançaisedesentreprisesprivees(AFEP)andOthersvMinistredes</w:t>
      </w:r>
    </w:p>
    <w:p>
      <w:pPr>
        <w:spacing w:after="80"/>
      </w:pPr>
      <w:r>
        <w:rPr>
          <w:b w:val="0"/>
          <w:i w:val="0"/>
        </w:rPr>
        <w:t>finances et des comptes publics (Án lệ C-365/16) ECLI:EU:C:2017:378 408Athinaiki Zithopiia AE v Greece (Án lệ C-294/99) [2001] ECR I-06797; [2001] BTC 451;</w:t>
      </w:r>
    </w:p>
    <w:p>
      <w:pPr>
        <w:spacing w:after="80"/>
      </w:pPr>
      <w:r>
        <w:rPr>
          <w:b w:val="0"/>
          <w:i w:val="0"/>
        </w:rPr>
        <w:t>[2002] STC 559, ECJ 409Bachman v Belgium (Án lệ C-204/90) [1992] ECR I-00249; [1994] STC 855, ECJ 85BancoBilbaoVizcayaArgentariaSAvAdministracionGeneraldelEstado(Án lệ</w:t>
      </w:r>
    </w:p>
    <w:p>
      <w:pPr>
        <w:spacing w:after="80"/>
      </w:pPr>
      <w:r>
        <w:rPr>
          <w:b w:val="0"/>
          <w:i w:val="0"/>
        </w:rPr>
        <w:t>C-157/10) [2011] ECR I-13023; [2012] STC 1300; [2012] All ER (EC) 747 71–72BanqueFédérativeduCréditMutuelvMinistredel’Économie,desFinancesetde</w:t>
      </w:r>
    </w:p>
    <w:p>
      <w:pPr>
        <w:spacing w:after="80"/>
      </w:pPr>
      <w:r>
        <w:rPr>
          <w:b w:val="0"/>
          <w:i w:val="0"/>
        </w:rPr>
        <w:t>l’Industrie (C-27/07) ECLI:EU:C:2008:195 404BaudinetvAgenziadelleEntrate-DirezioneProvincialeIdiTorino(C-194/15)</w:t>
      </w:r>
    </w:p>
    <w:p>
      <w:pPr>
        <w:spacing w:after="80"/>
      </w:pPr>
      <w:r>
        <w:rPr>
          <w:b w:val="0"/>
          <w:i w:val="0"/>
        </w:rPr>
        <w:t>ECLI:EU:C:2016:81 69Becker v Finanzamt Munster-lnnenstadt (Án lệ C-8/81) [1982] ECR 53 401Belgische Staat v NV Cobelfret (Án lệ C-138/07) [2009] ECR I-00731 404BelgischeStaatvWereldhaveBelgiumComm.VAandOthers(C-448/15)ECLI:</w:t>
      </w:r>
    </w:p>
    <w:p>
      <w:pPr>
        <w:spacing w:after="80"/>
      </w:pPr>
      <w:r>
        <w:rPr>
          <w:b w:val="0"/>
          <w:i w:val="0"/>
        </w:rPr>
        <w:t>EU:C:2017:180 405Berlioz Investment Fund SA v Directeur de l’administration des Contributions directes</w:t>
      </w:r>
    </w:p>
    <w:p>
      <w:pPr>
        <w:spacing w:after="80"/>
      </w:pPr>
      <w:r>
        <w:rPr>
          <w:b w:val="0"/>
          <w:i w:val="0"/>
        </w:rPr>
        <w:t>(Án lệ -682/15) ECLI:EU:C:2017:373, [2017] BTC 15 664, 670, 671, 672BiehlvAdministrationdesContributionsduGrand-DuchedeLuxembourg(Án lệ</w:t>
      </w:r>
    </w:p>
    <w:p>
      <w:pPr>
        <w:spacing w:after="80"/>
      </w:pPr>
      <w:r>
        <w:rPr>
          <w:b w:val="0"/>
          <w:i w:val="0"/>
        </w:rPr>
        <w:t>C-175/88)[1991]STC575,[1991]BTC400;[1990]ECR1-1779,ECLI:EU:C:1990:186 63BouanichvDirecteurdesservicesfiscauxdelaDrome(Án lệ C-375/12)ECLI:</w:t>
      </w:r>
    </w:p>
    <w:p>
      <w:pPr>
        <w:spacing w:after="80"/>
      </w:pPr>
      <w:r>
        <w:rPr>
          <w:b w:val="0"/>
          <w:i w:val="0"/>
        </w:rPr>
        <w:t>EU:C:2014:138; [2014] BTC 9 70BouanichvSkatteverketÁn lệ(C-265/04)[2010]BTC714,[2008]STC2020,[2006]</w:t>
      </w:r>
    </w:p>
    <w:p>
      <w:pPr>
        <w:spacing w:after="80"/>
      </w:pPr>
      <w:r>
        <w:rPr>
          <w:b w:val="0"/>
          <w:i w:val="0"/>
        </w:rPr>
        <w:t>ECR I-923 59, 74Bourges-MaunouryvDirectiondesservicesfiscauxd’Eure-et-Loir(Án lệ C-558/10)</w:t>
      </w:r>
    </w:p>
    <w:p>
      <w:pPr>
        <w:spacing w:after="80"/>
      </w:pPr>
      <w:r>
        <w:rPr>
          <w:b w:val="0"/>
          <w:i w:val="0"/>
        </w:rPr>
        <w:t>ECLI:EU:C:2012:418; [2012] STC 2205 104Brita GmbH v Hauptzollamt Hamburg-Hafen (Vụ án C-386/08) ECLI:EU:C:2010:91 114Bundeszentralamt Fur Steuern v Heis &amp; Ors (với tư cách là những người đồng quản lý đặc biệt của MF</w:t>
      </w:r>
    </w:p>
    <w:p>
      <w:pPr>
        <w:spacing w:after="80"/>
      </w:pPr>
      <w:r>
        <w:rPr>
          <w:b w:val="0"/>
          <w:i w:val="0"/>
        </w:rPr>
        <w:t>Global UK Limited) [2019] EWHC 705 (Ch) 637C Danmark I C-119/16, EU:C:2018:147 412Cadbury Schweppes plc &amp; Anor v Inland Revenue Commrs (Vụ án C-196/04) [2006] ECR</w:t>
      </w:r>
    </w:p>
    <w:p>
      <w:pPr>
        <w:spacing w:after="80"/>
      </w:pPr>
      <w:r>
        <w:rPr>
          <w:b w:val="0"/>
          <w:i w:val="0"/>
        </w:rPr>
        <w:t>I-07995, ECLI:EU:C:2006:544 [2008] BTC 52, [2006] STC 1908 89CadburySchweppesplcandCadburySchweppesOverseasLtdvCommissionersof</w:t>
      </w:r>
    </w:p>
    <w:p>
      <w:pPr>
        <w:spacing w:after="80"/>
      </w:pPr>
      <w:r>
        <w:rPr>
          <w:b w:val="0"/>
          <w:i w:val="0"/>
        </w:rPr>
        <w:t>Inland Revenue (Vụ án C-196/04) [2006] ECR I-07995 89ChristianPicartvMinistredesfinancesetdescomptespublics(VụánC-355/16)</w:t>
      </w:r>
    </w:p>
    <w:p>
      <w:pPr>
        <w:spacing w:after="80"/>
      </w:pPr>
      <w:r>
        <w:rPr>
          <w:b w:val="0"/>
          <w:i w:val="0"/>
        </w:rPr>
        <w:t>Ý kiến ECLI:EU:C:2017:610 100CollegePensionPlanofBritishColumbiavFinanzamtMunchenAbteilungIII,(Vụ án</w:t>
      </w:r>
    </w:p>
    <w:p>
      <w:pPr>
        <w:spacing w:after="80"/>
      </w:pPr>
      <w:r>
        <w:rPr>
          <w:b w:val="0"/>
          <w:i w:val="0"/>
        </w:rPr>
        <w:t>C-641/17) ECLI:EU:C:2019:960 95ColumbusContainerServicesBVBA&amp;Co.vFinanzamtBielefeld-InnenstadtVụ án</w:t>
      </w:r>
    </w:p>
    <w:p>
      <w:pPr>
        <w:spacing w:after="80"/>
      </w:pPr>
      <w:r>
        <w:rPr>
          <w:b w:val="0"/>
          <w:i w:val="0"/>
        </w:rPr>
        <w:t>C-298/05 [2007] ECR I-02999; [2011] BTC 551; [2008] STC 2554 61CommissionoftheEuropeanCommunitiesvKingdomofBelgium(VụánC-437/04)</w:t>
      </w:r>
    </w:p>
    <w:p>
      <w:pPr>
        <w:spacing w:after="80"/>
      </w:pPr>
      <w:r>
        <w:rPr>
          <w:b w:val="0"/>
          <w:i w:val="0"/>
        </w:rPr>
        <w:t>[2007] ECR I-2513 103Commission v France (Vụ án C-270/83) [1986] ECR 273 71</w:t>
      </w:r>
    </w:p>
    <w:p>
      <w:pPr>
        <w:spacing w:after="80"/>
      </w:pPr>
      <w:r>
        <w:rPr>
          <w:b w:val="0"/>
          <w:i w:val="0"/>
        </w:rPr>
        <w:t>691</w:t>
      </w:r>
    </w:p>
    <w:p>
      <w:pPr>
        <w:spacing w:after="80"/>
      </w:pPr>
      <w:r>
        <w:rPr>
          <w:b w:val="0"/>
          <w:i w:val="0"/>
        </w:rPr>
        <w:t>Commission v Germany (Vụ án C-112/05) [2007] ECR I-8995 94Commission v Italy (Vụ án C-173/73) [1974] ECR 709 60Commission v Italy (Vụ án C-540/07) [2009] ECR I-10983 62Commission v Spain (Vụ án C-487/08) [2008] ECR I-03601 62Commission v United Kingdom (Vụ án C-466/98) (Open Skies) ECLI:EU:C:2002:624 76CompagniedeSaint-GobainvFinanzamtAachenInnenstadt(VụánC-307/97)[1999]</w:t>
      </w:r>
    </w:p>
    <w:p>
      <w:pPr>
        <w:spacing w:after="80"/>
      </w:pPr>
      <w:r>
        <w:rPr>
          <w:b w:val="0"/>
          <w:i w:val="0"/>
        </w:rPr>
        <w:t>ECR I-06161 [2000] STC 854, ECJ 64, 72CompagniedeSaint-Gobain,ZweigniederlassungDeutschlandvFinanzamtAachen-</w:t>
      </w:r>
    </w:p>
    <w:p>
      <w:pPr>
        <w:spacing w:after="80"/>
      </w:pPr>
      <w:r>
        <w:rPr>
          <w:b w:val="0"/>
          <w:i w:val="0"/>
        </w:rPr>
        <w:t>Innenstadt (Vụ án C-307/97) [1999] ECR I-06161, [2000] STC 854 58, 94, 444CongregaciondeEscuelasPiasProvinciaBetania,VụánC-74/16ECLI:EU:C:2017:496</w:t>
      </w:r>
    </w:p>
    <w:p>
      <w:pPr>
        <w:spacing w:after="80"/>
      </w:pPr>
      <w:r>
        <w:rPr>
          <w:b w:val="0"/>
          <w:i w:val="0"/>
        </w:rPr>
        <w:t>61Costa v ENEL (Vụ án 14/64) [1964] ECR 585 57Thủ tục tố tụng hình sự chống lại Petar Dzivev và những người khác (C-310/16) ECLI- EU:C:2019:30</w:t>
      </w:r>
    </w:p>
    <w:p>
      <w:pPr>
        <w:spacing w:after="80"/>
      </w:pPr>
      <w:r>
        <w:rPr>
          <w:b w:val="0"/>
          <w:i w:val="0"/>
        </w:rPr>
        <w:t>673DvInspecteurvandeBelastingdienst/Particulieren/OndernemingenBuitenlandte</w:t>
      </w:r>
    </w:p>
    <w:p>
      <w:pPr>
        <w:spacing w:after="80"/>
      </w:pPr>
      <w:r>
        <w:rPr>
          <w:b w:val="0"/>
          <w:i w:val="0"/>
        </w:rPr>
        <w:t>Heerlen (Vụ án C-376/03) [2005] ECR I-5821; [2005] STC 1211 66, 77Damseaux v Belgium (Vụ án C-128/08) [2008] ECR I-03747 [2009] BTC 746; [2009] STC</w:t>
      </w:r>
    </w:p>
    <w:p>
      <w:pPr>
        <w:spacing w:after="80"/>
      </w:pPr>
      <w:r>
        <w:rPr>
          <w:b w:val="0"/>
          <w:i w:val="0"/>
        </w:rPr>
        <w:t>2689 62, 84DenkavitInternationalBV&amp;AnorvMinistredel’Economie,desFinancesetde</w:t>
      </w:r>
    </w:p>
    <w:p>
      <w:pPr>
        <w:spacing w:after="80"/>
      </w:pPr>
      <w:r>
        <w:rPr>
          <w:b w:val="0"/>
          <w:i w:val="0"/>
        </w:rPr>
        <w:t>l’Industrie (Vụ án C-170/05) [2008] BTC 418; [2007] STC 452; [1998] ECR I-279358, 74Denkavit International BV, VITIC Amsterdam BV và Vormeer BV kiện Bundesampt Fur</w:t>
      </w:r>
    </w:p>
    <w:p>
      <w:pPr>
        <w:spacing w:after="80"/>
      </w:pPr>
      <w:r>
        <w:rPr>
          <w:b w:val="0"/>
          <w:i w:val="0"/>
        </w:rPr>
        <w:t>Finanzen (Các vụ án hợp nhất C-283/94, C-291/94 và C-292/94) [1996] ECR I-05063;[1996] STC 1445, [1996] BTC 800 402, 405, 413, 421Deutsche Shell kiện Finanzamt fur Grosunternehmen in Hamburg (Vụ án C-293/06) [2008]</w:t>
      </w:r>
    </w:p>
    <w:p>
      <w:pPr>
        <w:spacing w:after="80"/>
      </w:pPr>
      <w:r>
        <w:rPr>
          <w:b w:val="0"/>
          <w:i w:val="0"/>
        </w:rPr>
        <w:t>ECR I-01129, ECLI:EU:C:2008:129, [2010] BTC 595; [2008] STC 1721 71EamonnDonnellanvTheRevenueCommissioners(Vụ án C-34/17)ECLI:EU:C:2018:282 686EC Commission kiện France (Vụ án C-270/83) [1986] ECR 273 58, 70, 87EC Commission kiện Italy (Vụ án C-10/61) [1962] ECR 1 92EC Commission kiện UK, Denmark, Sweden, Finland, Belgium, Luxembourg, Austria và</w:t>
      </w:r>
    </w:p>
    <w:p>
      <w:pPr>
        <w:spacing w:after="80"/>
      </w:pPr>
      <w:r>
        <w:rPr>
          <w:b w:val="0"/>
          <w:i w:val="0"/>
        </w:rPr>
        <w:t>Germany, (Các vụ án C-466/98, C-467/98, C-468/98, C-469/98, C-471/98, C-472/98,C-475/98 và C-476/98) [2002] ECR I-09427 ECLI:EU:C:2002:624 77, 93EdwardCussens,JohnJennings,VincentKingstonvT.G.Brosman(Vụ án-251/16)</w:t>
      </w:r>
    </w:p>
    <w:p>
      <w:pPr>
        <w:spacing w:after="80"/>
      </w:pPr>
      <w:r>
        <w:rPr>
          <w:b w:val="0"/>
          <w:i w:val="0"/>
        </w:rPr>
        <w:t>ECLI:EU:C:2017:881 429ElideGottardovIstitutonazionaledellaprevidenzasociale(Vụ ánC-55/00)ECLI:</w:t>
      </w:r>
    </w:p>
    <w:p>
      <w:pPr>
        <w:spacing w:after="80"/>
      </w:pPr>
      <w:r>
        <w:rPr>
          <w:b w:val="0"/>
          <w:i w:val="0"/>
        </w:rPr>
        <w:t>EU:C:2002:16 69, 76, 100EllinikoDimosiovNikolaosTsapalosvàKonstantinosDiamantakis(Các vụ án hợp nhất</w:t>
      </w:r>
    </w:p>
    <w:p>
      <w:pPr>
        <w:spacing w:after="80"/>
      </w:pPr>
      <w:r>
        <w:rPr>
          <w:b w:val="0"/>
          <w:i w:val="0"/>
        </w:rPr>
        <w:t>C-361/02 và C-362/02) [2004] ECR I-6405; [2004] STC 1220 667, 688EmergingMarketsSeriesofDFAInvestmentTrustCompanyvDyrektorIzbySkar-</w:t>
      </w:r>
    </w:p>
    <w:p>
      <w:pPr>
        <w:spacing w:after="80"/>
      </w:pPr>
      <w:r>
        <w:rPr>
          <w:b w:val="0"/>
          <w:i w:val="0"/>
        </w:rPr>
        <w:t>bowejwBydgoszczy(Vụ ánC-190/12)ECLI:EU:C:2014:249;[2014]BTC18;[2014] STC 1660 96Eqiom SAS, trước đây là Holcim France SAS và Enka SA kiện Ministre des finances et des</w:t>
      </w:r>
    </w:p>
    <w:p>
      <w:pPr>
        <w:spacing w:after="80"/>
      </w:pPr>
      <w:r>
        <w:rPr>
          <w:b w:val="0"/>
          <w:i w:val="0"/>
        </w:rPr>
        <w:t>comptes publics (Vụ án C-6/16) ECLI:EU:C:2017:641 91, 420</w:t>
      </w:r>
    </w:p>
    <w:p>
      <w:pPr>
        <w:spacing w:after="80"/>
      </w:pPr>
      <w:r>
        <w:rPr>
          <w:b w:val="0"/>
          <w:i w:val="0"/>
        </w:rPr>
        <w:t>692</w:t>
      </w:r>
    </w:p>
    <w:p>
      <w:pPr>
        <w:spacing w:after="80"/>
      </w:pPr>
      <w:r>
        <w:rPr>
          <w:b w:val="0"/>
          <w:i w:val="0"/>
        </w:rPr>
        <w:t>EtatBelge-ServicePublicFederalFinancesvLesVergersduVieuxTauvesSA(Vụ án</w:t>
      </w:r>
    </w:p>
    <w:p>
      <w:pPr>
        <w:spacing w:after="80"/>
      </w:pPr>
      <w:r>
        <w:rPr>
          <w:b w:val="0"/>
          <w:i w:val="0"/>
        </w:rPr>
        <w:t>C-48/07) [2008] ECR I-10627; [2009] 2 CMLR 13 406, 420Etat belge kiện Pantochim SA (Vụ án C-19/19) ECLI:EU:C:2020:456 686Euro Park Service, với tư cách kế thừa các quyền và nghĩa vụ của Cairnbulg Nanteuil kiện</w:t>
      </w:r>
    </w:p>
    <w:p>
      <w:pPr>
        <w:spacing w:after="80"/>
      </w:pPr>
      <w:r>
        <w:rPr>
          <w:b w:val="0"/>
          <w:i w:val="0"/>
        </w:rPr>
        <w:t>Ministredesfinancesetdescomptespublics(C-14/16)ECLI:EU:C:2017:177,[2011] ECR I-12273; [2017] BTC 5 58Euro Park Service, với tư cách kế thừa các quyền và nghĩa vụ của Cairnbulg Nanteuil kiện</w:t>
      </w:r>
    </w:p>
    <w:p>
      <w:pPr>
        <w:spacing w:after="80"/>
      </w:pPr>
      <w:r>
        <w:rPr>
          <w:b w:val="0"/>
          <w:i w:val="0"/>
        </w:rPr>
        <w:t>Ministre es finances et des comptes publics (Vụ án C-14/16) ECLI:EU:C:2017:177426European Commission kiện Cộng hòa Pháp (Vụ án C-416/17) ECLI:EU:C:2018:811 404EuropeanCommissionvKingdomofDenmark(Vụ ánC-261/11)ECLI:EU:C:2013:480</w:t>
      </w:r>
    </w:p>
    <w:p>
      <w:pPr>
        <w:spacing w:after="80"/>
      </w:pPr>
      <w:r>
        <w:rPr>
          <w:b w:val="0"/>
          <w:i w:val="0"/>
        </w:rPr>
        <w:t>430European Commission kiện Cộng hòa Bồ Đào Nha (Vụ án C38/10) ECLI:EU:C:2012:521 430European Roma Rights Centre kiện Immigration Officer tại Prague Airport (United Nations</w:t>
      </w:r>
    </w:p>
    <w:p>
      <w:pPr>
        <w:spacing w:after="80"/>
      </w:pPr>
      <w:r>
        <w:rPr>
          <w:b w:val="0"/>
          <w:i w:val="0"/>
        </w:rPr>
        <w:t>HighCommissionerforRefugeestham gia tố tụng)[2004]UKHL55;[2005]2AC1;[2005] 1 All ER 527 14Europeenne et Luxembourgeoise d’investissements SA (Elisa) kiện Directeur general des</w:t>
      </w:r>
    </w:p>
    <w:p>
      <w:pPr>
        <w:spacing w:after="80"/>
      </w:pPr>
      <w:r>
        <w:rPr>
          <w:b w:val="0"/>
          <w:i w:val="0"/>
        </w:rPr>
        <w:t>impotsndMinisterepublic(CaseC-451/05)[2011]BTC513[2007]ECRI-825;[2008] STC 17621 664, 673FinanzamtHamburg-AmTierparkvBurdaGmbH(formerlyBurdaVerlagsbeteiligun-</w:t>
      </w:r>
    </w:p>
    <w:p>
      <w:pPr>
        <w:spacing w:after="80"/>
      </w:pPr>
      <w:r>
        <w:rPr>
          <w:b w:val="0"/>
          <w:i w:val="0"/>
        </w:rPr>
        <w:t>genGmbH)(CaseC-284/06)[2008]BTC1500[2008]STC2996;[2008]ECRI-4571 409Finanzamt Koln-Altstadt v Schumacker (Case C-279/93) [1995] ECR I-00225; BTC 251;</w:t>
      </w:r>
    </w:p>
    <w:p>
      <w:pPr>
        <w:spacing w:after="80"/>
      </w:pPr>
      <w:r>
        <w:rPr>
          <w:b w:val="0"/>
          <w:i w:val="0"/>
        </w:rPr>
        <w:t>[1995] STC 306, ECJ 58, 63, 70, 99FKPScorpioKonzertproductionenGmbHvFiananzamtHamburg-Eimsbuttel(Case</w:t>
      </w:r>
    </w:p>
    <w:p>
      <w:pPr>
        <w:spacing w:after="80"/>
      </w:pPr>
      <w:r>
        <w:rPr>
          <w:b w:val="0"/>
          <w:i w:val="0"/>
        </w:rPr>
        <w:t>C-290/04) [2006] ECR I-09461; [2007] STC 1069 ECJ 92Foggia-SociedadeGestoradeParticipac_CoesSociaisSAvSecretariodeEstadodos</w:t>
      </w:r>
    </w:p>
    <w:p>
      <w:pPr>
        <w:spacing w:after="80"/>
      </w:pPr>
      <w:r>
        <w:rPr>
          <w:b w:val="0"/>
          <w:i w:val="0"/>
        </w:rPr>
        <w:t>Assuntos iscais (Case C-126/10) [2011] I-10923; [2013] BTC 339; [2012] STC 219426FokusInvestAGvFinanzierungsberatung-ImmobilientreuhandundAnlageberatung</w:t>
      </w:r>
    </w:p>
    <w:p>
      <w:pPr>
        <w:spacing w:after="80"/>
      </w:pPr>
      <w:r>
        <w:rPr>
          <w:b w:val="0"/>
          <w:i w:val="0"/>
        </w:rPr>
        <w:t>GmbH (Case C-541/08) [2010] ECR I-1025 99FuturaParticipationsSAandanothervAdministrationsdesContributions(Case</w:t>
      </w:r>
    </w:p>
    <w:p>
      <w:pPr>
        <w:spacing w:after="80"/>
      </w:pPr>
      <w:r>
        <w:rPr>
          <w:b w:val="0"/>
          <w:i w:val="0"/>
        </w:rPr>
        <w:t>C-250/95) [1997] ECR I-02471; [1997] STC 1301, ECJ 84GazdeFrance-BerlinerInvestissementSAvBundeszentralamtfurSteuern(Case</w:t>
      </w:r>
    </w:p>
    <w:p>
      <w:pPr>
        <w:spacing w:after="80"/>
      </w:pPr>
      <w:r>
        <w:rPr>
          <w:b w:val="0"/>
          <w:i w:val="0"/>
        </w:rPr>
        <w:t>C-247/08) [2009] ECR-I-09225; [2010] STC 1519 (ECJ) 404GibraltarBettingandGamingAssociationLtdvHMRCandHMTreasury,The(Case</w:t>
      </w:r>
    </w:p>
    <w:p>
      <w:pPr>
        <w:spacing w:after="80"/>
      </w:pPr>
      <w:r>
        <w:rPr>
          <w:b w:val="0"/>
          <w:i w:val="0"/>
        </w:rPr>
        <w:t>C-591/15) ECLI:EU:C:2017:449 96GillyvDirecteurdesServicesFiscauxduBas-Rhin(CaseC-336/96)[1998]BTC335;</w:t>
      </w:r>
    </w:p>
    <w:p>
      <w:pPr>
        <w:spacing w:after="80"/>
      </w:pPr>
      <w:r>
        <w:rPr>
          <w:b w:val="0"/>
          <w:i w:val="0"/>
        </w:rPr>
        <w:t>[1998] ECR I-2793; [1998] STC 1014 58, 68, 69, 73, 78GVCServices(Bulgaria)EOODvDirektornaDirektsia‘Obzhalvaneidanachno-</w:t>
      </w:r>
    </w:p>
    <w:p>
      <w:pPr>
        <w:spacing w:after="80"/>
      </w:pPr>
      <w:r>
        <w:rPr>
          <w:b w:val="0"/>
          <w:i w:val="0"/>
        </w:rPr>
        <w:t>osiguritelna praktika’ - Sofia (Case C-458/18) ECLI:EU:C:2020:266) 405Halifaxplc,LeedsPermanentDevelopmentServicesLtd,CountyWideProperty</w:t>
      </w:r>
    </w:p>
    <w:p>
      <w:pPr>
        <w:spacing w:after="80"/>
      </w:pPr>
      <w:r>
        <w:rPr>
          <w:b w:val="0"/>
          <w:i w:val="0"/>
        </w:rPr>
        <w:t>InvestmentsLtdvCustomsandExciseCommissioners(CaseC-255/02)[2006]ECR I-01609; [2006] BVC 377; [2006] STC 919, ECJ 425</w:t>
      </w:r>
    </w:p>
    <w:p>
      <w:pPr>
        <w:spacing w:after="80"/>
      </w:pPr>
      <w:r>
        <w:rPr>
          <w:b w:val="0"/>
          <w:i w:val="0"/>
        </w:rPr>
        <w:t>693</w:t>
      </w:r>
    </w:p>
    <w:p>
      <w:pPr>
        <w:spacing w:after="80"/>
      </w:pPr>
      <w:r>
        <w:rPr>
          <w:b w:val="0"/>
          <w:i w:val="0"/>
        </w:rPr>
        <w:t>HalliburtonServicesBVvStaatssecretarisvanFinancien(CaseC-1/93)[1994]ECR</w:t>
      </w:r>
    </w:p>
    <w:p>
      <w:pPr>
        <w:spacing w:after="80"/>
      </w:pPr>
      <w:r>
        <w:rPr>
          <w:b w:val="0"/>
          <w:i w:val="0"/>
        </w:rPr>
        <w:t>I-01137; [1994] BTC 8069; [1994] STC 655 63, 95HansMarkusKofoedvSkatteministeriet(CaseC-321/05)[2007]ECRI-05795;[2008]</w:t>
      </w:r>
    </w:p>
    <w:p>
      <w:pPr>
        <w:spacing w:after="80"/>
      </w:pPr>
      <w:r>
        <w:rPr>
          <w:b w:val="0"/>
          <w:i w:val="0"/>
        </w:rPr>
        <w:t>STC 1202, ECJ 422, 424HB and IC v Istituto nazionale della previdenza sociale (INPS) (Joined Cases C-168/19</w:t>
      </w:r>
    </w:p>
    <w:p>
      <w:pPr>
        <w:spacing w:after="80"/>
      </w:pPr>
      <w:r>
        <w:rPr>
          <w:b w:val="0"/>
          <w:i w:val="0"/>
        </w:rPr>
        <w:t>và C-169/19) ECLI:EU:C:2020:338 82Hoechst AG &amp; Hoechst UK Ltd v Commissioners of Inland Revenue &amp; Attorney-General</w:t>
      </w:r>
    </w:p>
    <w:p>
      <w:pPr>
        <w:spacing w:after="80"/>
      </w:pPr>
      <w:r>
        <w:rPr>
          <w:b w:val="0"/>
          <w:i w:val="0"/>
        </w:rPr>
        <w:t>(Vụ án C-410/98) [2001] BTC 99, [2001] STC 452 [2001] ECR I-1727 58Holbock v Finanzamt Salzburg-Land (Vụ án C-157/05) [2007] ECR I-04051; [2010] BTC</w:t>
      </w:r>
    </w:p>
    <w:p>
      <w:pPr>
        <w:spacing w:after="80"/>
      </w:pPr>
      <w:r>
        <w:rPr>
          <w:b w:val="0"/>
          <w:i w:val="0"/>
        </w:rPr>
        <w:t>683; [2007] ECR I-4051 94Holcim France SAS và Enka SA v Ministre des finances et des comptes publics (Vụ án</w:t>
      </w:r>
    </w:p>
    <w:p>
      <w:pPr>
        <w:spacing w:after="80"/>
      </w:pPr>
      <w:r>
        <w:rPr>
          <w:b w:val="0"/>
          <w:i w:val="0"/>
        </w:rPr>
        <w:t>C-6/16) ECLI:EU:C:2017:641 91, 420HughesdeLasteyrieduSaillantvMinisteredel’Economie,desFinancesetde</w:t>
      </w:r>
    </w:p>
    <w:p>
      <w:pPr>
        <w:spacing w:after="80"/>
      </w:pPr>
      <w:r>
        <w:rPr>
          <w:b w:val="0"/>
          <w:i w:val="0"/>
        </w:rPr>
        <w:t>l’Industrie (Vụ án C-9/02) [2006] ECR I-07995; [2006] BTC 105, [2005] STC 172289Humblet v Belgium (Vụ án Case-6/60) [1960] ECR 559 104INandJMvBelgischeStaat(Vụ án hợp nhất C-469/18 và C-470/18)ECLI:</w:t>
      </w:r>
    </w:p>
    <w:p>
      <w:pPr>
        <w:spacing w:after="80"/>
      </w:pPr>
      <w:r>
        <w:rPr>
          <w:b w:val="0"/>
          <w:i w:val="0"/>
        </w:rPr>
        <w:t>EU:C:2019:895 673Intertanko và những người khác (Vụ án C-308/06) [2008] ECR I-4057 99IrelandvEuropeanCommission;AppleSalesInternationalvàAppleOperations</w:t>
      </w:r>
    </w:p>
    <w:p>
      <w:pPr>
        <w:spacing w:after="80"/>
      </w:pPr>
      <w:r>
        <w:rPr>
          <w:b w:val="0"/>
          <w:i w:val="0"/>
        </w:rPr>
        <w:t>EuropevEuropeanCommission,(Vụ án hợp nhất T-778/16 và T-892/16),ECLI:EU:T:2020:338 273JiríSabouvFinancníreditelstvíprohlavnímestoPrahu(Vụ án C276/12)ECLI:</w:t>
      </w:r>
    </w:p>
    <w:p>
      <w:pPr>
        <w:spacing w:after="80"/>
      </w:pPr>
      <w:r>
        <w:rPr>
          <w:b w:val="0"/>
          <w:i w:val="0"/>
        </w:rPr>
        <w:t>EU:C:2013:678 671Katja Ettwein v Finanzamt Konstanz (Vụ án C-425/11) ECLI:EU:C:2013:121 99Kerckhaert&amp;MorresvBelgium(Vụ án C-513/04)[2008]BTC292;[2007]STC1349;</w:t>
      </w:r>
    </w:p>
    <w:p>
      <w:pPr>
        <w:spacing w:after="80"/>
      </w:pPr>
      <w:r>
        <w:rPr>
          <w:b w:val="0"/>
          <w:i w:val="0"/>
        </w:rPr>
        <w:t>[2006] ECR I-10967 69Lankhorst-Hohorst GmbH v Finanzamt Steinfurt (Vụ án C-324/00) [2002] ECR I-11779;</w:t>
      </w:r>
    </w:p>
    <w:p>
      <w:pPr>
        <w:spacing w:after="80"/>
      </w:pPr>
      <w:r>
        <w:rPr>
          <w:b w:val="0"/>
          <w:i w:val="0"/>
        </w:rPr>
        <w:t>[2003] BTC 254, [2003] STC 607 86Vụ án C-414/06 Lidl Belgium 62Leur-BloemvInspecteurderBelastingdienst(Vụ án C-28/95)[1997]ECRI-04161;</w:t>
      </w:r>
    </w:p>
    <w:p>
      <w:pPr>
        <w:spacing w:after="80"/>
      </w:pPr>
      <w:r>
        <w:rPr>
          <w:b w:val="0"/>
          <w:i w:val="0"/>
        </w:rPr>
        <w:t>[1997] BTC 504; [1997] STC 1205 422, 425M. Jansen van Rosendaal v Staatssecretaris van Financien (Vụ án C-88/92) [1993] ECR</w:t>
      </w:r>
    </w:p>
    <w:p>
      <w:pPr>
        <w:spacing w:after="80"/>
      </w:pPr>
      <w:r>
        <w:rPr>
          <w:b w:val="0"/>
          <w:i w:val="0"/>
        </w:rPr>
        <w:t>I-3315 105Marc Jacob v Ministre des Finances et des Comptes publics và Ministre des Finances</w:t>
      </w:r>
    </w:p>
    <w:p>
      <w:pPr>
        <w:spacing w:after="80"/>
      </w:pPr>
      <w:r>
        <w:rPr>
          <w:b w:val="0"/>
          <w:i w:val="0"/>
        </w:rPr>
        <w:t>etdesComptespublicsvMarcLassus(Vụ án hợp nhất C-327/16 và C-421/16)ECLI:EU:C:2018:210 418Martin Wachtler v Finanzamt Konstanz (Vụ án C-581/17) ECLI:EU:C:2019:138 100Metallgesellschaft Ltd v IR Commrs; Hoechst AG v IR Commrs (Vụ án hợp nhất C-397/98</w:t>
      </w:r>
    </w:p>
    <w:p>
      <w:pPr>
        <w:spacing w:after="80"/>
      </w:pPr>
      <w:r>
        <w:rPr>
          <w:b w:val="0"/>
          <w:i w:val="0"/>
        </w:rPr>
        <w:t>và C-410/98) [2001] BTC 99; [2001] ECR I-1727; [2001] STC 452 88, 97, 465MetiratoOy,inliquidationvSuomenvaltio/Verohallinto,EestiVabariik/Maksu-ja</w:t>
      </w:r>
    </w:p>
    <w:p>
      <w:pPr>
        <w:spacing w:after="80"/>
      </w:pPr>
      <w:r>
        <w:rPr>
          <w:b w:val="0"/>
          <w:i w:val="0"/>
        </w:rPr>
        <w:t>Tolliamet (Vụ án C-695/17) ECLI:EU:C:2019:209 687MinisterdelegateforthebudgetvMarlenePazdziej(Vụ án C-349/14)ECLI:</w:t>
      </w:r>
    </w:p>
    <w:p>
      <w:pPr>
        <w:spacing w:after="80"/>
      </w:pPr>
      <w:r>
        <w:rPr>
          <w:b w:val="0"/>
          <w:i w:val="0"/>
        </w:rPr>
        <w:t>EU:C:2015:338 104Ministere Public v Deserbais (Vụ án 286/86) [1988] ECR 4907 93</w:t>
      </w:r>
    </w:p>
    <w:p>
      <w:pPr>
        <w:spacing w:after="80"/>
      </w:pPr>
      <w:r>
        <w:rPr>
          <w:b w:val="0"/>
          <w:i w:val="0"/>
        </w:rPr>
        <w:t>694</w:t>
      </w:r>
    </w:p>
    <w:p>
      <w:pPr>
        <w:spacing w:after="80"/>
      </w:pPr>
      <w:r>
        <w:rPr>
          <w:b w:val="0"/>
          <w:i w:val="0"/>
        </w:rPr>
        <w:t>Ministere Public v Mutsch (Vụ án C-137/84) [1985] ECR 2681 68Ministerodell’EconomiaedelleFinanze,trước đây là MinisterodelleFinanze,vPart</w:t>
      </w:r>
    </w:p>
    <w:p>
      <w:pPr>
        <w:spacing w:after="80"/>
      </w:pPr>
      <w:r>
        <w:rPr>
          <w:b w:val="0"/>
          <w:i w:val="0"/>
        </w:rPr>
        <w:t>ServiceSrl,công ty đang thanh lý,trước đây là ItalserviceSrl(Vụ án C-425/06)[2008] I-00897; [2010] BVC 443; [2008] STC 3132, ECJ 426Ministerio Publico và những người khác v Epson Europe BV (Vụ án C-375/98) [2000] ECR I-04243;</w:t>
      </w:r>
    </w:p>
    <w:p>
      <w:pPr>
        <w:spacing w:after="80"/>
      </w:pPr>
      <w:r>
        <w:rPr>
          <w:b w:val="0"/>
          <w:i w:val="0"/>
        </w:rPr>
        <w:t>[2002] STC 739, [2002] BTC 600 408–409Ministerodell’EconomiaedelleFinanzev3MItaliaSpA(Vụ án C-417/10)ECLI:</w:t>
      </w:r>
    </w:p>
    <w:p>
      <w:pPr>
        <w:spacing w:after="80"/>
      </w:pPr>
      <w:r>
        <w:rPr>
          <w:b w:val="0"/>
          <w:i w:val="0"/>
        </w:rPr>
        <w:t>EU:C:2012:184; [2012] STC 1495 90Modehuis A Zwijnenburg BV v Staatssecretaris van Financien (Vụ án C-352/08) [2010]</w:t>
      </w:r>
    </w:p>
    <w:p>
      <w:pPr>
        <w:spacing w:after="80"/>
      </w:pPr>
      <w:r>
        <w:rPr>
          <w:b w:val="0"/>
          <w:i w:val="0"/>
        </w:rPr>
        <w:t>ECR I-04303 423N Luxembourg I, X Denmark, C Danmark I và Z Denmark v Skatteministeriet, (Các vụ án</w:t>
      </w:r>
    </w:p>
    <w:p>
      <w:pPr>
        <w:spacing w:after="80"/>
      </w:pPr>
      <w:r>
        <w:rPr>
          <w:b w:val="0"/>
          <w:i w:val="0"/>
        </w:rPr>
        <w:t>C-115/16, C-118/16, C-119/16 và C-299/16) EU:C:2019:134 412, 424, 494N v Inspecteur van de Belastingdienst Oos/kantoor Almelo (Vụ án -470/04) [2006] ECR</w:t>
      </w:r>
    </w:p>
    <w:p>
      <w:pPr>
        <w:spacing w:after="80"/>
      </w:pPr>
      <w:r>
        <w:rPr>
          <w:b w:val="0"/>
          <w:i w:val="0"/>
        </w:rPr>
        <w:t>I-7409, [2008] STC 436 430National Grid Indus BV v Inspecteur van de Belastingdienst Rijnmond/kantoor Rotter-</w:t>
      </w:r>
    </w:p>
    <w:p>
      <w:pPr>
        <w:spacing w:after="80"/>
      </w:pPr>
      <w:r>
        <w:rPr>
          <w:b w:val="0"/>
          <w:i w:val="0"/>
        </w:rPr>
        <w:t>dam(Vụ án C-371/10),[2011]ECRI-12273,[2012]BTC385,[2012]STC11460,78, 430Oce van der Grinten NV v Inland Revenue Commissioners (Vụ án C-58/01) [2003] BTC</w:t>
      </w:r>
    </w:p>
    <w:p>
      <w:pPr>
        <w:spacing w:after="80"/>
      </w:pPr>
      <w:r>
        <w:rPr>
          <w:b w:val="0"/>
          <w:i w:val="0"/>
        </w:rPr>
        <w:t>535 [2003] ECR I-9809; [2003] STC 1248, ECJ 410Oy AA (Vụ án C-231/05) [2011] BTC 150; [2007] ECR I 6373 92PFerreroeC.SpAvAgenziadelleEntrate-UfficiodiAlbaandGeneralBeverage</w:t>
      </w:r>
    </w:p>
    <w:p>
      <w:pPr>
        <w:spacing w:after="80"/>
      </w:pPr>
      <w:r>
        <w:rPr>
          <w:b w:val="0"/>
          <w:i w:val="0"/>
        </w:rPr>
        <w:t>EuropeBVvAgenziadelleEntrate-UfficiodiTorino1(Vụ án C-338/08 và C-339/08) [2010] ECR I-05743 409, 410PKadi và AlBarakaatInternationalFoundationvCouncilvàCommission(Joined</w:t>
      </w:r>
    </w:p>
    <w:p>
      <w:pPr>
        <w:spacing w:after="80"/>
      </w:pPr>
      <w:r>
        <w:rPr>
          <w:b w:val="0"/>
          <w:i w:val="0"/>
        </w:rPr>
        <w:t>Các vụ án C-402/05 P và C-415/05) [2008] ECR I-6351 99Peter Fisher, Stephen Fisher, Anne Fisher v Commissioners for Her Majesty’s Revenue</w:t>
      </w:r>
    </w:p>
    <w:p>
      <w:pPr>
        <w:spacing w:after="80"/>
      </w:pPr>
      <w:r>
        <w:rPr>
          <w:b w:val="0"/>
          <w:i w:val="0"/>
        </w:rPr>
        <w:t>&amp; Customs, (Vụ án C-192/16) ECLI:EU:C:2017:762 96PeterRadgen,LilianRadgenvFinanzamtEttlingen(Vụ án C-478/15)ECLI:EU:C:2016:705 100PicartvMinistredesFinancesetdesComptespublics(Vụ án C-355/16)ECLI:</w:t>
      </w:r>
    </w:p>
    <w:p>
      <w:pPr>
        <w:spacing w:after="80"/>
      </w:pPr>
      <w:r>
        <w:rPr>
          <w:b w:val="0"/>
          <w:i w:val="0"/>
        </w:rPr>
        <w:t>EU:C:2018:184 100Pigs Marketing Board v Redmond (Vụ án C-83/78) [1978] ECR 2347 400Poulsen và Diva Navigation (Vụ án C-286/90) [1992] ECR I-6019 6Prunus SARL v Polonium SA (Vụ án C-384/09) ECLI:EU:C:2014:1385; [2011] ECR I-3319</w:t>
      </w:r>
    </w:p>
    <w:p>
      <w:pPr>
        <w:spacing w:after="80"/>
      </w:pPr>
      <w:r>
        <w:rPr>
          <w:b w:val="0"/>
          <w:i w:val="0"/>
        </w:rPr>
        <w:t>[2011] STC 1392 96PunchGraphixPrepressBelgiumNVvBelgischeStaat(Vụ án C-371/11)ECLI:</w:t>
      </w:r>
    </w:p>
    <w:p>
      <w:pPr>
        <w:spacing w:after="80"/>
      </w:pPr>
      <w:r>
        <w:rPr>
          <w:b w:val="0"/>
          <w:i w:val="0"/>
        </w:rPr>
        <w:t>EU:C:2012:647; [2013] STC 603, [2013] BTC 856 406R v HM Treasury và Inland Revenue Commissioners, ex parte Daily Mail và General</w:t>
      </w:r>
    </w:p>
    <w:p>
      <w:pPr>
        <w:spacing w:after="80"/>
      </w:pPr>
      <w:r>
        <w:rPr>
          <w:b w:val="0"/>
          <w:i w:val="0"/>
        </w:rPr>
        <w:t>Trust plc (Case C-81/87) [1988] ECR 05483; [1987] BTC 153; [1988] STC 787 400RvIRC,exparteCommerzbankAG(CaseC-330/91)[1993]ECRI-0401[1993]BTC</w:t>
      </w:r>
    </w:p>
    <w:p>
      <w:pPr>
        <w:spacing w:after="80"/>
      </w:pPr>
      <w:r>
        <w:rPr>
          <w:b w:val="0"/>
          <w:i w:val="0"/>
        </w:rPr>
        <w:t>299; [1993] STC 605 63, 70, 88, 94, 455, 457, 587, 588RvSecretaryofStateforTransport,exparteFactortameLtd(CaseC-221/89)[1991]</w:t>
      </w:r>
    </w:p>
    <w:p>
      <w:pPr>
        <w:spacing w:after="80"/>
      </w:pPr>
      <w:r>
        <w:rPr>
          <w:b w:val="0"/>
          <w:i w:val="0"/>
        </w:rPr>
        <w:t>ECR I-03905; [1991] 3 All ER 769 57, 77, 93, 95Racke (Case C-162/96) [1998] ECR I-3655 6</w:t>
      </w:r>
    </w:p>
    <w:p>
      <w:pPr>
        <w:spacing w:after="80"/>
      </w:pPr>
      <w:r>
        <w:rPr>
          <w:b w:val="0"/>
          <w:i w:val="0"/>
        </w:rPr>
        <w:t>695</w:t>
      </w:r>
    </w:p>
    <w:p>
      <w:pPr>
        <w:spacing w:after="80"/>
      </w:pPr>
      <w:r>
        <w:rPr>
          <w:b w:val="0"/>
          <w:i w:val="0"/>
        </w:rPr>
        <w:t>Cộng hòa Áo v Cộng hòa Liên bang Đức, (Case C-648/15) ECLI:</w:t>
      </w:r>
    </w:p>
    <w:p>
      <w:pPr>
        <w:spacing w:after="80"/>
      </w:pPr>
      <w:r>
        <w:rPr>
          <w:b w:val="0"/>
          <w:i w:val="0"/>
        </w:rPr>
        <w:t>EU:C:2017:664 62, 148, 311, 319, 620Ủy viên Thuế vụ và Hải quan v Sunico ApS và những người khác (Case C-49/12)</w:t>
      </w:r>
    </w:p>
    <w:p>
      <w:pPr>
        <w:spacing w:after="80"/>
      </w:pPr>
      <w:r>
        <w:rPr>
          <w:b w:val="0"/>
          <w:i w:val="0"/>
        </w:rPr>
        <w:t>ECLI:EU:C:2013:545, [2014] STC 94 639Reyners v Bỉ (Case C-2/74) [1974] ECR 631 90Riskin và Timmermans v Etat Belge (Case C-176/15) ECLI:EU:C:2016:488 69Roman Bukovansky v Finanzamt Lorrach (Case C-241/14) ECLI:EU:C:2015:766 99, 114Rolf Dieter Danner (Case C-136/00) [2002] ECR I-08147; [2002] STC 1361, ECJ 86, 96Sauvage &amp; Lejeune v Etat belge (Case C-602/17), ECLI:EU:C:2018:856 69ScheutenSolarTechnologyGmbHvFinanzamtGelsenkirchen-Sud(CaseC-397/09)</w:t>
      </w:r>
    </w:p>
    <w:p>
      <w:pPr>
        <w:spacing w:after="80"/>
      </w:pPr>
      <w:r>
        <w:rPr>
          <w:b w:val="0"/>
          <w:i w:val="0"/>
        </w:rPr>
        <w:t>[2011] ECR I-06455; [2013] BTC 209; [2011] STC 1622 411, 413SEVIC Systems AG (Case C-411/03) [2005] ECR I-10805 415SkatteministerietvTDanmarkandYDenmarkAps(JoinedCasesC-116/16and</w:t>
      </w:r>
    </w:p>
    <w:p>
      <w:pPr>
        <w:spacing w:after="80"/>
      </w:pPr>
      <w:r>
        <w:rPr>
          <w:b w:val="0"/>
          <w:i w:val="0"/>
        </w:rPr>
        <w:t>C-117/16), ECLI:EU:C:2018:144 420, 424Skatteverket v A (Case C-101/05) [2007] ECR I-11531; [2010] BTC 906; [2009] STC 405,</w:t>
      </w:r>
    </w:p>
    <w:p>
      <w:pPr>
        <w:spacing w:after="80"/>
      </w:pPr>
      <w:r>
        <w:rPr>
          <w:b w:val="0"/>
          <w:i w:val="0"/>
        </w:rPr>
        <w:t>ECJ 94, 96, 132Cộng hòa Slovakia v Achmea BV (Case C-284/16) ECLI:EU:C:2018:158 628SocietedeGestionIndustrielle(SGI)vBelgium(CaseC-311/08)[2008]ECRI-01129;</w:t>
      </w:r>
    </w:p>
    <w:p>
      <w:pPr>
        <w:spacing w:after="80"/>
      </w:pPr>
      <w:r>
        <w:rPr>
          <w:b w:val="0"/>
          <w:i w:val="0"/>
        </w:rPr>
        <w:t>[2011] BTC 123; [2010] ECR I-487; [2010] 2 CMLR 1017 60, 71, 82, 87, 92Sotgiu v Deutsche Bundespost (Case C-152/73) [1974] ECR 153 63Staatssecretaris van Financien v Orange European Smallcap Fund NV (Case C-194/06)</w:t>
      </w:r>
    </w:p>
    <w:p>
      <w:pPr>
        <w:spacing w:after="80"/>
      </w:pPr>
      <w:r>
        <w:rPr>
          <w:b w:val="0"/>
          <w:i w:val="0"/>
        </w:rPr>
        <w:t>[2010] ECR I-04843 [2011] BTC 473 62Viện trợ Nhà nước - Luxembourg Cáo buộc viện trợ cho McDonald's, SA.38945 (2015/C) (ex 2015/NN)</w:t>
      </w:r>
    </w:p>
    <w:p>
      <w:pPr>
        <w:spacing w:after="80"/>
      </w:pPr>
      <w:r>
        <w:rPr>
          <w:b w:val="0"/>
          <w:i w:val="0"/>
        </w:rPr>
        <w:t>(2016/C258/03) 61, 62StateoftheGrandDuchyofLuxembourgvB(CaseC-245/19)andB,C,D,F.C.</w:t>
      </w:r>
    </w:p>
    <w:p>
      <w:pPr>
        <w:spacing w:after="80"/>
      </w:pPr>
      <w:r>
        <w:rPr>
          <w:b w:val="0"/>
          <w:i w:val="0"/>
        </w:rPr>
        <w:t>(C-246/19) CLI:EU:C:2020:795 665, 671, 672Teodor Ispas, Andua Ispas v Direcia Generala a Finanelor Publice Cluj (Case C-298/16)</w:t>
      </w:r>
    </w:p>
    <w:p>
      <w:pPr>
        <w:spacing w:after="80"/>
      </w:pPr>
      <w:r>
        <w:rPr>
          <w:b w:val="0"/>
          <w:i w:val="0"/>
        </w:rPr>
        <w:t>CLI:EU:C:2017:843 670Test Claimants in Class IV of the ACT Group Litigation v Inland Revenue Commission-</w:t>
      </w:r>
    </w:p>
    <w:p>
      <w:pPr>
        <w:spacing w:after="80"/>
      </w:pPr>
      <w:r>
        <w:rPr>
          <w:b w:val="0"/>
          <w:i w:val="0"/>
        </w:rPr>
        <w:t>ers(CaseC-374/04)[2006]ECRI-11673,ECLI:EU:C:2006:773,[2008]BTC305,[2007] STC 404 58, 66, 67, 77TestClaimantsintheFIIGroupLitigationvInlandRevenueCommissioners(Case</w:t>
      </w:r>
    </w:p>
    <w:p>
      <w:pPr>
        <w:spacing w:after="80"/>
      </w:pPr>
      <w:r>
        <w:rPr>
          <w:b w:val="0"/>
          <w:i w:val="0"/>
        </w:rPr>
        <w:t>C-446/04) [2006] ECR I-11753; [2007] STC 326, [2008] BTC 222 (Vụ án C-35/11)403, 404, 435TestClaimantsintheFIIGroupLitigationvTheCommissionersforHerMajesty’s</w:t>
      </w:r>
    </w:p>
    <w:p>
      <w:pPr>
        <w:spacing w:after="80"/>
      </w:pPr>
      <w:r>
        <w:rPr>
          <w:b w:val="0"/>
          <w:i w:val="0"/>
        </w:rPr>
        <w:t>Revenue &amp; Customs (Vụ án C-35/11); ECLI:EU:C:2012:707 (FII 2) 435TestClaimantsintheThinCapGroupLitigationvInlandRevenueCommissioners</w:t>
      </w:r>
    </w:p>
    <w:p>
      <w:pPr>
        <w:spacing w:after="80"/>
      </w:pPr>
      <w:r>
        <w:rPr>
          <w:b w:val="0"/>
          <w:i w:val="0"/>
        </w:rPr>
        <w:t>(Vụ án C-524/04) [2008] BTC 348 [2009] EWHC 290 576TestClaimantsintheThinCapGroupLitigationvInlandRevenueCommrs(Vụ án</w:t>
      </w:r>
    </w:p>
    <w:p>
      <w:pPr>
        <w:spacing w:after="80"/>
      </w:pPr>
      <w:r>
        <w:rPr>
          <w:b w:val="0"/>
          <w:i w:val="0"/>
        </w:rPr>
        <w:t>C-524/04) [2007] ECR I-02107; [2008] BTC 348, [2007] STC 906 90TTL EOOD v Direktor na Direktsia Obzhalvane i danachnoosiguritelna praktika - Sofia</w:t>
      </w:r>
    </w:p>
    <w:p>
      <w:pPr>
        <w:spacing w:after="80"/>
      </w:pPr>
      <w:r>
        <w:rPr>
          <w:b w:val="0"/>
          <w:i w:val="0"/>
        </w:rPr>
        <w:t>(Vụ án C-553/16) ECLI:EU:C:2018:604 92, 571TwohInternationalBVvStaatssecretarisvanFinancien(Vụ án C-184/05)[2007]ECR</w:t>
      </w:r>
    </w:p>
    <w:p>
      <w:pPr>
        <w:spacing w:after="80"/>
      </w:pPr>
      <w:r>
        <w:rPr>
          <w:b w:val="0"/>
          <w:i w:val="0"/>
        </w:rPr>
        <w:t>I-7897 664</w:t>
      </w:r>
    </w:p>
    <w:p>
      <w:pPr>
        <w:spacing w:after="80"/>
      </w:pPr>
      <w:r>
        <w:rPr>
          <w:b w:val="0"/>
          <w:i w:val="0"/>
        </w:rPr>
        <w:t>696</w:t>
      </w:r>
    </w:p>
    <w:p>
      <w:pPr>
        <w:spacing w:after="80"/>
      </w:pPr>
      <w:r>
        <w:rPr>
          <w:b w:val="0"/>
          <w:i w:val="0"/>
        </w:rPr>
        <w:t>vanHilten-vanderHeijdenvInspecteurvandeBelastingdienst/Particulieren/Ondernemingen buitenland te Heerlen (Vụ án C-513/03) [2006] ECRI-1957; [2008] STC 1245 81Van Nidek v Inspecteur der Registratie en Successie (Vụ án Case-7/74) [1974] ECR 757;</w:t>
      </w:r>
    </w:p>
    <w:p>
      <w:pPr>
        <w:spacing w:after="80"/>
      </w:pPr>
      <w:r>
        <w:rPr>
          <w:b w:val="0"/>
          <w:i w:val="0"/>
        </w:rPr>
        <w:t>[1975] 1 CMLR 192 104VeronsaajienoikeudenvalvontayksikkovAOy(Vụ án C-48/11)ECLI:EU:C:2012:485;</w:t>
      </w:r>
    </w:p>
    <w:p>
      <w:pPr>
        <w:spacing w:after="80"/>
      </w:pPr>
      <w:r>
        <w:rPr>
          <w:b w:val="0"/>
          <w:i w:val="0"/>
        </w:rPr>
        <w:t>[2012] 3 CMLR 1266; [2012] STC 2338 97, 415Walder v Bestuur der Sociale Verzerkeringsbank (Vụ án 82/72) [1973] ECR 599 401WebMindLicensesKftvNemzetiAdó-ésVámhivatalKiemeltAdó-ésVámFo″i-</w:t>
      </w:r>
    </w:p>
    <w:p>
      <w:pPr>
        <w:spacing w:after="80"/>
      </w:pPr>
      <w:r>
        <w:rPr>
          <w:b w:val="0"/>
          <w:i w:val="0"/>
        </w:rPr>
        <w:t>gazgatóság(Vụ án C-419/14)ECLI:EU:C:2015:832,[2016]4WLR50,[2016]2CMLR671,[2016]BVC4,[2017]STC97.Xem thêm Criminal proceedings against Petar Dzivev and Others (Vụ án C-310/16) ECLI:EU:C:2019:30 673WenceslasdeLobkowiczvMinisteredesFinancesetdesComptespublics(Vụ án</w:t>
      </w:r>
    </w:p>
    <w:p>
      <w:pPr>
        <w:spacing w:after="80"/>
      </w:pPr>
      <w:r>
        <w:rPr>
          <w:b w:val="0"/>
          <w:i w:val="0"/>
        </w:rPr>
        <w:t>C-690/15) ECLI:EU:C:2017:355 105WielockxvInspecteurderDirecteBelastingen(Vụ án C-80/94)[1995]ECRI-02493;</w:t>
      </w:r>
    </w:p>
    <w:p>
      <w:pPr>
        <w:spacing w:after="80"/>
      </w:pPr>
      <w:r>
        <w:rPr>
          <w:b w:val="0"/>
          <w:i w:val="0"/>
        </w:rPr>
        <w:t>[1995]BTC415;[1995]STC876WNvStaatssecretarisvanFinancien(Vụ án C-420/98) [2000] ECR I-02847; [2001] BTC 366; 2001] STC 974 58, 63, 85X and Y (Vụ án C-436/00) [2002] ECR I-10829 416X Denmark C-118/16, EU:C:2018:146 412X v Ministerraad (Vụ án C-68/15) ECLI:EU:C:2017:379 408XAB &amp; YAB v Riksskatteverket (Vụ án C-200/98) [1999] ECR 1-8261 72XBV and TBG Ltd v Staatssecretaris van Financien (Các vụ án hợp nhất C-24/12 và C-27/12)</w:t>
      </w:r>
    </w:p>
    <w:p>
      <w:pPr>
        <w:spacing w:after="80"/>
      </w:pPr>
      <w:r>
        <w:rPr>
          <w:b w:val="0"/>
          <w:i w:val="0"/>
        </w:rPr>
        <w:t>[2014] BTC 31; [2014] STC 2394 96Z Denmark, C299/16 EU:C:2018:148 412</w:t>
      </w:r>
    </w:p>
    <w:p>
      <w:pPr>
        <w:spacing w:after="80"/>
      </w:pPr>
      <w:r>
        <w:rPr>
          <w:b/>
          <w:i w:val="0"/>
        </w:rPr>
        <w:t>Pháp</w:t>
      </w:r>
    </w:p>
    <w:p>
      <w:pPr>
        <w:spacing w:after="80"/>
      </w:pPr>
      <w:r>
        <w:rPr>
          <w:b w:val="0"/>
          <w:i w:val="0"/>
        </w:rPr>
        <w:t>Bayerische Hypo und Vereinbank AG, In Re (2014) 18 ITLR 1 276Conseild’État(Tòa án Hành chính Tối cao Pháp),avisno.435907(12 tháng 2</w:t>
      </w:r>
    </w:p>
    <w:p>
      <w:pPr>
        <w:spacing w:after="80"/>
      </w:pPr>
      <w:r>
        <w:rPr>
          <w:b w:val="0"/>
          <w:i w:val="0"/>
        </w:rPr>
        <w:t>2020) 446Conseild’État(TòaánhànhchínhtốicaocấpPháp),Số300733(11tháng12</w:t>
      </w:r>
    </w:p>
    <w:p>
      <w:pPr>
        <w:spacing w:after="80"/>
      </w:pPr>
      <w:r>
        <w:rPr>
          <w:b w:val="0"/>
          <w:i w:val="0"/>
        </w:rPr>
        <w:t>2009) 192Cour Administrative d’Appel Bordeaux (Tòaánphúc thẩmhànhchính) (9 tháng7 năm1991),</w:t>
      </w:r>
    </w:p>
    <w:p>
      <w:pPr>
        <w:spacing w:after="80"/>
      </w:pPr>
      <w:r>
        <w:rPr>
          <w:b w:val="0"/>
          <w:i w:val="0"/>
        </w:rPr>
        <w:t>Sốhồsơ89BX00640,Quyếtđịnhđược côngbốtrongD.F.1992,Số15,Com.761(IBFD International Tax Research Platform) 395GE Capital Rail Limited, Cour Administrative d’Appel de Paris (Tòaánphúc thẩmhànhchínhParis),</w:t>
      </w:r>
    </w:p>
    <w:p>
      <w:pPr>
        <w:spacing w:after="80"/>
      </w:pPr>
      <w:r>
        <w:rPr>
          <w:b w:val="0"/>
          <w:i w:val="0"/>
        </w:rPr>
        <w:t>10tháng2năm2011,Số09PA06295,(IBFDTaxResearchDatabase) 14 ITLR 206. 239, 248La société Conversant International Ltd, trước đây có tên là Valueclick Interna-</w:t>
      </w:r>
    </w:p>
    <w:p>
      <w:pPr>
        <w:spacing w:after="80"/>
      </w:pPr>
      <w:r>
        <w:rPr>
          <w:b w:val="0"/>
          <w:i w:val="0"/>
        </w:rPr>
        <w:t>tionalLtd,Conseild’Etat(TòaánhànhchínhtốicaocấpPháp)Số420174,ECLI:FR:CECHR:2020:420174.20201211 236Ministredel’ActionetdesComptesPublicsvsociétéGoogleIrelandLimited,Cour</w:t>
      </w:r>
    </w:p>
    <w:p>
      <w:pPr>
        <w:spacing w:after="80"/>
      </w:pPr>
      <w:r>
        <w:rPr>
          <w:b w:val="0"/>
          <w:i w:val="0"/>
        </w:rPr>
        <w:t>Administrative d’Appel de Paris Số 17PA03067 (25 tháng4 năm2019) 223, 227, 236</w:t>
      </w:r>
    </w:p>
    <w:p>
      <w:pPr>
        <w:spacing w:after="80"/>
      </w:pPr>
      <w:r>
        <w:rPr>
          <w:b w:val="0"/>
          <w:i w:val="0"/>
        </w:rPr>
        <w:t>697</w:t>
      </w:r>
    </w:p>
    <w:p>
      <w:pPr>
        <w:spacing w:after="80"/>
      </w:pPr>
      <w:r>
        <w:rPr>
          <w:b w:val="0"/>
          <w:i w:val="0"/>
        </w:rPr>
        <w:t>Ministredel’Economie,desFinancesetdel’IndustrievSociétéBankofScotland,</w:t>
      </w:r>
    </w:p>
    <w:p>
      <w:pPr>
        <w:spacing w:after="80"/>
      </w:pPr>
      <w:r>
        <w:rPr>
          <w:b w:val="0"/>
          <w:i w:val="0"/>
        </w:rPr>
        <w:t>Conseil D’état (Tòaánhànhchínhtốicaocấp), Số 283314 (29 tháng12 năm2006),9 ITLR 683 492SociétéZimmerLtdvMinistredel’Économie,desFinancesetdel’IndustrieConseil</w:t>
      </w:r>
    </w:p>
    <w:p>
      <w:pPr>
        <w:spacing w:after="80"/>
      </w:pPr>
      <w:r>
        <w:rPr>
          <w:b w:val="0"/>
          <w:i w:val="0"/>
        </w:rPr>
        <w:t>d’Etat (TòaánhànhchínhtốicaocấpPháp) Số 304715, 308525 (Phòng thứ9 và thứ10 kết hợp) 235, 248</w:t>
      </w:r>
    </w:p>
    <w:p>
      <w:pPr>
        <w:spacing w:after="80"/>
      </w:pPr>
      <w:r>
        <w:rPr>
          <w:b/>
          <w:i w:val="0"/>
        </w:rPr>
        <w:t>Đức</w:t>
      </w:r>
    </w:p>
    <w:p>
      <w:pPr>
        <w:spacing w:after="80"/>
      </w:pPr>
      <w:r>
        <w:rPr>
          <w:b w:val="0"/>
          <w:i w:val="0"/>
        </w:rPr>
        <w:t>Bundesfinanzhof(TòaántàichínhliênbangĐức),HồsơIR82/17,19tháng3năm2020</w:t>
      </w:r>
    </w:p>
    <w:p>
      <w:pPr>
        <w:spacing w:after="80"/>
      </w:pPr>
      <w:r>
        <w:rPr>
          <w:b w:val="0"/>
          <w:i w:val="0"/>
        </w:rPr>
        <w:t>625, 630Bundesfinanzhof(TòaántàichínhtiêubangĐức)HồsơIR46/10Bundesfinanzhof24</w:t>
      </w:r>
    </w:p>
    <w:p>
      <w:pPr>
        <w:spacing w:after="80"/>
      </w:pPr>
      <w:r>
        <w:rPr>
          <w:b w:val="0"/>
          <w:i w:val="0"/>
        </w:rPr>
        <w:t>tháng8 năm2011, Re E-LP (QuỹđầutưtưnhânAnh) 14 ITLR 339 222, 260Bundesfinanzhof(TòaántàichínhtiêubangĐức),HồsơIR27/11,11tháng1năm2012,15</w:t>
      </w:r>
    </w:p>
    <w:p>
      <w:pPr>
        <w:spacing w:after="80"/>
      </w:pPr>
      <w:r>
        <w:rPr>
          <w:b w:val="0"/>
          <w:i w:val="0"/>
        </w:rPr>
        <w:t>ITLR 479 355Bundesfinanzhof(TòaántàichínhtiêubangĐức),IR54,55/10,9tháng2năm2011,13</w:t>
      </w:r>
    </w:p>
    <w:p>
      <w:pPr>
        <w:spacing w:after="80"/>
      </w:pPr>
      <w:r>
        <w:rPr>
          <w:b w:val="0"/>
          <w:i w:val="0"/>
        </w:rPr>
        <w:t>ITLR 839 468Bundesfinanzhof (TòaántàichínhtiêubangĐức), Hồsơ IR 292/81, 23 tháng1 năm1985 246Bundesfinanzhof(TòaántàichínhtiêubangĐức),HồsơIR51/96,Munich,8tháng4năm1997</w:t>
      </w:r>
    </w:p>
    <w:p>
      <w:pPr>
        <w:spacing w:after="80"/>
      </w:pPr>
      <w:r>
        <w:rPr>
          <w:b w:val="0"/>
          <w:i w:val="0"/>
        </w:rPr>
        <w:t>292Finanzgericht, Berlin (Tòa án Thuế, Berlin), Vụ án 8 K 8084/97, 17 tháng 1 năm 2000 (IBFD Tax</w:t>
      </w:r>
    </w:p>
    <w:p>
      <w:pPr>
        <w:spacing w:after="80"/>
      </w:pPr>
      <w:r>
        <w:rPr>
          <w:b w:val="0"/>
          <w:i w:val="0"/>
        </w:rPr>
        <w:t>Research Database) 290Finanzgericht Köln (Tòa án Thuế, Cologne), Vụ án 2 K 7273/00, 11 tháng 12 năm 2003 (IBFD</w:t>
      </w:r>
    </w:p>
    <w:p>
      <w:pPr>
        <w:spacing w:after="80"/>
      </w:pPr>
      <w:r>
        <w:rPr>
          <w:b w:val="0"/>
          <w:i w:val="0"/>
        </w:rPr>
        <w:t>Tax Research Platform) 311, 319Finanzgericht Köln (Tòa án Thuế, Cologne) Vụ án 13 K 647/03, 22 tháng 8 năm 2007 (IBFD Tax</w:t>
      </w:r>
    </w:p>
    <w:p>
      <w:pPr>
        <w:spacing w:after="80"/>
      </w:pPr>
      <w:r>
        <w:rPr>
          <w:b w:val="0"/>
          <w:i w:val="0"/>
        </w:rPr>
        <w:t>research Platform) 297Finanzgericht Münster (Tòa án Thuế, Münster), Vụ án 11 V 1848/04 E, 19 tháng 5 năm 2004 (IBFD</w:t>
      </w:r>
    </w:p>
    <w:p>
      <w:pPr>
        <w:spacing w:after="80"/>
      </w:pPr>
      <w:r>
        <w:rPr>
          <w:b w:val="0"/>
          <w:i w:val="0"/>
        </w:rPr>
        <w:t>Online Database) 292</w:t>
      </w:r>
    </w:p>
    <w:p>
      <w:pPr>
        <w:spacing w:after="80"/>
      </w:pPr>
      <w:r>
        <w:rPr>
          <w:b/>
          <w:i w:val="0"/>
        </w:rPr>
        <w:t>Hy Lạp</w:t>
      </w:r>
    </w:p>
    <w:p>
      <w:pPr>
        <w:spacing w:after="80"/>
      </w:pPr>
      <w:r>
        <w:rPr>
          <w:b w:val="0"/>
          <w:i w:val="0"/>
        </w:rPr>
        <w:t>Tòa án Hành chính Tối cao Hy Lạp, Vụ án 5014/1966, 2 ITLR 513 234Tòa án Hành chính Tối cao Hy Lạp, 27 tháng 6 năm 1977, Vụ án 2551/1977, 2 ITLR 517 224</w:t>
      </w:r>
    </w:p>
    <w:p>
      <w:pPr>
        <w:spacing w:after="80"/>
      </w:pPr>
      <w:r>
        <w:rPr>
          <w:b/>
          <w:i w:val="0"/>
        </w:rPr>
        <w:t>Hungary</w:t>
      </w:r>
    </w:p>
    <w:p>
      <w:pPr>
        <w:spacing w:after="80"/>
      </w:pPr>
      <w:r>
        <w:rPr>
          <w:b w:val="0"/>
          <w:i w:val="0"/>
        </w:rPr>
        <w:t>FNXLtdvAPEHNoKfvI.35.021/2007/8(TòaánTối cao Hungary,17 tháng 1</w:t>
      </w:r>
    </w:p>
    <w:p>
      <w:pPr>
        <w:spacing w:after="80"/>
      </w:pPr>
      <w:r>
        <w:rPr>
          <w:b w:val="0"/>
          <w:i w:val="0"/>
        </w:rPr>
        <w:t>2008), 11 ITLR 1 245</w:t>
      </w:r>
    </w:p>
    <w:p>
      <w:pPr>
        <w:spacing w:after="80"/>
      </w:pPr>
      <w:r>
        <w:rPr>
          <w:b/>
          <w:i w:val="0"/>
        </w:rPr>
        <w:t>Ấn Độ</w:t>
      </w:r>
    </w:p>
    <w:p>
      <w:pPr>
        <w:spacing w:after="80"/>
      </w:pPr>
      <w:r>
        <w:rPr>
          <w:b w:val="0"/>
          <w:i w:val="0"/>
        </w:rPr>
        <w:t>Abbey Business Services (India) Private Limited v CIT (ITA 1141/Bang/2010) (18 tháng 7</w:t>
      </w:r>
    </w:p>
    <w:p>
      <w:pPr>
        <w:spacing w:after="80"/>
      </w:pPr>
      <w:r>
        <w:rPr>
          <w:b w:val="0"/>
          <w:i w:val="0"/>
        </w:rPr>
        <w:t>2012) 289ADIT v Mark and Spencer Reliance India Private Limited Indian Income Tax Appellate</w:t>
      </w:r>
    </w:p>
    <w:p>
      <w:pPr>
        <w:spacing w:after="80"/>
      </w:pPr>
      <w:r>
        <w:rPr>
          <w:b w:val="0"/>
          <w:i w:val="0"/>
        </w:rPr>
        <w:t>Tribunal (27 ITR (Trib) 448) 289ADIT v P &amp; O Nedlloyd Ltd [2016] 242 Taxman 107 (SC) 601</w:t>
      </w:r>
    </w:p>
    <w:p>
      <w:pPr>
        <w:spacing w:after="80"/>
      </w:pPr>
      <w:r>
        <w:rPr>
          <w:b w:val="0"/>
          <w:i w:val="0"/>
        </w:rPr>
        <w:t>698</w:t>
      </w:r>
    </w:p>
    <w:p>
      <w:pPr>
        <w:spacing w:after="80"/>
      </w:pPr>
      <w:r>
        <w:rPr>
          <w:b w:val="0"/>
          <w:i w:val="0"/>
        </w:rPr>
        <w:t>ADITvWizcraftInternationalEntertainmentPvt.Ltd(ITANo.3208/MUM/2003)</w:t>
      </w:r>
    </w:p>
    <w:p>
      <w:pPr>
        <w:spacing w:after="80"/>
      </w:pPr>
      <w:r>
        <w:rPr>
          <w:b w:val="0"/>
          <w:i w:val="0"/>
        </w:rPr>
        <w:t>(Indian Income Tax Appellate Tribunal) (Cơ sở dữ liệu trực tuyến IBFD) 294ADIT(IT) v Clifford Chance (2013) 24 ITR 1; 87 DTR 210 (SB) (Mum) (Trib) 268Airline Rotables Ltd UK v Joint Director of Income Tax, International Taxation ITA No</w:t>
      </w:r>
    </w:p>
    <w:p>
      <w:pPr>
        <w:spacing w:after="80"/>
      </w:pPr>
      <w:r>
        <w:rPr>
          <w:b w:val="0"/>
          <w:i w:val="0"/>
        </w:rPr>
        <w:t>3254/Mum/06, 13 ITLR 226 221, 240, 246ArmayeshGlobalvACIT,IndianIncomeTaxAppellateTribunal(ITA/8222/Mum/2010), (11 May 2012) (Cơ sở dữ liệu nghiên cứu thuế IBFD) 288BBCWorldwideLimitedvDeputyDirectorofIncomeTax(ITANo.1188(Del)06)</w:t>
      </w:r>
    </w:p>
    <w:p>
      <w:pPr>
        <w:spacing w:after="80"/>
      </w:pPr>
      <w:r>
        <w:rPr>
          <w:b w:val="0"/>
          <w:i w:val="0"/>
        </w:rPr>
        <w:t>[2010] 237BJ Services Co Ltd v ACIT (ITA No. 4 of 2010) 326Cable &amp; Wireless Network India Private Limited (Cơ quan có thẩm quyền Ấn Độ về Phán quyết trước</w:t>
      </w:r>
    </w:p>
    <w:p>
      <w:pPr>
        <w:spacing w:after="80"/>
      </w:pPr>
      <w:r>
        <w:rPr>
          <w:b w:val="0"/>
          <w:i w:val="0"/>
        </w:rPr>
        <w:t>Phán quyết ngày 30 tháng 6 năm 2009 (AAR/786/2008) 226Centrica India Offshore Private Ltd v Commissioner of Income Tax và những người khác WP(C)</w:t>
      </w:r>
    </w:p>
    <w:p>
      <w:pPr>
        <w:spacing w:after="80"/>
      </w:pPr>
      <w:r>
        <w:rPr>
          <w:b w:val="0"/>
          <w:i w:val="0"/>
        </w:rPr>
        <w:t>No 6807/2012 [2014] 16 ITLR 957 242Clifford Chance (UK) (một công ty) v Deputy Commissioner of Income Tax Appeal No 181 of</w:t>
      </w:r>
    </w:p>
    <w:p>
      <w:pPr>
        <w:spacing w:after="80"/>
      </w:pPr>
      <w:r>
        <w:rPr>
          <w:b w:val="0"/>
          <w:i w:val="0"/>
        </w:rPr>
        <w:t>2002 và 182 của 2002, Tòa án cấp cao Ấn Độ, Mumbai [2010] 11 ITLR 585 286DeputyDirectorofIncomeTax(InternationalTaxation)vBalajiShippingUKLtd</w:t>
      </w:r>
    </w:p>
    <w:p>
      <w:pPr>
        <w:spacing w:after="80"/>
      </w:pPr>
      <w:r>
        <w:rPr>
          <w:b w:val="0"/>
          <w:i w:val="0"/>
        </w:rPr>
        <w:t>(TS-635-HC-2012 (Bom)) 291DITvInternationalInsuranceBroker(TS-271HC-2012(Del)(IBFDTaxResearch</w:t>
      </w:r>
    </w:p>
    <w:p>
      <w:pPr>
        <w:spacing w:after="80"/>
      </w:pPr>
      <w:r>
        <w:rPr>
          <w:b w:val="0"/>
          <w:i w:val="0"/>
        </w:rPr>
        <w:t>Database) 288DITvJCBamfordExcavatorsLtd[2014]163TTJ53(DEL),[2014]33ITR(Trib)493</w:t>
      </w:r>
    </w:p>
    <w:p>
      <w:pPr>
        <w:spacing w:after="80"/>
      </w:pPr>
      <w:r>
        <w:rPr>
          <w:b w:val="0"/>
          <w:i w:val="0"/>
        </w:rPr>
        <w:t>(DEL), (2014) 43 242, 246Engineering Analysis Centre of Excellence Private Limited và những người khác v CIT, Tòa án</w:t>
      </w:r>
    </w:p>
    <w:p>
      <w:pPr>
        <w:spacing w:after="80"/>
      </w:pPr>
      <w:r>
        <w:rPr>
          <w:b w:val="0"/>
          <w:i w:val="0"/>
        </w:rPr>
        <w:t>Tối cao Ấn Độ, Case No 8733-8734/2018, 2 tháng 3 năm 2021 334Ernst&amp;Young(P.)Ltd(AAR/820/2009)(19March2010)(IBFDTaxResearch</w:t>
      </w:r>
    </w:p>
    <w:p>
      <w:pPr>
        <w:spacing w:after="80"/>
      </w:pPr>
      <w:r>
        <w:rPr>
          <w:b w:val="0"/>
          <w:i w:val="0"/>
        </w:rPr>
        <w:t>Database) 288Formula One World Championship Ltd v Commissioner of Income Tax, International</w:t>
      </w:r>
    </w:p>
    <w:p>
      <w:pPr>
        <w:spacing w:after="80"/>
      </w:pPr>
      <w:r>
        <w:rPr>
          <w:b w:val="0"/>
          <w:i w:val="0"/>
        </w:rPr>
        <w:t>Taxation Delhi [2017] 291 CTR 24 (Delhi) 333Formula One World Championship Ltd v Commissioner of Income Tax, International</w:t>
      </w:r>
    </w:p>
    <w:p>
      <w:pPr>
        <w:spacing w:after="80"/>
      </w:pPr>
      <w:r>
        <w:rPr>
          <w:b w:val="0"/>
          <w:i w:val="0"/>
        </w:rPr>
        <w:t>Taxation, Tòa án Tối cao Ấn Độ Civil Appeal Nos 3849, 3850 và 3851 của 2017,19 ITLR 784 224GoogleIndiaPrivateLimitedvADIT,(ITANo.1190/Bang/2014andothers,11May</w:t>
      </w:r>
    </w:p>
    <w:p>
      <w:pPr>
        <w:spacing w:after="80"/>
      </w:pPr>
      <w:r>
        <w:rPr>
          <w:b w:val="0"/>
          <w:i w:val="0"/>
        </w:rPr>
        <w:t>2018 333–334IncomeTaxOfficervCEPHImagingPvtLtd(2009-TIOL-558-ITAT-BANG)(24July</w:t>
      </w:r>
    </w:p>
    <w:p>
      <w:pPr>
        <w:spacing w:after="80"/>
      </w:pPr>
      <w:r>
        <w:rPr>
          <w:b w:val="0"/>
          <w:i w:val="0"/>
        </w:rPr>
        <w:t>2009) (Cơ sở dữ liệu nghiên cứu thuế IBFD) 288Income Tax Officer v Right Florists Pvt Ltd, (ITA No 1336/Kol/2011) (12 tháng 4 năm 2013) 15</w:t>
      </w:r>
    </w:p>
    <w:p>
      <w:pPr>
        <w:spacing w:after="80"/>
      </w:pPr>
      <w:r>
        <w:rPr>
          <w:b w:val="0"/>
          <w:i w:val="0"/>
        </w:rPr>
        <w:t>ITLR 784 287Infrasoft Limited v ADIT (2009) 28 SOT 179 (ITAT-Delhi) 333Interroute Communications Limited v DDIT (I.T.A. No. 2284/Mum/2014) 289, 333ITOvAlstomLtd(2010-TII-182-ITAT-MAD-INTL)(19November2010)(IBFDTax</w:t>
      </w:r>
    </w:p>
    <w:p>
      <w:pPr>
        <w:spacing w:after="80"/>
      </w:pPr>
      <w:r>
        <w:rPr>
          <w:b w:val="0"/>
          <w:i w:val="0"/>
        </w:rPr>
        <w:t>Cơ sở dữ liệu nghiên cứu) 288Linklaters&amp;PainesvCán bộ Thuế thu nhập,(Thuế quốc tế),1(1)(2),Mumbai</w:t>
      </w:r>
    </w:p>
    <w:p>
      <w:pPr>
        <w:spacing w:after="80"/>
      </w:pPr>
      <w:r>
        <w:rPr>
          <w:b w:val="0"/>
          <w:i w:val="0"/>
        </w:rPr>
        <w:t>Số - M.A. Số 223 (MUM.) năm 2011, Kháng nghị thuế số 2896 &amp; 5085 (MUM.) năm 2003,19 tháng 12 năm 2012 138, 268</w:t>
      </w:r>
    </w:p>
    <w:p>
      <w:pPr>
        <w:spacing w:after="80"/>
      </w:pPr>
      <w:r>
        <w:rPr>
          <w:b w:val="0"/>
          <w:i w:val="0"/>
        </w:rPr>
        <w:t>699</w:t>
      </w:r>
    </w:p>
    <w:p>
      <w:pPr>
        <w:spacing w:after="80"/>
      </w:pPr>
      <w:r>
        <w:rPr>
          <w:b w:val="0"/>
          <w:i w:val="0"/>
        </w:rPr>
        <w:t>Linklaters LLP v Cán bộ Thuế thu nhập - Phòng Thuế quốc tế 1(1)(2), Mumbai ITA</w:t>
      </w:r>
    </w:p>
    <w:p>
      <w:pPr>
        <w:spacing w:after="80"/>
      </w:pPr>
      <w:r>
        <w:rPr>
          <w:b w:val="0"/>
          <w:i w:val="0"/>
        </w:rPr>
        <w:t>Số 4896/Mum/03, 5085/Mum/03 [2010] 40 SOT 51 (Mum), [2010] 13 ITLR 245174, 228, 241, 262, 286McKinsey&amp;CoIncvDDIT2010BombayHCNo799/2010(IBFDTaxResearch</w:t>
      </w:r>
    </w:p>
    <w:p>
      <w:pPr>
        <w:spacing w:after="80"/>
      </w:pPr>
      <w:r>
        <w:rPr>
          <w:b w:val="0"/>
          <w:i w:val="0"/>
        </w:rPr>
        <w:t>Platform) 597Measurement Technology Limited (AAR/966/2010) 289Morgan Stanley v Giám đốc Thuế thu nhập (2007) 7 SCC 1 237P&amp;ONedlloydLtd&amp;OrsvADIT,Tòa án cấp cao,Calcutta(W.P.Số 457&amp;458),7</w:t>
      </w:r>
    </w:p>
    <w:p>
      <w:pPr>
        <w:spacing w:after="80"/>
      </w:pPr>
      <w:r>
        <w:rPr>
          <w:b w:val="0"/>
          <w:i w:val="0"/>
        </w:rPr>
        <w:t>tháng 11 năm 2014 174Rolls Royce Industrial Power Ltd v ACIT (2010-TII-139-ITAT-DEL-INTL) 265, 281RollsRoyceplcvGiám đốc Thuế thu nhậpITASố 1496-1501/Del/2007,Thuế thu nhập</w:t>
      </w:r>
    </w:p>
    <w:p>
      <w:pPr>
        <w:spacing w:after="80"/>
      </w:pPr>
      <w:r>
        <w:rPr>
          <w:b w:val="0"/>
          <w:i w:val="0"/>
        </w:rPr>
        <w:t>Tòa án Kháng nghị,NewDelhiCBench,26 tháng 10 năm 2007,[2007]10ITLR327222, 228, 237, 248, 265, 266SkillSoft Ireland Ltd, 20 tháng 7 năm 2015 (AAR 985 năm 2010) 333SteriaIndiaLtdvỦy viên Thuế thu nhập(Tòa án cấp cao Delhi)W.P.(C)</w:t>
      </w:r>
    </w:p>
    <w:p>
      <w:pPr>
        <w:spacing w:after="80"/>
      </w:pPr>
      <w:r>
        <w:rPr>
          <w:b w:val="0"/>
          <w:i w:val="0"/>
        </w:rPr>
        <w:t>4793/2014 &amp; CM Appl. 9551/2014 472Veeda Clinical Research Private Limited v DIT Tòa án Kháng nghị Thuế thu nhập Ấn Độ</w:t>
      </w:r>
    </w:p>
    <w:p>
      <w:pPr>
        <w:spacing w:after="80"/>
      </w:pPr>
      <w:r>
        <w:rPr>
          <w:b w:val="0"/>
          <w:i w:val="0"/>
        </w:rPr>
        <w:t>(ITA 1406/Ahd/2009) (28 tháng 6 năm 2013) 289WizcraftInternationalEntertainmentPvtLtdvADIT(ITASố 2293 năm 2011)Tòa án cấp cao</w:t>
      </w:r>
    </w:p>
    <w:p>
      <w:pPr>
        <w:spacing w:after="80"/>
      </w:pPr>
      <w:r>
        <w:rPr>
          <w:b w:val="0"/>
          <w:i w:val="0"/>
        </w:rPr>
        <w:t>Bombay (21 tháng 4 năm 2014) 294</w:t>
      </w:r>
    </w:p>
    <w:p>
      <w:pPr>
        <w:spacing w:after="80"/>
      </w:pPr>
      <w:r>
        <w:rPr>
          <w:b/>
          <w:i w:val="0"/>
        </w:rPr>
        <w:t>Indonesia</w:t>
      </w:r>
    </w:p>
    <w:p>
      <w:pPr>
        <w:spacing w:after="80"/>
      </w:pPr>
      <w:r>
        <w:rPr>
          <w:b w:val="0"/>
          <w:i w:val="0"/>
        </w:rPr>
        <w:t>PTCyberindoAditamavDirekturJenderalPajakVụ ánPUT-27005/PP/M.X/13/2010,</w:t>
      </w:r>
    </w:p>
    <w:p>
      <w:pPr>
        <w:spacing w:after="80"/>
      </w:pPr>
      <w:r>
        <w:rPr>
          <w:b w:val="0"/>
          <w:i w:val="0"/>
        </w:rPr>
        <w:t>Tòa án Thuế Indonesia, 8 tháng 11 năm 2011 (Cơ sở dữ liệu nghiên cứu thuế IBFD) 332</w:t>
      </w:r>
    </w:p>
    <w:p>
      <w:pPr>
        <w:spacing w:after="80"/>
      </w:pPr>
      <w:r>
        <w:rPr>
          <w:b/>
          <w:i w:val="0"/>
        </w:rPr>
        <w:t>Ireland</w:t>
      </w:r>
    </w:p>
    <w:p>
      <w:pPr>
        <w:spacing w:after="80"/>
      </w:pPr>
      <w:r>
        <w:rPr>
          <w:b w:val="0"/>
          <w:i w:val="0"/>
        </w:rPr>
        <w:t>Attorney General v Ryan's Car Hire [1965] IR 642 52John Travers v Sean O'Siochain (Thanh tra Thuế) (1994) 5 ITR 54 362Kinsella v Ủy viên Thuế vụ [2007] IEHC 250, [2007] ITR 151 114, 136, 147, 155,</w:t>
      </w:r>
    </w:p>
    <w:p>
      <w:pPr>
        <w:spacing w:after="80"/>
      </w:pPr>
      <w:r>
        <w:rPr>
          <w:b w:val="0"/>
          <w:i w:val="0"/>
        </w:rPr>
        <w:t>350McGimpsey v Ireland [1988] IR 567 145Murphy(InspectorofTaxes)vAsahiSyntheticFibres(Ireland)Limited(Supreme</w:t>
      </w:r>
    </w:p>
    <w:p>
      <w:pPr>
        <w:spacing w:after="80"/>
      </w:pPr>
      <w:r>
        <w:rPr>
          <w:b w:val="0"/>
          <w:i w:val="0"/>
        </w:rPr>
        <w:t>Court of Ireland) 1986 IR 777, [1986] ITR Vol 3 246 254, 317O Laighleis, Re [1960] IR 93 55O’Brien v Quigley [2013] IEHC 398; [2013] 1 IR 790 192Peter Buchanan Limited v McVey [1954] 1 IR 89; [1955] AC 516 636S Murphy (Inspector of Taxes) v Data Products (Dublin) Ltd 1988 IV ITR 12 272State (Gilliland) v Governor of Mountjoy Prison [1986] IESC 3; [1987] ILRM 278Wing v O’Connell [1927] IR 84 52Tax Appeal Commissioners decision 17TACD2019 172, 181Tax Appeal Commissioners decision 36TACD2019 193, 194</w:t>
      </w:r>
    </w:p>
    <w:p>
      <w:pPr>
        <w:spacing w:after="80"/>
      </w:pPr>
      <w:r>
        <w:rPr>
          <w:b w:val="0"/>
          <w:i w:val="0"/>
        </w:rPr>
        <w:t>700</w:t>
      </w:r>
    </w:p>
    <w:p>
      <w:pPr>
        <w:spacing w:after="80"/>
      </w:pPr>
      <w:r>
        <w:rPr>
          <w:b/>
          <w:i w:val="0"/>
        </w:rPr>
        <w:t>Ý</w:t>
      </w:r>
    </w:p>
    <w:p>
      <w:pPr>
        <w:spacing w:after="80"/>
      </w:pPr>
      <w:r>
        <w:rPr>
          <w:b w:val="0"/>
          <w:i w:val="0"/>
        </w:rPr>
        <w:t>CorteSupremadiCassazione(Tòa án Tối cao Hành chính Ý)(Số13803,7</w:t>
      </w:r>
    </w:p>
    <w:p>
      <w:pPr>
        <w:spacing w:after="80"/>
      </w:pPr>
      <w:r>
        <w:rPr>
          <w:b w:val="0"/>
          <w:i w:val="0"/>
        </w:rPr>
        <w:t>tháng 11 năm 2001) (IBFD Tax Research Database) 192, 194CorteSupremadiCassazione(Tòa án Tối cao Hành chính Ý)(Số2313,</w:t>
      </w:r>
    </w:p>
    <w:p>
      <w:pPr>
        <w:spacing w:after="80"/>
      </w:pPr>
      <w:r>
        <w:rPr>
          <w:b w:val="0"/>
          <w:i w:val="0"/>
        </w:rPr>
        <w:t>ngày 31 tháng 1 năm 2020) 307, 410CorteSupremadiCassazione(Tòa án Tối cao Hành chính Ý)(Số2617/2020</w:t>
      </w:r>
    </w:p>
    <w:p>
      <w:pPr>
        <w:spacing w:after="80"/>
      </w:pPr>
      <w:r>
        <w:rPr>
          <w:b w:val="0"/>
          <w:i w:val="0"/>
        </w:rPr>
        <w:t>và Số 2618/2020) 169, 495Oxoid International Limited, Corte Suprema di Cassazione (Tòa án Tối cao Hành chính</w:t>
      </w:r>
    </w:p>
    <w:p>
      <w:pPr>
        <w:spacing w:after="80"/>
      </w:pPr>
      <w:r>
        <w:rPr>
          <w:b w:val="0"/>
          <w:i w:val="0"/>
        </w:rPr>
        <w:t>Ý) (Số 4164 ngày 20 tháng 2 năm 2013) 493TizianoFerrovAgenziadelleentrate,CorteSupremadiCassazione(Tòa án Tối cao</w:t>
      </w:r>
    </w:p>
    <w:p>
      <w:pPr>
        <w:spacing w:after="80"/>
      </w:pPr>
      <w:r>
        <w:rPr>
          <w:b w:val="0"/>
          <w:i w:val="0"/>
        </w:rPr>
        <w:t>Hành chính Ý) (Số 21696 ngày 8 tháng 10 năm 2020) 395</w:t>
      </w:r>
    </w:p>
    <w:p>
      <w:pPr>
        <w:spacing w:after="80"/>
      </w:pPr>
      <w:r>
        <w:rPr>
          <w:b/>
          <w:i w:val="0"/>
        </w:rPr>
        <w:t>Jersey</w:t>
      </w:r>
    </w:p>
    <w:p>
      <w:pPr>
        <w:spacing w:after="80"/>
      </w:pPr>
      <w:r>
        <w:rPr>
          <w:b w:val="0"/>
          <w:i w:val="0"/>
        </w:rPr>
        <w:t>Volaw Trust &amp; Corporate Services Ltd và một bên khác v Office of the Comptroller of Taxes</w:t>
      </w:r>
    </w:p>
    <w:p>
      <w:pPr>
        <w:spacing w:after="80"/>
      </w:pPr>
      <w:r>
        <w:rPr>
          <w:b w:val="0"/>
          <w:i w:val="0"/>
        </w:rPr>
        <w:t>[2013] JCA 239, 17 ITLR 1 18</w:t>
      </w:r>
    </w:p>
    <w:p>
      <w:pPr>
        <w:spacing w:after="80"/>
      </w:pPr>
      <w:r>
        <w:rPr>
          <w:b/>
          <w:i w:val="0"/>
        </w:rPr>
        <w:t>Hà Lan</w:t>
      </w:r>
    </w:p>
    <w:p>
      <w:pPr>
        <w:spacing w:after="80"/>
      </w:pPr>
      <w:r>
        <w:rPr>
          <w:b w:val="0"/>
          <w:i w:val="0"/>
        </w:rPr>
        <w:t>HogeRaadderNederlanden(Tòa án Tối cao Hà Lan)Case24.73829June1988</w:t>
      </w:r>
    </w:p>
    <w:p>
      <w:pPr>
        <w:spacing w:after="80"/>
      </w:pPr>
      <w:r>
        <w:rPr>
          <w:b w:val="0"/>
          <w:i w:val="0"/>
        </w:rPr>
        <w:t>(BNB 1988/331; VN 1988/2261) (IBFD Tax Research Database) (The AmsterdamCourt of Appeal) 201HogeRaadderNederlanden(Tòa án Tối cao Hà Lan)Case32.330,(28October</w:t>
      </w:r>
    </w:p>
    <w:p>
      <w:pPr>
        <w:spacing w:after="80"/>
      </w:pPr>
      <w:r>
        <w:rPr>
          <w:b w:val="0"/>
          <w:i w:val="0"/>
        </w:rPr>
        <w:t>394 Hoge Raad der Nederlanden (Tòa án Tối cao Hà Lan), Vụ án 36.915, ngày 3 tháng 5 năm 2002</w:t>
      </w:r>
    </w:p>
    <w:p>
      <w:pPr>
        <w:spacing w:after="80"/>
      </w:pPr>
      <w:r>
        <w:rPr>
          <w:b w:val="0"/>
          <w:i w:val="0"/>
        </w:rPr>
        <w:t>394 Hoge Raad der Nederlanden (Tòa án Tối cao Hà Lan), Vụ án 42.743, ngày 23 tháng 11</w:t>
      </w:r>
    </w:p>
    <w:p>
      <w:pPr>
        <w:spacing w:after="80"/>
      </w:pPr>
      <w:r>
        <w:rPr>
          <w:b w:val="0"/>
          <w:i w:val="0"/>
        </w:rPr>
        <w:t>2007 352 Royal Dutch Shell, Hoge Raad der Nederlanden (Tòa án Tối cao Hà Lan), ngày 6 tháng 4</w:t>
        <w:br/>
        <w:t>&lt;&lt;&lt;|&gt;&gt;&gt;</w:t>
        <w:br/>
        <w:t>1994, BNB 1994/217 491 Thanh tra thuế v X BV, Gerechtshof Amsterdam (Tòa phúc thẩm Amsterdam), các vụ án</w:t>
      </w:r>
    </w:p>
    <w:p>
      <w:pPr>
        <w:spacing w:after="80"/>
      </w:pPr>
      <w:r>
        <w:rPr>
          <w:b w:val="0"/>
          <w:i w:val="0"/>
        </w:rPr>
        <w:t>18/00318 và 18/00319, (ngày 12 tháng 5 năm 2020) 494 X v Cơ quan Thuế, Hoge Raad der Nederlanden (Tòa án Tối cao Hà Lan),</w:t>
      </w:r>
    </w:p>
    <w:p>
      <w:pPr>
        <w:spacing w:after="80"/>
      </w:pPr>
      <w:r>
        <w:rPr>
          <w:b w:val="0"/>
          <w:i w:val="0"/>
        </w:rPr>
        <w:t>Vụ án 18.048500, ngày 17 tháng 9 năm 2019 40</w:t>
      </w:r>
    </w:p>
    <w:p>
      <w:pPr>
        <w:spacing w:after="80"/>
      </w:pPr>
      <w:r>
        <w:rPr>
          <w:b/>
          <w:i w:val="0"/>
        </w:rPr>
        <w:t>New Zealand</w:t>
      </w:r>
    </w:p>
    <w:p>
      <w:pPr>
        <w:spacing w:after="80"/>
      </w:pPr>
      <w:r>
        <w:rPr>
          <w:b w:val="0"/>
          <w:i w:val="0"/>
        </w:rPr>
        <w:t>CIR v United Dominions Trust Ltd [1973] 2 NZLR 555 458</w:t>
      </w:r>
    </w:p>
    <w:p>
      <w:pPr>
        <w:spacing w:after="80"/>
      </w:pPr>
      <w:r>
        <w:rPr>
          <w:b/>
          <w:i w:val="0"/>
        </w:rPr>
        <w:t>Na Uy</w:t>
      </w:r>
    </w:p>
    <w:p>
      <w:pPr>
        <w:spacing w:after="80"/>
      </w:pPr>
      <w:r>
        <w:rPr>
          <w:b w:val="0"/>
          <w:i w:val="0"/>
        </w:rPr>
        <w:t>Alphawell Ltd và Richard Pegrum v Bộ Tài chính, Høyesterett (Tòa án Tối cao</w:t>
      </w:r>
    </w:p>
    <w:p>
      <w:pPr>
        <w:spacing w:after="80"/>
      </w:pPr>
      <w:r>
        <w:rPr>
          <w:b w:val="0"/>
          <w:i w:val="0"/>
        </w:rPr>
        <w:t>Hành chính Na Uy), ngày 10 tháng 6 năm 1994, số vụ án 56/994 (Cơ sở dữ liệu trực tuyến IBFD) 223–224 Dell Products (Europe) BV v Skatt Øst, (Tòa án Tối cao Hành chính Na Uy)</w:t>
      </w:r>
    </w:p>
    <w:p>
      <w:pPr>
        <w:spacing w:after="80"/>
      </w:pPr>
      <w:r>
        <w:rPr>
          <w:b w:val="0"/>
          <w:i w:val="0"/>
        </w:rPr>
        <w:t>Vụ án HR-2011-02245-A, ngày 2 tháng 12 năm 2011, 14 ITLR 371 235</w:t>
      </w:r>
    </w:p>
    <w:p>
      <w:pPr>
        <w:spacing w:after="80"/>
      </w:pPr>
      <w:r>
        <w:rPr>
          <w:b w:val="0"/>
          <w:i w:val="0"/>
        </w:rPr>
        <w:t>701</w:t>
      </w:r>
    </w:p>
    <w:p>
      <w:pPr>
        <w:spacing w:after="80"/>
      </w:pPr>
      <w:r>
        <w:rPr>
          <w:b w:val="0"/>
          <w:i w:val="0"/>
        </w:rPr>
        <w:t>Toralf Tresland v Chính phủ Na Uy (Nedre Telemark, tòa án quận (Na Uy), ngày 22</w:t>
      </w:r>
    </w:p>
    <w:p>
      <w:pPr>
        <w:spacing w:after="80"/>
      </w:pPr>
      <w:r>
        <w:rPr>
          <w:b w:val="0"/>
          <w:i w:val="0"/>
        </w:rPr>
        <w:t>tháng 4 năm 1999 192</w:t>
      </w:r>
    </w:p>
    <w:p>
      <w:pPr>
        <w:spacing w:after="80"/>
      </w:pPr>
      <w:r>
        <w:rPr>
          <w:b/>
          <w:i w:val="0"/>
        </w:rPr>
        <w:t>Bồ Đào Nha</w:t>
      </w:r>
    </w:p>
    <w:p>
      <w:pPr>
        <w:spacing w:after="80"/>
      </w:pPr>
      <w:r>
        <w:rPr>
          <w:b/>
          <w:i w:val="0"/>
        </w:rPr>
        <w:t>Portugal</w:t>
      </w:r>
    </w:p>
    <w:p>
      <w:pPr>
        <w:spacing w:after="80"/>
      </w:pPr>
      <w:r>
        <w:rPr>
          <w:b w:val="0"/>
          <w:i w:val="0"/>
        </w:rPr>
        <w:t>Trung tâm Trọng tài Hành chính (Hội đồng Bồ Đào Nha về</w:t>
      </w:r>
    </w:p>
    <w:p>
      <w:pPr>
        <w:spacing w:after="80"/>
      </w:pPr>
      <w:r>
        <w:rPr>
          <w:b w:val="0"/>
          <w:i w:val="0"/>
        </w:rPr>
        <w:t>Trung tâm Trọng tài) CAAD: Trọng tài Thuế Quy trình (9 tháng 11 năm 2020) số: 882/2019-T 463</w:t>
      </w:r>
    </w:p>
    <w:p>
      <w:pPr>
        <w:spacing w:after="80"/>
      </w:pPr>
      <w:r>
        <w:rPr>
          <w:b/>
          <w:i w:val="0"/>
        </w:rPr>
        <w:t>Tây Ban Nha</w:t>
      </w:r>
    </w:p>
    <w:p>
      <w:pPr>
        <w:spacing w:after="80"/>
      </w:pPr>
      <w:r>
        <w:rPr>
          <w:b w:val="0"/>
          <w:i w:val="0"/>
        </w:rPr>
        <w:t>Borax Europe Ltd kiện Tổng cục Hành chính Nhà nước, Tòa án Tối cao, Phòng</w:t>
      </w:r>
    </w:p>
    <w:p>
      <w:pPr>
        <w:spacing w:after="80"/>
      </w:pPr>
      <w:r>
        <w:rPr>
          <w:b w:val="0"/>
          <w:i w:val="0"/>
        </w:rPr>
        <w:t>Tranh chấp Hành chính (Tòa án Tối cao Tây Ban Nha) (Kháng nghị số 1933/2011) [2014] 17 ITLR 452 223, 246 Dell Products Ltd kiện Tổng cục Hành chính Nhà nước, Tòa án Tối cao, Phòng</w:t>
      </w:r>
    </w:p>
    <w:p>
      <w:pPr>
        <w:spacing w:after="80"/>
      </w:pPr>
      <w:r>
        <w:rPr>
          <w:b w:val="0"/>
          <w:i w:val="0"/>
        </w:rPr>
        <w:t>Tranh chấp Hành chính (Tòa án Tối cao Tây Ban Nha), ngày 20 tháng 6 năm 2016, STS 2861/2016, kháng nghị số 2555/2015, 19 ITLR 633 223, 235 Tổng cục Hành chính Nhà nước kiện Stage Enterteinment SL, Tòa án Tối cao, Phòng</w:t>
      </w:r>
    </w:p>
    <w:p>
      <w:pPr>
        <w:spacing w:after="80"/>
      </w:pPr>
      <w:r>
        <w:rPr>
          <w:b w:val="0"/>
          <w:i w:val="0"/>
        </w:rPr>
        <w:t>Tranh chấp Hành chính (Tòa án Tối cao Tây Ban Nha), ngày 7 tháng 12 năm 2012, STS 8946/2012, kháng nghị số 1139/2010, 15 ITLR 882 293 ING Direct và những người khác kiện Tòa án Trung ương về các vấn đề Kinh tế và Hành chính, (2015)</w:t>
      </w:r>
    </w:p>
    <w:p>
      <w:pPr>
        <w:spacing w:after="80"/>
      </w:pPr>
      <w:r>
        <w:rPr>
          <w:b w:val="0"/>
          <w:i w:val="0"/>
        </w:rPr>
        <w:t>18 ITLR 680 276</w:t>
      </w:r>
    </w:p>
    <w:p>
      <w:pPr>
        <w:spacing w:after="80"/>
      </w:pPr>
      <w:r>
        <w:rPr>
          <w:b/>
          <w:i w:val="0"/>
        </w:rPr>
        <w:t>Thụy Điển</w:t>
      </w:r>
    </w:p>
    <w:p>
      <w:pPr>
        <w:spacing w:after="80"/>
      </w:pPr>
      <w:r>
        <w:rPr>
          <w:b w:val="0"/>
          <w:i w:val="0"/>
        </w:rPr>
        <w:t>Regeringsrätten (Tòa án Hành chính Tối cao Thụy Điển), Vụ án 1169-1987, ngày 23 tháng 12</w:t>
      </w:r>
    </w:p>
    <w:p>
      <w:pPr>
        <w:spacing w:after="80"/>
      </w:pPr>
      <w:r>
        <w:rPr>
          <w:b w:val="0"/>
          <w:i w:val="0"/>
        </w:rPr>
        <w:t>năm 1987, (Nền tảng Nghiên cứu Thuế Quốc tế IBFD) 394</w:t>
      </w:r>
    </w:p>
    <w:p>
      <w:pPr>
        <w:spacing w:after="80"/>
      </w:pPr>
      <w:r>
        <w:rPr>
          <w:b/>
          <w:i w:val="0"/>
        </w:rPr>
        <w:t>Thụy Sĩ</w:t>
      </w:r>
    </w:p>
    <w:p>
      <w:pPr>
        <w:spacing w:after="80"/>
      </w:pPr>
      <w:r>
        <w:rPr>
          <w:b w:val="0"/>
          <w:i w:val="0"/>
        </w:rPr>
        <w:t>A plc kiện Cục Thuế Liên bang, Tòa án Tối cao Liên bang Thụy Sĩ, Vụ án 2C_880/2018,</w:t>
      </w:r>
    </w:p>
    <w:p>
      <w:pPr>
        <w:spacing w:after="80"/>
      </w:pPr>
      <w:r>
        <w:rPr>
          <w:b w:val="0"/>
          <w:i w:val="0"/>
        </w:rPr>
        <w:t>(19 tháng 5 năm 2020) 136, 494</w:t>
      </w:r>
    </w:p>
    <w:p>
      <w:pPr>
        <w:spacing w:after="80"/>
      </w:pPr>
      <w:r>
        <w:rPr>
          <w:b/>
          <w:i w:val="0"/>
        </w:rPr>
        <w:t>Vương quốc Anh và Hội đồng Cơ mật</w:t>
      </w:r>
    </w:p>
    <w:p>
      <w:pPr>
        <w:spacing w:after="80"/>
      </w:pPr>
      <w:r>
        <w:rPr>
          <w:b w:val="0"/>
          <w:i w:val="0"/>
        </w:rPr>
        <w:t>Một Người Thụ hưởng kiện Ủy viên Thuế Nội địa (1999) Sp C 190 476 Một Vận động viên kiện Ủy viên Thuế Nội địa (1998) Sp C 17426 126 Abbey National Treasury Services PLC kiện Cục Thuế và Hải quan [2015] UKFTT 0341</w:t>
      </w:r>
    </w:p>
    <w:p>
      <w:pPr>
        <w:spacing w:after="80"/>
      </w:pPr>
      <w:r>
        <w:rPr>
          <w:b w:val="0"/>
          <w:i w:val="0"/>
        </w:rPr>
        <w:t>(TC), [2015] SFTD 929, [2015] TC 04525 297Abbott v Philbin (1960) 39 TC 82, HL 353Addy v Inland Revenue Commissioners (1973-1978) 51 TC 71; [1975] STC 610, Ch. D.</w:t>
      </w:r>
    </w:p>
    <w:p>
      <w:pPr>
        <w:spacing w:after="80"/>
      </w:pPr>
      <w:r>
        <w:rPr>
          <w:b w:val="0"/>
          <w:i w:val="0"/>
        </w:rPr>
        <w:t>507A (FC) và những người khác (FC) v Secretary of State for the Home Department [2004] UKHL 56,</w:t>
      </w:r>
    </w:p>
    <w:p>
      <w:pPr>
        <w:spacing w:after="80"/>
      </w:pPr>
      <w:r>
        <w:rPr>
          <w:b w:val="0"/>
          <w:i w:val="0"/>
        </w:rPr>
        <w:t>[2005] 2 WLR 087, [2005] 2 AC 68 453AgassivRobinson(HMInspectorofTaxes)[2006]STC1056[2006]BTC372[2006]</w:t>
      </w:r>
    </w:p>
    <w:p>
      <w:pPr>
        <w:spacing w:after="80"/>
      </w:pPr>
      <w:r>
        <w:rPr>
          <w:b w:val="0"/>
          <w:i w:val="0"/>
        </w:rPr>
        <w:t>UKHL 23 294</w:t>
      </w:r>
    </w:p>
    <w:p>
      <w:pPr>
        <w:spacing w:after="80"/>
      </w:pPr>
      <w:r>
        <w:rPr>
          <w:b w:val="0"/>
          <w:i w:val="0"/>
        </w:rPr>
        <w:t>702</w:t>
      </w:r>
    </w:p>
    <w:p>
      <w:pPr>
        <w:spacing w:after="80"/>
      </w:pPr>
      <w:r>
        <w:rPr>
          <w:b w:val="0"/>
          <w:i w:val="0"/>
        </w:rPr>
        <w:t>AHField(Holdings)LtdvRevenue&amp;Customs[2012]TC01800;[2012]UKFTT104</w:t>
      </w:r>
    </w:p>
    <w:p>
      <w:pPr>
        <w:spacing w:after="80"/>
      </w:pPr>
      <w:r>
        <w:rPr>
          <w:b w:val="0"/>
          <w:i w:val="0"/>
        </w:rPr>
        <w:t>(TC) 514Albon v IRC [1999] BTC 138; [1998] STC 1181 369American Leaf Blending Co Sdn Bhd v Director-General of Inland Revenue [2009] BTC</w:t>
      </w:r>
    </w:p>
    <w:p>
      <w:pPr>
        <w:spacing w:after="80"/>
      </w:pPr>
      <w:r>
        <w:rPr>
          <w:b w:val="0"/>
          <w:i w:val="0"/>
        </w:rPr>
        <w:t>409; [1978] STC 561 (PC) 220Andrew Davies và những người khác v Revenue and Customs [2020] UKUT 67 (TCC), [2020] STC</w:t>
      </w:r>
    </w:p>
    <w:p>
      <w:pPr>
        <w:spacing w:after="80"/>
      </w:pPr>
      <w:r>
        <w:rPr>
          <w:b w:val="0"/>
          <w:i w:val="0"/>
        </w:rPr>
        <w:t>649 33, 479AnsonvRevenueandCustomsCommissioners[2015]BTC21,[2015]STC1777,</w:t>
      </w:r>
    </w:p>
    <w:p>
      <w:pPr>
        <w:spacing w:after="80"/>
      </w:pPr>
      <w:r>
        <w:rPr>
          <w:b w:val="0"/>
          <w:i w:val="0"/>
        </w:rPr>
        <w:t>[2015] UKSC 44 113, 172, 173, 441, 444AozoraGMACInvestmentLtd,R(OntheApplicationof)vRevenueandCustoms</w:t>
      </w:r>
    </w:p>
    <w:p>
      <w:pPr>
        <w:spacing w:after="80"/>
      </w:pPr>
      <w:r>
        <w:rPr>
          <w:b w:val="0"/>
          <w:i w:val="0"/>
        </w:rPr>
        <w:t>[2017] EWHC 2881 (Admin), [2018] STC 11, [2017] BTC 36 439, 483, 519AozoraGMACInvestmentLtd,R(OntheApplicationof)vRevenueandCustoms</w:t>
      </w:r>
    </w:p>
    <w:p>
      <w:pPr>
        <w:spacing w:after="80"/>
      </w:pPr>
      <w:r>
        <w:rPr>
          <w:b w:val="0"/>
          <w:i w:val="0"/>
        </w:rPr>
        <w:t>[2019] EWCA Civ 1643, [2019] STC 2486, [2019] BTC 26. 439, 590Archer-Shee v Baker (H M Inspector of Taxes) (1927) 11 TC 749; [1927] AC 844 7Ardmore Construction Ltd v HRMC [2015] UKUT 0633 (TCC), [2015] BTC 536, [2016]</w:t>
      </w:r>
    </w:p>
    <w:p>
      <w:pPr>
        <w:spacing w:after="80"/>
      </w:pPr>
      <w:r>
        <w:rPr>
          <w:b w:val="0"/>
          <w:i w:val="0"/>
        </w:rPr>
        <w:t>STC 1044, 18 ITL Rep 291 321Ardmore Construction Ltd v Revenue &amp; Customs [2014] TC 03580 [2014] UKFTT 453</w:t>
      </w:r>
    </w:p>
    <w:p>
      <w:pPr>
        <w:spacing w:after="80"/>
      </w:pPr>
      <w:r>
        <w:rPr>
          <w:b w:val="0"/>
          <w:i w:val="0"/>
        </w:rPr>
        <w:t>(TC); [2014] SFTD 1077 320Ardmore Construction Ltd v Revenue and Customs [2018] EWCA Civ 1438, [2018] STC</w:t>
      </w:r>
    </w:p>
    <w:p>
      <w:pPr>
        <w:spacing w:after="80"/>
      </w:pPr>
      <w:r>
        <w:rPr>
          <w:b w:val="0"/>
          <w:i w:val="0"/>
        </w:rPr>
        <w:t>1487, [2018] WLR(D) 385, [2018] BTC 27 320, 321Arton, Re (No. 2) [1896] 1 QB 509 108Ashanti Goldfields Corporation Limited v Merrifield (1934) 19 TC 52 155Astall &amp; Anor v Revenue and Customs [2009] EWCA Civ 1010, [2010] STC 137, [2009]</w:t>
      </w:r>
    </w:p>
    <w:p>
      <w:pPr>
        <w:spacing w:after="80"/>
      </w:pPr>
      <w:r>
        <w:rPr>
          <w:b w:val="0"/>
          <w:i w:val="0"/>
        </w:rPr>
        <w:t>BTC 631 478AveryJones(Rowley’sAdministrator)vCIR(1973-1978)51TC443;[1976]STC290</w:t>
      </w:r>
    </w:p>
    <w:p>
      <w:pPr>
        <w:spacing w:after="80"/>
      </w:pPr>
      <w:r>
        <w:rPr>
          <w:b w:val="0"/>
          <w:i w:val="0"/>
        </w:rPr>
        <w:t>121Avery Jones v IRC (1973-1978) 51 TC 443; [1976] STC 290 195, 211AXASAvGenworthFinancialInternationalHoldingsLLCandothers[2020]EWHC</w:t>
      </w:r>
    </w:p>
    <w:p>
      <w:pPr>
        <w:spacing w:after="80"/>
      </w:pPr>
      <w:r>
        <w:rPr>
          <w:b w:val="0"/>
          <w:i w:val="0"/>
        </w:rPr>
        <w:t>2024, [2020] STC 2198 501Barclays Mercantile Business Finance Ltd v Mawson (HM Inspector of Taxes), [2005]</w:t>
      </w:r>
    </w:p>
    <w:p>
      <w:pPr>
        <w:spacing w:after="80"/>
      </w:pPr>
      <w:r>
        <w:rPr>
          <w:b w:val="0"/>
          <w:i w:val="0"/>
        </w:rPr>
        <w:t>STC 1, [2004] BTC 414; [2004] UKHL 51 479, 526Barry v Farrow [1914] 1 KB 632 346Barry v Hughes 48 TC 586; [1973] STC 103, Ch. D 357BayfineUKProductsandBayfineUKvRevenue&amp;CustomsCommissioners[2008]</w:t>
      </w:r>
    </w:p>
    <w:p>
      <w:pPr>
        <w:spacing w:after="80"/>
      </w:pPr>
      <w:r>
        <w:rPr>
          <w:b w:val="0"/>
          <w:i w:val="0"/>
        </w:rPr>
        <w:t>UKSPC SPC 719 (2008) Sp C 719, [2009] STC (SCD) 43 210, 447, 448, 582Bayfine UK v Revenue and Customs Commissioners [2010] STC 1379, [2010] BTC 467</w:t>
      </w:r>
    </w:p>
    <w:p>
      <w:pPr>
        <w:spacing w:after="80"/>
      </w:pPr>
      <w:r>
        <w:rPr>
          <w:b w:val="0"/>
          <w:i w:val="0"/>
        </w:rPr>
        <w:t>[2010] EWHC 609 (Ch) 448Bayfine UK v Revenue and Customs Commissioners [2011] BTC 242 [2011] EWCA Civ</w:t>
      </w:r>
    </w:p>
    <w:p>
      <w:pPr>
        <w:spacing w:after="80"/>
      </w:pPr>
      <w:r>
        <w:rPr>
          <w:b w:val="0"/>
          <w:i w:val="0"/>
        </w:rPr>
        <w:t>304 139, 210, 439, 444, 449, 527, 583Belgium Government v Postlethwaite [1987] 2 All ER 985, HL 108BenNevis(Holdings)Ltd&amp;AnorvRevenueandCustomsCommissioners[2013]</w:t>
      </w:r>
    </w:p>
    <w:p>
      <w:pPr>
        <w:spacing w:after="80"/>
      </w:pPr>
      <w:r>
        <w:rPr>
          <w:b w:val="0"/>
          <w:i w:val="0"/>
        </w:rPr>
        <w:t>EWCA Civ 578, [2013] STC 1579 CA, [2013] BTC 485 5, 6, 40, 112, 113, 124, 131,132, 137, 140, 162, 636, 683Bennett v Ogston (1930) 15 TC 374 316</w:t>
      </w:r>
    </w:p>
    <w:p>
      <w:pPr>
        <w:spacing w:after="80"/>
      </w:pPr>
      <w:r>
        <w:rPr>
          <w:b w:val="0"/>
          <w:i w:val="0"/>
        </w:rPr>
        <w:t>703</w:t>
      </w:r>
    </w:p>
    <w:p>
      <w:pPr>
        <w:spacing w:after="80"/>
      </w:pPr>
      <w:r>
        <w:rPr>
          <w:b w:val="0"/>
          <w:i w:val="0"/>
        </w:rPr>
        <w:t>Birmingham&amp;DistrictCattleBy-ProductsCoLtdvInlandRevenueCommissioners</w:t>
      </w:r>
    </w:p>
    <w:p>
      <w:pPr>
        <w:spacing w:after="80"/>
      </w:pPr>
      <w:r>
        <w:rPr>
          <w:b w:val="0"/>
          <w:i w:val="0"/>
        </w:rPr>
        <w:t>(1919) 12 TC 92 244Blackburn v Attorney-General [1971] All ER 1380 21Bloomberg Inc &amp; Anor v Revenue and Customs [2018] UKFTT 205 (TC), [2018] SFTD</w:t>
      </w:r>
    </w:p>
    <w:p>
      <w:pPr>
        <w:spacing w:after="80"/>
      </w:pPr>
      <w:r>
        <w:rPr>
          <w:b w:val="0"/>
          <w:i w:val="0"/>
        </w:rPr>
        <w:t>1079, [2018] TC 06449 277, 280BlueCrest Capital Management Cayman Ltd &amp; Ors v Revenue &amp; Customs [2020] UKFTT</w:t>
      </w:r>
    </w:p>
    <w:p>
      <w:pPr>
        <w:spacing w:after="80"/>
      </w:pPr>
      <w:r>
        <w:rPr>
          <w:b w:val="0"/>
          <w:i w:val="0"/>
        </w:rPr>
        <w:t>298 (TC) 276Boake Allen Ltd &amp; Ors (including NEC Semi-Conductors Ltd) v Revenue and Customs</w:t>
      </w:r>
    </w:p>
    <w:p>
      <w:pPr>
        <w:spacing w:after="80"/>
      </w:pPr>
      <w:r>
        <w:rPr>
          <w:b w:val="0"/>
          <w:i w:val="0"/>
        </w:rPr>
        <w:t>Commissioners [2006] BTC 266 [2006] EWCA Civ 25; [2006] STC 606 28, 35, 259,455, 464, 466, 467, 586Boote (H.M. Inspector of Taxes) v Banco do Brasil (1996) 69 TC 333 [1997] BTC 140;</w:t>
      </w:r>
    </w:p>
    <w:p>
      <w:pPr>
        <w:spacing w:after="80"/>
      </w:pPr>
      <w:r>
        <w:rPr>
          <w:b w:val="0"/>
          <w:i w:val="0"/>
        </w:rPr>
        <w:t>[1997] STC 327, CA 51BricomHoldingsLtdvInlandRevenueCommissioners[1997]BTC471;[1997]STC</w:t>
      </w:r>
    </w:p>
    <w:p>
      <w:pPr>
        <w:spacing w:after="80"/>
      </w:pPr>
      <w:r>
        <w:rPr>
          <w:b w:val="0"/>
          <w:i w:val="0"/>
        </w:rPr>
        <w:t>1179 (CA) 31, 156, 317, 621Bricom Holdings Ltd v Inland Revenue Commissioners (1996) Sp C 76, [1996] STC 228,</w:t>
      </w:r>
    </w:p>
    <w:p>
      <w:pPr>
        <w:spacing w:after="80"/>
      </w:pPr>
      <w:r>
        <w:rPr>
          <w:b w:val="0"/>
          <w:i w:val="0"/>
        </w:rPr>
        <w:t>[1997] BTC 471 31, 32, 33Caglar &amp; Ors v Billingham (HMIT) (1996) Sp C 70 140, 361Canadian Eagle Oil Co Ltd v The King (1945) 27 TC 205 442Carson v Cheyney’s Executor (1958) 38 TC 240 332Cecil v IRC (1919) 36 TLR 164 285Cheney v Conn (1964-1968) 44 TC 217; [1968] All ER 799 Ch D 37CIR v Brebner (1966) 43 TC 705, HL 506, 507ClarkvInlandRevenueCommissioners(1976-1980)52TC482;[1978]STC614507,</w:t>
      </w:r>
    </w:p>
    <w:p>
      <w:pPr>
        <w:spacing w:after="80"/>
      </w:pPr>
      <w:r>
        <w:rPr>
          <w:b w:val="0"/>
          <w:i w:val="0"/>
        </w:rPr>
        <w:t>508Clark (HM Inspector of Taxes) v Oceanic Contractors Incorporated [1982] BTC 417;</w:t>
      </w:r>
    </w:p>
    <w:p>
      <w:pPr>
        <w:spacing w:after="80"/>
      </w:pPr>
      <w:r>
        <w:rPr>
          <w:b w:val="0"/>
          <w:i w:val="0"/>
        </w:rPr>
        <w:t>[1983] STC 5 (HL) 160Clavis Liberty Fund LP1 (hoạt động thông qua Cowen) v Revenue and Customs Commission-</w:t>
      </w:r>
    </w:p>
    <w:p>
      <w:pPr>
        <w:spacing w:after="80"/>
      </w:pPr>
      <w:r>
        <w:rPr>
          <w:b w:val="0"/>
          <w:i w:val="0"/>
        </w:rPr>
        <w:t>ers &amp; Ors [2015] BTC 506, [2015] UKUT 0072 (TCC), [2015] STC 1645 636Commercial Union Assurance Co v Shaw [1999] BTC 12; [1999] STC 109 568Commerzbank v Inland Revenue Commissioners [1990] STC 285, [1990] BTC 172 139Currie v IRC (1921) 12 TC 245 285Daimler Co v Continental Tyre and Rubber Co (Great Britain) Ltd [1916] 2 AC 307 (HL)</w:t>
      </w:r>
    </w:p>
    <w:p>
      <w:pPr>
        <w:spacing w:after="80"/>
      </w:pPr>
      <w:r>
        <w:rPr>
          <w:b w:val="0"/>
          <w:i w:val="0"/>
        </w:rPr>
        <w:t>457Davies (HM Inspector of Taxes) v Hicks [2005] BTC 331; [2005] EWHC 847 (Ch) 378De Beers Consolidated Mines v Howe (1906) 5 TC 198 195DerrinBrothersPropertiesLtd&amp;Ors,R(ontheapplicationof)vAJudgeoftheFirst</w:t>
      </w:r>
    </w:p>
    <w:p>
      <w:pPr>
        <w:spacing w:after="80"/>
      </w:pPr>
      <w:r>
        <w:rPr>
          <w:b w:val="0"/>
          <w:i w:val="0"/>
        </w:rPr>
        <w:t>Tier Tribunal (Tax Chamber) &amp; Ors [2016] EWCA Civ 15, [2016] BTC 10, [2016]STC 1081 645Devai v Inland Revenue Commissioners (1996) Sp C 105; [1997] STC SCD 31 358Development Securities plc and others v HMRC [2019] UKUT 169 (TCC) 202Dreyfus v Inland Revenue Commissioners [1956] AC 39 169DSG Retail Ltd; Mastercare Coverplan Service Agreements Ltd; Mastercare Service and</w:t>
      </w:r>
    </w:p>
    <w:p>
      <w:pPr>
        <w:spacing w:after="80"/>
      </w:pPr>
      <w:r>
        <w:rPr>
          <w:b w:val="0"/>
          <w:i w:val="0"/>
        </w:rPr>
        <w:t>Distribution Ltd v Revenue and Customs [2009] TC 00001 [2009] UKFTT 31 (TC)296Duckering v Gollan (1965) 42 TC 333, HL 442</w:t>
      </w:r>
    </w:p>
    <w:p>
      <w:pPr>
        <w:spacing w:after="80"/>
      </w:pPr>
      <w:r>
        <w:rPr>
          <w:b w:val="0"/>
          <w:i w:val="0"/>
        </w:rPr>
        <w:t>704</w:t>
      </w:r>
    </w:p>
    <w:p>
      <w:pPr>
        <w:spacing w:after="80"/>
      </w:pPr>
      <w:r>
        <w:rPr>
          <w:b w:val="0"/>
          <w:i w:val="0"/>
        </w:rPr>
        <w:t>Edwards v Revenue and Customs [2016] UKFTT 189, [2016] TC 04933 362English Sewing Cotton Company Ltd v IRC [1947] 1 All ER 679 496Erichsen v Last (1881) 1 TC 351; 4 TC 422 232EssoExplorationandProductionUKLtdandOthersvRevenue&amp;Customs[2020]</w:t>
      </w:r>
    </w:p>
    <w:p>
      <w:pPr>
        <w:spacing w:after="80"/>
      </w:pPr>
      <w:r>
        <w:rPr>
          <w:b w:val="0"/>
          <w:i w:val="0"/>
        </w:rPr>
        <w:t>UKFTT 139, [2020] TC 07620 468European Roma Rights Centre v Immigration Officer at Prague Airport (United Nations</w:t>
      </w:r>
    </w:p>
    <w:p>
      <w:pPr>
        <w:spacing w:after="80"/>
      </w:pPr>
      <w:r>
        <w:rPr>
          <w:b w:val="0"/>
          <w:i w:val="0"/>
        </w:rPr>
        <w:t>HighCommissioner for Refugees intervening) [2004] UKHL 55; [2005] 2 AC 1; [2005] 1 All</w:t>
      </w:r>
    </w:p>
    <w:p>
      <w:pPr>
        <w:spacing w:after="80"/>
      </w:pPr>
      <w:r>
        <w:rPr>
          <w:b w:val="0"/>
          <w:i w:val="0"/>
        </w:rPr>
        <w:t>ER 527 14FCEBankPlcvRevenue&amp;CustomsCommissioners[2010]UKFTT136(TC),[2010]</w:t>
      </w:r>
    </w:p>
    <w:p>
      <w:pPr>
        <w:spacing w:after="80"/>
      </w:pPr>
      <w:r>
        <w:rPr>
          <w:b w:val="0"/>
          <w:i w:val="0"/>
        </w:rPr>
        <w:t>SFTD 718 [2010] TC 00445 136, 142, 456, 468FelixstoweDockandRailwayCoLtd&amp;OrsvRevenue&amp;Customs[2011]TC01674</w:t>
      </w:r>
    </w:p>
    <w:p>
      <w:pPr>
        <w:spacing w:after="80"/>
      </w:pPr>
      <w:r>
        <w:rPr>
          <w:b w:val="0"/>
          <w:i w:val="0"/>
        </w:rPr>
        <w:t>[2011] UKFTT 838 (TC) 468FessalvRevenueandCustoms[2016]UKFTT285(TC),[2016]SFTD585,[2016]TC</w:t>
      </w:r>
    </w:p>
    <w:p>
      <w:pPr>
        <w:spacing w:after="80"/>
      </w:pPr>
      <w:r>
        <w:rPr>
          <w:b w:val="0"/>
          <w:i w:val="0"/>
        </w:rPr>
        <w:t>05059 150FidexLtdvRevenue&amp;CustomsCommissioners[2016]EWCACiv385,[2016]STC</w:t>
      </w:r>
    </w:p>
    <w:p>
      <w:pPr>
        <w:spacing w:after="80"/>
      </w:pPr>
      <w:r>
        <w:rPr>
          <w:b w:val="0"/>
          <w:i w:val="0"/>
        </w:rPr>
        <w:t>1920 CA, [2016] BTC 16 515Financial Institution v Inland Revenue Commissioners (2002) Sp C 346 599First Nationwide v Revenue and Customs Commissioners [2012] BTC 99; [2012] EWCA</w:t>
      </w:r>
    </w:p>
    <w:p>
      <w:pPr>
        <w:spacing w:after="80"/>
      </w:pPr>
      <w:r>
        <w:rPr>
          <w:b w:val="0"/>
          <w:i w:val="0"/>
        </w:rPr>
        <w:t>Civ 278; [2012] STC 1261 6, 169Fisher [2014] TC 03921; [2014] UKFTT 804 (TC) 96Fleming v London Produce Company (1968) 44 TC 582 240Forth Investments Ltd v Inland Revenue Commissioners (1971-1977) 50 TC 617; [1976]</w:t>
      </w:r>
    </w:p>
    <w:p>
      <w:pPr>
        <w:spacing w:after="80"/>
      </w:pPr>
      <w:r>
        <w:rPr>
          <w:b w:val="0"/>
          <w:i w:val="0"/>
        </w:rPr>
        <w:t>STC 399, Ch D 185, 569Fothergill v Monarch Airlines Ltd [1981] AC 251, [1980] 3 WLR 209, [1980] 2 All ER 696</w:t>
      </w:r>
    </w:p>
    <w:p>
      <w:pPr>
        <w:spacing w:after="80"/>
      </w:pPr>
      <w:r>
        <w:rPr>
          <w:b w:val="0"/>
          <w:i w:val="0"/>
        </w:rPr>
        <w:t>6, 14, 109, 133, 141, 149Fowler v Revenue and Customs [2017] UKUT 0219 (TCC), [2017] BTC 518, [2017] STC</w:t>
      </w:r>
    </w:p>
    <w:p>
      <w:pPr>
        <w:spacing w:after="80"/>
      </w:pPr>
      <w:r>
        <w:rPr>
          <w:b w:val="0"/>
          <w:i w:val="0"/>
        </w:rPr>
        <w:t>1385 (UT) 346Fowler v Revenue and Customs [2018] EWCA Civ 2544, [2018] STC 2401, [2018] BTC</w:t>
      </w:r>
    </w:p>
    <w:p>
      <w:pPr>
        <w:spacing w:after="80"/>
      </w:pPr>
      <w:r>
        <w:rPr>
          <w:b w:val="0"/>
          <w:i w:val="0"/>
        </w:rPr>
        <w:t>41, [2019] 1 All ER 717, 21 ITL Rep 388 135, 148, 259, 346FowlervRevenueandCustoms[2016]UKFTT234[2016]SFTD535,18ITLRep644</w:t>
      </w:r>
    </w:p>
    <w:p>
      <w:pPr>
        <w:spacing w:after="80"/>
      </w:pPr>
      <w:r>
        <w:rPr>
          <w:b w:val="0"/>
          <w:i w:val="0"/>
        </w:rPr>
        <w:t>[2016] TC 05009 113, 115, 146,147, 258, 346Fowler v Revenue and Customs [2020] UKSC 22, [2020] 1 WLR 2227, [2020] STC 1476,</w:t>
      </w:r>
    </w:p>
    <w:p>
      <w:pPr>
        <w:spacing w:after="80"/>
      </w:pPr>
      <w:r>
        <w:rPr>
          <w:b w:val="0"/>
          <w:i w:val="0"/>
        </w:rPr>
        <w:t>[2020] BTC 15 148, 154, 254, 259, 346Fryett v Revenue and Customs [2014] UKFTT 220, [2014] TC 03360, [2014] SFTD 979</w:t>
      </w:r>
    </w:p>
    <w:p>
      <w:pPr>
        <w:spacing w:after="80"/>
      </w:pPr>
      <w:r>
        <w:rPr>
          <w:b w:val="0"/>
          <w:i w:val="0"/>
        </w:rPr>
        <w:t>355Garland (H M Inspector of Taxes) v Archer-Shee [1931] AC 212, (HL) 7Garland v British Rail Engineering Ltd [1983] 2 AC 751; [1982] 2 WLR 918, HL 37, 38GatoilInternationalInc.vArkwright-BostonManufacturersMutualInsuranceCom-</w:t>
      </w:r>
    </w:p>
    <w:p>
      <w:pPr>
        <w:spacing w:after="80"/>
      </w:pPr>
      <w:r>
        <w:rPr>
          <w:b w:val="0"/>
          <w:i w:val="0"/>
        </w:rPr>
        <w:t>pany [1985] AC 225 132General Reinsurance Company Ltd v Tomlinson (1970) 48 TC 81 274Glencore Energy UK Ltd &amp; Anor v Revenue &amp; Customs Commissioners [2019] UKFTT</w:t>
      </w:r>
    </w:p>
    <w:p>
      <w:pPr>
        <w:spacing w:after="80"/>
      </w:pPr>
      <w:r>
        <w:rPr>
          <w:b w:val="0"/>
          <w:i w:val="0"/>
        </w:rPr>
        <w:t>438, [2019] TC 07252 599Government of India, Ministry of Finance (Revenue Division) v Taylor [1955] AC 491</w:t>
      </w:r>
    </w:p>
    <w:p>
      <w:pPr>
        <w:spacing w:after="80"/>
      </w:pPr>
      <w:r>
        <w:rPr>
          <w:b w:val="0"/>
          <w:i w:val="0"/>
        </w:rPr>
        <w:t>635, 639</w:t>
      </w:r>
    </w:p>
    <w:p>
      <w:pPr>
        <w:spacing w:after="80"/>
      </w:pPr>
      <w:r>
        <w:rPr>
          <w:b w:val="0"/>
          <w:i w:val="0"/>
        </w:rPr>
        <w:t>705</w:t>
      </w:r>
    </w:p>
    <w:p>
      <w:pPr>
        <w:spacing w:after="80"/>
      </w:pPr>
      <w:r>
        <w:rPr>
          <w:b w:val="0"/>
          <w:i w:val="0"/>
        </w:rPr>
        <w:t>Greenwood v FL Smidth &amp; Co (1922) 8 TC 193, HL 229Greig(InspectorofTaxes)vAshton[1956]36TC581;[1956]3AllER123;[1956]1</w:t>
      </w:r>
    </w:p>
    <w:p>
      <w:pPr>
        <w:spacing w:after="80"/>
      </w:pPr>
      <w:r>
        <w:rPr>
          <w:b w:val="0"/>
          <w:i w:val="0"/>
        </w:rPr>
        <w:t>WLR 1056 445HankinsonvRevenueandCustoms[2010]TC00319[2009]UKFTT0384(TC)181,</w:t>
      </w:r>
    </w:p>
    <w:p>
      <w:pPr>
        <w:spacing w:after="80"/>
      </w:pPr>
      <w:r>
        <w:rPr>
          <w:b w:val="0"/>
          <w:i w:val="0"/>
        </w:rPr>
        <w:t>182, 184, 190Haseldine v Revenue &amp; Customs [2012] TC 02157 [2012] UKFTT 480 (TC) 372Hasloch v IRC (1971) 47 TC 50 505HillSamuelInvestmentsLtdvvRevenue&amp;CustomsCommisioners(2009)SpC738</w:t>
      </w:r>
    </w:p>
    <w:p>
      <w:pPr>
        <w:spacing w:after="80"/>
      </w:pPr>
      <w:r>
        <w:rPr>
          <w:b w:val="0"/>
          <w:i w:val="0"/>
        </w:rPr>
        <w:t>582Hoye v Forsdyke (1981) 55 TC 281; [1981] STC 711, Ch D 350HSBCHoldingsPlcandBankofNewYorkMellonvHMRC[2012]TC01858;[2012]</w:t>
      </w:r>
    </w:p>
    <w:p>
      <w:pPr>
        <w:spacing w:after="80"/>
      </w:pPr>
      <w:r>
        <w:rPr>
          <w:b w:val="0"/>
          <w:i w:val="0"/>
        </w:rPr>
        <w:t>UKFTT 163 (TC) 497Hume v Asquith (1968) 45 TC 251 332Imperial Chemical Industries Limited v Caro (1958-1961) 39 TC 374 120, 125, 147, 253,</w:t>
      </w:r>
    </w:p>
    <w:p>
      <w:pPr>
        <w:spacing w:after="80"/>
      </w:pPr>
      <w:r>
        <w:rPr>
          <w:b w:val="0"/>
          <w:i w:val="0"/>
        </w:rPr>
        <w:t>Indofood International Finance Ltd v JPMorgan Chase Bank NA [2005] BTC 8023;</w:t>
      </w:r>
    </w:p>
    <w:p>
      <w:pPr>
        <w:spacing w:after="80"/>
      </w:pPr>
      <w:r>
        <w:rPr>
          <w:b w:val="0"/>
          <w:i w:val="0"/>
        </w:rPr>
        <w:t>[2005] EWHC 2103 (Ch); [2006] BTC 8003; [2006] EWCA Civ 158 136, 138, 140, 144, 198, 488, 489 Inland Revenue Commissioners v Collco Dealings Ltd (1961) 39 TC 509 45, 49 Inland Revenue Commissioners v Commerzbank AG [1990] BTC 172; [1990] STC 285</w:t>
      </w:r>
    </w:p>
    <w:p>
      <w:pPr>
        <w:spacing w:after="80"/>
      </w:pPr>
      <w:r>
        <w:rPr>
          <w:b w:val="0"/>
          <w:i w:val="0"/>
        </w:rPr>
        <w:t>110, 112, 115, 124, 125, 141, 175, 270, 326, 521 Inland Revenue Commissioners v Exxon Corp [1982] BTC 182; [1982] STC 356, ChD</w:t>
      </w:r>
    </w:p>
    <w:p>
      <w:pPr>
        <w:spacing w:after="80"/>
      </w:pPr>
      <w:r>
        <w:rPr>
          <w:b w:val="0"/>
          <w:i w:val="0"/>
        </w:rPr>
        <w:t>117, 195, 509, 511, 525 Inland Revenue Commissioners v Goodwin (1971-1977) 50 TC 583; [1976] STC 28, HL</w:t>
      </w:r>
    </w:p>
    <w:p>
      <w:pPr>
        <w:spacing w:after="80"/>
      </w:pPr>
      <w:r>
        <w:rPr>
          <w:b w:val="0"/>
          <w:i w:val="0"/>
        </w:rPr>
        <w:t>507 Inland Revenue Commissioners v Kleinwort Benson Ltd (1968) 45 TC 369; [1969] 2 Ch</w:t>
      </w:r>
    </w:p>
    <w:p>
      <w:pPr>
        <w:spacing w:after="80"/>
      </w:pPr>
      <w:r>
        <w:rPr>
          <w:b w:val="0"/>
          <w:i w:val="0"/>
        </w:rPr>
        <w:t>221 514 Inland Revenue Commissioners v Trustees of the Sema Group Pension Scheme [2002]</w:t>
      </w:r>
    </w:p>
    <w:p>
      <w:pPr>
        <w:spacing w:after="80"/>
      </w:pPr>
      <w:r>
        <w:rPr>
          <w:b w:val="0"/>
          <w:i w:val="0"/>
        </w:rPr>
        <w:t>BTC 109; [2002] STC 276 514 Inland Revenue Commissioners v Universities Superannuation Scheme Ltd [1997] BTC</w:t>
      </w:r>
    </w:p>
    <w:p>
      <w:pPr>
        <w:spacing w:after="80"/>
      </w:pPr>
      <w:r>
        <w:rPr>
          <w:b w:val="0"/>
          <w:i w:val="0"/>
        </w:rPr>
        <w:t>3; [1997] STC 1 566 Inland Revenue Commissioners v Vas [1990] BTC 52; [1990] STC 137, Ch D 122, 139,</w:t>
      </w:r>
    </w:p>
    <w:p>
      <w:pPr>
        <w:spacing w:after="80"/>
      </w:pPr>
      <w:r>
        <w:rPr>
          <w:b w:val="0"/>
          <w:i w:val="0"/>
        </w:rPr>
        <w:t>357 Inland Revenue Commissioners v Willoughby [1995] BTC 144; [1995] STC 143, CA</w:t>
      </w:r>
    </w:p>
    <w:p>
      <w:pPr>
        <w:spacing w:after="80"/>
      </w:pPr>
      <w:r>
        <w:rPr>
          <w:b w:val="0"/>
          <w:i w:val="0"/>
        </w:rPr>
        <w:t>478, 505, 508 IRC v Brackett [1986] BTC 415; [1986] STC 521, Ch D 229 IRC v Commerzbank AG and IRC v Banco do Brazil SA [1990] BTC 172; [1990] STC 285</w:t>
      </w:r>
    </w:p>
    <w:p>
      <w:pPr>
        <w:spacing w:after="80"/>
      </w:pPr>
      <w:r>
        <w:rPr>
          <w:b w:val="0"/>
          <w:i w:val="0"/>
        </w:rPr>
        <w:t>175, 326 IRC v Maxse (1919) 12 TC 41 285 IRC v Willoughby [1995] BTC 144; [1995] STC 143, CA 505, 508 IRC v Willoughby [1997] BTC 393; [1997] STC 995, HL 478 Irish Bank Resolution Corporation Ltd (in special liquidation) v Revenue &amp; Customs</w:t>
      </w:r>
    </w:p>
    <w:p>
      <w:pPr>
        <w:spacing w:after="80"/>
      </w:pPr>
      <w:r>
        <w:rPr>
          <w:b w:val="0"/>
          <w:i w:val="0"/>
        </w:rPr>
        <w:t>Commissioners [2017] UKFTT 702 (TC), [2017] SFTD 1135, [2017] TC 06121 135</w:t>
      </w:r>
    </w:p>
    <w:p>
      <w:pPr>
        <w:spacing w:after="80"/>
      </w:pPr>
      <w:r>
        <w:rPr>
          <w:b w:val="0"/>
          <w:i w:val="0"/>
        </w:rPr>
        <w:t>706</w:t>
      </w:r>
    </w:p>
    <w:p>
      <w:pPr>
        <w:spacing w:after="80"/>
      </w:pPr>
      <w:r>
        <w:rPr>
          <w:b w:val="0"/>
          <w:i w:val="0"/>
        </w:rPr>
        <w:t>Irish Bank Resolution Corporation Ltd (in special liquidation) v Revenue &amp; Customs</w:t>
      </w:r>
    </w:p>
    <w:p>
      <w:pPr>
        <w:spacing w:after="80"/>
      </w:pPr>
      <w:r>
        <w:rPr>
          <w:b w:val="0"/>
          <w:i w:val="0"/>
        </w:rPr>
        <w:t>Commissioners [2020] EWCA Civ 1128, [2020] WLR(D) 485, [2020] STC 1946, [2020] BTC 26 136, 138, 140, 143, 275 J Sainsbury plc v O'Connor [1990] BTC 363; [1990] STC 516 496 James Buchanan and Co. v Babco Ltd, [1978] AC 141 (HL) 109, 111, 149 Janson v Driefontein Consolidated Mines Ltd [1902] AC 484 (HL) 457 Jimenez, R (on the application of) v The First Tier Tribunal (Tax Chamber) &amp; Ors</w:t>
      </w:r>
    </w:p>
    <w:p>
      <w:pPr>
        <w:spacing w:after="80"/>
      </w:pPr>
      <w:r>
        <w:rPr>
          <w:b w:val="0"/>
          <w:i w:val="0"/>
        </w:rPr>
        <w:t>[2019] EWCA Civ 51, [2019] STC 746, 21 ITL Rep 561, [2019] 1 WLR 2956, [2019] BTC 4 636 Jiminez v Inland Revenue Commissioners [2004] UKSC SPC 419 (2004) Sp C 419 112,</w:t>
      </w:r>
    </w:p>
    <w:p>
      <w:pPr>
        <w:spacing w:after="80"/>
      </w:pPr>
      <w:r>
        <w:rPr>
          <w:b w:val="0"/>
          <w:i w:val="0"/>
        </w:rPr>
        <w:t>124, 129, 130, 359 JJ Management LLP và những người khác v Revenue and Customs Commissioners và một người khác</w:t>
      </w:r>
    </w:p>
    <w:p>
      <w:pPr>
        <w:spacing w:after="80"/>
      </w:pPr>
      <w:r>
        <w:rPr>
          <w:b w:val="0"/>
          <w:i w:val="0"/>
        </w:rPr>
        <w:t>[2020] EWCA Civ 784, [2020] STC 1422, [2020] BTC 18 650 JJ Manangement LLP &amp; Ors, R (theo Đơn xin của) v Revenue and Customs &amp; Ano</w:t>
      </w:r>
    </w:p>
    <w:p>
      <w:pPr>
        <w:spacing w:after="80"/>
      </w:pPr>
      <w:r>
        <w:rPr>
          <w:b w:val="0"/>
          <w:i w:val="0"/>
        </w:rPr>
        <w:t>[2019] EWHC 2006 (Admin), [2019] STC 1772, [2019] BTC 21 650 Johnson v Farquhar [1992] BTC 3; [1992] STC 11 368 Johnson v Holleran [1989] BTC 11; [1989] STC 1, Ch D 368 Jones v Ministry of the Interior of the Kingdom of Saudi Arabia [2006] UKHL 26; [2007]</w:t>
      </w:r>
    </w:p>
    <w:p>
      <w:pPr>
        <w:spacing w:after="80"/>
      </w:pPr>
      <w:r>
        <w:rPr>
          <w:b w:val="0"/>
          <w:i w:val="0"/>
        </w:rPr>
        <w:t>1 AC 270; [2007] 1 All ER 113 8 Jowett (HMIT) v O’Neill &amp; Brennan Construction Limited [1998] BTC 133, [1998] STC</w:t>
      </w:r>
    </w:p>
    <w:p>
      <w:pPr>
        <w:spacing w:after="80"/>
      </w:pPr>
      <w:r>
        <w:rPr>
          <w:b w:val="0"/>
          <w:i w:val="0"/>
        </w:rPr>
        <w:t>472 221, 258 Jowett v O’Neill and Brennan Construction Limited [1998] BTC 133; [1998] STC 482</w:t>
      </w:r>
    </w:p>
    <w:p>
      <w:pPr>
        <w:spacing w:after="80"/>
      </w:pPr>
      <w:r>
        <w:rPr>
          <w:b w:val="0"/>
          <w:i w:val="0"/>
        </w:rPr>
        <w:t>(Ch D) 221 Kljun v Revenue &amp; Customs Commissioners [2011] TC 01226 [2011] UKFTT 371 (TC)</w:t>
      </w:r>
    </w:p>
    <w:p>
      <w:pPr>
        <w:spacing w:after="80"/>
      </w:pPr>
      <w:r>
        <w:rPr>
          <w:b w:val="0"/>
          <w:i w:val="0"/>
        </w:rPr>
        <w:t>127, 351 Kotton v First Tier Tribunal (Tax Chamber) &amp; Anor [2019] EWHC 1327 (Admin), [2019]</w:t>
      </w:r>
    </w:p>
    <w:p>
      <w:pPr>
        <w:spacing w:after="80"/>
      </w:pPr>
      <w:r>
        <w:rPr>
          <w:b w:val="0"/>
          <w:i w:val="0"/>
        </w:rPr>
        <w:t>BTC 16 648 Kuwait Airways Corpn v Iraqi Airways Co [1995] 3 All ER 694; [1995] 1 WLR 1147, HL</w:t>
      </w:r>
    </w:p>
    <w:p>
      <w:pPr>
        <w:spacing w:after="80"/>
      </w:pPr>
      <w:r>
        <w:rPr>
          <w:b w:val="0"/>
          <w:i w:val="0"/>
        </w:rPr>
        <w:t>212 Kwok Chi Leung Karl (Người thực hiện di chúc của Lamson Kwok) v Commissioner of Estate Duty</w:t>
      </w:r>
    </w:p>
    <w:p>
      <w:pPr>
        <w:spacing w:after="80"/>
      </w:pPr>
      <w:r>
        <w:rPr>
          <w:b w:val="0"/>
          <w:i w:val="0"/>
        </w:rPr>
        <w:t>[1988] BTC 8073; [1988] STC 728 319 Laerstate BV v Revenue and Customs Commissioners [2009] TC 00162 [2009] UKFTT</w:t>
      </w:r>
    </w:p>
    <w:p>
      <w:pPr>
        <w:spacing w:after="80"/>
      </w:pPr>
      <w:r>
        <w:rPr>
          <w:b w:val="0"/>
          <w:i w:val="0"/>
        </w:rPr>
        <w:t>209 (TC) 200 Lee &amp; Anor v Revenue and Customs [2017] UKFTT 279, [2017] TC 05757 181, 205 Legal &amp; General Assurance Society Ltd v Revenue and Customs Commissioners [2006]</w:t>
      </w:r>
    </w:p>
    <w:p>
      <w:pPr>
        <w:spacing w:after="80"/>
      </w:pPr>
      <w:r>
        <w:rPr>
          <w:b w:val="0"/>
          <w:i w:val="0"/>
        </w:rPr>
        <w:t>STC 1763, [2006] BTC 713; [2006] EWHC 1770 (Ch) 437–438 Legal &amp; General Assurance Society Ltd v Thomas (HMIT) [2005] UKSPC SPC461 (2005)</w:t>
      </w:r>
    </w:p>
    <w:p>
      <w:pPr>
        <w:spacing w:after="80"/>
      </w:pPr>
      <w:r>
        <w:rPr>
          <w:b w:val="0"/>
          <w:i w:val="0"/>
        </w:rPr>
        <w:t>Sp C 461 439 Leonard v Blanchard [1993] BTC 138; [1993] STC 259 349 Levene v IRC [1928] AC 217 189 Lloyd-Webber v Revenue and Customs [2019] UKFTT 717 (TC), [2019] TC 07488 302 Lockhart v Revenue and Customs [2017] UKFTT 559, [2017] TC 06001 291, 355 Lysaght v IRC [1928] AC 234 189 Macklin v Revenue and Customs Commissioners [2015] BTC 503, [2015] UKUT 39</w:t>
      </w:r>
    </w:p>
    <w:p>
      <w:pPr>
        <w:spacing w:after="80"/>
      </w:pPr>
      <w:r>
        <w:rPr>
          <w:b w:val="0"/>
          <w:i w:val="0"/>
        </w:rPr>
        <w:t>(TCC), [2015] STC 1102 6, 113, 119, 123, 141, 146, 214, 365</w:t>
      </w:r>
    </w:p>
    <w:p>
      <w:pPr>
        <w:spacing w:after="80"/>
      </w:pPr>
      <w:r>
        <w:rPr>
          <w:b w:val="0"/>
          <w:i w:val="0"/>
        </w:rPr>
        <w:t>707</w:t>
      </w:r>
    </w:p>
    <w:p>
      <w:pPr>
        <w:spacing w:after="80"/>
      </w:pPr>
      <w:r>
        <w:rPr>
          <w:b w:val="0"/>
          <w:i w:val="0"/>
        </w:rPr>
        <w:t>Macmillan v CIR (1942) 24 TC 190 346 MacNiven v Westmoreland Investments Ltd [2001] UKHL 6, [2001] BTC 44; [2001] STC</w:t>
      </w:r>
    </w:p>
    <w:p>
      <w:pPr>
        <w:spacing w:after="80"/>
      </w:pPr>
      <w:r>
        <w:rPr>
          <w:b w:val="0"/>
          <w:i w:val="0"/>
        </w:rPr>
        <w:t>237, HL 527Mansell v R &amp; C Commissioners [2006] UKSPC SPC 551 (2006) Sp C 551 244Mark Higgins Rallying (một công ty) v Revenue and Customs [2011] TC 01200 [2011] UKFTT</w:t>
      </w:r>
    </w:p>
    <w:p>
      <w:pPr>
        <w:spacing w:after="80"/>
      </w:pPr>
      <w:r>
        <w:rPr>
          <w:b w:val="0"/>
          <w:i w:val="0"/>
        </w:rPr>
        <w:t>340 (TC) 206Martin v Revenue and Customs [2015] UKFTT 533, [2015] TC 04687 362MarwoodHomesLimitedvInlandRevenueCommissioners(1996)SpC106;[1997]</w:t>
      </w:r>
    </w:p>
    <w:p>
      <w:pPr>
        <w:spacing w:after="80"/>
      </w:pPr>
      <w:r>
        <w:rPr>
          <w:b w:val="0"/>
          <w:i w:val="0"/>
        </w:rPr>
        <w:t>STC (SCD) 509McCabevRevenue&amp;CustomsCommissioners[2020]UKUT266(TCC),[2020]STC</w:t>
      </w:r>
    </w:p>
    <w:p>
      <w:pPr>
        <w:spacing w:after="80"/>
      </w:pPr>
      <w:r>
        <w:rPr>
          <w:b w:val="0"/>
          <w:i w:val="0"/>
        </w:rPr>
        <w:t>2148, [2020] BTC 561 597McLaine Watson v Department of Trade [1990] 2 AC 418; [1989] 3 All ER 523, HL 28Megantic Services Ltd v Revenue and Customs Commissioners [2011] VC 1,513 [2011]</w:t>
      </w:r>
    </w:p>
    <w:p>
      <w:pPr>
        <w:spacing w:after="80"/>
      </w:pPr>
      <w:r>
        <w:rPr>
          <w:b w:val="0"/>
          <w:i w:val="0"/>
        </w:rPr>
        <w:t>UKUT B2 (TCC) 653MemecplcvInlandRevenueCommissioners[1996]BTC590;[1996]STC1336112,</w:t>
      </w:r>
    </w:p>
    <w:p>
      <w:pPr>
        <w:spacing w:after="80"/>
      </w:pPr>
      <w:r>
        <w:rPr>
          <w:b w:val="0"/>
          <w:i w:val="0"/>
        </w:rPr>
        <w:t>170Memec plc v Inland Revenue Commissioners [1998] BTC 251; [1998] STC 754, CA 112,</w:t>
      </w:r>
    </w:p>
    <w:p>
      <w:pPr>
        <w:spacing w:after="80"/>
      </w:pPr>
      <w:r>
        <w:rPr>
          <w:b w:val="0"/>
          <w:i w:val="0"/>
        </w:rPr>
        <w:t>122, 126, 139, 140, 141, 150, 170, 254, 310, 450, 509Miller&amp;Anor,R(ontheapplicationof)vSecretaryofStateforExitingtheEuropean</w:t>
      </w:r>
    </w:p>
    <w:p>
      <w:pPr>
        <w:spacing w:after="80"/>
      </w:pPr>
      <w:r>
        <w:rPr>
          <w:b w:val="0"/>
          <w:i w:val="0"/>
        </w:rPr>
        <w:t>Union[2017]UKSC5([2017]1AllER593,[2017]HRLR2,[2017]WLR(D)53,[2017] 2 CMLR 15, [2017] 2 WLR 583 21Minera Las Bambas SA &amp; Anor v Glencore Queensland Ltd &amp; Ors [2019] EWCA Civ 972,</w:t>
      </w:r>
    </w:p>
    <w:p>
      <w:pPr>
        <w:spacing w:after="80"/>
      </w:pPr>
      <w:r>
        <w:rPr>
          <w:b w:val="0"/>
          <w:i w:val="0"/>
        </w:rPr>
        <w:t>[2019] STC 1642 445Mitchell and Edon v Ross (1961) 40 TC 11, HL 346Mr and Mrs PQ v Revenue &amp; Customs [2019] UKFTT 371 (TC) [2020] SFTD 1 636NEC Semi-Conductors Ltd &amp; other test cases v Inland Revenue Commissioners [2004]</w:t>
      </w:r>
    </w:p>
    <w:p>
      <w:pPr>
        <w:spacing w:after="80"/>
      </w:pPr>
      <w:r>
        <w:rPr>
          <w:b w:val="0"/>
          <w:i w:val="0"/>
        </w:rPr>
        <w:t>STC 489, [2004] BTC 208; [2003] EWHC 2813 (Ch) 455, 465Nielsen, Andersen &amp; Company v Collins (HM Inspector of Taxes) (1927)13 TC 91 233Non-resident Insurance Companies Regulations 2003 (SI 2003/2714) 283O’Neil and Others v CIR [2001] UKPC 17; [2001] STC 742 PC 588Oppenheimer v Cattermole, Nothman v Cooper (1975) 50 TC 159 366OstimevAustralianMutualProvidentSociety(1956-1960)38TC492HL;[1960]AC</w:t>
      </w:r>
    </w:p>
    <w:p>
      <w:pPr>
        <w:spacing w:after="80"/>
      </w:pPr>
      <w:r>
        <w:rPr>
          <w:b w:val="0"/>
          <w:i w:val="0"/>
        </w:rPr>
        <w:t>459 45, 125, 138, 146, 258, 260, 273, 283Oxnard Financing SA v Rahn &amp; Ors [1998] EWCA Civ 594, [1998] 3 All ER 19 169Padfield &amp; Ors v Revenue &amp; Customs [2020] UKFTT 513 (TC) 514Padmore (No 2) v Commissioners of Inland Revenue [2001] BTC 36; [2001] STC 280,</w:t>
      </w:r>
    </w:p>
    <w:p>
      <w:pPr>
        <w:spacing w:after="80"/>
      </w:pPr>
      <w:r>
        <w:rPr>
          <w:b w:val="0"/>
          <w:i w:val="0"/>
        </w:rPr>
        <w:t>Ch D 49Padmore v Inland Revenue Commissioners [1987] BTC 3, [1987] STC 36, Ch D 48, 166,</w:t>
      </w:r>
    </w:p>
    <w:p>
      <w:pPr>
        <w:spacing w:after="80"/>
      </w:pPr>
      <w:r>
        <w:rPr>
          <w:b w:val="0"/>
          <w:i w:val="0"/>
        </w:rPr>
        <w:t>206, 259, 521Padmore v Inland Revenue Commissioners [1989] BTC 221; 62 TC 352; [1987] STC 36,</w:t>
      </w:r>
    </w:p>
    <w:p>
      <w:pPr>
        <w:spacing w:after="80"/>
      </w:pPr>
      <w:r>
        <w:rPr>
          <w:b w:val="0"/>
          <w:i w:val="0"/>
        </w:rPr>
        <w:t>(CA) 115, 138, 142, 166, 168, 259Parway Estates Ltd v IRC (1958) 45 TC 135. 495Pepper v Hart [1992] BTC 591; [1992] STC 898, HL 131</w:t>
      </w:r>
    </w:p>
    <w:p>
      <w:pPr>
        <w:spacing w:after="80"/>
      </w:pPr>
      <w:r>
        <w:rPr>
          <w:b w:val="0"/>
          <w:i w:val="0"/>
        </w:rPr>
        <w:t>708</w:t>
      </w:r>
    </w:p>
    <w:p>
      <w:pPr>
        <w:spacing w:after="80"/>
      </w:pPr>
      <w:r>
        <w:rPr>
          <w:b w:val="0"/>
          <w:i w:val="0"/>
        </w:rPr>
        <w:t>PercivalvCommissionersforHerMajesty’sRevenue&amp;Customs[2013]TC02654</w:t>
      </w:r>
    </w:p>
    <w:p>
      <w:pPr>
        <w:spacing w:after="80"/>
      </w:pPr>
      <w:r>
        <w:rPr>
          <w:b w:val="0"/>
          <w:i w:val="0"/>
        </w:rPr>
        <w:t>[2013] UKFTT 240 73, 151, 374, 454, 459PerrinvRevenue&amp;Customs[2014]TC03363[2014]UKFTT223(TC),[2014]SFTD</w:t>
      </w:r>
    </w:p>
    <w:p>
      <w:pPr>
        <w:spacing w:after="80"/>
      </w:pPr>
      <w:r>
        <w:rPr>
          <w:b w:val="0"/>
          <w:i w:val="0"/>
        </w:rPr>
        <w:t>9193 320Pettigrew v Revenue and Customs [2018] UKFTT 0240 (TC), [2018] TC 06473 344PikevRevenueandCustomsCommissioners[2013]STC2042,[2013]BTC1,881</w:t>
      </w:r>
    </w:p>
    <w:p>
      <w:pPr>
        <w:spacing w:after="80"/>
      </w:pPr>
      <w:r>
        <w:rPr>
          <w:b w:val="0"/>
          <w:i w:val="0"/>
        </w:rPr>
        <w:t>[2013] UKUT 0225 (TCC) 316Pirelli Cable Holding NV &amp; Ors v Inland Revenue Commisioners [2004] BTC 50; [2003]</w:t>
      </w:r>
    </w:p>
    <w:p>
      <w:pPr>
        <w:spacing w:after="80"/>
      </w:pPr>
      <w:r>
        <w:rPr>
          <w:b w:val="0"/>
          <w:i w:val="0"/>
        </w:rPr>
        <w:t>EWCA Civ 1849 97PirelliCableHoldingNV&amp;OrsvInlandRevenueCommissioners[2003]BTC218;</w:t>
      </w:r>
    </w:p>
    <w:p>
      <w:pPr>
        <w:spacing w:after="80"/>
      </w:pPr>
      <w:r>
        <w:rPr>
          <w:b w:val="0"/>
          <w:i w:val="0"/>
        </w:rPr>
        <w:t>[2003] EWHC 32 (Ch) 97PirelliCableHoldingNV&amp;OrsvInlandRevenueCommissioners[2006]BTC181;</w:t>
      </w:r>
    </w:p>
    <w:p>
      <w:pPr>
        <w:spacing w:after="80"/>
      </w:pPr>
      <w:r>
        <w:rPr>
          <w:b w:val="0"/>
          <w:i w:val="0"/>
        </w:rPr>
        <w:t>[2006] STC 548; [2006] UKHL 4 35, 36, 97, 128, 147Pommery and Greno v Aptthorpe (1886) 2 TC 182 271PrudentialPlcvR&amp;CCommrs[2007]UKSPCSPC636(2007)SpC636;[2008]STC</w:t>
      </w:r>
    </w:p>
    <w:p>
      <w:pPr>
        <w:spacing w:after="80"/>
      </w:pPr>
      <w:r>
        <w:rPr>
          <w:b w:val="0"/>
          <w:i w:val="0"/>
        </w:rPr>
        <w:t>(SCD) 239 514QRS 1 Aps and others v Frandsen [1999] 1 WLR 2169 [1999] BTC 8023; [1999] STC 616</w:t>
      </w:r>
    </w:p>
    <w:p>
      <w:pPr>
        <w:spacing w:after="80"/>
      </w:pPr>
      <w:r>
        <w:rPr>
          <w:b w:val="0"/>
          <w:i w:val="0"/>
        </w:rPr>
        <w:t>142, 637, 638Quazi v Quazi [1980] AC 744; [1979] 3 All ER 897 38R&amp;CCommrsvLloydsTSBEquipmentLeasing(No1)Ltd[2014]EWCACiv1062,</w:t>
      </w:r>
    </w:p>
    <w:p>
      <w:pPr>
        <w:spacing w:after="80"/>
      </w:pPr>
      <w:r>
        <w:rPr>
          <w:b w:val="0"/>
          <w:i w:val="0"/>
        </w:rPr>
        <w:t>[2014] STC 2770 CA, [2014] BTC 37 515R(ontheapplicationofFederationofTourOperators&amp;Ors)vHMTreasury&amp;Ors;</w:t>
      </w:r>
    </w:p>
    <w:p>
      <w:pPr>
        <w:spacing w:after="80"/>
      </w:pPr>
      <w:r>
        <w:rPr>
          <w:b w:val="0"/>
          <w:i w:val="0"/>
        </w:rPr>
        <w:t>[2007] EWHC 2062 (Admin); [2008] EWCA Civ 752; [2008] STC 547, [2008] BTC8025 113, 119, 124, 132, 142R v Holden [2004] UKSC SPC 422 (2004) Sp C 422 (R and R v Holden (HMIT) (2004) Sp</w:t>
      </w:r>
    </w:p>
    <w:p>
      <w:pPr>
        <w:spacing w:after="80"/>
      </w:pPr>
      <w:r>
        <w:rPr>
          <w:b w:val="0"/>
          <w:i w:val="0"/>
        </w:rPr>
        <w:t>197, 653RvInlandRevenueCommissioners,exparteCamacqCorporationandCambrian&amp;</w:t>
      </w:r>
    </w:p>
    <w:p>
      <w:pPr>
        <w:spacing w:after="80"/>
      </w:pPr>
      <w:r>
        <w:rPr>
          <w:b w:val="0"/>
          <w:i w:val="0"/>
        </w:rPr>
        <w:t>General Securities plc [1989] BTC 480; [1989] STC 785, QBD; [1989] STC 796, CA9, 589R v Inland Revenue Commissioners, ex parte Commerzbank AG [1991] STC 271 [1991]</w:t>
      </w:r>
    </w:p>
    <w:p>
      <w:pPr>
        <w:spacing w:after="80"/>
      </w:pPr>
      <w:r>
        <w:rPr>
          <w:b w:val="0"/>
          <w:i w:val="0"/>
        </w:rPr>
        <w:t>BTC 161; (1991) 68 TC 252 34, 112, 455, 457, 587R v Inland Revenue Commissioners, ex parte Howmet Corp [1994] STC 413, QBD 588RvInlandRevenueCommissioners,exparteMatrixSecuritiesLtd[1994]BTC85;</w:t>
      </w:r>
    </w:p>
    <w:p>
      <w:pPr>
        <w:spacing w:after="80"/>
      </w:pPr>
      <w:r>
        <w:rPr>
          <w:b w:val="0"/>
          <w:i w:val="0"/>
        </w:rPr>
        <w:t>[1994] STC 272, HL 584RvInlandRevenueCommissioners,exparteMFKUnderwritingAgenciesLtd&amp;Ors</w:t>
      </w:r>
    </w:p>
    <w:p>
      <w:pPr>
        <w:spacing w:after="80"/>
      </w:pPr>
      <w:r>
        <w:rPr>
          <w:b w:val="0"/>
          <w:i w:val="0"/>
        </w:rPr>
        <w:t>and related applications [1989] BTC 561; [1989] STC 1873 583R v Inland Revenue Commissioners, ex parte Opman International UK [1985] BTC 606;</w:t>
      </w:r>
    </w:p>
    <w:p>
      <w:pPr>
        <w:spacing w:after="80"/>
      </w:pPr>
      <w:r>
        <w:rPr>
          <w:b w:val="0"/>
          <w:i w:val="0"/>
        </w:rPr>
        <w:t>[1986] STC 18, QBD 588R v IRC, ex p Camacq Corp [1990] 1 All ER 173; [1990] 1 WLR 191, CA 9, 589R v Jones (Margaret) [2006] UKHL 16; [2007] 1 AC 136 5R v Postmaster-General (1976) 1 QBD 658 344R(ontheapplicationofJJManagementLLP)vR&amp;CCommrs[2019]EWHC2006</w:t>
      </w:r>
    </w:p>
    <w:p>
      <w:pPr>
        <w:spacing w:after="80"/>
      </w:pPr>
      <w:r>
        <w:rPr>
          <w:b w:val="0"/>
          <w:i w:val="0"/>
        </w:rPr>
        <w:t>(Admin), [2019] STC 1772, [2019] BTC 21 645, 650R(ontheapplicationofHuitson)vRevenue&amp;CustomsCommissioners[2010]STC</w:t>
      </w:r>
    </w:p>
    <w:p>
      <w:pPr>
        <w:spacing w:after="80"/>
      </w:pPr>
      <w:r>
        <w:rPr>
          <w:b w:val="0"/>
          <w:i w:val="0"/>
        </w:rPr>
        <w:t>715, [2010] BTC 175 [2010] EWHC 97 (Admin) 481</w:t>
      </w:r>
    </w:p>
    <w:p>
      <w:pPr>
        <w:spacing w:after="80"/>
      </w:pPr>
      <w:r>
        <w:rPr>
          <w:b w:val="0"/>
          <w:i w:val="0"/>
        </w:rPr>
        <w:t>709</w:t>
      </w:r>
    </w:p>
    <w:p>
      <w:pPr>
        <w:spacing w:after="80"/>
      </w:pPr>
      <w:r>
        <w:rPr>
          <w:b w:val="0"/>
          <w:i w:val="0"/>
        </w:rPr>
        <w:t>R (theo đơn của City Shoes Wholesale Ltd) v Revenue &amp; Customs Commission-</w:t>
      </w:r>
    </w:p>
    <w:p>
      <w:pPr>
        <w:spacing w:after="80"/>
      </w:pPr>
      <w:r>
        <w:rPr>
          <w:b w:val="0"/>
          <w:i w:val="0"/>
        </w:rPr>
        <w:t>ers [2016] EWHC 107 (Admin), [2016] BTC 5, [2016] STC 2392 QB 589R(ontheapplicationofHuitson)vRevenueandCustoms[2011]BTC4567;[2011]</w:t>
      </w:r>
    </w:p>
    <w:p>
      <w:pPr>
        <w:spacing w:after="80"/>
      </w:pPr>
      <w:r>
        <w:rPr>
          <w:b w:val="0"/>
          <w:i w:val="0"/>
        </w:rPr>
        <w:t>EWCA Civ 893; [2011] STC 1860 48R(ontheapplicationofDerrinBrotherPropertiesLtd)vRevenueandCustoms</w:t>
      </w:r>
    </w:p>
    <w:p>
      <w:pPr>
        <w:spacing w:after="80"/>
      </w:pPr>
      <w:r>
        <w:rPr>
          <w:b w:val="0"/>
          <w:i w:val="0"/>
        </w:rPr>
        <w:t>Commissioners &amp; rs [2016] EWCA Civ 15, [2016] BTC 10, [2016] STC 1081 650R (theo đơn của Shiner và một người khác) v Revenue and Customs Commissioners</w:t>
      </w:r>
    </w:p>
    <w:p>
      <w:pPr>
        <w:spacing w:after="80"/>
      </w:pPr>
      <w:r>
        <w:rPr>
          <w:b w:val="0"/>
          <w:i w:val="0"/>
        </w:rPr>
        <w:t>[2011] BTC 456; [2011] EWCA Civ 892; [2011] STC 1878 48R(ontheapplicationofDerrinBrotherPropertiesLtd)vRevenueandCustoms</w:t>
      </w:r>
    </w:p>
    <w:p>
      <w:pPr>
        <w:spacing w:after="80"/>
      </w:pPr>
      <w:r>
        <w:rPr>
          <w:b w:val="0"/>
          <w:i w:val="0"/>
        </w:rPr>
        <w:t>Commissioners Ors [2014] BTC 21 [2014] EWHC 1152 (Admin), [2014] STC 2238652R (theo đơn của Quark Fishing) v Secretary of State for Foreign and Common-</w:t>
      </w:r>
    </w:p>
    <w:p>
      <w:pPr>
        <w:spacing w:after="80"/>
      </w:pPr>
      <w:r>
        <w:rPr>
          <w:b w:val="0"/>
          <w:i w:val="0"/>
        </w:rPr>
        <w:t>wealth Affairs [2005] UKHL 57; [2006] 1 AC 529; [2006] 3 All ER 111 18RvSecretaryofStateforForeignandCommonwealthAffairs,exparteRees-Mogg</w:t>
      </w:r>
    </w:p>
    <w:p>
      <w:pPr>
        <w:spacing w:after="80"/>
      </w:pPr>
      <w:r>
        <w:rPr>
          <w:b w:val="0"/>
          <w:i w:val="0"/>
        </w:rPr>
        <w:t>[1994] QB 552; [1994] 1 All ER 457 37R (theo đơn của Barclay) v Secretary of State for Justice [2009] UKSC 9; [2010]</w:t>
      </w:r>
    </w:p>
    <w:p>
      <w:pPr>
        <w:spacing w:after="80"/>
      </w:pPr>
      <w:r>
        <w:rPr>
          <w:b w:val="0"/>
          <w:i w:val="0"/>
        </w:rPr>
        <w:t>1 AC 464 18R v Secretary of State for the Home Department, ex p Adan [2001] 2 WLR 143 144–145,</w:t>
      </w:r>
    </w:p>
    <w:p>
      <w:pPr>
        <w:spacing w:after="80"/>
      </w:pPr>
      <w:r>
        <w:rPr>
          <w:b w:val="0"/>
          <w:i w:val="0"/>
        </w:rPr>
        <w:t>558R v Secretary of State for the Home Department, ex parte Brind [1991] 1 AC 696 39R. v Secretary of State for Transport, ex parte Factortame Ltd [1991] AC 603, HL 57, 77,</w:t>
      </w:r>
    </w:p>
    <w:p>
      <w:pPr>
        <w:spacing w:after="80"/>
      </w:pPr>
      <w:r>
        <w:rPr>
          <w:b w:val="0"/>
          <w:i w:val="0"/>
        </w:rPr>
        <w:t>93, 95R v Special Adjudicator ex parte Hoxha [2005] UKHL 19 124, 129R(theo đơn của Miller)vThePrimeMinister;CherryandothersvAdvocate</w:t>
      </w:r>
    </w:p>
    <w:p>
      <w:pPr>
        <w:spacing w:after="80"/>
      </w:pPr>
      <w:r>
        <w:rPr>
          <w:b w:val="0"/>
          <w:i w:val="0"/>
        </w:rPr>
        <w:t>General for Scotland [2020] AC 373, [2019] UKSC 41 21Rae (Thanh tra thuế) v Lazard Investment Co Ltd (1963) 41 TC 1; [1963] 1 WLR 555</w:t>
      </w:r>
    </w:p>
    <w:p>
      <w:pPr>
        <w:spacing w:after="80"/>
      </w:pPr>
      <w:r>
        <w:rPr>
          <w:b w:val="0"/>
          <w:i w:val="0"/>
        </w:rPr>
        <w:t>(HL) 7, 169Ramsay v IRC (1979-1983) 54 TC 10; [1982] AC 300, HL 527RepublicofEcuadorvOccidentalExplorationandProductionCo[2005]EWCACiv</w:t>
      </w:r>
    </w:p>
    <w:p>
      <w:pPr>
        <w:spacing w:after="80"/>
      </w:pPr>
      <w:r>
        <w:rPr>
          <w:b w:val="0"/>
          <w:i w:val="0"/>
        </w:rPr>
        <w:t>1116; [2006] QB 432; [2006] 2 All ER 225 6Resolute Management Services Ltd; Bà Kathleen Ann Haderlein v Revenue &amp; Customs</w:t>
      </w:r>
    </w:p>
    <w:p>
      <w:pPr>
        <w:spacing w:after="80"/>
      </w:pPr>
      <w:r>
        <w:rPr>
          <w:b w:val="0"/>
          <w:i w:val="0"/>
        </w:rPr>
        <w:t>Commissioners [2008] UKSPC SPC 710, [2008] STC (SCD) 1202, (2008) Sp C 710;[2005] UKSPC SPC 493 146, 342, 389Revenue &amp; Customs v Hyrax Resourcing Ltd &amp; Ors [2019] UKFTT 175 (TC) [2019] SFTD</w:t>
      </w:r>
    </w:p>
    <w:p>
      <w:pPr>
        <w:spacing w:after="80"/>
      </w:pPr>
      <w:r>
        <w:rPr>
          <w:b w:val="0"/>
          <w:i w:val="0"/>
        </w:rPr>
        <w:t>536 478, 678Revenue and Customs Commissioners &amp; Anor v Ben Nevis (Holdings) Ltd &amp; Ors [2012]</w:t>
      </w:r>
    </w:p>
    <w:p>
      <w:pPr>
        <w:spacing w:after="80"/>
      </w:pPr>
      <w:r>
        <w:rPr>
          <w:b w:val="0"/>
          <w:i w:val="0"/>
        </w:rPr>
        <w:t>BTC 240 [2012] EWHC 1087 (Ch); [2012] STC 2157 132, 137, 163, 635, 684Revenue and Customs Commissioners v Anson (No 2) [2012] BTC 1552 [2012] UKUT</w:t>
      </w:r>
    </w:p>
    <w:p>
      <w:pPr>
        <w:spacing w:after="80"/>
      </w:pPr>
      <w:r>
        <w:rPr>
          <w:b w:val="0"/>
          <w:i w:val="0"/>
        </w:rPr>
        <w:t>59 (TCC); [2012] STC 1014 173, 441Revenue and Customs Commissioners v Anson [2013] EWCA Civ 63, [2013] STC 557</w:t>
      </w:r>
    </w:p>
    <w:p>
      <w:pPr>
        <w:spacing w:after="80"/>
      </w:pPr>
      <w:r>
        <w:rPr>
          <w:b w:val="0"/>
          <w:i w:val="0"/>
        </w:rPr>
        <w:t>CA, [2013] BTC 81 [2013] EWCA Civ 63. 6, 173, 174Revenue and Customs Commissioners v FCE Bank plc; [2011] UKUT 420 (TCC), [2011]</w:t>
      </w:r>
    </w:p>
    <w:p>
      <w:pPr>
        <w:spacing w:after="80"/>
      </w:pPr>
      <w:r>
        <w:rPr>
          <w:b w:val="0"/>
          <w:i w:val="0"/>
        </w:rPr>
        <w:t>BTC 1885, [2011] STC 2366, [2011] UKUT 420 (TCC) 136, 143, 468RevenueandCustomsCommissionersvFCEBankplc[2012]BTC462[2012]EWCA</w:t>
      </w:r>
    </w:p>
    <w:p>
      <w:pPr>
        <w:spacing w:after="80"/>
      </w:pPr>
      <w:r>
        <w:rPr>
          <w:b w:val="0"/>
          <w:i w:val="0"/>
        </w:rPr>
        <w:t>Civ 1290; [2013] STC 14 136, 468</w:t>
      </w:r>
    </w:p>
    <w:p>
      <w:pPr>
        <w:spacing w:after="80"/>
      </w:pPr>
      <w:r>
        <w:rPr>
          <w:b w:val="0"/>
          <w:i w:val="0"/>
        </w:rPr>
        <w:t>710</w:t>
      </w:r>
    </w:p>
    <w:p>
      <w:pPr>
        <w:spacing w:after="80"/>
      </w:pPr>
      <w:r>
        <w:rPr>
          <w:b w:val="0"/>
          <w:i w:val="0"/>
        </w:rPr>
        <w:t>RevenueandCustomsCommissionersvFowler[2017]UKUT219,[2017]BTC518,</w:t>
      </w:r>
    </w:p>
    <w:p>
      <w:pPr>
        <w:spacing w:after="80"/>
      </w:pPr>
      <w:r>
        <w:rPr>
          <w:b w:val="0"/>
          <w:i w:val="0"/>
        </w:rPr>
        <w:t>[2017] STC 1385 (UT) 135, 148, 253Revenue and Customs Commissioners v Salaried Persons Postal Loans Limited [2006]</w:t>
      </w:r>
    </w:p>
    <w:p>
      <w:pPr>
        <w:spacing w:after="80"/>
      </w:pPr>
      <w:r>
        <w:rPr>
          <w:b w:val="0"/>
          <w:i w:val="0"/>
        </w:rPr>
        <w:t>EWHC 736 (Ch) 221RevenueandCustomsCommissionersvSmallwood&amp;Anor[2010]BTC637;[2010]</w:t>
      </w:r>
    </w:p>
    <w:p>
      <w:pPr>
        <w:spacing w:after="80"/>
      </w:pPr>
      <w:r>
        <w:rPr>
          <w:b w:val="0"/>
          <w:i w:val="0"/>
        </w:rPr>
        <w:t>EWCA Civ 778; [2010] STC 2045 112, 129, 139, 180, 183, 200, 205, 206, 252, 375,485, 526RevenueandCustomsvBenNevis(Holdings)Ltd[2012]STC2157,[2012]BTC240</w:t>
      </w:r>
    </w:p>
    <w:p>
      <w:pPr>
        <w:spacing w:after="80"/>
      </w:pPr>
      <w:r>
        <w:rPr>
          <w:b w:val="0"/>
          <w:i w:val="0"/>
        </w:rPr>
        <w:t>[2012] EWHC 1807 (Ch) 6, 132, 137, 163, 635, 684Revenue and Customs v Development Securities Plc &amp; Ors [2020] EWCA Civ 1705 202RevenueandCustomsvEnglishHoldings[2017]UKUT842(TCC),2018]BTC501,</w:t>
      </w:r>
    </w:p>
    <w:p>
      <w:pPr>
        <w:spacing w:after="80"/>
      </w:pPr>
      <w:r>
        <w:rPr>
          <w:b w:val="0"/>
          <w:i w:val="0"/>
        </w:rPr>
        <w:t>[2018] STC 220 278RevenueandCustomsvJointAdministratorsofLehmanBrothersInternational</w:t>
      </w:r>
    </w:p>
    <w:p>
      <w:pPr>
        <w:spacing w:after="80"/>
      </w:pPr>
      <w:r>
        <w:rPr>
          <w:b w:val="0"/>
          <w:i w:val="0"/>
        </w:rPr>
        <w:t>(Europe) [2019] UKSC 12, 2019] 1 WLR 2173, [2019] STC 661, [2019] BTC 9 314Riverstone Meat Co. Pty. Ltd v Lancashire Shipping Co. Ltd [1961] AC 807, HL 109Robinson v Scott Bader &amp; Co. Ltd (1984) 54 TC 757 [1981] STC 436 351Routier&amp;AnorvHMRevenueandCustoms[2019]STC2182,[2019]3WLR757,</w:t>
      </w:r>
    </w:p>
    <w:p>
      <w:pPr>
        <w:spacing w:after="80"/>
      </w:pPr>
      <w:r>
        <w:rPr>
          <w:b w:val="0"/>
          <w:i w:val="0"/>
        </w:rPr>
        <w:t>[2019] UKSC 43 19Royal Bank of Canada v Revenue &amp; Customs [2020] UKFTT 267 (TC), [2020] TC 07751</w:t>
      </w:r>
    </w:p>
    <w:p>
      <w:pPr>
        <w:spacing w:after="80"/>
      </w:pPr>
      <w:r>
        <w:rPr>
          <w:b w:val="0"/>
          <w:i w:val="0"/>
        </w:rPr>
        <w:t>150, 303Ryall v du Bois Co. Ltd (1933) 18 TC 431 169Salomon v Customs and Excise Commissioners [1967] 2 QB 116; [1966] 3 All ER 871,</w:t>
      </w:r>
    </w:p>
    <w:p>
      <w:pPr>
        <w:spacing w:after="80"/>
      </w:pPr>
      <w:r>
        <w:rPr>
          <w:b w:val="0"/>
          <w:i w:val="0"/>
        </w:rPr>
        <w:t>CA 36, 37, 38Secretary of State for The Home Department, Ex Parte Adan R v Secretary of State for</w:t>
      </w:r>
    </w:p>
    <w:p>
      <w:pPr>
        <w:spacing w:after="80"/>
      </w:pPr>
      <w:r>
        <w:rPr>
          <w:b w:val="0"/>
          <w:i w:val="0"/>
        </w:rPr>
        <w:t>The Home Department Ex Parte Aitseguer, [2000] UKHL 67; [2001] 2 WLR 143;[2001] 1 All ER 593 109Sema Group Pension Scheme Trustees v Inland Revenue Commissioners [2002] EWCA</w:t>
      </w:r>
    </w:p>
    <w:p>
      <w:pPr>
        <w:spacing w:after="80"/>
      </w:pPr>
      <w:r>
        <w:rPr>
          <w:b w:val="0"/>
          <w:i w:val="0"/>
        </w:rPr>
        <w:t>Civ 1857, [2003] STC 95, [2003] BTC 106 480, 507, 514SempraMetalsLtd(formerlyMetallgesellschaftLtd)vIRC&amp;Anor[2007]BTC509;</w:t>
      </w:r>
    </w:p>
    <w:p>
      <w:pPr>
        <w:spacing w:after="80"/>
      </w:pPr>
      <w:r>
        <w:rPr>
          <w:b w:val="0"/>
          <w:i w:val="0"/>
        </w:rPr>
        <w:t>[2007] UKHL 34 97Set &amp; Ors v Robinson (HMIT) [2003] UKSC SPC00373; (2003) Sp C 373Shepherd v R &amp; C Commrs (2005) Sp C 484 653Sheppardandanother(TrusteesoftheWoodlandTrust)vInlandRevenueCommis-</w:t>
      </w:r>
    </w:p>
    <w:p>
      <w:pPr>
        <w:spacing w:after="80"/>
      </w:pPr>
      <w:r>
        <w:rPr>
          <w:b w:val="0"/>
          <w:i w:val="0"/>
        </w:rPr>
        <w:t>sioners (No. 2) [1993] BTC 113; [1993] STC 240 566Sinnamon v Revenue and Customs [2016] UKFTT 168 (TC), [2016] TC 04958 25Smallwood&amp;Anor(trusteesoftheTrevorSmallwoodSettlement)vRevenueand</w:t>
      </w:r>
    </w:p>
    <w:p>
      <w:pPr>
        <w:spacing w:after="80"/>
      </w:pPr>
      <w:r>
        <w:rPr>
          <w:b w:val="0"/>
          <w:i w:val="0"/>
        </w:rPr>
        <w:t>CustomsCommissioners[2009]EWHC777(Ch)[2009]STC1222;[2009]BTC135 118, 120, 179,180, 183, 184, 251, 485Smallwood v Revenue and Customs Commissioners [2008] UKSPC SPC669; (2008) Sp</w:t>
      </w:r>
    </w:p>
    <w:p>
      <w:pPr>
        <w:spacing w:after="80"/>
      </w:pPr>
      <w:r>
        <w:rPr>
          <w:b w:val="0"/>
          <w:i w:val="0"/>
        </w:rPr>
        <w:t>C 669; [2008] STC (SCD) 629 110, 112, 118, 130, 134, 150, 179, 182, 186, 188, 199,205, 251, 252, 570Smallwood v Revenue &amp; Customs [2010] BTC 637 [2010] STC 2045 [2010] EWCA Civ</w:t>
      </w:r>
    </w:p>
    <w:p>
      <w:pPr>
        <w:spacing w:after="80"/>
      </w:pPr>
      <w:r>
        <w:rPr>
          <w:b w:val="0"/>
          <w:i w:val="0"/>
        </w:rPr>
        <w:t>778 139, 179, 251Snell v R &amp; C Commrs [2008] UKSPC SPC699 [2008] STC (SCD), 1094 (2008) Sp C 699</w:t>
      </w:r>
    </w:p>
    <w:p>
      <w:pPr>
        <w:spacing w:after="80"/>
      </w:pPr>
      <w:r>
        <w:rPr>
          <w:b w:val="0"/>
          <w:i w:val="0"/>
        </w:rPr>
        <w:t>506</w:t>
      </w:r>
    </w:p>
    <w:p>
      <w:pPr>
        <w:spacing w:after="80"/>
      </w:pPr>
      <w:r>
        <w:rPr>
          <w:b w:val="0"/>
          <w:i w:val="0"/>
        </w:rPr>
        <w:t>711</w:t>
      </w:r>
    </w:p>
    <w:p>
      <w:pPr>
        <w:spacing w:after="80"/>
      </w:pPr>
      <w:r>
        <w:rPr>
          <w:b w:val="0"/>
          <w:i w:val="0"/>
        </w:rPr>
        <w:t>Sportsman v Inland Revenue Commrs (1998) Sp C 174; [1998] STC SCD 289 115, 126Squirrell v Revenue and Customs [2005] UKSPC SPC493 [2005] Sp C 493; [2005] STC</w:t>
      </w:r>
    </w:p>
    <w:p>
      <w:pPr>
        <w:spacing w:after="80"/>
      </w:pPr>
      <w:r>
        <w:rPr>
          <w:b w:val="0"/>
          <w:i w:val="0"/>
        </w:rPr>
        <w:t>(SCD) 717 146, 190, 342, 349Stag Line Limited v Foscolo, Mango and Co. [1932] AC 328, HL 108, 149State of Norway’s Applications, In Re (Nos 1 and 2) [1989] 1 All ER 745; [1989] 2 WLR</w:t>
      </w:r>
    </w:p>
    <w:p>
      <w:pPr>
        <w:spacing w:after="80"/>
      </w:pPr>
      <w:r>
        <w:rPr>
          <w:b w:val="0"/>
          <w:i w:val="0"/>
        </w:rPr>
        <w:t>458; [1990] 1 AC 723 636Steele v European Vinyl Corp (Holdings) BV [1995] BTC 32; [1995] STC 31, (ChD) 118,</w:t>
      </w:r>
    </w:p>
    <w:p>
      <w:pPr>
        <w:spacing w:after="80"/>
      </w:pPr>
      <w:r>
        <w:rPr>
          <w:b w:val="0"/>
          <w:i w:val="0"/>
        </w:rPr>
        <w:t>517, 523Steele v EVC International NV (formerly European Vinyls Corp (Holdings) BV) [1996]</w:t>
      </w:r>
    </w:p>
    <w:p>
      <w:pPr>
        <w:spacing w:after="80"/>
      </w:pPr>
      <w:r>
        <w:rPr>
          <w:b w:val="0"/>
          <w:i w:val="0"/>
        </w:rPr>
        <w:t>BTC 425; [1996] STC 785, (CA) 107, 117, 118, 517, 523Stevens, Garnham &amp; Payne v The Inland Revenue Commissioners [2004] UKSC SPC411</w:t>
      </w:r>
    </w:p>
    <w:p>
      <w:pPr>
        <w:spacing w:after="80"/>
      </w:pPr>
      <w:r>
        <w:rPr>
          <w:b w:val="0"/>
          <w:i w:val="0"/>
        </w:rPr>
        <w:t>(2004) Sp C 411 112, 119, 122, 126, 145Strathalmond v Inland Revenue Commissioners (1972) 48 TC 537 115, 121, 195Sulley v Attorney-General (1860) 2 TC 149 229Sun Life Assurance Co. of Canada v Pearson [1986] BTC 282; (1986) 59 TC 250; [1986]</w:t>
      </w:r>
    </w:p>
    <w:p>
      <w:pPr>
        <w:spacing w:after="80"/>
      </w:pPr>
      <w:r>
        <w:rPr>
          <w:b w:val="0"/>
          <w:i w:val="0"/>
        </w:rPr>
        <w:t>STC 335 (CA) 117, 133, 271, 284Sun Life Assurance Company of Canada v Pearson [1984] BTC 223; (1984) 59 TC 250</w:t>
      </w:r>
    </w:p>
    <w:p>
      <w:pPr>
        <w:spacing w:after="80"/>
      </w:pPr>
      <w:r>
        <w:rPr>
          <w:b w:val="0"/>
          <w:i w:val="0"/>
        </w:rPr>
        <w:t>[1984] STC 461(ChD) 116, 132, 138, 139, 460Swedish Central Railway Co. Ltd v Thompson (1925) 9 TC 342 [1925] AC 495, HL 195,</w:t>
      </w:r>
    </w:p>
    <w:p>
      <w:pPr>
        <w:spacing w:after="80"/>
      </w:pPr>
      <w:r>
        <w:rPr>
          <w:b w:val="0"/>
          <w:i w:val="0"/>
        </w:rPr>
        <w:t>204Swift v Revenue &amp; Customs [2010] SFTD 553 [2010] TC 00399 [2010] UKFTT 88 (TC)</w:t>
      </w:r>
    </w:p>
    <w:p>
      <w:pPr>
        <w:spacing w:after="80"/>
      </w:pPr>
      <w:r>
        <w:rPr>
          <w:b w:val="0"/>
          <w:i w:val="0"/>
        </w:rPr>
        <w:t>172, 441Swiss Bank Corporation v Lloyds Bank Limited [1990] 2 All ER 419 497Taylor (HM Inspector of Taxes) v MEPC Holdings Ltd [2003] UKHL 70; [2004] BTC 20;</w:t>
      </w:r>
    </w:p>
    <w:p>
      <w:pPr>
        <w:spacing w:after="80"/>
      </w:pPr>
      <w:r>
        <w:rPr>
          <w:b w:val="0"/>
          <w:i w:val="0"/>
        </w:rPr>
        <w:t>[2004] STC 123 33Test Claimants in the ACT Group Litigation (Classes 4 and 2) v Revenue and Customs</w:t>
      </w:r>
    </w:p>
    <w:p>
      <w:pPr>
        <w:spacing w:after="80"/>
      </w:pPr>
      <w:r>
        <w:rPr>
          <w:b w:val="0"/>
          <w:i w:val="0"/>
        </w:rPr>
        <w:t>Commissioners [2010] BTC 359; [2010] EWHC 359 (Ch) 147TestClaimantsintheFIIGroupLitigationvRevenueandCustomsCommissioners</w:t>
      </w:r>
    </w:p>
    <w:p>
      <w:pPr>
        <w:spacing w:after="80"/>
      </w:pPr>
      <w:r>
        <w:rPr>
          <w:b w:val="0"/>
          <w:i w:val="0"/>
        </w:rPr>
        <w:t>[2009] STC 254, [2009] BTC 443 [2008] EWHC 2893 (Ch) 435Test Claimants in the Thin Cap Group Litigation v Revenue and Customs Commission-</w:t>
      </w:r>
    </w:p>
    <w:p>
      <w:pPr>
        <w:spacing w:after="80"/>
      </w:pPr>
      <w:r>
        <w:rPr>
          <w:b w:val="0"/>
          <w:i w:val="0"/>
        </w:rPr>
        <w:t>ers [2010] STC 301, [2009] BTC 754; [2009] EWHC 2908 (Ch) 467, 586Training Consultant v Revenue &amp; Customs (2007) Sp C 584, [2007] UKSPC 584 170Travel Document Service &amp; Ladbroke Group International v Revenue &amp; Customs [2018]</w:t>
      </w:r>
    </w:p>
    <w:p>
      <w:pPr>
        <w:spacing w:after="80"/>
      </w:pPr>
      <w:r>
        <w:rPr>
          <w:b w:val="0"/>
          <w:i w:val="0"/>
        </w:rPr>
        <w:t>EWCA Civ 549, [2018] STC 723, [2018] BTC 13 515Trendtex Trading Corp Ltd v Central Bank of Nigeria [1977] 1 QB 529, CA 110TrusteesofWensleydale’sSettlementvInlandRevenueCommissioners(1996)SpC</w:t>
      </w:r>
    </w:p>
    <w:p>
      <w:pPr>
        <w:spacing w:after="80"/>
      </w:pPr>
      <w:r>
        <w:rPr>
          <w:b w:val="0"/>
          <w:i w:val="0"/>
        </w:rPr>
        <w:t>73; [1966] STC SCD 241 140, 197, 203, 205UBS AG v Revenue &amp; Customs Commissioners [2005] UKSPC 480; (2005) Sp C 480 39,</w:t>
      </w:r>
    </w:p>
    <w:p>
      <w:pPr>
        <w:spacing w:after="80"/>
      </w:pPr>
      <w:r>
        <w:rPr>
          <w:b w:val="0"/>
          <w:i w:val="0"/>
        </w:rPr>
        <w:t>119, 137, 461, 463UBSAGvRevenueandCustomsCommissioners[2006]STC716,[2006]BTC232;</w:t>
      </w:r>
    </w:p>
    <w:p>
      <w:pPr>
        <w:spacing w:after="80"/>
      </w:pPr>
      <w:r>
        <w:rPr>
          <w:b w:val="0"/>
          <w:i w:val="0"/>
        </w:rPr>
        <w:t>[2006] EWHC 117 112, 460, 461UBSAGvRevenueandCustomsCommissioners[2007]BTC285[2007]EWCACiv</w:t>
      </w:r>
    </w:p>
    <w:p>
      <w:pPr>
        <w:spacing w:after="80"/>
      </w:pPr>
      <w:r>
        <w:rPr>
          <w:b w:val="0"/>
          <w:i w:val="0"/>
        </w:rPr>
        <w:t>119; [2007] STC 588 31, 146, 150, 461Uddin v Revenue &amp; Customs [2020] UKFTT 441 (TC) [2020] TC 07918 568</w:t>
      </w:r>
    </w:p>
    <w:p>
      <w:pPr>
        <w:spacing w:after="80"/>
      </w:pPr>
      <w:r>
        <w:rPr>
          <w:b w:val="0"/>
          <w:i w:val="0"/>
        </w:rPr>
        <w:t>712</w:t>
      </w:r>
    </w:p>
    <w:p>
      <w:pPr>
        <w:spacing w:after="80"/>
      </w:pPr>
      <w:r>
        <w:rPr>
          <w:b w:val="0"/>
          <w:i w:val="0"/>
        </w:rPr>
        <w:t>UnionCastleMailSteamshipCompanyLtdvRevenueandCustoms[2016]UKFTT</w:t>
      </w:r>
    </w:p>
    <w:p>
      <w:pPr>
        <w:spacing w:after="80"/>
      </w:pPr>
      <w:r>
        <w:rPr>
          <w:b w:val="0"/>
          <w:i w:val="0"/>
        </w:rPr>
        <w:t>0526 (TC), [2016] TC 05275 297UnionTexasPetroleumCorporationvCritchley(HMInspectorofTaxes)[1988]BTC</w:t>
      </w:r>
    </w:p>
    <w:p>
      <w:pPr>
        <w:spacing w:after="80"/>
      </w:pPr>
      <w:r>
        <w:rPr>
          <w:b w:val="0"/>
          <w:i w:val="0"/>
        </w:rPr>
        <w:t>405; [1988] STC 691, Ch. D; [1990] BTC 253; [1990] STC 305, CA 35, 41, 42, 48,108, 122Von Hellfeld v Rechnitzer &amp; Mayer Freres &amp; Co [1914] 1 Ch. 748, CA 169Vrang v Revenue and Customs [2017] EWHC 1055 (Admin), [2017] BTC 12, [2017] STC</w:t>
      </w:r>
    </w:p>
    <w:p>
      <w:pPr>
        <w:spacing w:after="80"/>
      </w:pPr>
      <w:r>
        <w:rPr>
          <w:b w:val="0"/>
          <w:i w:val="0"/>
        </w:rPr>
        <w:t>1192 29, 634WeiservRevenueandCustomsCommissioners[2012]TC02178;[2012]UKFTT501</w:t>
      </w:r>
    </w:p>
    <w:p>
      <w:pPr>
        <w:spacing w:after="80"/>
      </w:pPr>
      <w:r>
        <w:rPr>
          <w:b w:val="0"/>
          <w:i w:val="0"/>
        </w:rPr>
        <w:t>(TC); [2012] SFTD 1381 178, 500Westminster Bank Executor and Trust Company (Channel Islands) Limited v National</w:t>
      </w:r>
    </w:p>
    <w:p>
      <w:pPr>
        <w:spacing w:after="80"/>
      </w:pPr>
      <w:r>
        <w:rPr>
          <w:b w:val="0"/>
          <w:i w:val="0"/>
        </w:rPr>
        <w:t>Bank of Greece S.A [1970] 1 QB 251 319WestmorelandInvestmentsLtdvMacNiven(HMIT)[2001]STC237,[2001]BTC44</w:t>
      </w:r>
    </w:p>
    <w:p>
      <w:pPr>
        <w:spacing w:after="80"/>
      </w:pPr>
      <w:r>
        <w:rPr>
          <w:b w:val="0"/>
          <w:i w:val="0"/>
        </w:rPr>
        <w:t>[2001] UKHL 6 478White &amp; Anor v Carline (HMIT) (1995) Sp C 33; [1995] STC SCD 186. 233Whitney v Inland Revenue Commissioners (1924-26) 10 TC 88; [1926] AC 37 108, 563WilliamsandHumbertLimitedvW&amp;HTrademarks(Jersey)Limited[1986]AC368</w:t>
      </w:r>
    </w:p>
    <w:p>
      <w:pPr>
        <w:spacing w:after="80"/>
      </w:pPr>
      <w:r>
        <w:rPr>
          <w:b w:val="0"/>
          <w:i w:val="0"/>
        </w:rPr>
        <w:t>639Willson v Hooker [1995] BTC 461; [1995] STC 1142, Ch. D 233WoodvHolden[2004]UKSCSPC422(2004)SpC422;[2005]STC789,[2005]BTC</w:t>
      </w:r>
    </w:p>
    <w:p>
      <w:pPr>
        <w:spacing w:after="80"/>
      </w:pPr>
      <w:r>
        <w:rPr>
          <w:b w:val="0"/>
          <w:i w:val="0"/>
        </w:rPr>
        <w:t>253; [2005] EWHC 547 (Ch); [2006] STC 443 [2006] BTC 208; [2006] EWCA Civ26. 197, 199, 200, 206Wood Preservation Ltd v Prior (1966-1969) 45 TC 112; [1968] 2 All ER 849 496, 497Woodend(KVCeylon)RubberAntiquesCoLimitedvCommissionerforInland</w:t>
      </w:r>
    </w:p>
    <w:p>
      <w:pPr>
        <w:spacing w:after="80"/>
      </w:pPr>
      <w:r>
        <w:rPr>
          <w:b w:val="0"/>
          <w:i w:val="0"/>
        </w:rPr>
        <w:t>Reveneue [1971] AC 321, PC 47Woodend Rubber v Commissioner for Inland Revenue [1971] AC 321 (PC) 459W.T.RamsayLtdvCommissionersofInlandRevenue(1981)54TC101,[1981]STC</w:t>
      </w:r>
    </w:p>
    <w:p>
      <w:pPr>
        <w:spacing w:after="80"/>
      </w:pPr>
      <w:r>
        <w:rPr>
          <w:b w:val="0"/>
          <w:i w:val="0"/>
        </w:rPr>
        <w:t>174 HL; [1982] AC 300, HL 477YatesvGCAInternationalLimited[1991]BTC107;[1991]STC157(ChD)156,271,</w:t>
      </w:r>
    </w:p>
    <w:p>
      <w:pPr>
        <w:spacing w:after="80"/>
      </w:pPr>
      <w:r>
        <w:rPr>
          <w:b w:val="0"/>
          <w:i w:val="0"/>
        </w:rPr>
        <w:t>444Yates v Revenue &amp; Customs Commissioners [2012] TC 02220 [2012] UKFTT 568 (TC)</w:t>
      </w:r>
    </w:p>
    <w:p>
      <w:pPr>
        <w:spacing w:after="80"/>
      </w:pPr>
      <w:r>
        <w:rPr>
          <w:b w:val="0"/>
          <w:i w:val="0"/>
        </w:rPr>
        <w:t>128, 191</w:t>
      </w:r>
    </w:p>
    <w:p>
      <w:pPr>
        <w:spacing w:after="80"/>
      </w:pPr>
      <w:r>
        <w:rPr>
          <w:b/>
          <w:i w:val="0"/>
        </w:rPr>
        <w:t>Hoa Kỳ</w:t>
      </w:r>
    </w:p>
    <w:p>
      <w:pPr>
        <w:spacing w:after="80"/>
      </w:pPr>
      <w:r>
        <w:rPr>
          <w:b w:val="0"/>
          <w:i w:val="0"/>
        </w:rPr>
        <w:t>AdamsChallenge(UK)LimitedvCommissionerofInternalRevenue,154T.C.No.3,</w:t>
      </w:r>
    </w:p>
    <w:p>
      <w:pPr>
        <w:spacing w:after="80"/>
      </w:pPr>
      <w:r>
        <w:rPr>
          <w:b w:val="0"/>
          <w:i w:val="0"/>
        </w:rPr>
        <w:t>Docket 4816-15, (8 January 2020) 266, 291, 393AmericanTrustCompanyvCollectorofInternalRevenueandUnitedStatesof</w:t>
      </w:r>
    </w:p>
    <w:p>
      <w:pPr>
        <w:spacing w:after="80"/>
      </w:pPr>
      <w:r>
        <w:rPr>
          <w:b w:val="0"/>
          <w:i w:val="0"/>
        </w:rPr>
        <w:t>America, 247 F.2d 149, (9th Cir.1957), 8 July 1957 209Great West Life Assurance Company v United States A.F.T.R. 2nd 82-1316 141John P. McManus v Commissioner of Internal Revenue, Court of Federal Claims, No.</w:t>
      </w:r>
    </w:p>
    <w:p>
      <w:pPr>
        <w:spacing w:after="80"/>
      </w:pPr>
      <w:r>
        <w:rPr>
          <w:b w:val="0"/>
          <w:i w:val="0"/>
        </w:rPr>
        <w:t>15-946T, (3 March 2017) 156, 179, 390LehmanBrothersHoldingsIncvUnitedStates2015-1USTC¶50,323(DCNY,</w:t>
      </w:r>
    </w:p>
    <w:p>
      <w:pPr>
        <w:spacing w:after="80"/>
      </w:pPr>
      <w:r>
        <w:rPr>
          <w:b w:val="0"/>
          <w:i w:val="0"/>
        </w:rPr>
        <w:t>05/08/2015) 119, 446</w:t>
      </w:r>
    </w:p>
    <w:p>
      <w:pPr>
        <w:spacing w:after="80"/>
      </w:pPr>
      <w:r>
        <w:rPr>
          <w:b w:val="0"/>
          <w:i w:val="0"/>
        </w:rPr>
        <w:t>713</w:t>
      </w:r>
    </w:p>
    <w:p>
      <w:pPr>
        <w:spacing w:after="80"/>
      </w:pPr>
      <w:r>
        <w:rPr>
          <w:b w:val="0"/>
          <w:i w:val="0"/>
        </w:rPr>
        <w:t>NationalWestminsterBankplcvUnitedStates99-2USTC¶50,654;44Fed.Cl.120</w:t>
      </w:r>
    </w:p>
    <w:p>
      <w:pPr>
        <w:spacing w:after="80"/>
      </w:pPr>
      <w:r>
        <w:rPr>
          <w:b w:val="0"/>
          <w:i w:val="0"/>
        </w:rPr>
        <w:t>(1999) 265NationalWestminsterBankplcvUnitedStatesofAmerica,USCourtofAppeals,</w:t>
      </w:r>
    </w:p>
    <w:p>
      <w:pPr>
        <w:spacing w:after="80"/>
      </w:pPr>
      <w:r>
        <w:rPr>
          <w:b w:val="0"/>
          <w:i w:val="0"/>
        </w:rPr>
        <w:t>Federal Circuit; 2007-5028, 15 January 2008, 512 F3d 1347 263, 282Retief Goosen v Commissioner of Internal Revenue, 136 TC No. 27 (United States Tax</w:t>
      </w:r>
    </w:p>
    <w:p>
      <w:pPr>
        <w:spacing w:after="80"/>
      </w:pPr>
      <w:r>
        <w:rPr>
          <w:b w:val="0"/>
          <w:i w:val="0"/>
        </w:rPr>
        <w:t>Court) (9 June 2011) 292, 395UnionbancalCorporation,F.k.a.UnionBank,SuccessorinInteresttoStandardChar-</w:t>
      </w:r>
    </w:p>
    <w:p>
      <w:pPr>
        <w:spacing w:after="80"/>
      </w:pPr>
      <w:r>
        <w:rPr>
          <w:b w:val="0"/>
          <w:i w:val="0"/>
        </w:rPr>
        <w:t>teredHoldings,Inc.andIncludableSubsidiariesvCommissionerofInternalRevenue,UnitedStatesCourtofAppeals,9thCircuit(18September2002)305F.3d 976 459Xilinx, Inc. v CIR, 567 F.3d 482 (9th Cir.2009) 209</w:t>
      </w:r>
    </w:p>
    <w:p>
      <w:pPr>
        <w:spacing w:after="80"/>
      </w:pPr>
      <w:r>
        <w:rPr>
          <w:b/>
          <w:i w:val="0"/>
        </w:rPr>
        <w:t>Tòa án Công lý Quốc tế</w:t>
      </w:r>
    </w:p>
    <w:p>
      <w:pPr>
        <w:spacing w:after="80"/>
      </w:pPr>
      <w:r>
        <w:rPr>
          <w:b w:val="0"/>
          <w:i w:val="0"/>
        </w:rPr>
        <w:t>ApplicationoftheConventiononthePreventionandPunishmentoftheCrimeof</w:t>
      </w:r>
    </w:p>
    <w:p>
      <w:pPr>
        <w:spacing w:after="80"/>
      </w:pPr>
      <w:r>
        <w:rPr>
          <w:b w:val="0"/>
          <w:i w:val="0"/>
        </w:rPr>
        <w:t>Genocide (Bosnia and Herzegovina v Serbia and Montenegro), ICJ Reports 20075Barcelona Traction, Light and Power Co Ltd (Belgium v Spain) ICJ Reports 1970, 3 4Corfu Channel case (United Kingdom v Albania) ICJ Reports 1949, 4 4Fisheriescase(UnitedKingdomvNorway),Judgmentof18December,1951:ICJ</w:t>
      </w:r>
    </w:p>
    <w:p>
      <w:pPr>
        <w:spacing w:after="80"/>
      </w:pPr>
      <w:r>
        <w:rPr>
          <w:b w:val="0"/>
          <w:i w:val="0"/>
        </w:rPr>
        <w:t>Reports 1951, p. 116 3Fisheries Jurisdiction (United Kingdom v Iceland), ICJ Reports 1973, 3 14FisheriesJurisdiction(UnitedKingdomofGreatBritainandNorthernIrelandv</w:t>
      </w:r>
    </w:p>
    <w:p>
      <w:pPr>
        <w:spacing w:after="80"/>
      </w:pPr>
      <w:r>
        <w:rPr>
          <w:b w:val="0"/>
          <w:i w:val="0"/>
        </w:rPr>
        <w:t>Iceland), ICJ Reports 1974, 3 3Gabikovo-Nagymaros Project (Hungary v Slovakia), ICJ Reports 1997, 7 14Kasikili/Sedudu Island (Botswana v Namibia), ICJ Reports 1999, 1045 14LegalConsequencesforStatesoftheContinuedPresenceofSouthAfricanNamibia</w:t>
      </w:r>
    </w:p>
    <w:p>
      <w:pPr>
        <w:spacing w:after="80"/>
      </w:pPr>
      <w:r>
        <w:rPr>
          <w:b w:val="0"/>
          <w:i w:val="0"/>
        </w:rPr>
        <w:t>(SouthWestAfrica)notwithstandingSecurityCouncilResolution276(1970),Advisory Opinion, ICJ Reports 1971, 359 14, 44Legality of the Use by a State of Nuclear Weapons in Armed Conflict (Request by WHO)</w:t>
      </w:r>
    </w:p>
    <w:p>
      <w:pPr>
        <w:spacing w:after="80"/>
      </w:pPr>
      <w:r>
        <w:rPr>
          <w:b w:val="0"/>
          <w:i w:val="0"/>
        </w:rPr>
        <w:t>Advisory Opinion of 8 July 1996, ICJ. Reports 1996, 66 10Mavrommatis Palestine Concessions (1924) PCIJ Ser. A, No. 2, 34 5NorthSeaContinentalShelfCases(FederalRepublicofGermany/Denmark;Federal</w:t>
      </w:r>
    </w:p>
    <w:p>
      <w:pPr>
        <w:spacing w:after="80"/>
      </w:pPr>
      <w:r>
        <w:rPr>
          <w:b w:val="0"/>
          <w:i w:val="0"/>
        </w:rPr>
        <w:t>Cộng hòa Liên bang Đức/Hà Lan) ICJ Reports 1969, 3 4 Quyền đi qua lãnh thổ Ấn Độ, Phản đối sơ bộ, Bản án, ICJ Reports</w:t>
      </w:r>
    </w:p>
    <w:p>
      <w:pPr>
        <w:spacing w:after="80"/>
      </w:pPr>
      <w:r>
        <w:rPr>
          <w:b w:val="0"/>
          <w:i w:val="0"/>
        </w:rPr>
        <w:t>1957, tr. 142 3</w:t>
      </w:r>
    </w:p>
    <w:p>
      <w:pPr>
        <w:spacing w:after="80"/>
      </w:pPr>
      <w:r>
        <w:rPr>
          <w:b w:val="0"/>
          <w:i w:val="0"/>
        </w:rPr>
        <w:t>714</w:t>
      </w:r>
    </w:p>
    <w:p>
      <w:pPr>
        <w:spacing w:before="240" w:after="80"/>
      </w:pPr>
      <w:r>
        <w:rPr>
          <w:b/>
          <w:sz w:val="32"/>
        </w:rPr>
        <w:t>Bảng Văn bản Pháp luật</w:t>
      </w:r>
    </w:p>
    <w:p>
      <w:pPr>
        <w:spacing w:after="80"/>
      </w:pPr>
      <w:r>
        <w:rPr>
          <w:b/>
          <w:i w:val="0"/>
        </w:rPr>
        <w:t>Barbados</w:t>
      </w:r>
    </w:p>
    <w:p>
      <w:pPr>
        <w:spacing w:after="80"/>
      </w:pPr>
      <w:r>
        <w:rPr>
          <w:b w:val="0"/>
          <w:i w:val="0"/>
        </w:rPr>
        <w:t>hệ thống chung về thuế giá trị gia tăng đ. 2 đ. 13 Chỉ thị Hội đồng 2009/133/EC ngày 19</w:t>
      </w:r>
    </w:p>
    <w:p>
      <w:pPr>
        <w:spacing w:after="80"/>
      </w:pPr>
      <w:r>
        <w:rPr>
          <w:b w:val="0"/>
          <w:i w:val="0"/>
        </w:rPr>
        <w:t>Công ty Kinh doanh Quốc tế</w:t>
      </w:r>
    </w:p>
    <w:p>
      <w:pPr>
        <w:spacing w:after="80"/>
      </w:pPr>
      <w:r>
        <w:rPr>
          <w:b w:val="0"/>
          <w:i w:val="0"/>
        </w:rPr>
        <w:t>(Miễn thuế Thu nhập) Đạo luật 1965 (Barbados) nhìn chung, 185</w:t>
      </w:r>
    </w:p>
    <w:p>
      <w:pPr>
        <w:spacing w:after="80"/>
      </w:pPr>
      <w:r>
        <w:rPr>
          <w:b w:val="0"/>
          <w:i w:val="0"/>
        </w:rPr>
        <w:t>tháng 10 năm 2009 về hệ thống chung về thuế áp dụng cho việc sáp nhập, chia tách, chia tách một phần, chuyển nhượng tài sản và trao đổi cổ phần liên quan đến các công ty của các Quốc gia Thành viên khác nhau và việc chuyển trụ sở đăng ký của một SE hoặc SCE giữa các Quốc gia Thành viên đ. 2, 415 đ. 2(a)(i), 416 đ. 2(a)(ii), 417 đ. 2(a)(iii), 417 đ. 2(b), 417 đ. 2(d), 417 đ. 2(e), 417 đ. 4(1), 417 đ. 4(2)(b), 417 đ. 4(4), 418 đ. 4(5), 418 đ. 6, 418 đ. 7, 418 đ. 8, 418 đ. 10, 418 đ. 13, 105 đ. 15, 422 đ. 15(1)(a), 421–423, 426</w:t>
      </w:r>
    </w:p>
    <w:p>
      <w:pPr>
        <w:spacing w:after="80"/>
      </w:pPr>
      <w:r>
        <w:rPr>
          <w:b/>
          <w:i w:val="0"/>
        </w:rPr>
        <w:t>Bỉ</w:t>
      </w:r>
    </w:p>
    <w:p>
      <w:pPr>
        <w:spacing w:after="80"/>
      </w:pPr>
      <w:r>
        <w:rPr>
          <w:b w:val="0"/>
          <w:i w:val="0"/>
        </w:rPr>
        <w:t>Bộ luật Dân sự</w:t>
      </w:r>
    </w:p>
    <w:p>
      <w:pPr>
        <w:spacing w:after="80"/>
      </w:pPr>
      <w:r>
        <w:rPr>
          <w:b w:val="0"/>
          <w:i w:val="0"/>
        </w:rPr>
        <w:t>đ. 578, 406</w:t>
      </w:r>
    </w:p>
    <w:p>
      <w:pPr>
        <w:spacing w:after="80"/>
      </w:pPr>
      <w:r>
        <w:rPr>
          <w:b/>
          <w:i w:val="0"/>
        </w:rPr>
        <w:t>Liên minh Châu Âu</w:t>
      </w:r>
    </w:p>
    <w:p>
      <w:pPr>
        <w:spacing w:after="80"/>
      </w:pPr>
      <w:r>
        <w:rPr>
          <w:b w:val="0"/>
          <w:i w:val="0"/>
        </w:rPr>
        <w:t>Hiến chương về các Quyền Cơ bản của</w:t>
      </w:r>
    </w:p>
    <w:p>
      <w:pPr>
        <w:spacing w:after="80"/>
      </w:pPr>
      <w:r>
        <w:rPr>
          <w:b w:val="0"/>
          <w:i w:val="0"/>
        </w:rPr>
        <w:t>Liên minh Châu Âu đ. 7, 671 đ. 8, 671 đ. 41, 671 đ. 47, 671 đ. 52(1), 671 Chỉ thị Hội đồng 2003/48/EC về</w:t>
      </w:r>
    </w:p>
    <w:p>
      <w:pPr>
        <w:spacing w:after="80"/>
      </w:pPr>
      <w:r>
        <w:rPr>
          <w:b w:val="0"/>
          <w:i w:val="0"/>
        </w:rPr>
        <w:t>Thuế Thu nhập Tiết kiệm dưới Hình thức Thanh toán Lãi suất, 98, 99 Chỉ thị Hội đồng 2003/49/EC ngày 3 tháng 6</w:t>
      </w:r>
    </w:p>
    <w:p>
      <w:pPr>
        <w:spacing w:after="80"/>
      </w:pPr>
      <w:r>
        <w:rPr>
          <w:b w:val="0"/>
          <w:i w:val="0"/>
        </w:rPr>
        <w:t>2003 về hệ thống thuế chung áp dụng cho các khoản thanh toán lãi và tiền bản quyền được thực hiện giữa các công ty liên kết của các Quốc gia Thành viên khác nhau Điều 11, 411 Chỉ thị của Hội đồng 2006/112/EC ngày 28</w:t>
      </w:r>
    </w:p>
    <w:p>
      <w:pPr>
        <w:spacing w:after="80"/>
      </w:pPr>
      <w:r>
        <w:rPr>
          <w:b w:val="0"/>
          <w:i w:val="0"/>
        </w:rPr>
        <w:t>tháng 11 năm 2006 về</w:t>
      </w:r>
    </w:p>
    <w:p>
      <w:pPr>
        <w:spacing w:after="80"/>
      </w:pPr>
      <w:r>
        <w:rPr>
          <w:b w:val="0"/>
          <w:i w:val="0"/>
        </w:rPr>
        <w:t>715</w:t>
      </w:r>
    </w:p>
    <w:p>
      <w:pPr>
        <w:spacing w:after="80"/>
      </w:pPr>
      <w:r>
        <w:rPr>
          <w:b w:val="0"/>
          <w:i w:val="0"/>
        </w:rPr>
        <w:t>Chỉ thị của Hội đồng 2011/16/EU ngày 15</w:t>
      </w:r>
    </w:p>
    <w:p>
      <w:pPr>
        <w:spacing w:after="80"/>
      </w:pPr>
      <w:r>
        <w:rPr>
          <w:b w:val="0"/>
          <w:i w:val="0"/>
        </w:rPr>
        <w:t>Chỉ thị của Hội đồng 2016/881/EU ngày 25</w:t>
      </w:r>
    </w:p>
    <w:p>
      <w:pPr>
        <w:spacing w:after="80"/>
      </w:pPr>
      <w:r>
        <w:rPr>
          <w:b w:val="0"/>
          <w:i w:val="0"/>
        </w:rPr>
        <w:t>tháng 2 năm 2011 về hợp tác hành chính trong lĩnh vực thuế và bãi bỏ Chỉ thị 77/799/EEC Điều 2(1), 663 Điều 2(2), 664 Điều 4, 71, 663 Điều 6, 663 Điều 8, 663 Chỉ thị của Hội đồng 2011/96/EU ngày 30</w:t>
      </w:r>
    </w:p>
    <w:p>
      <w:pPr>
        <w:spacing w:after="80"/>
      </w:pPr>
      <w:r>
        <w:rPr>
          <w:b w:val="0"/>
          <w:i w:val="0"/>
        </w:rPr>
        <w:t>tháng 5 năm 2016 sửa đổi Chỉ thị 2011/16/EU về trao đổi thông tin tự động bắt buộc trong lĩnh vực thuế (DAC 4), 676 Chỉ thị của Hội đồng (EU) 2016/1164 ngày 12</w:t>
      </w:r>
    </w:p>
    <w:p>
      <w:pPr>
        <w:spacing w:after="80"/>
      </w:pPr>
      <w:r>
        <w:rPr>
          <w:b w:val="0"/>
          <w:i w:val="0"/>
        </w:rPr>
        <w:t>tháng 7 năm 2016 đặt ra các quy tắc chống lại các hành vi trốn thuế ảnh hưởng trực tiếp đến hoạt động của thị trường nội bộ Điều 1, 428 Điều 3, 428 Điều 9, 430 Điều 11, 428 Chỉ thị của Hội đồng sửa đổi Chỉ thị</w:t>
      </w:r>
    </w:p>
    <w:p>
      <w:pPr>
        <w:spacing w:after="80"/>
      </w:pPr>
      <w:r>
        <w:rPr>
          <w:b w:val="0"/>
          <w:i w:val="0"/>
        </w:rPr>
        <w:t>tháng 11 năm 2011 về hệ thống thuế chung áp dụng trong trường hợp các công ty mẹ và công ty con của các Quốc gia Thành viên khác nhau Điều 1(1), 404 Điều 2(1), 663 Điều 2(2), 664 Điều 8ab, 678 Điều 18, 677 Điều 19, 677 Điều 20, 677 Chỉ thị của Hội đồng 2014/107/EU ngày 9</w:t>
      </w:r>
    </w:p>
    <w:p>
      <w:pPr>
        <w:spacing w:after="80"/>
      </w:pPr>
      <w:r>
        <w:rPr>
          <w:b w:val="0"/>
          <w:i w:val="0"/>
        </w:rPr>
        <w:t>(EU) 2016/1164 về các sai lệch hỗn hợp với các quốc gia thứ ba, 433 Chỉ thị của Hội đồng 2016/2258/EU ngày 6</w:t>
      </w:r>
    </w:p>
    <w:p>
      <w:pPr>
        <w:spacing w:after="80"/>
      </w:pPr>
      <w:r>
        <w:rPr>
          <w:b w:val="0"/>
          <w:i w:val="0"/>
        </w:rPr>
        <w:t>tháng 12 năm 2016 sửa đổi Chỉ thị 2011/16/EU về quyền truy cập thông tin chống rửa tiền của các cơ quan thuế (DAC 5), 676 Chỉ thị của Hội đồng (EU) 2017/1852 về</w:t>
      </w:r>
    </w:p>
    <w:p>
      <w:pPr>
        <w:spacing w:after="80"/>
      </w:pPr>
      <w:r>
        <w:rPr>
          <w:b w:val="0"/>
          <w:i w:val="0"/>
        </w:rPr>
        <w:t>tháng 12 năm 2014 sửa đổi Chỉ thị 2011/16/EU về trao đổi thông tin tự động bắt buộc trong lĩnh vực thuế (DAC 2), 674 Chỉ thị của Hội đồng 2015/121/EU ngày 27</w:t>
      </w:r>
    </w:p>
    <w:p>
      <w:pPr>
        <w:spacing w:after="80"/>
      </w:pPr>
      <w:r>
        <w:rPr>
          <w:b w:val="0"/>
          <w:i w:val="0"/>
        </w:rPr>
        <w:t>Cơ chế giải quyết tranh chấp đánh thuế hai lần trong Liên minh Châu Âu, 400, 610 Chỉ thị của Hội đồng 95/46/EC ngày</w:t>
      </w:r>
    </w:p>
    <w:p>
      <w:pPr>
        <w:spacing w:after="80"/>
      </w:pPr>
      <w:r>
        <w:rPr>
          <w:b w:val="0"/>
          <w:i w:val="0"/>
        </w:rPr>
        <w:t>tháng 1 năm 2015 sửa đổi Chỉ thị 2011/96/EU về hệ thống thuế chung áp dụng trong trường hợp các công ty mẹ và công ty con của các Quốc gia Thành viên khác nhau Điều 1(1), 404 Điều 1(2), 423 Điều 1(3), 423 Chỉ thị của Hội đồng 2015/2376/EU ngày 8</w:t>
      </w:r>
    </w:p>
    <w:p>
      <w:pPr>
        <w:spacing w:after="80"/>
      </w:pPr>
      <w:r>
        <w:rPr>
          <w:b w:val="0"/>
          <w:i w:val="0"/>
        </w:rPr>
        <w:t>Nghị viện Châu Âu và Hội đồng ngày 24 tháng 10 năm 1995 về bảo vệ cá nhân liên quan đến việc xử lý dữ liệu cá nhân, và về việc di chuyển tự do của dữ liệu đó, 669 Chỉ thị của Hội đồng 2018/822/EU</w:t>
      </w:r>
    </w:p>
    <w:p>
      <w:pPr>
        <w:spacing w:after="80"/>
      </w:pPr>
      <w:r>
        <w:rPr>
          <w:b w:val="0"/>
          <w:i w:val="0"/>
        </w:rPr>
        <w:t>tháng 12 năm 2015 sửa đổi Chỉ thị 2011/16/EU về trao đổi thông tin tự động bắt buộc trong lĩnh vực thuế (DAC 3), 675</w:t>
      </w:r>
    </w:p>
    <w:p>
      <w:pPr>
        <w:spacing w:after="80"/>
      </w:pPr>
      <w:r>
        <w:rPr>
          <w:b w:val="0"/>
          <w:i w:val="0"/>
        </w:rPr>
        <w:t>sửa đổi Chỉ thị 2011/16/EU về việc trao đổi thông tin tự động bắt buộc trong lĩnh vực thuế liên quan đến</w:t>
      </w:r>
    </w:p>
    <w:p>
      <w:pPr>
        <w:spacing w:after="80"/>
      </w:pPr>
      <w:r>
        <w:rPr>
          <w:b w:val="0"/>
          <w:i w:val="0"/>
        </w:rPr>
        <w:t>716</w:t>
      </w:r>
    </w:p>
    <w:p>
      <w:pPr>
        <w:spacing w:after="80"/>
      </w:pPr>
      <w:r>
        <w:rPr>
          <w:b w:val="0"/>
          <w:i w:val="0"/>
        </w:rPr>
        <w:t>các thỏa thuận xuyên biên giới phải báo cáo (DAC 6), 677Chỉ thị 2010/24 Chỉ thị của Hội đồng</w:t>
      </w:r>
    </w:p>
    <w:p>
      <w:pPr>
        <w:spacing w:after="80"/>
      </w:pPr>
      <w:r>
        <w:rPr>
          <w:b/>
          <w:i w:val="0"/>
        </w:rPr>
        <w:t>Ireland</w:t>
      </w:r>
    </w:p>
    <w:p>
      <w:pPr>
        <w:spacing w:after="80"/>
      </w:pPr>
      <w:r>
        <w:rPr>
          <w:b w:val="0"/>
          <w:i w:val="0"/>
        </w:rPr>
        <w:t>Hiến pháp, 1922</w:t>
      </w:r>
    </w:p>
    <w:p>
      <w:pPr>
        <w:spacing w:after="80"/>
      </w:pPr>
      <w:r>
        <w:rPr>
          <w:b w:val="0"/>
          <w:i w:val="0"/>
        </w:rPr>
        <w:t>điều 73, 52Hiến pháp, 1937</w:t>
      </w:r>
    </w:p>
    <w:p>
      <w:pPr>
        <w:spacing w:after="80"/>
      </w:pPr>
      <w:r>
        <w:rPr>
          <w:b w:val="0"/>
          <w:i w:val="0"/>
        </w:rPr>
        <w:t>2010/24/EU ngày 16 tháng 3 năm 2010 về tương trợ lẫn nhau trong việc thu hồi các khoản phải thu liên quan đến thuế, phí và các biện pháp khác, 399, 400, 403, 428Chỉ thị 2015/849/EU của Nghị viện</w:t>
      </w:r>
    </w:p>
    <w:p>
      <w:pPr>
        <w:spacing w:after="80"/>
      </w:pPr>
      <w:r>
        <w:rPr>
          <w:b w:val="0"/>
          <w:i w:val="0"/>
        </w:rPr>
        <w:t>nói chung, 52Đạo luật Thuế Doanh nghiệp 1976</w:t>
      </w:r>
    </w:p>
    <w:p>
      <w:pPr>
        <w:spacing w:after="80"/>
      </w:pPr>
      <w:r>
        <w:rPr>
          <w:b w:val="0"/>
          <w:i w:val="0"/>
        </w:rPr>
        <w:t>nói chung, 54, 317Đạo luật Hợp nhất Thuế 1997</w:t>
      </w:r>
    </w:p>
    <w:p>
      <w:pPr>
        <w:spacing w:after="80"/>
      </w:pPr>
      <w:r>
        <w:rPr>
          <w:b w:val="0"/>
          <w:i w:val="0"/>
        </w:rPr>
        <w:t>điều 4, 181điều 18(1)(a), 272điều 25, 272điều 172B, 408điều 172K, 408điều 267G(2)(a), 413điều 267G–267K, 411điều 267K(1), 421điều 411, 181điều 627–629C, 431điều 705J, 408điều 811, 556điều 811A, 556điều 811C, 429điều 819(4), 147điều 826, 53điều 826(1), 53điều 826(1)(a), 53, 54điều 826(1)(a)(ii)(I), 643điều 826(1)(E), 530điều 826(1A), 53, 54điều 826(1B), 53, 55điều 826(1C)(a)(i), 55, 643điều 826(1D), 54điều 826(1E), 55điều 826(3), 54, 55điều 826(4), 53điều 826(7), 643điều 826(10), 54điều 827, 54điều 828, 53điều 831, 405điều 831(1)(a), 405điều 831(2A), 408điều 831(4), 408điều 831(5), 408</w:t>
      </w:r>
    </w:p>
    <w:p>
      <w:pPr>
        <w:spacing w:after="80"/>
      </w:pPr>
      <w:r>
        <w:rPr>
          <w:b w:val="0"/>
          <w:i w:val="0"/>
        </w:rPr>
        <w:t>Nghị viện và của Hội đồng ngày 20 tháng 5 năm 2015 về việc phòng ngừa việc sử dụng hệ thống tài chính cho mục đích rửa tiền hoặc tài trợ khủng bố, sửa đổi Quy chế (EU) số 648/2012 của Nghị viện Châu Âu và của Hội đồng, và bãi bỏ Chỉ thị 2005/60/EC, 677Quy chế Brussels (Quy chế của Hội đồng</w:t>
      </w:r>
    </w:p>
    <w:p>
      <w:pPr>
        <w:spacing w:after="80"/>
      </w:pPr>
      <w:r>
        <w:rPr>
          <w:b w:val="0"/>
          <w:i w:val="0"/>
        </w:rPr>
        <w:t>44/2001/EC)điều 1(1)(a), 639Quy chế của Hội đồng (EEC) số 2137/85 ngày</w:t>
      </w:r>
    </w:p>
    <w:p>
      <w:pPr>
        <w:spacing w:after="80"/>
      </w:pPr>
      <w:r>
        <w:rPr>
          <w:b w:val="0"/>
          <w:i w:val="0"/>
        </w:rPr>
        <w:t>25 tháng 7 năm 1985 về Nhóm Lợi ích Kinh tế Châu Âuđiều 3(1), 402điều 3(2), 402điều 12, 402điều 40, 402Quy chế (EU) 1189/2011 Quy định</w:t>
      </w:r>
    </w:p>
    <w:p>
      <w:pPr>
        <w:spacing w:after="80"/>
      </w:pPr>
      <w:r>
        <w:rPr>
          <w:b w:val="0"/>
          <w:i w:val="0"/>
        </w:rPr>
        <w:t>các quy tắc chi tiết liên quan đến một số quy định của Chỉ thị 2010/24/EU của Hội đồng về tương trợ lẫn nhau trong việc thu hồi các khoản phải thu liên quan đến thuế, phí và các biện pháp khác, 399, 403Quy chế (EU) số 1215/2012 về</w:t>
      </w:r>
    </w:p>
    <w:p>
      <w:pPr>
        <w:spacing w:after="80"/>
      </w:pPr>
      <w:r>
        <w:rPr>
          <w:b w:val="0"/>
          <w:i w:val="0"/>
        </w:rPr>
        <w:t>thẩm quyền và việc công nhận và thi hành các phán quyết trong các vấn đề dân sự và thương mại (sửa đổi), 638</w:t>
      </w:r>
    </w:p>
    <w:p>
      <w:pPr>
        <w:spacing w:after="80"/>
      </w:pPr>
      <w:r>
        <w:rPr>
          <w:b w:val="0"/>
          <w:i w:val="0"/>
        </w:rPr>
        <w:t>717</w:t>
      </w:r>
    </w:p>
    <w:p>
      <w:pPr>
        <w:spacing w:after="80"/>
      </w:pPr>
      <w:r>
        <w:rPr>
          <w:b w:val="0"/>
          <w:i w:val="0"/>
        </w:rPr>
        <w:t>s. 831(6), 420s. 831(7), 421s. 835I–835YA, 433s. 851A, 643s. 862, 55s. 891E, 680s. 891G, 675s. 891GA, 675s. 891H, 676s. 898P, 99s. 1077E, 556Sch. 24A, 53, 530Liên minh châu Âu (Hành chính</w:t>
      </w:r>
    </w:p>
    <w:p>
      <w:pPr>
        <w:spacing w:after="80"/>
      </w:pPr>
      <w:r>
        <w:rPr>
          <w:b w:val="0"/>
          <w:i w:val="0"/>
        </w:rPr>
        <w:t>s. 50(1), 18Sch. 6, 18Luật Vận chuyển Hàng hóa bằng Đường biển 1924*</w:t>
      </w:r>
    </w:p>
    <w:p>
      <w:pPr>
        <w:spacing w:after="80"/>
      </w:pPr>
      <w:r>
        <w:rPr>
          <w:b w:val="0"/>
          <w:i w:val="0"/>
        </w:rPr>
        <w:t>nói chung, 108Luật Tổ chức Từ thiện 1993*</w:t>
      </w:r>
    </w:p>
    <w:p>
      <w:pPr>
        <w:spacing w:after="80"/>
      </w:pPr>
      <w:r>
        <w:rPr>
          <w:b w:val="0"/>
          <w:i w:val="0"/>
        </w:rPr>
        <w:t>s. 10(2), 642Ủy viên Thuế vụ và</w:t>
      </w:r>
    </w:p>
    <w:p>
      <w:pPr>
        <w:spacing w:after="80"/>
      </w:pPr>
      <w:r>
        <w:rPr>
          <w:b w:val="0"/>
          <w:i w:val="0"/>
        </w:rPr>
        <w:t>Luật Hải quan 2005*s. 3(1), 642s. 5, 641s. 16A, 642s. 18(1), 641s. 18(3), 642s. 19(1), 642Cải cách Hiến pháp và Quản trị</w:t>
      </w:r>
    </w:p>
    <w:p>
      <w:pPr>
        <w:spacing w:after="80"/>
      </w:pPr>
      <w:r>
        <w:rPr>
          <w:b w:val="0"/>
          <w:i w:val="0"/>
        </w:rPr>
        <w:t>Hợp tác trong Lĩnh vực Thuế) Quy định 2012, (SI549/2012), 674Liên minh châu Âu (Hỗ trợ Tương hỗ cho</w:t>
      </w:r>
    </w:p>
    <w:p>
      <w:pPr>
        <w:spacing w:after="80"/>
      </w:pPr>
      <w:r>
        <w:rPr>
          <w:b w:val="0"/>
          <w:i w:val="0"/>
        </w:rPr>
        <w:t>Luật 2010*nói chung, 28s. 20, 19, 29s. 23(2), 28s. 23(3), 19s. 23(2A), 28s. 23(2B), 28Luật Thuế Doanh nghiệp 2009*</w:t>
      </w:r>
    </w:p>
    <w:p>
      <w:pPr>
        <w:spacing w:after="80"/>
      </w:pPr>
      <w:r>
        <w:rPr>
          <w:b w:val="0"/>
          <w:i w:val="0"/>
        </w:rPr>
        <w:t>Thu hồi các Khiếu nại liên quan đến Thuế, Phí và các Biện pháp Khác) Quy định 2011 (SI643/2011), 684Trao đổi Tự động Bắt buộc</w:t>
      </w:r>
    </w:p>
    <w:p>
      <w:pPr>
        <w:spacing w:after="80"/>
      </w:pPr>
      <w:r>
        <w:rPr>
          <w:b w:val="0"/>
          <w:i w:val="0"/>
        </w:rPr>
        <w:t>Thông tin trong Lĩnh vực Thuế Quy định 2015 (SI609/2015), 675Khai báo Một số Thông tin của</w:t>
      </w:r>
    </w:p>
    <w:p>
      <w:pPr>
        <w:spacing w:after="80"/>
      </w:pPr>
      <w:r>
        <w:rPr>
          <w:b w:val="0"/>
          <w:i w:val="0"/>
        </w:rPr>
        <w:t>s. 2(2), 260, 261s. 5, 179, 221, 261, 312s. 5(2)(a), 382s. 5(5), 376s. 5A, 382s. 5B, 382s. 14, 195s. 18, 51, 204, 208s. 18(4), 208, 566s. 18A(1), 436s. 18A(2), 436s. 18A(6), 280s. 18A(7), 280s. 18B(1), 436s. 18C(1), 436s. 18R, 279s. 18S, 280s. 19, 312s. 19(3)(b), 278s. 21(1), 274s. 21(2)(b), 275s. 23, 278</w:t>
      </w:r>
    </w:p>
    <w:p>
      <w:pPr>
        <w:spacing w:after="80"/>
      </w:pPr>
      <w:r>
        <w:rPr>
          <w:b w:val="0"/>
          <w:i w:val="0"/>
        </w:rPr>
        <w:t>Các Tổ chức Tài chính Khai báo Quy định 2015 (SI583/2015), 680Thuế (Khai báo Theo Quốc gia)</w:t>
      </w:r>
    </w:p>
    <w:p>
      <w:pPr>
        <w:spacing w:after="80"/>
      </w:pPr>
      <w:r>
        <w:rPr>
          <w:b w:val="0"/>
          <w:i w:val="0"/>
        </w:rPr>
        <w:t>Quy định 2015 (SI629/2015), 676</w:t>
      </w:r>
    </w:p>
    <w:p>
      <w:pPr>
        <w:spacing w:after="80"/>
      </w:pPr>
      <w:r>
        <w:rPr>
          <w:b/>
          <w:i w:val="0"/>
        </w:rPr>
        <w:t>Malta</w:t>
      </w:r>
    </w:p>
    <w:p>
      <w:pPr>
        <w:spacing w:after="80"/>
      </w:pPr>
      <w:r>
        <w:rPr>
          <w:b w:val="0"/>
          <w:i w:val="0"/>
        </w:rPr>
        <w:t>Luật Vận tải Thương mại 1973</w:t>
      </w:r>
    </w:p>
    <w:p>
      <w:pPr>
        <w:spacing w:after="80"/>
      </w:pPr>
      <w:r>
        <w:rPr>
          <w:b w:val="0"/>
          <w:i w:val="0"/>
        </w:rPr>
        <w:t>nói chung, 503</w:t>
      </w:r>
    </w:p>
    <w:p>
      <w:pPr>
        <w:spacing w:after="80"/>
      </w:pPr>
      <w:r>
        <w:rPr>
          <w:b/>
          <w:i w:val="0"/>
        </w:rPr>
        <w:t>Vương quốc Anh</w:t>
      </w:r>
    </w:p>
    <w:p>
      <w:pPr>
        <w:spacing w:after="80"/>
      </w:pPr>
      <w:r>
        <w:rPr>
          <w:b w:val="0"/>
          <w:i w:val="0"/>
        </w:rPr>
        <w:t>Act of Union 1800</w:t>
      </w:r>
    </w:p>
    <w:p>
      <w:pPr>
        <w:spacing w:after="80"/>
      </w:pPr>
      <w:r>
        <w:rPr>
          <w:b w:val="0"/>
          <w:i w:val="0"/>
        </w:rPr>
        <w:t>điều 29.5, 52điều 29.6, 53nói chung, 52British Nationality Act 1981*</w:t>
      </w:r>
    </w:p>
    <w:p>
      <w:pPr>
        <w:spacing w:after="80"/>
      </w:pPr>
      <w:r>
        <w:rPr>
          <w:b w:val="0"/>
          <w:i w:val="0"/>
        </w:rPr>
        <w:t>718</w:t>
      </w:r>
    </w:p>
    <w:p>
      <w:pPr>
        <w:spacing w:after="80"/>
      </w:pPr>
      <w:r>
        <w:rPr>
          <w:b w:val="0"/>
          <w:i w:val="0"/>
        </w:rPr>
        <w:t>s. 23(2), 282s. 24, 283s. 25–28, 282s. 26, 283s. 29, 281s. 29(4), 282s. 30, 278, 281s. 31, 278, 282s. 32, 282s. 32(2), 283s. 32(3), 283s. 40A, 347s. 40B, 347s. 130, 312s. 205, 302s. 206, 302s. 443, 505s. 931A(1), 435s. 931B, 470s. 931C, 471s. 931C(3), 452s. 931R, 436s. 931R(3), 436s. 969, 255s. 1259, 277s. 1262, 277s. 1302, 372Pt. 2, Ch. 3, 436Pt. 2, Ch. 3A, 274, 280, 451Pt. 2, Ch. 4, 262–263, 274Pt. 4, 254, 260Pt. 5, Ch. 8, 470Pt. 8, 327Pt. 9A, 254, 435Sch. 2, 195Corporation Tax Act 2010*</w:t>
      </w:r>
    </w:p>
    <w:p>
      <w:pPr>
        <w:spacing w:after="80"/>
      </w:pPr>
      <w:r>
        <w:rPr>
          <w:b w:val="0"/>
          <w:i w:val="0"/>
        </w:rPr>
        <w:t>s. 486, 215s. 518(4), 306s. 519(1), 306s. 548, 306s. 548(5), 306s. 548(6), 306s. 548(7), 306s. 553, 308s 783, 461s 784, 461s. 791, 238s. 1000, 316, 318s. 1000(1)E(b), 316s. 1015, 316s. 1015(6), 316s. 1016, 316s. 1017(3), 316s. 1017(4), 316s. 1119, 166s. 1120, 282s. 1121, 166s 1142(1), 238s. 1141(1)(a), 220s. 1141(2), 227s. 1141(2)(f), 227s. 1141(2)(h), 230, 231s. 1142(1), 238s. 1142–1144, 241s. 1143, 244s. 1145, 240s. 1146–1150, 240s. 1151, 240s. 1154(6), 495Pt 2, Ch 6, 577Pt. 3, 463Pt. 8ZB, 382, 384Pt 12, 306Pt 15, 509, 511Pt. 18, 304Pt. 22, Ch. 6, 577Pt. 22, Ch. 7, 577Pt. 24, Ch. 2, 219Data Protection Act 1984*</w:t>
      </w:r>
    </w:p>
    <w:p>
      <w:pPr>
        <w:spacing w:after="80"/>
      </w:pPr>
      <w:r>
        <w:rPr>
          <w:b w:val="0"/>
          <w:i w:val="0"/>
        </w:rPr>
        <w:t>s 131(5), 324s 131(6), 324s. 151(4), 497s. 356OB, 383s. 356OD, 384s. 356OR, 384s. 478, 215s. 481, 215s. 485, 215</w:t>
      </w:r>
    </w:p>
    <w:p>
      <w:pPr>
        <w:spacing w:after="80"/>
      </w:pPr>
      <w:r>
        <w:rPr>
          <w:b w:val="0"/>
          <w:i w:val="0"/>
        </w:rPr>
        <w:t>s. 17, 642Drug Trafficking Offences Act 1986*</w:t>
      </w:r>
    </w:p>
    <w:p>
      <w:pPr>
        <w:spacing w:after="80"/>
      </w:pPr>
      <w:r>
        <w:rPr>
          <w:b w:val="0"/>
          <w:i w:val="0"/>
        </w:rPr>
        <w:t>719</w:t>
      </w:r>
    </w:p>
    <w:p>
      <w:pPr>
        <w:spacing w:after="80"/>
      </w:pPr>
      <w:r>
        <w:rPr>
          <w:b w:val="0"/>
          <w:i w:val="0"/>
        </w:rPr>
        <w:t>s. 30, 642European Union (Withdrawal) Act</w:t>
      </w:r>
    </w:p>
    <w:p>
      <w:pPr>
        <w:spacing w:after="80"/>
      </w:pPr>
      <w:r>
        <w:rPr>
          <w:b w:val="0"/>
          <w:i w:val="0"/>
        </w:rPr>
        <w:t>Sch. 18, 565, 567, 568Finance Act 2000*, 49, 144, 437, 581</w:t>
      </w:r>
    </w:p>
    <w:p>
      <w:pPr>
        <w:spacing w:after="80"/>
      </w:pPr>
      <w:r>
        <w:rPr>
          <w:b w:val="0"/>
          <w:i w:val="0"/>
        </w:rPr>
        <w:t>2018*nói chung, 101European Union (Future Relations) Act</w:t>
      </w:r>
    </w:p>
    <w:p>
      <w:pPr>
        <w:spacing w:after="80"/>
      </w:pPr>
      <w:r>
        <w:rPr>
          <w:b w:val="0"/>
          <w:i w:val="0"/>
        </w:rPr>
        <w:t>s. 146(1), 640, 654Sch. 22, 291Finance Act 2002*</w:t>
      </w:r>
    </w:p>
    <w:p>
      <w:pPr>
        <w:spacing w:after="80"/>
      </w:pPr>
      <w:r>
        <w:rPr>
          <w:b w:val="0"/>
          <w:i w:val="0"/>
        </w:rPr>
        <w:t>2020*s. 29, 101Finance (No. 2) Act 1945*</w:t>
      </w:r>
    </w:p>
    <w:p>
      <w:pPr>
        <w:spacing w:after="80"/>
      </w:pPr>
      <w:r>
        <w:rPr>
          <w:b w:val="0"/>
          <w:i w:val="0"/>
        </w:rPr>
        <w:t>s. 88(1), 20s. 186, 215Finance Act 2003*, 219, 267, 270</w:t>
      </w:r>
    </w:p>
    <w:p>
      <w:pPr>
        <w:spacing w:after="80"/>
      </w:pPr>
      <w:r>
        <w:rPr>
          <w:b w:val="0"/>
          <w:i w:val="0"/>
        </w:rPr>
        <w:t>s. 52, 46Finance Act 1972*</w:t>
      </w:r>
    </w:p>
    <w:p>
      <w:pPr>
        <w:spacing w:after="80"/>
      </w:pPr>
      <w:r>
        <w:rPr>
          <w:b w:val="0"/>
          <w:i w:val="0"/>
        </w:rPr>
        <w:t>s. 148, 248s. 153(2)(b), 380s. 197(2), 645s. 198(1), 641s. 198(3), 641Finance Act 2004*, 363, 370</w:t>
      </w:r>
    </w:p>
    <w:p>
      <w:pPr>
        <w:spacing w:after="80"/>
      </w:pPr>
      <w:r>
        <w:rPr>
          <w:b w:val="0"/>
          <w:i w:val="0"/>
        </w:rPr>
        <w:t>s. 127, 642Finance Act 1978*</w:t>
      </w:r>
    </w:p>
    <w:p>
      <w:pPr>
        <w:spacing w:after="80"/>
      </w:pPr>
      <w:r>
        <w:rPr>
          <w:b w:val="0"/>
          <w:i w:val="0"/>
        </w:rPr>
        <w:t>s. 77, 642Finance (No. 2) Act 1979*</w:t>
      </w:r>
    </w:p>
    <w:p>
      <w:pPr>
        <w:spacing w:after="80"/>
      </w:pPr>
      <w:r>
        <w:rPr>
          <w:b w:val="0"/>
          <w:i w:val="0"/>
        </w:rPr>
        <w:t>s. 16, 42Finance (No. 2) Act 1987*</w:t>
      </w:r>
    </w:p>
    <w:p>
      <w:pPr>
        <w:spacing w:after="80"/>
      </w:pPr>
      <w:r>
        <w:rPr>
          <w:b w:val="0"/>
          <w:i w:val="0"/>
        </w:rPr>
        <w:t>s. 34(1)(a), 316s. 150, 367s. 164(1), 368s. 165(2)(a), 367s. 188(1), 369s. 189, 369s. 189(2), 370s. 243, 370s. 326, 316Pt. 4, 363, 368, 369Sch. 33, 370Sch. 42, Pt. 2(2), 316Finance Act 2006*, 469</w:t>
      </w:r>
    </w:p>
    <w:p>
      <w:pPr>
        <w:spacing w:after="80"/>
      </w:pPr>
      <w:r>
        <w:rPr>
          <w:b w:val="0"/>
          <w:i w:val="0"/>
        </w:rPr>
        <w:t>s. 62, 522Finance (No. 2) Act 1992*</w:t>
      </w:r>
    </w:p>
    <w:p>
      <w:pPr>
        <w:spacing w:after="80"/>
      </w:pPr>
      <w:r>
        <w:rPr>
          <w:b w:val="0"/>
          <w:i w:val="0"/>
        </w:rPr>
        <w:t>s. 42, 324Finance Act 1930*</w:t>
      </w:r>
    </w:p>
    <w:p>
      <w:pPr>
        <w:spacing w:after="80"/>
      </w:pPr>
      <w:r>
        <w:rPr>
          <w:b w:val="0"/>
          <w:i w:val="0"/>
        </w:rPr>
        <w:t>s. 42, 495Finance Act 1972*, 35, 42</w:t>
      </w:r>
    </w:p>
    <w:p>
      <w:pPr>
        <w:spacing w:after="80"/>
      </w:pPr>
      <w:r>
        <w:rPr>
          <w:b w:val="0"/>
          <w:i w:val="0"/>
        </w:rPr>
        <w:t>s. 86, 41s. 86(4), 41, 42Finance Act 1973*</w:t>
      </w:r>
    </w:p>
    <w:p>
      <w:pPr>
        <w:spacing w:after="80"/>
      </w:pPr>
      <w:r>
        <w:rPr>
          <w:b w:val="0"/>
          <w:i w:val="0"/>
        </w:rPr>
        <w:t>s. 38, 392Finance Act 1985*</w:t>
      </w:r>
    </w:p>
    <w:p>
      <w:pPr>
        <w:spacing w:after="80"/>
      </w:pPr>
      <w:r>
        <w:rPr>
          <w:b w:val="0"/>
          <w:i w:val="0"/>
        </w:rPr>
        <w:t>s. 93, 157Finance Act 1986*</w:t>
      </w:r>
    </w:p>
    <w:p>
      <w:pPr>
        <w:spacing w:after="80"/>
      </w:pPr>
      <w:r>
        <w:rPr>
          <w:b w:val="0"/>
          <w:i w:val="0"/>
        </w:rPr>
        <w:t>s. 68, 295s. 173, 29, 40, 641, 654, 660, 681, 684s. 173(1)(b), 683s. 173(3), 641s. 173(4)(a), 643s. 173(4)(b), 643s. 173(5), 653s. 173(7), 23s. 175, 683s. 175(1), 681Pt 9, 681Finance Act 2008*, 48, 352</w:t>
      </w:r>
    </w:p>
    <w:p>
      <w:pPr>
        <w:spacing w:after="80"/>
      </w:pPr>
      <w:r>
        <w:rPr>
          <w:b w:val="0"/>
          <w:i w:val="0"/>
        </w:rPr>
        <w:t>s. 75–77, 469Finance Act 1988*</w:t>
      </w:r>
    </w:p>
    <w:p>
      <w:pPr>
        <w:spacing w:after="80"/>
      </w:pPr>
      <w:r>
        <w:rPr>
          <w:b w:val="0"/>
          <w:i w:val="0"/>
        </w:rPr>
        <w:t>s. 66, 195, 458Finance Act 1989*</w:t>
      </w:r>
    </w:p>
    <w:p>
      <w:pPr>
        <w:spacing w:after="80"/>
      </w:pPr>
      <w:r>
        <w:rPr>
          <w:b w:val="0"/>
          <w:i w:val="0"/>
        </w:rPr>
        <w:t>s. 115, 48s. 182, 641s. 182A, 628Finance Act 1992*</w:t>
      </w:r>
    </w:p>
    <w:p>
      <w:pPr>
        <w:spacing w:after="80"/>
      </w:pPr>
      <w:r>
        <w:rPr>
          <w:b w:val="0"/>
          <w:i w:val="0"/>
        </w:rPr>
        <w:t>s. 86, 41Finance Act 1994</w:t>
      </w:r>
    </w:p>
    <w:p>
      <w:pPr>
        <w:spacing w:after="80"/>
      </w:pPr>
      <w:r>
        <w:rPr>
          <w:b w:val="0"/>
          <w:i w:val="0"/>
        </w:rPr>
        <w:t>Art. 28, 119s. 168A, 514Finance Act 1996*</w:t>
      </w:r>
    </w:p>
    <w:p>
      <w:pPr>
        <w:spacing w:after="80"/>
      </w:pPr>
      <w:r>
        <w:rPr>
          <w:b w:val="0"/>
          <w:i w:val="0"/>
        </w:rPr>
        <w:t>s 8, 378s. 56, 49s. 58, 48s. 59, 258s. 59(1), 49Sch 2, 378</w:t>
      </w:r>
    </w:p>
    <w:p>
      <w:pPr>
        <w:spacing w:after="80"/>
      </w:pPr>
      <w:r>
        <w:rPr>
          <w:b w:val="0"/>
          <w:i w:val="0"/>
        </w:rPr>
        <w:t>Sch. C, 254Finance Act 1998*</w:t>
      </w:r>
    </w:p>
    <w:p>
      <w:pPr>
        <w:spacing w:after="80"/>
      </w:pPr>
      <w:r>
        <w:rPr>
          <w:b w:val="0"/>
          <w:i w:val="0"/>
        </w:rPr>
        <w:t>s. 31, 35Sch. 3, 35</w:t>
      </w:r>
    </w:p>
    <w:p>
      <w:pPr>
        <w:spacing w:after="80"/>
      </w:pPr>
      <w:r>
        <w:rPr>
          <w:b w:val="0"/>
          <w:i w:val="0"/>
        </w:rPr>
        <w:t>720</w:t>
      </w:r>
    </w:p>
    <w:p>
      <w:pPr>
        <w:spacing w:after="80"/>
      </w:pPr>
      <w:r>
        <w:rPr>
          <w:b w:val="0"/>
          <w:i w:val="0"/>
        </w:rPr>
        <w:t>Sch. 36, Pt. 1, 569, 636, 644, 646, 649,</w:t>
      </w:r>
    </w:p>
    <w:p>
      <w:pPr>
        <w:spacing w:after="80"/>
      </w:pPr>
      <w:r>
        <w:rPr>
          <w:b w:val="0"/>
          <w:i w:val="0"/>
        </w:rPr>
        <w:t>s. 106, 298s. 107, 298s. 110, 249, 299s 122, 647Pt 3, 481Finance Act 2016*</w:t>
      </w:r>
    </w:p>
    <w:p>
      <w:pPr>
        <w:spacing w:after="80"/>
      </w:pPr>
      <w:r>
        <w:rPr>
          <w:b w:val="0"/>
          <w:i w:val="0"/>
        </w:rPr>
        <w:t>650, 651Finance Act 2011*, 274, 436</w:t>
      </w:r>
    </w:p>
    <w:p>
      <w:pPr>
        <w:spacing w:after="80"/>
      </w:pPr>
      <w:r>
        <w:rPr>
          <w:b w:val="0"/>
          <w:i w:val="0"/>
        </w:rPr>
        <w:t>s. 86, 644Pt. 2, Ch. 4, 274Sch. 19, 23, 29, 158Sch 23, 644, 651Finance Act 2012*, 29</w:t>
      </w:r>
    </w:p>
    <w:p>
      <w:pPr>
        <w:spacing w:after="80"/>
      </w:pPr>
      <w:r>
        <w:rPr>
          <w:b w:val="0"/>
          <w:i w:val="0"/>
        </w:rPr>
        <w:t>generally, 382Finance Act 2017*</w:t>
      </w:r>
    </w:p>
    <w:p>
      <w:pPr>
        <w:spacing w:after="80"/>
      </w:pPr>
      <w:r>
        <w:rPr>
          <w:b w:val="0"/>
          <w:i w:val="0"/>
        </w:rPr>
        <w:t>s. 1(1)(a), 306s. 218, 29Finance Act 2013*</w:t>
      </w:r>
    </w:p>
    <w:p>
      <w:pPr>
        <w:spacing w:after="80"/>
      </w:pPr>
      <w:r>
        <w:rPr>
          <w:b w:val="0"/>
          <w:i w:val="0"/>
        </w:rPr>
        <w:t>s. 80(1), 530Finance Act 2018*</w:t>
      </w:r>
    </w:p>
    <w:p>
      <w:pPr>
        <w:spacing w:after="80"/>
      </w:pPr>
      <w:r>
        <w:rPr>
          <w:b w:val="0"/>
          <w:i w:val="0"/>
        </w:rPr>
        <w:t>s. 32(1), 530Finance Act 2019, 261</w:t>
      </w:r>
    </w:p>
    <w:p>
      <w:pPr>
        <w:spacing w:after="80"/>
      </w:pPr>
      <w:r>
        <w:rPr>
          <w:b w:val="0"/>
          <w:i w:val="0"/>
        </w:rPr>
        <w:t>s. 8, 295s. 9, 295s. 203(1), 480s. 204(1), 480s. 204(2), 480s. 205, 481s. 206, 481s. 209(1), 48s. 209(2), 48s. 209(3)(b), 48s. 219, 29s. 222(1), 646, 646s. 222(2), 646Pt. 4, 209Pt. 5, 532, 48, 423Sch. 12, 316Sch. 41, 48Sch 41, Pt 5, 480Sch 43, 187, 194Sch. 43, Pt. 4, 51, 602Sch. 45, 189Finance Act 2014*</w:t>
      </w:r>
    </w:p>
    <w:p>
      <w:pPr>
        <w:spacing w:after="80"/>
      </w:pPr>
      <w:r>
        <w:rPr>
          <w:b w:val="0"/>
          <w:i w:val="0"/>
        </w:rPr>
        <w:t>s. 14, 567, 578Sch. 2, 567, 578Finance Act 2020*</w:t>
      </w:r>
    </w:p>
    <w:p>
      <w:pPr>
        <w:spacing w:after="80"/>
      </w:pPr>
      <w:r>
        <w:rPr>
          <w:b w:val="0"/>
          <w:i w:val="0"/>
        </w:rPr>
        <w:t>s. 42, 299s. 43, 299s. 47, 299s. 48, 299s. 49, 299Pt. 2, 157, 299Foreign Corporations Act 1991*</w:t>
      </w:r>
    </w:p>
    <w:p>
      <w:pPr>
        <w:spacing w:after="80"/>
      </w:pPr>
      <w:r>
        <w:rPr>
          <w:b w:val="0"/>
          <w:i w:val="0"/>
        </w:rPr>
        <w:t>generally, 169Housing Associations Act 1985*</w:t>
      </w:r>
    </w:p>
    <w:p>
      <w:pPr>
        <w:spacing w:after="80"/>
      </w:pPr>
      <w:r>
        <w:rPr>
          <w:b w:val="0"/>
          <w:i w:val="0"/>
        </w:rPr>
        <w:t>s. 62, 642Human Rights Act 1998*</w:t>
      </w:r>
    </w:p>
    <w:p>
      <w:pPr>
        <w:spacing w:after="80"/>
      </w:pPr>
      <w:r>
        <w:rPr>
          <w:b w:val="0"/>
          <w:i w:val="0"/>
        </w:rPr>
        <w:t>s. 3, 150s 8, 646Income and Corporation Taxes Act</w:t>
      </w:r>
    </w:p>
    <w:p>
      <w:pPr>
        <w:spacing w:after="80"/>
      </w:pPr>
      <w:r>
        <w:rPr>
          <w:b w:val="0"/>
          <w:i w:val="0"/>
        </w:rPr>
        <w:t>1970*s. 86, 42s. 86(4), 42s. 478, 185Income and Corporation Taxes Act</w:t>
      </w:r>
    </w:p>
    <w:p>
      <w:pPr>
        <w:spacing w:after="80"/>
      </w:pPr>
      <w:r>
        <w:rPr>
          <w:b w:val="0"/>
          <w:i w:val="0"/>
        </w:rPr>
        <w:t>Sch.1, 463Finance Act 2015*, 50, 248, 298, 352</w:t>
      </w:r>
    </w:p>
    <w:p>
      <w:pPr>
        <w:spacing w:after="80"/>
      </w:pPr>
      <w:r>
        <w:rPr>
          <w:b w:val="0"/>
          <w:i w:val="0"/>
        </w:rPr>
        <w:t>1988*, 20s. 11(2), 270s 111, 48s. 112(4), 48s. 207, 585s. 209, 310s. 231, 461s. 235, 589s. 375(9), 642s. 375(10), 642s. 416, 523</w:t>
      </w:r>
    </w:p>
    <w:p>
      <w:pPr>
        <w:spacing w:after="80"/>
      </w:pPr>
      <w:r>
        <w:rPr>
          <w:b w:val="0"/>
          <w:i w:val="0"/>
        </w:rPr>
        <w:t>s. 77, 50s. 79(1)(a), 54s. 80, 298s. 81, 299s. 82(7), 157s. 86, 50, 248s. 86(1)(h), 249s. 86(2)(d), 249s. 86(5), 249s. 88(5), 50, 157</w:t>
      </w:r>
    </w:p>
    <w:p>
      <w:pPr>
        <w:spacing w:after="80"/>
      </w:pPr>
      <w:r>
        <w:rPr>
          <w:b w:val="0"/>
          <w:i w:val="0"/>
        </w:rPr>
        <w:t>721</w:t>
      </w:r>
    </w:p>
    <w:p>
      <w:pPr>
        <w:spacing w:after="80"/>
      </w:pPr>
      <w:r>
        <w:rPr>
          <w:b w:val="0"/>
          <w:i w:val="0"/>
        </w:rPr>
        <w:t>s. 612(1), 368s. 703, 505, 506s. 703(1), 509s. 737, 461s. 739, 505, 508s. 741, 478s. 741(a), 509s. 741(b), 505, 508s. 746(6)(a), 317s. 747, 32, 156, 621s. 747(4)(a), 32, 33s. 754(1), 32, 33s. 754(2), 33s. 787, 505, 510s. 788, 36s. 788(1)(c), 157s. 788(2), 640s. 788(3), 31, 33, 44, 49s. 788(3)(a), 32, 36s. 788(3)(b), 34s. 788(3)(d), 35, 37s. 788(6), 566s. 788(l)(c), 33s. 795A(1), 581s. 812, 47s. 816, 642s 816(2), 628s. 825, 34, 94, 457s 832(1), 147s. 839, 523s. 839(2)–(6), 523s. 839(7), 118, 523Pt. XIV, Ch. III, 363Pt, XVII, 49Pt, XVIII, 33Sch. 23A, 461Sch. 26, 32, 156Income Tax Act 1952*</w:t>
      </w:r>
    </w:p>
    <w:p>
      <w:pPr>
        <w:spacing w:after="80"/>
      </w:pPr>
      <w:r>
        <w:rPr>
          <w:b w:val="0"/>
          <w:i w:val="0"/>
        </w:rPr>
        <w:t>s. 479, 391s. 493, 391s. 517B, 383s. 517C, 383s. 517D, 384s. 517S, 384s. 524, 215s. 527, 215s. 531, 215s. 532, 215s. 721, 185s. 737–742, 442s. 809H, 396, 397s. 811, 329s. 811(3), 306s. 813(1)(a), 306s. 815, 329s 825(1)(a), 306s. 826, 330s. 831(1A), 350s. 834, 204s. 835E, 577s. 835G, 233s. 835H, 240s. 835I, 240s. 835J, 240s. 835K, 240s. 835L, 240s. 835M, 240s. 835S, 232s. 835S(2), 229s. 835U(1), 232s. 835W, 238s. 835X, 238s. 853E(3), 272s. 874, 318, 321s. 874(1), 314, 326s. 874(2), 314s. 879(1)(a), 326s 884, 319s. 888, 576s. 898(1), 329s. 899(2), 329s. 899(3), 329s. 899(4), 329</w:t>
      </w:r>
    </w:p>
    <w:p>
      <w:pPr>
        <w:spacing w:after="80"/>
      </w:pPr>
      <w:r>
        <w:rPr>
          <w:b w:val="0"/>
          <w:i w:val="0"/>
        </w:rPr>
        <w:t>s. 373(1), 240Income Tax Act 2007*</w:t>
      </w:r>
    </w:p>
    <w:p>
      <w:pPr>
        <w:spacing w:after="80"/>
      </w:pPr>
      <w:r>
        <w:rPr>
          <w:b w:val="0"/>
          <w:i w:val="0"/>
        </w:rPr>
        <w:t>s. 56(3)(za), 212s. 474, 168s. 474(1), 169, 204s. 475(6), 205s. 476, 204</w:t>
      </w:r>
    </w:p>
    <w:p>
      <w:pPr>
        <w:spacing w:after="80"/>
      </w:pPr>
      <w:r>
        <w:rPr>
          <w:b w:val="0"/>
          <w:i w:val="0"/>
        </w:rPr>
        <w:t>722</w:t>
      </w:r>
    </w:p>
    <w:p>
      <w:pPr>
        <w:spacing w:after="80"/>
      </w:pPr>
      <w:r>
        <w:rPr>
          <w:b w:val="0"/>
          <w:i w:val="0"/>
        </w:rPr>
        <w:t>s. 901(3), 330s. 903(5), 330s. 906, 294, 329, 336s. 906(2), 329s. 906(4), 329s. 906(5), 330s. 907, 329s. 908, 329s. 910, 336s. 911(1), 574s. 911(2), 574s. 911(3), 575s. 912, 575s. 913(1), 575s. 914(1)(a), 576s. 914(1)(b), 576s. 915, 576s. 916, 577s. 930, 326s. 934, 326s. 966–970, 295, 577, 579s. 971, 304s. 973, 306, 574s. 974, 574s 989, 166s. 992, 166Pt. 9A, 382, 384Pt. 13, Ch. 1, 506Pt. 13, Ch. 2, 258, 441, 479, 505Pt 13, Ch 3, 478Pt. 14, 232Pt 14, Ch 1, 509, 511Pt. 14, Ch. 2B, 232, 233, 240, 577Pt. 14, Ch. 2C, 232, 233, 238, 240, 577Pt 14, Ch 3, 304Pt. 14, Ch. A1, 394, 395Pt. 15, 325, 335, 339, 565Pt 15, Ch 6, 327Pt 15, Ch 7, 327Income Tax (Earnings and Pensions) Act</w:t>
      </w:r>
    </w:p>
    <w:p>
      <w:pPr>
        <w:spacing w:after="80"/>
      </w:pPr>
      <w:r>
        <w:rPr>
          <w:b w:val="0"/>
          <w:i w:val="0"/>
        </w:rPr>
        <w:t>s. 6(1), 345s. 7(1), 342s. 7(3)(b), 345s. 7(5), 345s. 15, 179s. 16, 349s. 18, 349s. 19, 349s. 26(1)(b), 363s. 27, 345s 27(1)(b), 363s. 28(2), 363s. 28(5)–(7), 363s. 29, 349s. 39(3)(a), 349s. 40(1), 355s. 40(2), 355s. 41F–41H, 353s. 44(2), 348s. 50(1), 348s. 50(1)(b), 348s. 61B, 348s 61D, 348s 62, 343s. 62(2), 342s. 300, 361s. 302s. 301(1), 361s. 301(5), 361s. 395B, 345s 401, 343s. 413, 345s. 414, 345s. 421E(1), 352s. 421E(2), 352s 474, 352s. 566, 368s. 569(1), 369s. 570, 368s. 573(1), 369s. 574(1), 368s. 642, 366s. 683(1), 578s. 690, 578Pt. 2, Ch. 5B, 345, 353</w:t>
      </w:r>
    </w:p>
    <w:p>
      <w:pPr>
        <w:spacing w:after="80"/>
      </w:pPr>
      <w:r>
        <w:rPr>
          <w:b w:val="0"/>
          <w:i w:val="0"/>
        </w:rPr>
        <w:t>2003*, 341, 367, 444s. 1(1)(a), 342s. 4(1), 346s. 5(1), 346s. 5(3), 346</w:t>
      </w:r>
    </w:p>
    <w:p>
      <w:pPr>
        <w:spacing w:after="80"/>
      </w:pPr>
      <w:r>
        <w:rPr>
          <w:b w:val="0"/>
          <w:i w:val="0"/>
        </w:rPr>
        <w:t>723</w:t>
      </w:r>
    </w:p>
    <w:p>
      <w:pPr>
        <w:spacing w:after="80"/>
      </w:pPr>
      <w:r>
        <w:rPr>
          <w:b w:val="0"/>
          <w:i w:val="0"/>
        </w:rPr>
        <w:t>Pt. 2, Ch. 7, 347Pt. 2, Ch. 8, 347Pt. 2, Ch. 9, 348Pt 3, 345Pt. 3, Ch. 1, 342Pt. 5, Ch. 6, 355Pt. 6, Ch. 2, 345Pt. 6, Ch. 3, 345Pt. 7, 345Pt. 7, Ch. 3A–3D, 352Pt. 7, Ch. 5, 342Pt. 9, 363, 368Pt 10, Ch 6, 369Pt. 11, 294, 565Income Tax (Trading and Other Income)</w:t>
      </w:r>
    </w:p>
    <w:p>
      <w:pPr>
        <w:spacing w:after="80"/>
      </w:pPr>
      <w:r>
        <w:rPr>
          <w:b w:val="0"/>
          <w:i w:val="0"/>
        </w:rPr>
        <w:t>s. 577(4), 329s. 579, 329s. 579(1), 327s. 579(2), 328s. 579(2)(a), 332s. 579(2)(d), 332s. 583(1), 328, 336s. 583(4), 328, 332s. 587, 328s. 587(1), 336s. 587(2)(b), 336, 381s. 587(4), 328, 335s. 608E, 330s. 608F, 330s. 608H, 330s. 608O–608R, 330s. 609(1), 328s. 614(1), 328s 771, 361s. 758, 411s. 758(5), 577s. 762, 577s. 763, 411s. 764, 411s 830(2)(e), 319s. 832A(4), 209s. 848, 48, 206s. 858, 48s. 858(1)(a)(i), 206s. 863, 167Pt. 2, 285, 294, 295, 444Pt. 3, 260Pt 4, 302, 306Pt. 5, 327, 329, 332, 335Pt. 5, Ch. 8, 572Inheritance Tax Act 1984*</w:t>
      </w:r>
    </w:p>
    <w:p>
      <w:pPr>
        <w:spacing w:after="80"/>
      </w:pPr>
      <w:r>
        <w:rPr>
          <w:b w:val="0"/>
          <w:i w:val="0"/>
        </w:rPr>
        <w:t>Act 2005*, 380s. 5, 284s. 6, 179s. 6(1A), 382s. 6(2), 260s 6(2A), 261s. 6(3), 284s 6A, 382s. 6B, 382s. 9, 304s. 10, 304s. 11, 304s. 12, 304s 13, 294s. 16B, 347s. 16C, 347s. 146, 328s. 173, 471s. 264, 302s. 265, 302s. 269, 179s 366(1), 312s. 368, 179s. 397, 147, 307s. 397(1), 30s. 397A, 471s. 575(1), 332s. 577, 328s. 577(2), 329s. 577(3), 329</w:t>
      </w:r>
    </w:p>
    <w:p>
      <w:pPr>
        <w:spacing w:after="80"/>
      </w:pPr>
      <w:r>
        <w:rPr>
          <w:b w:val="0"/>
          <w:i w:val="0"/>
        </w:rPr>
        <w:t>nói chung, 158s. 158, 29International Organisations Act 1968*</w:t>
      </w:r>
    </w:p>
    <w:p>
      <w:pPr>
        <w:spacing w:after="80"/>
      </w:pPr>
      <w:r>
        <w:rPr>
          <w:b w:val="0"/>
          <w:i w:val="0"/>
        </w:rPr>
        <w:t>Sch 1, 26Interpretation Act 1978*</w:t>
      </w:r>
    </w:p>
    <w:p>
      <w:pPr>
        <w:spacing w:after="80"/>
      </w:pPr>
      <w:r>
        <w:rPr>
          <w:b w:val="0"/>
          <w:i w:val="0"/>
        </w:rPr>
        <w:t>Sch. 1, 18, 160Land Registration Act 1925*</w:t>
      </w:r>
    </w:p>
    <w:p>
      <w:pPr>
        <w:spacing w:after="80"/>
      </w:pPr>
      <w:r>
        <w:rPr>
          <w:b w:val="0"/>
          <w:i w:val="0"/>
        </w:rPr>
        <w:t>s. 129, 642Limited Liability Partnerships Act 2000*,</w:t>
      </w:r>
    </w:p>
    <w:p>
      <w:pPr>
        <w:spacing w:after="80"/>
      </w:pPr>
      <w:r>
        <w:rPr>
          <w:b w:val="0"/>
          <w:i w:val="0"/>
        </w:rPr>
        <w:t>724</w:t>
      </w:r>
    </w:p>
    <w:p>
      <w:pPr>
        <w:spacing w:after="80"/>
      </w:pPr>
      <w:r>
        <w:rPr>
          <w:b w:val="0"/>
          <w:i w:val="0"/>
        </w:rPr>
        <w:t>167art. 3, 167Merchant Shipping Act 1894*</w:t>
      </w:r>
    </w:p>
    <w:p>
      <w:pPr>
        <w:spacing w:after="80"/>
      </w:pPr>
      <w:r>
        <w:rPr>
          <w:b w:val="0"/>
          <w:i w:val="0"/>
        </w:rPr>
        <w:t>s. 1A(3), 376s. 1A(3)(b), 381s. 1A(3)(c), 384s. 1B, 380s. 1C(1), 381s. 1C(2), 381s. 1C(3), 381s. 1C(4), 381s. 1C(6), 381s. 1D(1)(a), 384s. 1D(1)(b), 384s. 1M, 387s. 1M(1), 387s. 1M(2), 387s. 1M(3), 387s. 1M(5), 387s. 2, 188s. 2(1), 179, 180s. 2B, 380s. 2B(3)(a), 380s. 2B(3)(b), 380s. 2C, 376s. 3, 377s. 9(2), 585s 10A(10), 387s. 12, 394s. 25(1), 380s. 25(3), 380s. 38, 386s. 38(4), 386s. 69, 168s. 69(1), 205s 69A, 204s. 77, 378s. 77(1)(c), 526s. 79B, 377s. 79B(2), 377, 378s. 80(2), 386s. 80(4), 386s. 80(5), 386s. 83, 51, 386s. 83A, 188, 206, 379s. 84, 51s. 86, 378s. 87, 526</w:t>
      </w:r>
    </w:p>
    <w:p>
      <w:pPr>
        <w:spacing w:after="80"/>
      </w:pPr>
      <w:r>
        <w:rPr>
          <w:b w:val="0"/>
          <w:i w:val="0"/>
        </w:rPr>
        <w:t>nói chung, 78National Audit Act 1983*</w:t>
      </w:r>
    </w:p>
    <w:p>
      <w:pPr>
        <w:spacing w:after="80"/>
      </w:pPr>
      <w:r>
        <w:rPr>
          <w:b w:val="0"/>
          <w:i w:val="0"/>
        </w:rPr>
        <w:t>s. 8, 642Oil Taxation Act 1983*</w:t>
      </w:r>
    </w:p>
    <w:p>
      <w:pPr>
        <w:spacing w:after="80"/>
      </w:pPr>
      <w:r>
        <w:rPr>
          <w:b w:val="0"/>
          <w:i w:val="0"/>
        </w:rPr>
        <w:t>s. 12, 30Parliamentary Commissioner Act 1967*</w:t>
      </w:r>
    </w:p>
    <w:p>
      <w:pPr>
        <w:spacing w:after="80"/>
      </w:pPr>
      <w:r>
        <w:rPr>
          <w:b w:val="0"/>
          <w:i w:val="0"/>
        </w:rPr>
        <w:t>s. 6(4), 591s. 8, 642Partnership Act 1890*</w:t>
      </w:r>
    </w:p>
    <w:p>
      <w:pPr>
        <w:spacing w:after="80"/>
      </w:pPr>
      <w:r>
        <w:rPr>
          <w:b w:val="0"/>
          <w:i w:val="0"/>
        </w:rPr>
        <w:t>s. 5, 233Prevention of Terrorism (Temporary</w:t>
      </w:r>
    </w:p>
    <w:p>
      <w:pPr>
        <w:spacing w:after="80"/>
      </w:pPr>
      <w:r>
        <w:rPr>
          <w:b w:val="0"/>
          <w:i w:val="0"/>
        </w:rPr>
        <w:t>Provisions) Act 1989*s. 17, 642Sch. 17, 642Recognition of Trusts Act 1987*</w:t>
      </w:r>
    </w:p>
    <w:p>
      <w:pPr>
        <w:spacing w:after="80"/>
      </w:pPr>
      <w:r>
        <w:rPr>
          <w:b w:val="0"/>
          <w:i w:val="0"/>
        </w:rPr>
        <w:t>nói chung, 7Social Security Act 1986*</w:t>
      </w:r>
    </w:p>
    <w:p>
      <w:pPr>
        <w:spacing w:after="80"/>
      </w:pPr>
      <w:r>
        <w:rPr>
          <w:b w:val="0"/>
          <w:i w:val="0"/>
        </w:rPr>
        <w:t>s. 59, 642Social Security Administration Act 1992*</w:t>
      </w:r>
    </w:p>
    <w:p>
      <w:pPr>
        <w:spacing w:after="80"/>
      </w:pPr>
      <w:r>
        <w:rPr>
          <w:b w:val="0"/>
          <w:i w:val="0"/>
        </w:rPr>
        <w:t>s. 122, 642Social Security and Housing Benefit Act</w:t>
      </w:r>
    </w:p>
    <w:p>
      <w:pPr>
        <w:spacing w:after="80"/>
      </w:pPr>
      <w:r>
        <w:rPr>
          <w:b w:val="0"/>
          <w:i w:val="0"/>
        </w:rPr>
        <w:t>1982*s. 25, 642Social Security Contributions and</w:t>
      </w:r>
    </w:p>
    <w:p>
      <w:pPr>
        <w:spacing w:after="80"/>
      </w:pPr>
      <w:r>
        <w:rPr>
          <w:b w:val="0"/>
          <w:i w:val="0"/>
        </w:rPr>
        <w:t>Benefits Act 1992*Pt. 1, 372Social Security Pensions Act 1975*</w:t>
      </w:r>
    </w:p>
    <w:p>
      <w:pPr>
        <w:spacing w:after="80"/>
      </w:pPr>
      <w:r>
        <w:rPr>
          <w:b w:val="0"/>
          <w:i w:val="0"/>
        </w:rPr>
        <w:t>s. 59K(6), 642Stamp Act 1891*</w:t>
      </w:r>
    </w:p>
    <w:p>
      <w:pPr>
        <w:spacing w:after="80"/>
      </w:pPr>
      <w:r>
        <w:rPr>
          <w:b w:val="0"/>
          <w:i w:val="0"/>
        </w:rPr>
        <w:t>s. 14, 570State Immunity Act 1978*, 212</w:t>
      </w:r>
    </w:p>
    <w:p>
      <w:pPr>
        <w:spacing w:after="80"/>
      </w:pPr>
      <w:r>
        <w:rPr>
          <w:b w:val="0"/>
          <w:i w:val="0"/>
        </w:rPr>
        <w:t>s. 1(1), 9s 11, 9s. 14(1), 212s. 14(2), 212s. 16(5), 9Taxation of Chargeable Gains Act</w:t>
      </w:r>
    </w:p>
    <w:p>
      <w:pPr>
        <w:spacing w:after="80"/>
      </w:pPr>
      <w:r>
        <w:rPr>
          <w:b w:val="0"/>
          <w:i w:val="0"/>
        </w:rPr>
        <w:t>(TCGA) 1979*s. 2B(1)Taxation of Chargeable Gains Act</w:t>
      </w:r>
    </w:p>
    <w:p>
      <w:pPr>
        <w:spacing w:after="80"/>
      </w:pPr>
      <w:r>
        <w:rPr>
          <w:b w:val="0"/>
          <w:i w:val="0"/>
        </w:rPr>
        <w:t>(TCGA) 1992*, 377s. 1A(1), 376</w:t>
      </w:r>
    </w:p>
    <w:p>
      <w:pPr>
        <w:spacing w:after="80"/>
      </w:pPr>
      <w:r>
        <w:rPr>
          <w:b w:val="0"/>
          <w:i w:val="0"/>
        </w:rPr>
        <w:t>725</w:t>
      </w:r>
    </w:p>
    <w:p>
      <w:pPr>
        <w:spacing w:after="80"/>
      </w:pPr>
      <w:r>
        <w:rPr>
          <w:b w:val="0"/>
          <w:i w:val="0"/>
        </w:rPr>
        <w:t>s. 137, 506s. 137(1), 421s. 139, 463s. 140B, 421s. 140D, 421s. 152, 51s. 185(1), 385s. 185(2), 385s. 185(4), 385s. 187(1)(a), 386s. 187(3), 385s. 256(1), 215s. 271(1A), 215s. 271B, 577s. 275(1)(a), 381s. 275(1)(f), 385s. 275C, 381s. 276(7), 384s. 277(4), 640s. 288(1), 380Pt. 1, Ch. 3, 377Pt 7A, 232, 577Sch. 5AAA, 376, 384Sch 7AC, 253Sch. B1, para. 3, 384Sch. B1, para. 3(1), 384Sch. B1, para. 8, 384Sch. B1, para. 9, 384Sch. B1, Pt, 2, 384Sch. B1, Pt, 3, 384Sch. B1, Pt, 4, 384Taxation (International and Other</w:t>
      </w:r>
    </w:p>
    <w:p>
      <w:pPr>
        <w:spacing w:after="80"/>
      </w:pPr>
      <w:r>
        <w:rPr>
          <w:b w:val="0"/>
          <w:i w:val="0"/>
        </w:rPr>
        <w:t>s. 6(2), 30, 565s. 6(2)(a), 31, 32s. 6(2)(b), 34, 565s. 6(2)(c), 565, 566s. 6(2)(e), 577s. 6(2)(f), 566s. 6(2)(g), 35s. 6(4), 30s. 6(5), 30s. 6(6), 567s. 7, 570s. 9, 444s. 9(1)(b), 271s. 9(7), 443, 444s. 11(1), 439s. 11(2), 439s. 11(3), 439, 440, 446, 447s. 14(3)(b), 443s. 18, 440s. 18(3), 445s. 19, 568s. 20, 450s. 20(6), 451s. 21(1), 446s. 22–24, 443s. 26, 444s. 28, 444s. 29, 444s. 30, 444s. 43, 274, 279s. 43(5), 279s. 44, 439s. 57, 254, 310s. 57–71, 450s. 63, 451s. 105, 437s. 106, 437s. 124, 298, 594, 602, 604s. 124(1)(b), 600s. 124(2), 594s. 124(3), 600s. 124(4), 601s. 125, 298, 594, 595, 602, 604s. 125(2), 594s. 125(3), 595</w:t>
      </w:r>
    </w:p>
    <w:p>
      <w:pPr>
        <w:spacing w:after="80"/>
      </w:pPr>
      <w:r>
        <w:rPr>
          <w:b w:val="0"/>
          <w:i w:val="0"/>
        </w:rPr>
        <w:t>Provisions) Act 2010*s. 2, 20s 2–6, 22s. 2(1), 22, 28s. 2(3), 29s. 2(3)(e), 33s. 2A, 530s. 3(1), 39s. 3(2), 30, 39s. 4, 30, 39, 450s. 5(2), 23s. 6, 33, 34, 44, 456, 565, 641s. 6(1), 48, 480</w:t>
      </w:r>
    </w:p>
    <w:p>
      <w:pPr>
        <w:spacing w:after="80"/>
      </w:pPr>
      <w:r>
        <w:rPr>
          <w:b w:val="0"/>
          <w:i w:val="0"/>
        </w:rPr>
        <w:t>726</w:t>
      </w:r>
    </w:p>
    <w:p>
      <w:pPr>
        <w:spacing w:after="80"/>
      </w:pPr>
      <w:r>
        <w:rPr>
          <w:b w:val="0"/>
          <w:i w:val="0"/>
        </w:rPr>
        <w:t>s. 126, 29, 610, 625s 127, 625, 626, 628s. 128, 610, 643s 128-C, 611s. 129, 643s. 130, 49, 258s. 130A, 365s. 131, 48, 49, 143, 324s. 131(2), 143s. 131(3), 143s. 131(4), 144s. 131(6), 143s. 132, 49, 144, 337s. 132(4), 338s. 132(5), 338s. 132(7), 338s. 133(1), 339s. 133(3), 339s. 136(3), 29s. 147(1)(a), 296s. 148, 272, 296s. 153, 316s. 159, 296s. 166, 470s. 167, 470s. 173, 471s. 173(2), 471s. 173(2)(1), 471s. 173(2)(b), 471s 187, 325s 399, 213Pt. 2, 29, 33, 45, 47, 436, 570Pt. 2, Ch. 1, 28, 99, 150, 157, 641Pt. 2, Ch. 2, 437Pt 3, 29, 30Pt. 4, 272, 295, 298, 316, 338, 339Pt. 5, 576Pt. 9A, 32Sch. 9, 40, 439Taxes Management Act 1970*</w:t>
      </w:r>
    </w:p>
    <w:p>
      <w:pPr>
        <w:spacing w:after="80"/>
      </w:pPr>
      <w:r>
        <w:rPr>
          <w:b w:val="0"/>
          <w:i w:val="0"/>
        </w:rPr>
        <w:t>s. 18, 644s. 42, 567, 570, 594s. 42(1A), 568s. 42(11), 568s. 43, 568, 596s. 46C(3), 585s. 49A, 586s. 49B, 586s 49D-49G, 626s. 54, 599s 56A(1), 585s. 87, 571s. 109B, 580Sch 1, 568, 570Sch. 1A, 569Tenant’s Rights etc. (Scotland) Act</w:t>
      </w:r>
    </w:p>
    <w:p>
      <w:pPr>
        <w:spacing w:after="80"/>
      </w:pPr>
      <w:r>
        <w:rPr>
          <w:b w:val="0"/>
          <w:i w:val="0"/>
        </w:rPr>
        <w:t>1980*s. 1, 642Territorial Sea Act 1987*</w:t>
      </w:r>
    </w:p>
    <w:p>
      <w:pPr>
        <w:spacing w:after="80"/>
      </w:pPr>
      <w:r>
        <w:rPr>
          <w:b w:val="0"/>
          <w:i w:val="0"/>
        </w:rPr>
        <w:t>s. 1, 392Tribunals, Courts and Enforcement Act</w:t>
      </w:r>
    </w:p>
    <w:p>
      <w:pPr>
        <w:spacing w:after="80"/>
      </w:pPr>
      <w:r>
        <w:rPr>
          <w:b w:val="0"/>
          <w:i w:val="0"/>
        </w:rPr>
        <w:t>2007s. 9, 586s. 10, 586s. 11, 586s. 13, 586s. 15, 587s. 30, 585Visiting Forces Act 1952*</w:t>
      </w:r>
    </w:p>
    <w:p>
      <w:pPr>
        <w:spacing w:after="80"/>
      </w:pPr>
      <w:r>
        <w:rPr>
          <w:b w:val="0"/>
          <w:i w:val="0"/>
        </w:rPr>
        <w:t>nói chung, 27Wireless Telegraphy Act 2006*</w:t>
      </w:r>
    </w:p>
    <w:p>
      <w:pPr>
        <w:spacing w:after="80"/>
      </w:pPr>
      <w:r>
        <w:rPr>
          <w:b w:val="0"/>
          <w:i w:val="0"/>
        </w:rPr>
        <w:t>s. 8, 328Cross-Border Insolvency Regulations</w:t>
      </w:r>
    </w:p>
    <w:p>
      <w:pPr>
        <w:spacing w:after="80"/>
      </w:pPr>
      <w:r>
        <w:rPr>
          <w:b w:val="0"/>
          <w:i w:val="0"/>
        </w:rPr>
        <w:t>2006 (SI 2006/1030)Sch. 1, art. 13(3), 637Data-Gathering Powers (Relevant Data)</w:t>
      </w:r>
    </w:p>
    <w:p>
      <w:pPr>
        <w:spacing w:after="80"/>
      </w:pPr>
      <w:r>
        <w:rPr>
          <w:b w:val="0"/>
          <w:i w:val="0"/>
        </w:rPr>
        <w:t>Regulations 2012 (SI2012/847), 644Double Taxation Relief (Taxes on</w:t>
      </w:r>
    </w:p>
    <w:p>
      <w:pPr>
        <w:spacing w:after="80"/>
      </w:pPr>
      <w:r>
        <w:rPr>
          <w:b w:val="0"/>
          <w:i w:val="0"/>
        </w:rPr>
        <w:t>Income) (General) Regulations1970 (SI 1970/488)*, 571, 574,575reg. 2(2), 571reg. 3, 571reg. 8, 572</w:t>
      </w:r>
    </w:p>
    <w:p>
      <w:pPr>
        <w:spacing w:after="80"/>
      </w:pPr>
      <w:r>
        <w:rPr>
          <w:b w:val="0"/>
          <w:i w:val="0"/>
        </w:rPr>
        <w:t>s. 7(1), 565s. 7(2), 578s. 7(3), 565s. 9, 565s. 17, 644</w:t>
      </w:r>
    </w:p>
    <w:p>
      <w:pPr>
        <w:spacing w:after="80"/>
      </w:pPr>
      <w:r>
        <w:rPr>
          <w:b w:val="0"/>
          <w:i w:val="0"/>
        </w:rPr>
        <w:t>727</w:t>
      </w:r>
    </w:p>
    <w:p>
      <w:pPr>
        <w:spacing w:after="80"/>
      </w:pPr>
      <w:r>
        <w:rPr>
          <w:b w:val="0"/>
          <w:i w:val="0"/>
        </w:rPr>
        <w:t>reg. 9, 572, 577Exemption from Tax for Certain Interest</w:t>
      </w:r>
    </w:p>
    <w:p>
      <w:pPr>
        <w:spacing w:after="80"/>
      </w:pPr>
      <w:r>
        <w:rPr>
          <w:b/>
          <w:i w:val="0"/>
        </w:rPr>
        <w:t>Hoa Kỳ</w:t>
      </w:r>
      <w:r>
        <w:rPr>
          <w:b w:val="0"/>
          <w:i w:val="0"/>
        </w:rPr>
        <w:t>Foreign Account Tax Compliance Act</w:t>
      </w:r>
    </w:p>
    <w:p>
      <w:pPr>
        <w:spacing w:after="80"/>
      </w:pPr>
      <w:r>
        <w:rPr>
          <w:b w:val="0"/>
          <w:i w:val="0"/>
        </w:rPr>
        <w:t>Payments Regulations 2004 (SI2004/2622)*, 577International Tax Compliance (Crown</w:t>
      </w:r>
    </w:p>
    <w:p>
      <w:pPr>
        <w:spacing w:after="80"/>
      </w:pPr>
      <w:r>
        <w:rPr>
          <w:b w:val="0"/>
          <w:i w:val="0"/>
        </w:rPr>
        <w:t>(FATCA)/ Internal RevenueCode*, 24, 473§§ 1471-1474, 288, 678Trade Act of 1974*</w:t>
      </w:r>
    </w:p>
    <w:p>
      <w:pPr>
        <w:spacing w:after="80"/>
      </w:pPr>
      <w:r>
        <w:rPr>
          <w:b w:val="0"/>
          <w:i w:val="0"/>
        </w:rPr>
        <w:t>Dependencies and Gibraltar)Regulations 2014 (SI2014/520), 646, 656International Tax Compliance</w:t>
      </w:r>
    </w:p>
    <w:p>
      <w:pPr>
        <w:spacing w:after="80"/>
      </w:pPr>
      <w:r>
        <w:rPr>
          <w:b w:val="0"/>
          <w:i w:val="0"/>
        </w:rPr>
        <w:t>s. 301, 158nói chung, 158</w:t>
      </w:r>
    </w:p>
    <w:p>
      <w:pPr>
        <w:spacing w:after="80"/>
      </w:pPr>
      <w:r>
        <w:rPr>
          <w:b w:val="0"/>
          <w:i w:val="0"/>
        </w:rPr>
        <w:t>Quy định 2015 (SI2015/878), 646, 647Real Estate Investment Trusts</w:t>
      </w:r>
    </w:p>
    <w:p>
      <w:pPr>
        <w:spacing w:after="80"/>
      </w:pPr>
      <w:r>
        <w:rPr>
          <w:b w:val="0"/>
          <w:i w:val="0"/>
        </w:rPr>
        <w:t>(Đánh giá và Thu hồi Thuế) Quy định 2006 (SI2006/2867), 574reg. 3, 306Real Estate Investment Trusts (Vi phạm</w:t>
      </w:r>
    </w:p>
    <w:p>
      <w:pPr>
        <w:spacing w:after="80"/>
      </w:pPr>
      <w:r>
        <w:rPr>
          <w:b w:val="0"/>
          <w:i w:val="0"/>
        </w:rPr>
        <w:t>Điều kiện) Quy định 2006(SI 2006/2864)reg. 10(1)(b), 308Thu hồi Thuế Nước ngoài</w:t>
      </w:r>
    </w:p>
    <w:p>
      <w:pPr>
        <w:spacing w:after="80"/>
      </w:pPr>
      <w:r>
        <w:rPr>
          <w:b w:val="0"/>
          <w:i w:val="0"/>
        </w:rPr>
        <w:t>Quy định 2007 (SI2007/3507)*, 681reg. 3, 683reg. 4, 681reg. 10, 681reg. 11, 681reg. 12, 681reg. 64, 681Thuế Thu nhập từ Đất đai</w:t>
      </w:r>
    </w:p>
    <w:p>
      <w:pPr>
        <w:spacing w:after="80"/>
      </w:pPr>
      <w:r>
        <w:rPr>
          <w:b w:val="0"/>
          <w:i w:val="0"/>
        </w:rPr>
        <w:t>(Người không cư trú) Quy định1995 (SI1995/2902)., 304Thuế (Xói mòn Cơ sở và Chuyển dịch Lợi nhuận)</w:t>
      </w:r>
    </w:p>
    <w:p>
      <w:pPr>
        <w:spacing w:after="80"/>
      </w:pPr>
      <w:r>
        <w:rPr>
          <w:b w:val="0"/>
          <w:i w:val="0"/>
        </w:rPr>
        <w:t>(Báo cáo Theo Quốc gia) Quy định 2016(SI 2016/237)*reg. 2(1), 647reg. 3(1), 647reg. 3(3), 647reg. 3(4), 647reg. 4, 647</w:t>
      </w:r>
    </w:p>
    <w:p>
      <w:pPr>
        <w:spacing w:after="80"/>
      </w:pPr>
      <w:r>
        <w:rPr>
          <w:b w:val="0"/>
          <w:i w:val="0"/>
        </w:rPr>
        <w:t>728</w:t>
      </w:r>
    </w:p>
    <w:p>
      <w:pPr>
        <w:spacing w:before="240" w:after="80"/>
      </w:pPr>
      <w:r>
        <w:rPr>
          <w:b/>
          <w:sz w:val="32"/>
        </w:rPr>
        <w:t>Bảng Hiệp định Song phương và Hiệp định</w:t>
      </w:r>
    </w:p>
    <w:p>
      <w:pPr>
        <w:spacing w:before="240" w:after="80"/>
      </w:pPr>
      <w:r>
        <w:rPr>
          <w:b/>
          <w:sz w:val="32"/>
        </w:rPr>
        <w:t>Mẫu</w:t>
      </w:r>
    </w:p>
    <w:p>
      <w:pPr>
        <w:spacing w:after="80"/>
      </w:pPr>
      <w:r>
        <w:rPr>
          <w:b w:val="0"/>
          <w:i/>
        </w:rPr>
        <w:t>Tất cả các hiệp định đều liên quan đến đánh thuế hai lần đối với thu nhập và vốn, trừ khi có ghi chú khác.</w:t>
      </w:r>
    </w:p>
    <w:p>
      <w:pPr>
        <w:spacing w:after="80"/>
      </w:pPr>
      <w:r>
        <w:rPr>
          <w:b/>
          <w:i w:val="0"/>
        </w:rPr>
        <w:t>Hiệp định Thuế Albania-UK (2013)</w:t>
      </w:r>
    </w:p>
    <w:p>
      <w:pPr>
        <w:spacing w:after="80"/>
      </w:pPr>
      <w:r>
        <w:rPr>
          <w:b w:val="0"/>
          <w:i w:val="0"/>
        </w:rPr>
        <w:t>art. 23(2), 397art. 25(6), 520Hiệp định Thuế Áo-Đức</w:t>
      </w:r>
    </w:p>
    <w:p>
      <w:pPr>
        <w:spacing w:after="80"/>
      </w:pPr>
      <w:r>
        <w:rPr>
          <w:b w:val="0"/>
          <w:i w:val="0"/>
        </w:rPr>
        <w:t>art. 21(1)(b), 436, 451art. 25(5), 604Hiệp định Thuế Antigua-UK (1947)</w:t>
      </w:r>
    </w:p>
    <w:p>
      <w:pPr>
        <w:spacing w:after="80"/>
      </w:pPr>
      <w:r>
        <w:rPr>
          <w:b w:val="0"/>
          <w:i w:val="0"/>
        </w:rPr>
        <w:t>art. 11(2), 148, 319art. 25(5), 62Hiệp định Thuế Áo-UK (1969)</w:t>
      </w:r>
    </w:p>
    <w:p>
      <w:pPr>
        <w:spacing w:after="80"/>
      </w:pPr>
      <w:r>
        <w:rPr>
          <w:b w:val="0"/>
          <w:i w:val="0"/>
        </w:rPr>
        <w:t>art. 6, 331, 500art. 7, 356art. 11, 347Hiệp định Thuế Australia-UK (1946)</w:t>
      </w:r>
    </w:p>
    <w:p>
      <w:pPr>
        <w:spacing w:after="80"/>
      </w:pPr>
      <w:r>
        <w:rPr>
          <w:b w:val="0"/>
          <w:i w:val="0"/>
        </w:rPr>
        <w:t>art. 11(2), 317art. 13(5), 387art. 25(1), 456Hiệp định thuế Azerbaijan-UK</w:t>
      </w:r>
    </w:p>
    <w:p>
      <w:pPr>
        <w:spacing w:after="80"/>
      </w:pPr>
      <w:r>
        <w:rPr>
          <w:b w:val="0"/>
          <w:i w:val="0"/>
        </w:rPr>
        <w:t>Art. III(2), 397Hiệp định thuế Australia-UK (1967)</w:t>
      </w:r>
    </w:p>
    <w:p>
      <w:pPr>
        <w:spacing w:after="80"/>
      </w:pPr>
      <w:r>
        <w:rPr>
          <w:b w:val="0"/>
          <w:i w:val="0"/>
        </w:rPr>
        <w:t>art. 23(2), 503art. 25(2), 603</w:t>
      </w:r>
    </w:p>
    <w:p>
      <w:pPr>
        <w:spacing w:after="80"/>
      </w:pPr>
      <w:r>
        <w:rPr>
          <w:b w:val="0"/>
          <w:i w:val="0"/>
        </w:rPr>
        <w:t>art. 2(2), 155art. 2(4), 155art.3, 138art. 5(2)(f), 227art. 27(1), 652Hiệp định thuế Australia-UK (2003)</w:t>
      </w:r>
    </w:p>
    <w:p>
      <w:pPr>
        <w:spacing w:after="80"/>
      </w:pPr>
      <w:r>
        <w:rPr>
          <w:b/>
          <w:i w:val="0"/>
        </w:rPr>
        <w:t>Hiệp định thuế Bahrain-UK (2010), 183,</w:t>
      </w:r>
    </w:p>
    <w:p>
      <w:pPr>
        <w:spacing w:after="80"/>
      </w:pPr>
      <w:r>
        <w:rPr>
          <w:b/>
          <w:i w:val="0"/>
        </w:rPr>
        <w:t>499</w:t>
      </w:r>
    </w:p>
    <w:p>
      <w:pPr>
        <w:spacing w:after="80"/>
      </w:pPr>
      <w:r>
        <w:rPr>
          <w:b w:val="0"/>
          <w:i w:val="0"/>
        </w:rPr>
        <w:t>Hiệp định thuế Bangladesh-UK</w:t>
      </w:r>
    </w:p>
    <w:p>
      <w:pPr>
        <w:spacing w:after="80"/>
      </w:pPr>
      <w:r>
        <w:rPr>
          <w:b w:val="0"/>
          <w:i w:val="0"/>
        </w:rPr>
        <w:t>art. 4, 375art. 5(2)(f), 227art. 7(1), 376art. 13, 376art. 13(4), 375, 376art. 19(2), 568art. 21, 376art. 23, 460</w:t>
      </w:r>
    </w:p>
    <w:p>
      <w:pPr>
        <w:spacing w:after="80"/>
      </w:pPr>
      <w:r>
        <w:rPr>
          <w:b w:val="0"/>
          <w:i w:val="0"/>
        </w:rPr>
        <w:t>art. 4(4), 137art. 6(2), 303art. 11, 595art. 13(2), 380art. 13(5), 386art. 13(6), 379art. 15(1), 344art. 15(2), 344</w:t>
      </w:r>
    </w:p>
    <w:p>
      <w:pPr>
        <w:spacing w:after="80"/>
      </w:pPr>
      <w:r>
        <w:rPr>
          <w:b w:val="0"/>
          <w:i w:val="0"/>
        </w:rPr>
        <w:t>729</w:t>
      </w:r>
    </w:p>
    <w:p>
      <w:pPr>
        <w:spacing w:after="80"/>
      </w:pPr>
      <w:r>
        <w:rPr>
          <w:b w:val="0"/>
          <w:i w:val="0"/>
        </w:rPr>
        <w:t>Hiệp định thuế Barbados-UK (2012)</w:t>
      </w:r>
    </w:p>
    <w:p>
      <w:pPr>
        <w:spacing w:after="80"/>
      </w:pPr>
      <w:r>
        <w:rPr>
          <w:b w:val="0"/>
          <w:i w:val="0"/>
        </w:rPr>
        <w:t>art. 13(6), 387Hiệp định Botswana-UK (2005)</w:t>
      </w:r>
    </w:p>
    <w:p>
      <w:pPr>
        <w:spacing w:after="80"/>
      </w:pPr>
      <w:r>
        <w:rPr>
          <w:b w:val="0"/>
          <w:i w:val="0"/>
        </w:rPr>
        <w:t>art. 3(1)(j), 214art. 4(1), 214art. 10(2)(b), 310art. 12(2), 686art. 13(1), 381art. 17(3), 372art. 20(2), 391art. 21(2)(b), 436art. 21(2)(c), 436art. 22, 391art. 22(2), 502Hiệp định thuế Belgium-Germany</w:t>
      </w:r>
    </w:p>
    <w:p>
      <w:pPr>
        <w:spacing w:after="80"/>
      </w:pPr>
      <w:r>
        <w:rPr>
          <w:b w:val="0"/>
          <w:i w:val="0"/>
        </w:rPr>
        <w:t>art. 5(3), 241Trao đổi thông tin thuế Brazil-UK</w:t>
      </w:r>
    </w:p>
    <w:p>
      <w:pPr>
        <w:spacing w:after="80"/>
      </w:pPr>
      <w:r>
        <w:rPr>
          <w:b w:val="0"/>
          <w:i w:val="0"/>
        </w:rPr>
        <w:t>Hiệp định (2012)art. 1, 648Hiệp định thuế Bulgaria-UK</w:t>
      </w:r>
    </w:p>
    <w:p>
      <w:pPr>
        <w:spacing w:after="80"/>
      </w:pPr>
      <w:r>
        <w:rPr>
          <w:b w:val="0"/>
          <w:i w:val="0"/>
        </w:rPr>
        <w:t>art. 2(1), 154art. 19, 397</w:t>
      </w:r>
    </w:p>
    <w:p>
      <w:pPr>
        <w:spacing w:after="80"/>
      </w:pPr>
      <w:r>
        <w:rPr>
          <w:b/>
          <w:i w:val="0"/>
        </w:rPr>
        <w:t>Hiệp định thuế Canada-Ireland (1955),</w:t>
      </w:r>
    </w:p>
    <w:p>
      <w:pPr>
        <w:spacing w:after="80"/>
      </w:pPr>
      <w:r>
        <w:rPr>
          <w:b/>
          <w:i w:val="0"/>
        </w:rPr>
        <w:t>219, 367</w:t>
      </w:r>
    </w:p>
    <w:p>
      <w:pPr>
        <w:spacing w:after="80"/>
      </w:pPr>
      <w:r>
        <w:rPr>
          <w:b w:val="0"/>
          <w:i w:val="0"/>
        </w:rPr>
        <w:t>Hiệp định thuế Canada-Nam Phi</w:t>
      </w:r>
    </w:p>
    <w:p>
      <w:pPr>
        <w:spacing w:after="80"/>
      </w:pPr>
      <w:r>
        <w:rPr>
          <w:b w:val="0"/>
          <w:i w:val="0"/>
        </w:rPr>
        <w:t>art. 15(1), 71art. 23, 64Hiệp định thuế Bỉ-Luxembourg</w:t>
      </w:r>
    </w:p>
    <w:p>
      <w:pPr>
        <w:spacing w:after="80"/>
      </w:pPr>
      <w:r>
        <w:rPr>
          <w:b w:val="0"/>
          <w:i w:val="0"/>
        </w:rPr>
        <w:t>art. 23(4), 472Hiệp định thuế Canada-UK (1966)</w:t>
      </w:r>
    </w:p>
    <w:p>
      <w:pPr>
        <w:spacing w:after="80"/>
      </w:pPr>
      <w:r>
        <w:rPr>
          <w:b w:val="0"/>
          <w:i w:val="0"/>
        </w:rPr>
        <w:t>art. 13, 251art. 18, 358art. 21(2), 455nói chung, 133, 155Hiệp định thuế Canada-UK (1978)</w:t>
      </w:r>
    </w:p>
    <w:p>
      <w:pPr>
        <w:spacing w:after="80"/>
      </w:pPr>
      <w:r>
        <w:rPr>
          <w:b w:val="0"/>
          <w:i w:val="0"/>
        </w:rPr>
        <w:t>art. 15(1), 71Hiệp định thuế Bỉ-Hà Lan</w:t>
      </w:r>
    </w:p>
    <w:p>
      <w:pPr>
        <w:spacing w:after="80"/>
      </w:pPr>
      <w:r>
        <w:rPr>
          <w:b w:val="0"/>
          <w:i w:val="0"/>
        </w:rPr>
        <w:t>art. 7, 82art. 14(1), 85art. 22, 86Hiệp định thuế Bỉ-UK (1987)</w:t>
      </w:r>
    </w:p>
    <w:p>
      <w:pPr>
        <w:spacing w:after="80"/>
      </w:pPr>
      <w:r>
        <w:rPr>
          <w:b w:val="0"/>
          <w:i w:val="0"/>
        </w:rPr>
        <w:t>art. 2(1)(a), 154art. 3(1)(a)(ii), 392art. 4(2), 208art. 4(3), 208art. 6(2), 303art. 9, 295art. 12(4), 331art. 13, 383art. 13(2), 383art. 13(4)(b), 385art. 13(5)(a), 383art. 13(5)(b), 383art. 13(6), 383art. 13(9), 379art. 13(10), 386art. 15(1), 344, 353art. 17, 365art. 17(3), 368art. 20(1), 391art. 20(3), 391art. 22(1), 458art. 22(2), 462art. 22(3), 313art. 22(4), 313</w:t>
      </w:r>
    </w:p>
    <w:p>
      <w:pPr>
        <w:spacing w:after="80"/>
      </w:pPr>
      <w:r>
        <w:rPr>
          <w:b w:val="0"/>
          <w:i w:val="0"/>
        </w:rPr>
        <w:t>art. 4(2), 602art. 9(1), 463art. 9(6), 463art. 11(4), 284art. 12, 463art. 14, 284art. 14(1), 292art. 16, 356art. 23(2)–(4), 436art. 24(5), 463art. 25(5), 604Hiệp định thuế Belize-UK (1947)</w:t>
      </w:r>
    </w:p>
    <w:p>
      <w:pPr>
        <w:spacing w:after="80"/>
      </w:pPr>
      <w:r>
        <w:rPr>
          <w:b w:val="0"/>
          <w:i w:val="0"/>
        </w:rPr>
        <w:t>art. 2(1)(k), 219art. 12, 397Trao đổi thông tin thuế Bermuda-UK</w:t>
      </w:r>
    </w:p>
    <w:p>
      <w:pPr>
        <w:spacing w:after="80"/>
      </w:pPr>
      <w:r>
        <w:rPr>
          <w:b w:val="0"/>
          <w:i w:val="0"/>
        </w:rPr>
        <w:t>Hiệp định (2007)art. 5(1), 655art. 5(2), 655art. 5(4), 655art. 5(7), 655art. 6, 655Hiệp định thuế Bolivia-UK</w:t>
      </w:r>
    </w:p>
    <w:p>
      <w:pPr>
        <w:spacing w:after="80"/>
      </w:pPr>
      <w:r>
        <w:rPr>
          <w:b w:val="0"/>
          <w:i w:val="0"/>
        </w:rPr>
        <w:t>art. 5(2)(d), 228</w:t>
      </w:r>
    </w:p>
    <w:p>
      <w:pPr>
        <w:spacing w:after="80"/>
      </w:pPr>
      <w:r>
        <w:rPr>
          <w:b w:val="0"/>
          <w:i w:val="0"/>
        </w:rPr>
        <w:t>730</w:t>
      </w:r>
    </w:p>
    <w:p>
      <w:pPr>
        <w:spacing w:after="80"/>
      </w:pPr>
      <w:r>
        <w:rPr>
          <w:b w:val="0"/>
          <w:i w:val="0"/>
        </w:rPr>
        <w:t>art. 27(2), 396art. 27A, 392art. 27A(2), 392art. 27A(3), 392art. 27A(4), 393Hiệp định Canada-UK (1980)</w:t>
      </w:r>
    </w:p>
    <w:p>
      <w:pPr>
        <w:spacing w:after="80"/>
      </w:pPr>
      <w:r>
        <w:rPr>
          <w:b/>
          <w:i w:val="0"/>
        </w:rPr>
        <w:t>Hiệp định thuế Ai Cập-UK</w:t>
      </w:r>
    </w:p>
    <w:p>
      <w:pPr>
        <w:spacing w:after="80"/>
      </w:pPr>
      <w:r>
        <w:rPr>
          <w:b w:val="0"/>
          <w:i w:val="0"/>
        </w:rPr>
        <w:t>art. 13(1), 383Hiệp định thuế Estonia-Thụy Sĩ (2002)</w:t>
      </w:r>
    </w:p>
    <w:p>
      <w:pPr>
        <w:spacing w:after="80"/>
      </w:pPr>
      <w:r>
        <w:rPr>
          <w:b w:val="0"/>
          <w:i w:val="0"/>
        </w:rPr>
        <w:t>Nghị định thư, 473Hiệp định thuế Estonia-UK</w:t>
      </w:r>
    </w:p>
    <w:p>
      <w:pPr>
        <w:spacing w:after="80"/>
      </w:pPr>
      <w:r>
        <w:rPr>
          <w:b w:val="0"/>
          <w:i w:val="0"/>
        </w:rPr>
        <w:t>art. 5(2), 227art. 12, 473art. 13(5), 387art. 13(6), 387Hiệp định thuế Ethiopia-UK (2011)</w:t>
      </w:r>
    </w:p>
    <w:p>
      <w:pPr>
        <w:spacing w:after="80"/>
      </w:pPr>
      <w:r>
        <w:rPr>
          <w:b w:val="0"/>
          <w:i w:val="0"/>
        </w:rPr>
        <w:t>art. 6(7), 116art. 7, 117Hiệp định thuế Canada-US</w:t>
      </w:r>
    </w:p>
    <w:p>
      <w:pPr>
        <w:spacing w:after="80"/>
      </w:pPr>
      <w:r>
        <w:rPr>
          <w:b w:val="0"/>
          <w:i w:val="0"/>
        </w:rPr>
        <w:t>art. 12, 141Hiệp định thuế Chile-Nhật Bản (2016), 472Hiệp định thuế Chile-UK (2003)</w:t>
      </w:r>
    </w:p>
    <w:p>
      <w:pPr>
        <w:spacing w:after="80"/>
      </w:pPr>
      <w:r>
        <w:rPr>
          <w:b w:val="0"/>
          <w:i w:val="0"/>
        </w:rPr>
        <w:t>art. 6(1), 301art. 6(2), 302art. 22(1)(b), 451</w:t>
      </w:r>
    </w:p>
    <w:p>
      <w:pPr>
        <w:spacing w:after="80"/>
      </w:pPr>
      <w:r>
        <w:rPr>
          <w:b w:val="0"/>
          <w:i w:val="0"/>
        </w:rPr>
        <w:t>art. 5(3)(b), 241art. 5(2)(f), 227art. 11(2), 616art. 12, 472art. 12(3), 331art. 13(2), 380art. 17, 367art. 17(2), 392art. 17(3), 363Hiệp định thuế Trung Quốc-UK (2011)</w:t>
      </w:r>
    </w:p>
    <w:p>
      <w:pPr>
        <w:spacing w:after="80"/>
      </w:pPr>
      <w:r>
        <w:rPr>
          <w:b/>
          <w:i w:val="0"/>
        </w:rPr>
        <w:t>Hiệp định thuế Pháp-Bỉ</w:t>
      </w:r>
    </w:p>
    <w:p>
      <w:pPr>
        <w:spacing w:after="80"/>
      </w:pPr>
      <w:r>
        <w:rPr>
          <w:b w:val="0"/>
          <w:i w:val="0"/>
        </w:rPr>
        <w:t>art. 19A, 62Hiệp định thuế Pháp-Đức</w:t>
      </w:r>
    </w:p>
    <w:p>
      <w:pPr>
        <w:spacing w:after="80"/>
      </w:pPr>
      <w:r>
        <w:rPr>
          <w:b w:val="0"/>
          <w:i w:val="0"/>
        </w:rPr>
        <w:t>art. 4(2), 84art. 13, 79art. 13(5)(a), 79, 83art. 14, 79art. 14(1), 81art. 16, 79art. 19, 72art. 20(2)(a)(cc), 83art. 293, 68Hiệp định thuế Pháp-Ấn Độ</w:t>
      </w:r>
    </w:p>
    <w:p>
      <w:pPr>
        <w:spacing w:after="80"/>
      </w:pPr>
      <w:r>
        <w:rPr>
          <w:b w:val="0"/>
          <w:i w:val="0"/>
        </w:rPr>
        <w:t>art. 4(1), 212art. 11(3), 318art. 14(1), 285art. 22(2)(b), 436Hiệp định thuế Colombia-UK</w:t>
      </w:r>
    </w:p>
    <w:p>
      <w:pPr>
        <w:spacing w:after="80"/>
      </w:pPr>
      <w:r>
        <w:rPr>
          <w:b w:val="0"/>
          <w:i w:val="0"/>
        </w:rPr>
        <w:t>art. 1(2), 172art. 24(4), 464Hiệp định thuế Cyprus-UK (1974)</w:t>
      </w:r>
    </w:p>
    <w:p>
      <w:pPr>
        <w:spacing w:after="80"/>
      </w:pPr>
      <w:r>
        <w:rPr>
          <w:b w:val="0"/>
          <w:i w:val="0"/>
        </w:rPr>
        <w:t>art. 13(1), 472art. 13(4), 472Hiệp định thuế Pháp-UK (1968)</w:t>
      </w:r>
    </w:p>
    <w:p>
      <w:pPr>
        <w:spacing w:after="80"/>
      </w:pPr>
      <w:r>
        <w:rPr>
          <w:b w:val="0"/>
          <w:i w:val="0"/>
        </w:rPr>
        <w:t>art. 5(7), 248art. 24A, 502Hiệp định thuế Tiệp Khắc-UK</w:t>
      </w:r>
    </w:p>
    <w:p>
      <w:pPr>
        <w:spacing w:after="80"/>
      </w:pPr>
      <w:r>
        <w:rPr>
          <w:b w:val="0"/>
          <w:i w:val="0"/>
        </w:rPr>
        <w:t>art. 3(2), 189art. 4(5), 234art. 2(9)art. 4(4), 187art. 9, 492Hiệp định thuế Pháp-UK (2008)</w:t>
      </w:r>
    </w:p>
    <w:p>
      <w:pPr>
        <w:spacing w:after="80"/>
      </w:pPr>
      <w:r>
        <w:rPr>
          <w:b w:val="0"/>
          <w:i w:val="0"/>
        </w:rPr>
        <w:t>art. 11(1), 314art. 11(4), 322</w:t>
      </w:r>
    </w:p>
    <w:p>
      <w:pPr>
        <w:spacing w:after="80"/>
      </w:pPr>
      <w:r>
        <w:rPr>
          <w:b/>
          <w:i w:val="0"/>
        </w:rPr>
        <w:t>Hiệp định thuế Đan Mạch-Ireland (1980)</w:t>
      </w:r>
    </w:p>
    <w:p>
      <w:pPr>
        <w:spacing w:after="80"/>
      </w:pPr>
      <w:r>
        <w:rPr>
          <w:b w:val="0"/>
          <w:i w:val="0"/>
        </w:rPr>
        <w:t>art. 2(1)(a), 154art. 2(1)(b), 530art. 3(1)(c), 212art. 4, 303art. 4(1), 212art. 6(5), 305art. 7A, 394</w:t>
      </w:r>
    </w:p>
    <w:p>
      <w:pPr>
        <w:spacing w:after="80"/>
      </w:pPr>
      <w:r>
        <w:rPr>
          <w:b w:val="0"/>
          <w:i w:val="0"/>
        </w:rPr>
        <w:t>art. 23(2)(b), 411Hiệp định thuế Đan Mạch-UK (1980)</w:t>
      </w:r>
    </w:p>
    <w:p>
      <w:pPr>
        <w:spacing w:after="80"/>
      </w:pPr>
      <w:r>
        <w:rPr>
          <w:b w:val="0"/>
          <w:i w:val="0"/>
        </w:rPr>
        <w:t>art. 15(3), 355art. 17(1), 292art. 28, 373art. 28A(4), 373art. 28A(5)(b), 393</w:t>
      </w:r>
    </w:p>
    <w:p>
      <w:pPr>
        <w:spacing w:after="80"/>
      </w:pPr>
      <w:r>
        <w:rPr>
          <w:b w:val="0"/>
          <w:i w:val="0"/>
        </w:rPr>
        <w:t>731</w:t>
      </w:r>
    </w:p>
    <w:p>
      <w:pPr>
        <w:spacing w:after="80"/>
      </w:pPr>
      <w:r>
        <w:rPr>
          <w:b w:val="0"/>
          <w:i w:val="0"/>
        </w:rPr>
        <w:t>art. 9, 394art. 9(3), 394art. 9(4), 394art. 9(5), 394art. 9(6), 394art. 11(1)(d), 309art. 11(5), 309art. 23(3)(c), 446art. 24(3)(a)(i), 446</w:t>
      </w:r>
    </w:p>
    <w:p>
      <w:pPr>
        <w:spacing w:after="80"/>
      </w:pPr>
      <w:r>
        <w:rPr>
          <w:b w:val="0"/>
          <w:i w:val="0"/>
        </w:rPr>
        <w:t>art. 9, 500Hiệp định thuế Guyana-UK</w:t>
      </w:r>
    </w:p>
    <w:p>
      <w:pPr>
        <w:spacing w:after="80"/>
      </w:pPr>
      <w:r>
        <w:rPr>
          <w:b w:val="0"/>
          <w:i w:val="0"/>
        </w:rPr>
        <w:t>art. 5(2)(c), 227</w:t>
      </w:r>
    </w:p>
    <w:p>
      <w:pPr>
        <w:spacing w:after="80"/>
      </w:pPr>
      <w:r>
        <w:rPr>
          <w:b/>
          <w:i w:val="0"/>
        </w:rPr>
        <w:t>Hiệp định thuế Hồng Kông-UK (2010)</w:t>
      </w:r>
    </w:p>
    <w:p>
      <w:pPr>
        <w:spacing w:after="80"/>
      </w:pPr>
      <w:r>
        <w:rPr>
          <w:b w:val="0"/>
          <w:i w:val="0"/>
        </w:rPr>
        <w:t>art. 4, 452art. 17, 364art. 21(2)(b), 436Hiệp định thuế Hungary-UK (1977)</w:t>
      </w:r>
    </w:p>
    <w:p>
      <w:pPr>
        <w:spacing w:after="80"/>
      </w:pPr>
      <w:r>
        <w:rPr>
          <w:b w:val="0"/>
          <w:i w:val="0"/>
        </w:rPr>
        <w:t>art. 5(3), 245art. 15(1), 341art. 21(1), 357Hiệp định thuế Hungary-UK (2011)</w:t>
      </w:r>
    </w:p>
    <w:p>
      <w:pPr>
        <w:spacing w:after="80"/>
      </w:pPr>
      <w:r>
        <w:rPr>
          <w:b/>
          <w:i w:val="0"/>
        </w:rPr>
        <w:t>Hiệp định thuế Gambia-UK</w:t>
      </w:r>
    </w:p>
    <w:p>
      <w:pPr>
        <w:spacing w:after="80"/>
      </w:pPr>
      <w:r>
        <w:rPr>
          <w:b w:val="0"/>
          <w:i w:val="0"/>
        </w:rPr>
        <w:t>art. 14, 287art. 14(6), 290Hiệp định thuế Georgia-UK (2004)</w:t>
      </w:r>
    </w:p>
    <w:p>
      <w:pPr>
        <w:spacing w:after="80"/>
      </w:pPr>
      <w:r>
        <w:rPr>
          <w:b w:val="0"/>
          <w:i w:val="0"/>
        </w:rPr>
        <w:t>art. 22(1), 436</w:t>
      </w:r>
    </w:p>
    <w:p>
      <w:pPr>
        <w:spacing w:after="80"/>
      </w:pPr>
      <w:r>
        <w:rPr>
          <w:b w:val="0"/>
          <w:i w:val="0"/>
        </w:rPr>
        <w:t>art. 24(1), 395Hiệp định thuế Đức-Thụy Sĩ (1971)</w:t>
      </w:r>
    </w:p>
    <w:p>
      <w:pPr>
        <w:spacing w:after="80"/>
      </w:pPr>
      <w:r>
        <w:rPr>
          <w:b/>
          <w:i w:val="0"/>
        </w:rPr>
        <w:t>Hiệp định thuế Iceland-UK (1991)</w:t>
      </w:r>
    </w:p>
    <w:p>
      <w:pPr>
        <w:spacing w:after="80"/>
      </w:pPr>
      <w:r>
        <w:rPr>
          <w:b w:val="0"/>
          <w:i w:val="0"/>
        </w:rPr>
        <w:t>art. 10(6), 142art. 28, 142nhìn chung, 142Hiệp định Thuế Ngân hàng Đức-Anh (2011)</w:t>
      </w:r>
    </w:p>
    <w:p>
      <w:pPr>
        <w:spacing w:after="80"/>
      </w:pPr>
      <w:r>
        <w:rPr>
          <w:b w:val="0"/>
          <w:i w:val="0"/>
        </w:rPr>
        <w:t>art. 10(1)(d), 516art. 11(7)–(9), 516art. 11(8)(b), 517art. 12(6)–(8), 516Hiệp định Thuế Ấn Độ-Ireland</w:t>
      </w:r>
    </w:p>
    <w:p>
      <w:pPr>
        <w:spacing w:after="80"/>
      </w:pPr>
      <w:r>
        <w:rPr>
          <w:b w:val="0"/>
          <w:i w:val="0"/>
        </w:rPr>
        <w:t>art. 8(5), 604nhìn chung, 158Hiệp định Thuế Đức-Anh (1954)</w:t>
      </w:r>
    </w:p>
    <w:p>
      <w:pPr>
        <w:spacing w:after="80"/>
      </w:pPr>
      <w:r>
        <w:rPr>
          <w:b w:val="0"/>
          <w:i w:val="0"/>
        </w:rPr>
        <w:t>art. 12(3)(a), 334Hiệp định Thuế Ấn Độ-Anh (1993)</w:t>
      </w:r>
    </w:p>
    <w:p>
      <w:pPr>
        <w:spacing w:after="80"/>
      </w:pPr>
      <w:r>
        <w:rPr>
          <w:b w:val="0"/>
          <w:i w:val="0"/>
        </w:rPr>
        <w:t>art. XX(4), 468Hiệp định Thuế Đức-Anh (1964)</w:t>
      </w:r>
    </w:p>
    <w:p>
      <w:pPr>
        <w:spacing w:after="80"/>
      </w:pPr>
      <w:r>
        <w:rPr>
          <w:b w:val="0"/>
          <w:i w:val="0"/>
        </w:rPr>
        <w:t>art. 4(1), 174art. 5(1), 222art. 5(2), 228art. 5(2)(f), 223art. 5(3)(e), 223art. 5(3)(k), 241art. 5(4)(c), 237art. 7(1), 138art. 7(2), 262art. 12(6), 326art. 13, 333art. 13(3), 334art. 13(3)(a), 333art. 13(4), 288, 472art. 13(6), 289art. 26, 460art. 28B, 684art. 28C, 520nhìn chung, 246, 291Hiệp định Thuế Indonesia-Anh (1993)</w:t>
      </w:r>
    </w:p>
    <w:p>
      <w:pPr>
        <w:spacing w:after="80"/>
      </w:pPr>
      <w:r>
        <w:rPr>
          <w:b w:val="0"/>
          <w:i w:val="0"/>
        </w:rPr>
        <w:t>art. 2(1)(b), 44art. 9(6), 292art. VI, 291Hiệp định Thuế Đức-Anh (1967)</w:t>
      </w:r>
    </w:p>
    <w:p>
      <w:pPr>
        <w:spacing w:after="80"/>
      </w:pPr>
      <w:r>
        <w:rPr>
          <w:b w:val="0"/>
          <w:i w:val="0"/>
        </w:rPr>
        <w:t>art. 18, 450Hiệp định Thuế Đức-Anh (2010)</w:t>
      </w:r>
    </w:p>
    <w:p>
      <w:pPr>
        <w:spacing w:after="80"/>
      </w:pPr>
      <w:r>
        <w:rPr>
          <w:b w:val="0"/>
          <w:i w:val="0"/>
        </w:rPr>
        <w:t>art. 3, 260art. 17(1), 367art. 17(4), 366art. 20, 588art. 20(3), 460art. 23(1), 436art. 25(2), 459art. 26(5), 604art. 29, 564Trao đổi Thông tin Thuế Gibraltar-Anh</w:t>
      </w:r>
    </w:p>
    <w:p>
      <w:pPr>
        <w:spacing w:after="80"/>
      </w:pPr>
      <w:r>
        <w:rPr>
          <w:b w:val="0"/>
          <w:i w:val="0"/>
        </w:rPr>
        <w:t>Hiệp định (2013), 19Hiệp định Thuế Hy Lạp-Anh (1953)</w:t>
      </w:r>
    </w:p>
    <w:p>
      <w:pPr>
        <w:spacing w:after="80"/>
      </w:pPr>
      <w:r>
        <w:rPr>
          <w:b w:val="0"/>
          <w:i w:val="0"/>
        </w:rPr>
        <w:t>art. 2(1)(k), 224, 234</w:t>
      </w:r>
    </w:p>
    <w:p>
      <w:pPr>
        <w:spacing w:after="80"/>
      </w:pPr>
      <w:r>
        <w:rPr>
          <w:b w:val="0"/>
          <w:i w:val="0"/>
        </w:rPr>
        <w:t>732</w:t>
      </w:r>
    </w:p>
    <w:p>
      <w:pPr>
        <w:spacing w:after="80"/>
      </w:pPr>
      <w:r>
        <w:rPr>
          <w:b w:val="0"/>
          <w:i w:val="0"/>
        </w:rPr>
        <w:t>art. 5(6), 243art. 12(3)(b), 332art. 15(5), 450art. 16(1), 450art. 16(2), 450art. 21(1), 99art. 21(3), 450art. 33(2)(a), 450Hiệp định Thuế Ireland-Đức (2010)</w:t>
      </w:r>
    </w:p>
    <w:p>
      <w:pPr>
        <w:spacing w:after="80"/>
      </w:pPr>
      <w:r>
        <w:rPr>
          <w:b w:val="0"/>
          <w:i w:val="0"/>
        </w:rPr>
        <w:t>art. 4(1), 395art. 7(1), 257art. 10(4), 307art. 10(4)(a), 493art. 10(4)(b), 493art. 16, 356art. 19(3), 410art. 29(1), 564art. 29(2), 564Hiệp định Thuế Bờ Biển Ngà-Anh</w:t>
      </w:r>
    </w:p>
    <w:p>
      <w:pPr>
        <w:spacing w:after="80"/>
      </w:pPr>
      <w:r>
        <w:rPr>
          <w:b w:val="0"/>
          <w:i w:val="0"/>
        </w:rPr>
        <w:t>art. 23(1), 410art. 23(1)(b), 410Hiệp định Thuế Ireland-Ý (1971)</w:t>
      </w:r>
    </w:p>
    <w:p>
      <w:pPr>
        <w:spacing w:after="80"/>
      </w:pPr>
      <w:r>
        <w:rPr>
          <w:b w:val="0"/>
          <w:i w:val="0"/>
        </w:rPr>
        <w:t>art. 11(5), 325</w:t>
      </w:r>
    </w:p>
    <w:p>
      <w:pPr>
        <w:spacing w:after="80"/>
      </w:pPr>
      <w:r>
        <w:rPr>
          <w:b/>
          <w:i w:val="0"/>
        </w:rPr>
        <w:t>Hiệp định thuế Jamaica-UK</w:t>
      </w:r>
    </w:p>
    <w:p>
      <w:pPr>
        <w:spacing w:after="80"/>
      </w:pPr>
      <w:r>
        <w:rPr>
          <w:b w:val="0"/>
          <w:i w:val="0"/>
        </w:rPr>
        <w:t>Điều 2, 136Điều 3(2), 147Hiệp định thuế Ireland-Nhật Bản (1974)</w:t>
      </w:r>
    </w:p>
    <w:p>
      <w:pPr>
        <w:spacing w:after="80"/>
      </w:pPr>
      <w:r>
        <w:rPr>
          <w:b w:val="0"/>
          <w:i w:val="0"/>
        </w:rPr>
        <w:t>Điều 4(4)(a), 294Hiệp định thuế Nhật Bản-UK (1969)</w:t>
      </w:r>
    </w:p>
    <w:p>
      <w:pPr>
        <w:spacing w:after="80"/>
      </w:pPr>
      <w:r>
        <w:rPr>
          <w:b w:val="0"/>
          <w:i w:val="0"/>
        </w:rPr>
        <w:t>Điều 11, 317Hiệp định thuế Ireland-Malta</w:t>
      </w:r>
    </w:p>
    <w:p>
      <w:pPr>
        <w:spacing w:after="80"/>
      </w:pPr>
      <w:r>
        <w:rPr>
          <w:b w:val="0"/>
          <w:i w:val="0"/>
        </w:rPr>
        <w:t>Điều 11(6), 519Hiệp định thuế Nhật Bản-UK (2006)</w:t>
      </w:r>
    </w:p>
    <w:p>
      <w:pPr>
        <w:spacing w:after="80"/>
      </w:pPr>
      <w:r>
        <w:rPr>
          <w:b w:val="0"/>
          <w:i w:val="0"/>
        </w:rPr>
        <w:t>Điều 4(2)(a), 193Hiệp định thuế Ireland-Na Uy (2000)</w:t>
      </w:r>
    </w:p>
    <w:p>
      <w:pPr>
        <w:spacing w:after="80"/>
      </w:pPr>
      <w:r>
        <w:rPr>
          <w:b w:val="0"/>
          <w:i w:val="0"/>
        </w:rPr>
        <w:t>Điều 1, 219Điều 4(5)(a), 174Điều 4(5)(c), 174Điều 4(b), 354Điều 9(2), 297Điều 10(3)(a), 309Điều 10(3)(b), 309Điều 22, 519Điều 24(4), 464Điều 25(1), 595Trao đổi thông tin thuế Jersey-UK</w:t>
      </w:r>
    </w:p>
    <w:p>
      <w:pPr>
        <w:spacing w:after="80"/>
      </w:pPr>
      <w:r>
        <w:rPr>
          <w:b w:val="0"/>
          <w:i w:val="0"/>
        </w:rPr>
        <w:t>Điều 5(5), 235Hiệp định thuế Ireland-Bồ Đào Nha</w:t>
      </w:r>
    </w:p>
    <w:p>
      <w:pPr>
        <w:spacing w:after="80"/>
      </w:pPr>
      <w:r>
        <w:rPr>
          <w:b w:val="0"/>
          <w:i w:val="0"/>
        </w:rPr>
        <w:t>Điều 4(2)(a), 193Hiệp định thuế Ireland-UK (1976)</w:t>
      </w:r>
    </w:p>
    <w:p>
      <w:pPr>
        <w:spacing w:after="80"/>
      </w:pPr>
      <w:r>
        <w:rPr>
          <w:b w:val="0"/>
          <w:i w:val="0"/>
        </w:rPr>
        <w:t>Điều 17A, 370Điều 17A(1), 370Điều 17A(2), 371Điều 18, 73, 74Điều 18(2), 362Điều 20(1), 391Điều 23, 454Hiệp định thuế Ireland-Hoa Kỳ</w:t>
      </w:r>
    </w:p>
    <w:p>
      <w:pPr>
        <w:spacing w:after="80"/>
      </w:pPr>
      <w:r>
        <w:rPr>
          <w:b w:val="0"/>
          <w:i w:val="0"/>
        </w:rPr>
        <w:t>Thỏa thuận (2009)Nhìn chung, 19Trao đổi thông tin thuế Jersey-UK</w:t>
      </w:r>
    </w:p>
    <w:p>
      <w:pPr>
        <w:spacing w:after="80"/>
      </w:pPr>
      <w:r>
        <w:rPr>
          <w:b w:val="0"/>
          <w:i w:val="0"/>
        </w:rPr>
        <w:t>Điều 4(1), 181Điều 4(1)(a), 156, 179Điều 22, 390Thông tin thuế Đảo Man-UK</w:t>
      </w:r>
    </w:p>
    <w:p>
      <w:pPr>
        <w:spacing w:after="80"/>
      </w:pPr>
      <w:r>
        <w:rPr>
          <w:b w:val="0"/>
          <w:i w:val="0"/>
        </w:rPr>
        <w:t>Thỏa thuận (2013), 656Hiệp định thuế Jersey-UK (1952)</w:t>
      </w:r>
    </w:p>
    <w:p>
      <w:pPr>
        <w:spacing w:after="80"/>
      </w:pPr>
      <w:r>
        <w:rPr>
          <w:b w:val="0"/>
          <w:i w:val="0"/>
        </w:rPr>
        <w:t>Điều 2(3), 166nhìn chung, 138, 522Hiệp định thuế Jordan-UK</w:t>
      </w:r>
    </w:p>
    <w:p>
      <w:pPr>
        <w:spacing w:after="80"/>
      </w:pPr>
      <w:r>
        <w:rPr>
          <w:b w:val="0"/>
          <w:i w:val="0"/>
        </w:rPr>
        <w:t>Thỏa thuận trao đổi (2013), 18Hiệp định thuế Israel-UK (1962)</w:t>
      </w:r>
    </w:p>
    <w:p>
      <w:pPr>
        <w:spacing w:after="80"/>
      </w:pPr>
      <w:r>
        <w:rPr>
          <w:b w:val="0"/>
          <w:i w:val="0"/>
        </w:rPr>
        <w:t>Điều 5(6), 239Điều 24, 460</w:t>
      </w:r>
    </w:p>
    <w:p>
      <w:pPr>
        <w:spacing w:after="80"/>
      </w:pPr>
      <w:r>
        <w:rPr>
          <w:b w:val="0"/>
          <w:i w:val="0"/>
        </w:rPr>
        <w:t>Điều 7(4), 324Điều 8A(4), 500Điều XI(2), 500Hiệp định thuế Ý-Bồ Đào Nha</w:t>
      </w:r>
    </w:p>
    <w:p>
      <w:pPr>
        <w:spacing w:after="80"/>
      </w:pPr>
      <w:r>
        <w:rPr>
          <w:b/>
          <w:i w:val="0"/>
        </w:rPr>
        <w:t>Hiệp định thuế Kazakhstan-Vương quốc Anh</w:t>
      </w:r>
    </w:p>
    <w:p>
      <w:pPr>
        <w:spacing w:after="80"/>
      </w:pPr>
      <w:r>
        <w:rPr>
          <w:b w:val="0"/>
          <w:i w:val="0"/>
        </w:rPr>
        <w:t>Điều 18, 363Hiệp định thuế Hàn Quốc-Vương quốc Anh</w:t>
      </w:r>
    </w:p>
    <w:p>
      <w:pPr>
        <w:spacing w:after="80"/>
      </w:pPr>
      <w:r>
        <w:rPr>
          <w:b w:val="0"/>
          <w:i w:val="0"/>
        </w:rPr>
        <w:t>Điều 18, 82Hiệp định thuế Ý-Vương quốc Anh (1988)</w:t>
      </w:r>
    </w:p>
    <w:p>
      <w:pPr>
        <w:spacing w:after="80"/>
      </w:pPr>
      <w:r>
        <w:rPr>
          <w:b w:val="0"/>
          <w:i w:val="0"/>
        </w:rPr>
        <w:t>Điều 2(4), 155</w:t>
      </w:r>
    </w:p>
    <w:p>
      <w:pPr>
        <w:spacing w:after="80"/>
      </w:pPr>
      <w:r>
        <w:rPr>
          <w:b w:val="0"/>
          <w:i w:val="0"/>
        </w:rPr>
        <w:t>Điều 3(1)(d), 169</w:t>
      </w:r>
    </w:p>
    <w:p>
      <w:pPr>
        <w:spacing w:after="80"/>
      </w:pPr>
      <w:r>
        <w:rPr>
          <w:b w:val="0"/>
          <w:i w:val="0"/>
        </w:rPr>
        <w:t>733</w:t>
      </w:r>
    </w:p>
    <w:p>
      <w:pPr>
        <w:spacing w:after="80"/>
      </w:pPr>
      <w:r>
        <w:rPr>
          <w:b w:val="0"/>
          <w:i w:val="0"/>
        </w:rPr>
        <w:t>Điều 15(3), 355</w:t>
      </w:r>
    </w:p>
    <w:p>
      <w:pPr>
        <w:spacing w:after="80"/>
      </w:pPr>
      <w:r>
        <w:rPr>
          <w:b w:val="0"/>
          <w:i w:val="0"/>
        </w:rPr>
        <w:t>Điều 9(4), 337Điều 21, 649Nói chung, 219Hiệp định thuế Hà Lan-Vương quốc Anh (1980)</w:t>
      </w:r>
    </w:p>
    <w:p>
      <w:pPr>
        <w:spacing w:after="80"/>
      </w:pPr>
      <w:r>
        <w:rPr>
          <w:b/>
          <w:i w:val="0"/>
        </w:rPr>
        <w:t>Hiệp định thuế Latvia-Vương quốc Anh</w:t>
      </w:r>
    </w:p>
    <w:p>
      <w:pPr>
        <w:spacing w:after="80"/>
      </w:pPr>
      <w:r>
        <w:rPr>
          <w:b w:val="0"/>
          <w:i w:val="0"/>
        </w:rPr>
        <w:t>Điều 11(7), 324Điều 15(2), 349Điều 15(3), 355Hiệp định thuế Lesotho-Vương quốc Anh</w:t>
      </w:r>
    </w:p>
    <w:p>
      <w:pPr>
        <w:spacing w:after="80"/>
      </w:pPr>
      <w:r>
        <w:rPr>
          <w:b w:val="0"/>
          <w:i w:val="0"/>
        </w:rPr>
        <w:t>Điều 4(4), 208Điều 10, 148Điều 10(2), 491Điều 10(3)(c), 128Điều 10(3)(d), 516Điều 10(3)(d)(i), 148, 523Điều 10(3)(d)(ii), 523Điều 21, 208Điều 21(5), 581Điều 24, 208Điều 25, 208Điều 25(6), 208Điều 27, 395Hiệp định thuế Hà Lan-Vương quốc Anh (1967)</w:t>
      </w:r>
    </w:p>
    <w:p>
      <w:pPr>
        <w:spacing w:after="80"/>
      </w:pPr>
      <w:r>
        <w:rPr>
          <w:b w:val="0"/>
          <w:i w:val="0"/>
        </w:rPr>
        <w:t>Điều 11(11), 315Hiệp định thuế Liechtenstein-Vương quốc Anh (2012)</w:t>
      </w:r>
    </w:p>
    <w:p>
      <w:pPr>
        <w:spacing w:after="80"/>
      </w:pPr>
      <w:r>
        <w:rPr>
          <w:b w:val="0"/>
          <w:i w:val="0"/>
        </w:rPr>
        <w:t>Điều 10(2)(b), 310Điều 17, 364Điều 22(1)(b), 436Điều 22(1)(c), 436Điều 24(5), 604Hiệp định thuế Litva-Nhật Bản</w:t>
      </w:r>
    </w:p>
    <w:p>
      <w:pPr>
        <w:spacing w:after="80"/>
      </w:pPr>
      <w:r>
        <w:rPr>
          <w:b w:val="0"/>
          <w:i w:val="0"/>
        </w:rPr>
        <w:t>Nói chung, 473Hiệp định thuế Litva-Vương quốc Anh</w:t>
      </w:r>
    </w:p>
    <w:p>
      <w:pPr>
        <w:spacing w:after="80"/>
      </w:pPr>
      <w:r>
        <w:rPr>
          <w:b w:val="0"/>
          <w:i w:val="0"/>
        </w:rPr>
        <w:t>Điều 5(1), 220Hiệp định thuế Luxembourg-Pháp</w:t>
      </w:r>
    </w:p>
    <w:p>
      <w:pPr>
        <w:spacing w:after="80"/>
      </w:pPr>
      <w:r>
        <w:rPr>
          <w:b w:val="0"/>
          <w:i w:val="0"/>
        </w:rPr>
        <w:t>art. 4(3), 201Hiệp định thuế Netherlands-UK (2008)</w:t>
      </w:r>
    </w:p>
    <w:p>
      <w:pPr>
        <w:spacing w:after="80"/>
      </w:pPr>
      <w:r>
        <w:rPr>
          <w:b w:val="0"/>
          <w:i w:val="0"/>
        </w:rPr>
        <w:t>art. 21(2), 84Hiệp định thuế Luxembourg-UK (1967)</w:t>
      </w:r>
    </w:p>
    <w:p>
      <w:pPr>
        <w:spacing w:after="80"/>
      </w:pPr>
      <w:r>
        <w:rPr>
          <w:b w:val="0"/>
          <w:i w:val="0"/>
        </w:rPr>
        <w:t>art. 10(2)(b)(ii), 309art. 10(2)(b)(iii), 309art. 17(6), 372art. 13(b), 383Hiệp định thuế New Zealand-UK (1947)</w:t>
      </w:r>
    </w:p>
    <w:p>
      <w:pPr>
        <w:spacing w:after="80"/>
      </w:pPr>
      <w:r>
        <w:rPr>
          <w:b w:val="0"/>
          <w:i w:val="0"/>
        </w:rPr>
        <w:t>art. 26(4), 468</w:t>
      </w:r>
    </w:p>
    <w:p>
      <w:pPr>
        <w:spacing w:after="80"/>
      </w:pPr>
      <w:r>
        <w:rPr>
          <w:b/>
          <w:i w:val="0"/>
        </w:rPr>
        <w:t>Hiệp định thuế Malaysia-UK</w:t>
      </w:r>
    </w:p>
    <w:p>
      <w:pPr>
        <w:spacing w:after="80"/>
      </w:pPr>
      <w:r>
        <w:rPr>
          <w:b w:val="0"/>
          <w:i w:val="0"/>
        </w:rPr>
        <w:t>Nhìn chung, 682Hiệp định thuế New Zealand-UK (1966)</w:t>
      </w:r>
    </w:p>
    <w:p>
      <w:pPr>
        <w:spacing w:after="80"/>
      </w:pPr>
      <w:r>
        <w:rPr>
          <w:b w:val="0"/>
          <w:i w:val="0"/>
        </w:rPr>
        <w:t>art. 13(2), 354art. 10(1), 308art. 14(4), 384Hiệp định thuế Malta-UK</w:t>
      </w:r>
    </w:p>
    <w:p>
      <w:pPr>
        <w:spacing w:after="80"/>
      </w:pPr>
      <w:r>
        <w:rPr>
          <w:b w:val="0"/>
          <w:i w:val="0"/>
        </w:rPr>
        <w:t>art. XIX(1), 458Hiệp định thuế Nigeria-UK</w:t>
      </w:r>
    </w:p>
    <w:p>
      <w:pPr>
        <w:spacing w:after="80"/>
      </w:pPr>
      <w:r>
        <w:rPr>
          <w:b w:val="0"/>
          <w:i w:val="0"/>
        </w:rPr>
        <w:t>art. 5(2)(i), 230art. 18, 364art. 25, 651, 652Hiệp định thuế Norway-UK (2000)art. 19(1), 361art. 19(3), 362Hiệp định thuế Norway-UK (1969)</w:t>
      </w:r>
    </w:p>
    <w:p>
      <w:pPr>
        <w:spacing w:after="80"/>
      </w:pPr>
      <w:r>
        <w:rPr>
          <w:b w:val="0"/>
          <w:i w:val="0"/>
        </w:rPr>
        <w:t>art. 12(6), 337Hiệp định thuế Mauritius-UK (1981)</w:t>
      </w:r>
    </w:p>
    <w:p>
      <w:pPr>
        <w:spacing w:after="80"/>
      </w:pPr>
      <w:r>
        <w:rPr>
          <w:b w:val="0"/>
          <w:i w:val="0"/>
        </w:rPr>
        <w:t>art. 3(1)(c), 211art. 4(1), 181art. 4(3), 134, 199art. 8(1), 290art. 13, 253art. 13(4), 118, 139Hiệp định thuế Mexico-UK</w:t>
      </w:r>
    </w:p>
    <w:p>
      <w:pPr>
        <w:spacing w:after="80"/>
      </w:pPr>
      <w:r>
        <w:rPr>
          <w:b w:val="0"/>
          <w:i w:val="0"/>
        </w:rPr>
        <w:t>art. 5(1), 224art.4(2)(a), 192art. 10(4), 310Hiệp định thuế Norway-UK (2013)</w:t>
      </w:r>
    </w:p>
    <w:p>
      <w:pPr>
        <w:spacing w:after="80"/>
      </w:pPr>
      <w:r>
        <w:rPr>
          <w:b w:val="0"/>
          <w:i w:val="0"/>
        </w:rPr>
        <w:t>art. 7(3), 281art. 16, 356Hiệp định thuế Myanmar-UK</w:t>
      </w:r>
    </w:p>
    <w:p>
      <w:pPr>
        <w:spacing w:after="80"/>
      </w:pPr>
      <w:r>
        <w:rPr>
          <w:b w:val="0"/>
          <w:i w:val="0"/>
        </w:rPr>
        <w:t>art. 23(5), 393art. 24, 394art. 25(2)(b), 436art. 25(2)(c), 436art. 27(5), 604</w:t>
      </w:r>
    </w:p>
    <w:p>
      <w:pPr>
        <w:spacing w:after="80"/>
      </w:pPr>
      <w:r>
        <w:rPr>
          <w:b w:val="0"/>
          <w:i w:val="0"/>
        </w:rPr>
        <w:t>art. 14(1), 443</w:t>
      </w:r>
    </w:p>
    <w:p>
      <w:pPr>
        <w:spacing w:after="80"/>
      </w:pPr>
      <w:r>
        <w:rPr>
          <w:b/>
          <w:i w:val="0"/>
        </w:rPr>
        <w:t>Hiệp định thuế Namibia-UK (1962)</w:t>
      </w:r>
    </w:p>
    <w:p>
      <w:pPr>
        <w:spacing w:after="80"/>
      </w:pPr>
      <w:r>
        <w:rPr>
          <w:b w:val="0"/>
          <w:i w:val="0"/>
        </w:rPr>
        <w:t>734</w:t>
      </w:r>
    </w:p>
    <w:p>
      <w:pPr>
        <w:spacing w:after="80"/>
      </w:pPr>
      <w:r>
        <w:rPr>
          <w:b/>
          <w:i w:val="0"/>
        </w:rPr>
        <w:t>Hiệp định thuế Oman-UK (1998)</w:t>
      </w:r>
    </w:p>
    <w:p>
      <w:pPr>
        <w:spacing w:after="80"/>
      </w:pPr>
      <w:r>
        <w:rPr>
          <w:b w:val="0"/>
          <w:i w:val="0"/>
        </w:rPr>
        <w:t>điều 3(2), 115điều 7, 254điều 10(2), 684điều 14, 254điều 17(3), 363điều 23(6), 463điều 25A, 124điều 25A(1), 124nói chung, 113, 115Hiệp định thuế Nam Phi-UK (Nghị định thư</w:t>
      </w:r>
    </w:p>
    <w:p>
      <w:pPr>
        <w:spacing w:after="80"/>
      </w:pPr>
      <w:r>
        <w:rPr>
          <w:b w:val="0"/>
          <w:i w:val="0"/>
        </w:rPr>
        <w:t>điều 5(3), 230điều 11, 500điều 11(1), 500</w:t>
      </w:r>
    </w:p>
    <w:p>
      <w:pPr>
        <w:spacing w:after="80"/>
      </w:pPr>
      <w:r>
        <w:rPr>
          <w:b/>
          <w:i w:val="0"/>
        </w:rPr>
        <w:t>Hiệp định thuế Panama-UK (2013)</w:t>
      </w:r>
    </w:p>
    <w:p>
      <w:pPr>
        <w:spacing w:after="80"/>
      </w:pPr>
      <w:r>
        <w:rPr>
          <w:b w:val="0"/>
          <w:i w:val="0"/>
        </w:rPr>
        <w:t>điều 17, 364Hiệp định thuế Papua New Guinea-UK</w:t>
      </w:r>
    </w:p>
    <w:p>
      <w:pPr>
        <w:spacing w:after="80"/>
      </w:pPr>
      <w:r>
        <w:rPr>
          <w:b w:val="0"/>
          <w:i w:val="0"/>
        </w:rPr>
        <w:t>mục 5(3), 230Hiệp định thuế Philippines-UK (1976)</w:t>
      </w:r>
    </w:p>
    <w:p>
      <w:pPr>
        <w:spacing w:after="80"/>
      </w:pPr>
      <w:r>
        <w:rPr>
          <w:b w:val="0"/>
          <w:i w:val="0"/>
        </w:rPr>
        <w:t>2010)điều VI, 162Hiệp định thuế Tây Ban Nha-UK (1975)</w:t>
      </w:r>
    </w:p>
    <w:p>
      <w:pPr>
        <w:spacing w:after="80"/>
      </w:pPr>
      <w:r>
        <w:rPr>
          <w:b w:val="0"/>
          <w:i w:val="0"/>
        </w:rPr>
        <w:t>điều 1(2), 380điều 22(6), 470điều 10(4), 213điều 10(5), 317Hiệp định thuế Ba Lan-UK</w:t>
      </w:r>
    </w:p>
    <w:p>
      <w:pPr>
        <w:spacing w:after="80"/>
      </w:pPr>
      <w:r>
        <w:rPr>
          <w:b w:val="0"/>
          <w:i w:val="0"/>
        </w:rPr>
        <w:t>điều 4(2), 192điều 5(1), 223điều 5(3)(b), 246điều 5(3)(c), 246điều 6(3), 305điều 7, 332điều 12(1), 330điều 22(1), 330điều 22(2), 390điều 23(2), 514, 515điều 28, 359Hiệp định thuế Tây Ban Nha-UK (2013)</w:t>
      </w:r>
    </w:p>
    <w:p>
      <w:pPr>
        <w:spacing w:after="80"/>
      </w:pPr>
      <w:r>
        <w:rPr>
          <w:b w:val="0"/>
          <w:i w:val="0"/>
        </w:rPr>
        <w:t>điều 10(4), 311Hiệp định thuế Bồ Đào Nha-UK</w:t>
      </w:r>
    </w:p>
    <w:p>
      <w:pPr>
        <w:spacing w:after="80"/>
      </w:pPr>
      <w:r>
        <w:rPr>
          <w:b w:val="0"/>
          <w:i w:val="0"/>
        </w:rPr>
        <w:t>điều 11(1), 314</w:t>
      </w:r>
    </w:p>
    <w:p>
      <w:pPr>
        <w:spacing w:after="80"/>
      </w:pPr>
      <w:r>
        <w:rPr>
          <w:b/>
          <w:i w:val="0"/>
        </w:rPr>
        <w:t>Hiệp định thuế Romania-UK</w:t>
      </w:r>
    </w:p>
    <w:p>
      <w:pPr>
        <w:spacing w:after="80"/>
      </w:pPr>
      <w:r>
        <w:rPr>
          <w:b w:val="0"/>
          <w:i w:val="0"/>
        </w:rPr>
        <w:t>điều 7(4), 283Hiệp định thuế Nga-UK</w:t>
      </w:r>
    </w:p>
    <w:p>
      <w:pPr>
        <w:spacing w:after="80"/>
      </w:pPr>
      <w:r>
        <w:rPr>
          <w:b w:val="0"/>
          <w:i w:val="0"/>
        </w:rPr>
        <w:t>điều 5(3), 230điều 24, 450điều 24(5), 469</w:t>
      </w:r>
    </w:p>
    <w:p>
      <w:pPr>
        <w:spacing w:after="80"/>
      </w:pPr>
      <w:r>
        <w:rPr>
          <w:b w:val="0"/>
          <w:i w:val="0"/>
        </w:rPr>
        <w:t>điều 22(2)(b), 436điều 22(2)(c), 436điều 23(2), 513điều 25(5), 604, 630Hiệp định thuế Sudan-UK</w:t>
      </w:r>
    </w:p>
    <w:p>
      <w:pPr>
        <w:spacing w:after="80"/>
      </w:pPr>
      <w:r>
        <w:rPr>
          <w:b/>
          <w:i w:val="0"/>
        </w:rPr>
        <w:t>Hiệp định Saudi Arabia-UK</w:t>
      </w:r>
    </w:p>
    <w:p>
      <w:pPr>
        <w:spacing w:after="80"/>
      </w:pPr>
      <w:r>
        <w:rPr>
          <w:b w:val="0"/>
          <w:i w:val="0"/>
        </w:rPr>
        <w:t>Điều 10(2)(a), 651Hiệp định thuế Seychelles-UK</w:t>
      </w:r>
    </w:p>
    <w:p>
      <w:pPr>
        <w:spacing w:after="80"/>
      </w:pPr>
      <w:r>
        <w:rPr>
          <w:b w:val="0"/>
          <w:i w:val="0"/>
        </w:rPr>
        <w:t>Điều 11(7), 318, 324Điều 21, 389Điều 24, 389Hiệp định thuế Sweden-UK (1960)</w:t>
      </w:r>
    </w:p>
    <w:p>
      <w:pPr>
        <w:spacing w:after="80"/>
      </w:pPr>
      <w:r>
        <w:rPr>
          <w:b w:val="0"/>
          <w:i w:val="0"/>
        </w:rPr>
        <w:t>Điều 2(1)(a), 159Điều 2(2), 122Điều 2(3), 122Điều 14(1), 649Hiệp định thuế Singapore-UK</w:t>
      </w:r>
    </w:p>
    <w:p>
      <w:pPr>
        <w:spacing w:after="80"/>
      </w:pPr>
      <w:r>
        <w:rPr>
          <w:b w:val="0"/>
          <w:i w:val="0"/>
        </w:rPr>
        <w:t>Điều II(2), 394Hiệp định thuế Sweden-UK (1983)</w:t>
      </w:r>
    </w:p>
    <w:p>
      <w:pPr>
        <w:spacing w:after="80"/>
      </w:pPr>
      <w:r>
        <w:rPr>
          <w:b w:val="0"/>
          <w:i w:val="0"/>
        </w:rPr>
        <w:t>Điều 5(6), 231Điều 18(1), 364Hiệp định hành chính Switzerland-UK</w:t>
      </w:r>
    </w:p>
    <w:p>
      <w:pPr>
        <w:spacing w:after="80"/>
      </w:pPr>
      <w:r>
        <w:rPr>
          <w:b w:val="0"/>
          <w:i w:val="0"/>
        </w:rPr>
        <w:t>Điều 11(6), 520Điều 11(10), 520Điều 16, 355Điều 24(1), 397Điều 24(2), 397Hiệp định thuế Solomon Islands-UK</w:t>
      </w:r>
    </w:p>
    <w:p>
      <w:pPr>
        <w:spacing w:after="80"/>
      </w:pPr>
      <w:r>
        <w:rPr>
          <w:b w:val="0"/>
          <w:i w:val="0"/>
        </w:rPr>
        <w:t>Hiệp định hợp tác (2011)Nhìn chung, 29Hiệp định thuế Switzerland-UK (1977)</w:t>
      </w:r>
    </w:p>
    <w:p>
      <w:pPr>
        <w:spacing w:after="80"/>
      </w:pPr>
      <w:r>
        <w:rPr>
          <w:b w:val="0"/>
          <w:i w:val="0"/>
        </w:rPr>
        <w:t>Điều 3(1)(l), 504Điều 7, 599Điều 9, 599</w:t>
      </w:r>
    </w:p>
    <w:p>
      <w:pPr>
        <w:spacing w:after="80"/>
      </w:pPr>
      <w:r>
        <w:rPr>
          <w:b w:val="0"/>
          <w:i w:val="0"/>
        </w:rPr>
        <w:t>Điều 7, 279Hiệp định thuế South Africa-UK (2002)</w:t>
      </w:r>
    </w:p>
    <w:p>
      <w:pPr>
        <w:spacing w:after="80"/>
      </w:pPr>
      <w:r>
        <w:rPr>
          <w:b w:val="0"/>
          <w:i w:val="0"/>
        </w:rPr>
        <w:t>735</w:t>
      </w:r>
    </w:p>
    <w:p>
      <w:pPr>
        <w:spacing w:after="80"/>
      </w:pPr>
      <w:r>
        <w:rPr>
          <w:b w:val="0"/>
          <w:i w:val="0"/>
        </w:rPr>
        <w:t>Điều 10(2)(b), 136Điều 12(4), 337Điều 13(6), 210Điều 18, 370Điều 18(3), 372Điều 23, 599Điều 23(2), 31Điều 24, 602Điều 25(5), 604Điều 27A, 513</w:t>
      </w:r>
    </w:p>
    <w:p>
      <w:pPr>
        <w:spacing w:after="80"/>
      </w:pPr>
      <w:r>
        <w:rPr>
          <w:b w:val="0"/>
          <w:i w:val="0"/>
        </w:rPr>
        <w:t>Hiệp định thuế US-UK (1975)</w:t>
      </w:r>
    </w:p>
    <w:p>
      <w:pPr>
        <w:spacing w:after="80"/>
      </w:pPr>
      <w:r>
        <w:rPr>
          <w:b w:val="0"/>
          <w:i w:val="0"/>
        </w:rPr>
        <w:t>Điều 1(2), 606Điều 1(3), 606Điều 1(4), 209, 448Điều 1(5), 209Điều 2, 158Điều 3(1)(k), 123Điều 3(1)(o), 123Điều 4(2), 194Điều 4(3), 194Điều 7, 473Điều 7(2), 264Điều 8, 291Điều 10, 588Điều 10(2)(a)(i), 41Điều 10(2)(a)(ii), 446Điều 10(7), 463Điều 12(3)(b), 336Điều 15, 349Điều 16(2), 294Điều 17(1)(b), 365Điều 21, 393Điều 23, 448Điều 23(1), 446Điều 24, 447Điều 24(4), 195Điều 24(4)(c), 447Điều 24(4)(d), 447Điều 24(5), 467Điều 24(6), 448Điều 25, 195Điều 43, 73Điều IV(5), 396Hiệp định thuế US-UK (1980)</w:t>
      </w:r>
    </w:p>
    <w:p>
      <w:pPr>
        <w:spacing w:after="80"/>
      </w:pPr>
      <w:r>
        <w:rPr>
          <w:b/>
          <w:i w:val="0"/>
        </w:rPr>
        <w:t>Hiệp định thuế Thailand-UK</w:t>
      </w:r>
    </w:p>
    <w:p>
      <w:pPr>
        <w:spacing w:after="80"/>
      </w:pPr>
      <w:r>
        <w:rPr>
          <w:b w:val="0"/>
          <w:i w:val="0"/>
        </w:rPr>
        <w:t>Điều 8(2), 261Hiệp định thuế Tunisia-UK</w:t>
      </w:r>
    </w:p>
    <w:p>
      <w:pPr>
        <w:spacing w:after="80"/>
      </w:pPr>
      <w:r>
        <w:rPr>
          <w:b w:val="0"/>
          <w:i w:val="0"/>
        </w:rPr>
        <w:t>art. 3(1)(b), 165Hiệp định thuế Turkey-UK (1986)</w:t>
      </w:r>
    </w:p>
    <w:p>
      <w:pPr>
        <w:spacing w:after="80"/>
      </w:pPr>
      <w:r>
        <w:rPr>
          <w:b w:val="0"/>
          <w:i w:val="0"/>
        </w:rPr>
        <w:t>art. 5(4), 243nói chung, 162Hiệp định thuế Turkmenistan-UK</w:t>
      </w:r>
    </w:p>
    <w:p>
      <w:pPr>
        <w:spacing w:after="80"/>
      </w:pPr>
      <w:r>
        <w:rPr>
          <w:b w:val="0"/>
          <w:i w:val="0"/>
        </w:rPr>
        <w:t>art. 12(2), 564</w:t>
      </w:r>
    </w:p>
    <w:p>
      <w:pPr>
        <w:spacing w:after="80"/>
      </w:pPr>
      <w:r>
        <w:rPr>
          <w:b/>
          <w:i w:val="0"/>
        </w:rPr>
        <w:t>Hiệp định thuế Uganda-UK, 437, 449</w:t>
      </w:r>
    </w:p>
    <w:p>
      <w:pPr>
        <w:spacing w:after="80"/>
      </w:pPr>
      <w:r>
        <w:rPr>
          <w:b w:val="0"/>
          <w:i w:val="0"/>
        </w:rPr>
        <w:t>Hiệp định thuế Ukraine-UK (1993)</w:t>
      </w:r>
    </w:p>
    <w:p>
      <w:pPr>
        <w:spacing w:after="80"/>
      </w:pPr>
      <w:r>
        <w:rPr>
          <w:b w:val="0"/>
          <w:i w:val="0"/>
        </w:rPr>
        <w:t>art. 13(2)(a), 383art. 24, 522Hiệp định US-UK FATCA</w:t>
      </w:r>
    </w:p>
    <w:p>
      <w:pPr>
        <w:spacing w:after="80"/>
      </w:pPr>
      <w:r>
        <w:rPr>
          <w:b w:val="0"/>
          <w:i w:val="0"/>
        </w:rPr>
        <w:t>art. 7, 473nói chung, 29Hiệp định thuế US-UK (1945)</w:t>
      </w:r>
    </w:p>
    <w:p>
      <w:pPr>
        <w:spacing w:after="80"/>
      </w:pPr>
      <w:r>
        <w:rPr>
          <w:b w:val="0"/>
          <w:i w:val="0"/>
        </w:rPr>
        <w:t>art. 2(3), 122art. 3(2), 115art. 3(5), 122art. 6(4), 122art. 10, 588art. 11, 121art. 12(3)(b), 381art. 20A, 124art. 20A(1), 121art. 21, 393art. 23(3)(b), 122art. XV, 115Hiệp định thuế US-UK (1946)</w:t>
      </w:r>
    </w:p>
    <w:p>
      <w:pPr>
        <w:spacing w:after="80"/>
      </w:pPr>
      <w:r>
        <w:rPr>
          <w:b w:val="0"/>
          <w:i w:val="0"/>
        </w:rPr>
        <w:t>art. 23(2), 172art. 23(2)(a), 172art. 24(4), 590Hiệp định thuế US-UK (2001)</w:t>
      </w:r>
    </w:p>
    <w:p>
      <w:pPr>
        <w:spacing w:after="80"/>
      </w:pPr>
      <w:r>
        <w:rPr>
          <w:b w:val="0"/>
          <w:i w:val="0"/>
        </w:rPr>
        <w:t>art. 1(7), 396art. 2(3)(a)(ii), 157art. 3(1), 547art. 3(1)(d), 258art. 3(1)(o), 214art. 4(1), 186art. 10(3)(a)(i), 309</w:t>
      </w:r>
    </w:p>
    <w:p>
      <w:pPr>
        <w:spacing w:after="80"/>
      </w:pPr>
      <w:r>
        <w:rPr>
          <w:b w:val="0"/>
          <w:i w:val="0"/>
        </w:rPr>
        <w:t>art. XIII, 445</w:t>
      </w:r>
    </w:p>
    <w:p>
      <w:pPr>
        <w:spacing w:after="80"/>
      </w:pPr>
      <w:r>
        <w:rPr>
          <w:b w:val="0"/>
          <w:i w:val="0"/>
        </w:rPr>
        <w:t>736</w:t>
      </w:r>
    </w:p>
    <w:p>
      <w:pPr>
        <w:spacing w:after="80"/>
      </w:pPr>
      <w:r>
        <w:rPr>
          <w:b w:val="0"/>
          <w:i w:val="0"/>
        </w:rPr>
        <w:t>art. 10(3)(a)(ii), 309art. 10(3)(b), 309art. 10(7), 313art. 11(7), 504art. 12(5), 504art. 17(2), 365art. 17(5), 392art. 18, 363, 370art. 18(1), 365art. 18(4), 373art. 18(5), 373art. 22(4), 504art. 23(1), 518art. 23(2), 518art. 23(6), 463art. 23(7)(d), 519art. 24(6), 447art. 26(3), 602art. 27, 679nói chung, 128Hiệp định thuế USSR-UK, 43Hiệp định thuế Uzbekistan-UK</w:t>
      </w:r>
    </w:p>
    <w:p>
      <w:pPr>
        <w:spacing w:after="80"/>
      </w:pPr>
      <w:r>
        <w:rPr>
          <w:b w:val="0"/>
          <w:i w:val="0"/>
        </w:rPr>
        <w:t>art. 1, 8, 55, 165art. 1(1), 405art. 1(2), 181art. 1(2)–1(4), 406art. 1(3), 413art. 1(4), 411art. 1(5), 413art. 1(6), 414art. 1(8), 173art. 1(9), 434art. 1(11)–(16), 576art. 2, 153art. 2(1), 153, 154art. 2(1)(a), 414art. 2(1)(b), 415art. 2(1)(c), 409art. 2(a)(i), 416art. 2(a)(iii), 417art. 2(b), 417art. 3, 63art. 3(1)(a), 181art. 3(1)(b), 165art. 3(2), 146, 189art. 3(1)(b), 168art. 3(2)(a), 192art. 3(2)(b), 405art. 3(b), 416art. 3(c), 413art. 3A, 382art. 3B, 382art. 4, 178, 188, 192art. 4(1), 63, 186, 208art. 4(1)(b), 408art. 4(1a), 407art. 4(2), 183, 187art. 4(2)(a), 185art. 4(2)(b), 417art. 4(2)(d), 592, 601art. 4(3), 183, 187, 196art. 4(7), 430art. 4(a), 433art. 4(b), 433art. 5, 161, 218, 253art. 5(1), 228art. 5(2), 228</w:t>
      </w:r>
    </w:p>
    <w:p>
      <w:pPr>
        <w:spacing w:after="80"/>
      </w:pPr>
      <w:r>
        <w:rPr>
          <w:b w:val="0"/>
          <w:i w:val="0"/>
        </w:rPr>
        <w:t>art. 3, 167</w:t>
      </w:r>
    </w:p>
    <w:p>
      <w:pPr>
        <w:spacing w:after="80"/>
      </w:pPr>
      <w:r>
        <w:rPr>
          <w:b/>
          <w:i w:val="0"/>
        </w:rPr>
        <w:t>Hiệp định thuế Venezuela-UK</w:t>
      </w:r>
    </w:p>
    <w:p>
      <w:pPr>
        <w:spacing w:after="80"/>
      </w:pPr>
      <w:r>
        <w:rPr>
          <w:b w:val="0"/>
          <w:i w:val="0"/>
        </w:rPr>
        <w:t>art. 21(1), 390art. 21(2), 390art. 21(3), 390Hiệp định thuế Việt Nam-Anh</w:t>
      </w:r>
    </w:p>
    <w:p>
      <w:pPr>
        <w:spacing w:after="80"/>
      </w:pPr>
      <w:r>
        <w:rPr>
          <w:b w:val="0"/>
          <w:i w:val="0"/>
        </w:rPr>
        <w:t>art. 19(2), 373art. 13(2)(a), 373</w:t>
      </w:r>
    </w:p>
    <w:p>
      <w:pPr>
        <w:spacing w:after="80"/>
      </w:pPr>
      <w:r>
        <w:rPr>
          <w:b/>
          <w:i w:val="0"/>
        </w:rPr>
        <w:t>Hiệp định thuế Nam Tư-Anh 1981</w:t>
      </w:r>
    </w:p>
    <w:p>
      <w:pPr>
        <w:spacing w:after="80"/>
      </w:pPr>
      <w:r>
        <w:rPr>
          <w:b w:val="0"/>
          <w:i w:val="0"/>
        </w:rPr>
        <w:t>art. 10(2)(a), 450art. 15(2(b), 351</w:t>
      </w:r>
    </w:p>
    <w:p>
      <w:pPr>
        <w:spacing w:after="80"/>
      </w:pPr>
      <w:r>
        <w:rPr>
          <w:b/>
          <w:i w:val="0"/>
        </w:rPr>
        <w:t>Hiệp định thuế Zambia-Anh (1972)</w:t>
      </w:r>
    </w:p>
    <w:p>
      <w:pPr>
        <w:spacing w:after="80"/>
      </w:pPr>
      <w:r>
        <w:rPr>
          <w:b w:val="0"/>
          <w:i w:val="0"/>
        </w:rPr>
        <w:t>art. 19, 364</w:t>
      </w:r>
    </w:p>
    <w:p>
      <w:pPr>
        <w:spacing w:after="80"/>
      </w:pPr>
      <w:r>
        <w:rPr>
          <w:b/>
          <w:i w:val="0"/>
        </w:rPr>
        <w:t>Các công ước mẫu và luật</w:t>
      </w:r>
    </w:p>
    <w:p>
      <w:pPr>
        <w:spacing w:after="80"/>
      </w:pPr>
      <w:r>
        <w:rPr>
          <w:b/>
          <w:i w:val="0"/>
        </w:rPr>
        <w:t>Công ước mẫu OECD</w:t>
      </w:r>
    </w:p>
    <w:p>
      <w:pPr>
        <w:spacing w:after="80"/>
      </w:pPr>
      <w:r>
        <w:rPr>
          <w:b w:val="0"/>
          <w:i w:val="0"/>
        </w:rPr>
        <w:t>737</w:t>
      </w:r>
    </w:p>
    <w:p>
      <w:pPr>
        <w:spacing w:after="80"/>
      </w:pPr>
      <w:r>
        <w:rPr>
          <w:b w:val="0"/>
          <w:i w:val="0"/>
        </w:rPr>
        <w:t>art. 5(5), 231art. 5(6), 231art. 5(7), 431art. 5(a), 11, 12art. 5(b), 11art. 5(c), 12art. 6, 301art. 6(2), 531art. 6(3), 429art. 7, 49, 137, 269art. 7(1), 257art. 7(1)(a), 432art. 7(1)(b), 432art. 7(2), 261, 273art. 7(2)(a), 433art. 7(2)(b), 433art. 7(3), 280, 281, 593art. 7(4), 284art. 9, 71, 91, 295art. 9(1), 298, 427art. 9(2), 87, 543, 653art. 9A, 82art. 10, 188, 200, 301art. 10(1), 419art. 10(3)(c), 67art. 10–12, 495art. 11, 200, 301art. 11(3), 317art. 11(5), 321art. 12, 200, 333art. 12(2), 329art. 12(3), 331art. 12(4), 144, 337art. 13, 188, 416art. 13(1), 382art. 13(3), 617art. 13(4), 383, 544art. 13(5), 379art. 14, 254art. 14(1), 79, 85art. 15(1), 341art. 15(2), 349art. 16, 346art. 16(1)–(3), 548art. 16(4), 548</w:t>
      </w:r>
    </w:p>
    <w:p>
      <w:pPr>
        <w:spacing w:after="80"/>
      </w:pPr>
      <w:r>
        <w:rPr>
          <w:b w:val="0"/>
          <w:i w:val="0"/>
        </w:rPr>
        <w:t>art. 18, 85, 86art. 19(1)(a), 80art. 19(4)(a), 555art. 19(4)(b)(i), 555art. 19(4)(b)(ii), 555art. 19(4)(b)(iii), 555art. 19(5), 550art. 19(6), 550art. 19(7), 551art. 19(9), 550art. 19(12)(a), 549art. 19(12)(b), 555art. 20, 397art. 20(1), 551art. 20(2)(a), 552art. 20(2)(b), 552art. 20(2)(c), 552art. 20(3), 552art. 20(4), 552art. 21(1), 552art. 21(2), 553art. 23, 82, 546art. 23(1), 551art. 23(1)(a), 554art. 23(1)(b), 554art. 23(1)(c), 554art. 23(2)(a), 554art. 23(2)(b), 554art. 23(2)(c), 555art. 23(3), 553art. 23(4), 553art. 23(5), 553art. 23(6), 553art. 23(7), 553art. 23a, 451art. 23b, 83, 252art. 24, 136, 142art. 24(1), 59, 177art. 24(2), 459art. 24(3), 460, 558art. 24(4), 463art. 24(5), 462art. 24(6), 447art. 25, 549, 592art. 25(5), 549</w:t>
      </w:r>
    </w:p>
    <w:p>
      <w:pPr>
        <w:spacing w:after="80"/>
      </w:pPr>
      <w:r>
        <w:rPr>
          <w:b w:val="0"/>
          <w:i w:val="0"/>
        </w:rPr>
        <w:t>738</w:t>
      </w:r>
    </w:p>
    <w:p>
      <w:pPr>
        <w:spacing w:after="80"/>
      </w:pPr>
      <w:r>
        <w:rPr>
          <w:b w:val="0"/>
          <w:i w:val="0"/>
        </w:rPr>
        <w:t>art. 25(1)–(3), 548art. 26, 403, 427, 658art. 26(2), 550art. 26(2)(a), 653art. 26(2)(c), 646art. 27, 137, 359art. 28(1), 656art. 28(4), 39art. 29(8), 312art. 29(9), 513art. 31, 560art. 31(3), 123</w:t>
      </w:r>
    </w:p>
    <w:p>
      <w:pPr>
        <w:spacing w:after="80"/>
      </w:pPr>
      <w:r>
        <w:rPr>
          <w:b w:val="0"/>
          <w:i w:val="0"/>
        </w:rPr>
        <w:t>art. 7(1), 268art. 7(2), 282art. 7(3), 281art. 12(2), 330, 564art. 12(5), 334art. 14, 285, 286art. 15, 347art, 18A(2), 364art. 21(3), 390art. 24, 460art. 25(5), 603art. 26, 634</w:t>
      </w:r>
    </w:p>
    <w:p>
      <w:pPr>
        <w:spacing w:after="80"/>
      </w:pPr>
      <w:r>
        <w:rPr>
          <w:b/>
          <w:i w:val="0"/>
        </w:rPr>
        <w:t>Công ước mẫu UN, 11, 228, 252,</w:t>
      </w:r>
    </w:p>
    <w:p>
      <w:pPr>
        <w:spacing w:after="80"/>
      </w:pPr>
      <w:r>
        <w:rPr>
          <w:b/>
          <w:i w:val="0"/>
        </w:rPr>
        <w:t>Luật mẫu UNCITRAL về xuyên biên giới</w:t>
      </w:r>
    </w:p>
    <w:p>
      <w:pPr>
        <w:spacing w:after="80"/>
      </w:pPr>
      <w:r>
        <w:rPr>
          <w:b/>
          <w:i w:val="0"/>
        </w:rPr>
        <w:t>286, 484, 487, 520</w:t>
      </w:r>
    </w:p>
    <w:p>
      <w:pPr>
        <w:spacing w:after="80"/>
      </w:pPr>
      <w:r>
        <w:rPr>
          <w:b/>
          <w:i w:val="0"/>
        </w:rPr>
        <w:t>Mất khả năng thanh toán, 636</w:t>
      </w:r>
    </w:p>
    <w:p>
      <w:pPr>
        <w:spacing w:after="80"/>
      </w:pPr>
      <w:r>
        <w:rPr>
          <w:b/>
          <w:i w:val="0"/>
        </w:rPr>
        <w:t>Điều 5(3)(a), 228, 230</w:t>
      </w:r>
    </w:p>
    <w:p>
      <w:pPr>
        <w:spacing w:after="80"/>
      </w:pPr>
      <w:r>
        <w:rPr>
          <w:b w:val="0"/>
          <w:i w:val="0"/>
        </w:rPr>
        <w:t>Điều 5(3)(b), 218, 241Điều 5(4)(b), 246Điều 5(6), 239, 243</w:t>
      </w:r>
    </w:p>
    <w:p>
      <w:pPr>
        <w:spacing w:after="80"/>
      </w:pPr>
      <w:r>
        <w:rPr>
          <w:b w:val="0"/>
          <w:i w:val="0"/>
        </w:rPr>
        <w:t>739</w:t>
      </w:r>
    </w:p>
    <w:p>
      <w:pPr>
        <w:spacing w:before="240" w:after="80"/>
      </w:pPr>
      <w:r>
        <w:rPr>
          <w:b/>
          <w:sz w:val="32"/>
        </w:rPr>
        <w:t>Các Hiệp ước và Công ước khác</w:t>
      </w:r>
    </w:p>
    <w:p>
      <w:pPr>
        <w:spacing w:after="80"/>
      </w:pPr>
      <w:r>
        <w:rPr>
          <w:b w:val="0"/>
          <w:i w:val="0"/>
        </w:rPr>
        <w:t>Công ước Brussels về Thẩm quyền và</w:t>
      </w:r>
    </w:p>
    <w:p>
      <w:pPr>
        <w:spacing w:after="80"/>
      </w:pPr>
      <w:r>
        <w:rPr>
          <w:b w:val="0"/>
          <w:i w:val="0"/>
        </w:rPr>
        <w:t>Điều 6(4), 532Điều 6(5), 532Điều 6(6), 532Điều 7, 531Điều 7(1), 532, 534Điều 7(2), 532, 548, 549Điều 7(3), 543Điều 7(4), 533Điều 7(5), 534Điều 7(6), 534Điều 7(7), 534Điều 7(8)–(13), 534Điều 7(14), 534Điều 7(15)(a), 533Điều 7(15)(b), 534Điều 7(15)(c), 534Điều 7(17)(b), 533Điều 7(17)(c), 534Điều 7(17)(d), 534Điều 7(17)(e), 534Điều 8(1), 544Điều 8(3)(a), 544Điều 8(4), 544Điều 9(1), 543, 548, 549Điều 9(1)(a), 545Điều 9(1)(b), 545Điều 9(2), 543Điều 9(6)(a), 545Điều 9(6)(e), 545Điều 9(8), 545Điều 10, 544Điều 10(1), 545</w:t>
      </w:r>
    </w:p>
    <w:p>
      <w:pPr>
        <w:spacing w:after="80"/>
      </w:pPr>
      <w:r>
        <w:rPr>
          <w:b w:val="0"/>
          <w:i w:val="0"/>
        </w:rPr>
        <w:t>việc Thi hành các Phán quyếtvề các Vấn đề Dân sự và Thương mại, 142, 637Công ước Đa phương BEPS</w:t>
      </w:r>
    </w:p>
    <w:p>
      <w:pPr>
        <w:spacing w:after="80"/>
      </w:pPr>
      <w:r>
        <w:rPr>
          <w:b w:val="0"/>
          <w:i w:val="0"/>
        </w:rPr>
        <w:t>Điều 1, 531, 535Điều 2, 531Điều 2(2), 558Điều 2(1)(a)(B), 530Điều 2(2), 530Điều 3, 535, 547Điều 3(1), 547, 548Điều 3(2), 535, 547, 548, 558Điều 3(5), 548Điều 3(5)(f), 535, 548Điều 4, 416, 430, 537Điều 4(1), 537Điều 4(3)(b), 537Điều 4(3)(f), 537Điều 4(4), 537Điều 5, 540Điều 5(1), 547Điều 5(2), 546Điều 5(3), 546Điều 5(4), 542, 547Điều 5(5), 546Điều 5(6), 547Điều 5(7), 546Điều 5(10), 547Điều 6, 531Điều 6(1), 531Điều 6(2), 531Điều 6(3), 532</w:t>
      </w:r>
    </w:p>
    <w:p>
      <w:pPr>
        <w:spacing w:after="80"/>
      </w:pPr>
      <w:r>
        <w:rPr>
          <w:b w:val="0"/>
          <w:i w:val="0"/>
        </w:rPr>
        <w:t>741</w:t>
      </w:r>
    </w:p>
    <w:p>
      <w:pPr>
        <w:spacing w:after="80"/>
      </w:pPr>
      <w:r>
        <w:rPr>
          <w:b w:val="0"/>
          <w:i w:val="0"/>
        </w:rPr>
        <w:t>Điều 10(2), 545Điều 10(5)(a), 545Điều 11, 535, 536Điều 11(4), 537Điều 12, 538Điều 12(1), 538Điều 12(1)(b), 538Điều 12(1)(c), 538Điều 12(2), 539Điều 12(4), 539Điều 12(5), 334Điều 13, 542Điều 13(2), 542Điều 13(3), 542Điều 13(4), 542, 544Điều 13(7), 542Điều 13(8), 542Điều 14(1), 540Điều 14(3)(a), 541Điều 14(3)(b), 541Điều 15, 539Điều 15(1), 540, 541Điều 16(1)–(3), 548Điều 16(4), 548Điều 16(5)(a), 548Điều 16(5)(b), 548Điều 16(5)(c)(i), 548Điều 16(5)(c)(ii), 549Điều 16(6), 549Điều 16(6)(a), 549Điều 16(6)(b)(i), 549Điều 16(6)(b)(ii), 549Điều 16(6)(c)(i), 549Điều 16(6)(c)(ii), 549Điều 16(6)(d)(i), 549Điều 16(6)(d)(ii), 549Điều 17(1), 543Điều 17(4), 543Điều 18, 549, 556Điều 19(1)(b), 550Điều 19(4)(a), 555Điều 19(4)(b), 555Điều 19(4)(b)(i), 555Điều 19(4)(b)(ii), 556Điều 19(4)(b)(iii), 555</w:t>
      </w:r>
    </w:p>
    <w:p>
      <w:pPr>
        <w:spacing w:after="80"/>
      </w:pPr>
      <w:r>
        <w:rPr>
          <w:b w:val="0"/>
          <w:i w:val="0"/>
        </w:rPr>
        <w:t>Điều 19(5), 550Điều 19(6), 550, 551Điều 19(7), 551Điều 19(8), 550, 551Điều 19(9), 550Điều 19(10), 550, 551, 562Điều 19(11), 550Điều 19(12)(a), 549Điều 19(12)(b), 555Điều 20, 551Điều 20(1), 551Điều 20(2)(a), 552Điều 20(2)(b), 552Điều 20(2)(c), 552Điều 20(3), 552Điều 20(4), 552Điều 21, 551Điều 21(1), 552Điều 21(2), 553Điều 22, 555Điều 23, 546, 551Điều 23(1), 551Điều 23(1)(a), 554Điều 23(1)(b), 554Điều 23(1)(c), 554, 555Điều 23(2)(a), 554Điều 23(2)(b), 554, 555Điều 23(2)(c), 555Điều 23(3), 553Điều 23(4), 553, 556Điều 23(5), 553, 556Điều 23(6), 553Điều 23(7), 553Điều 24, 556Điều 24(1), 556Điều 25, 549, 551, 551, 556Điều 25(5), 549, 550, 551, 555Điều 25(5)(b), 550Điều 26(1), 556Điều 26(2), 550Điều 26(4), 556Điều 28(2)(a), 556Điều 30(5), 531Điều 33, 560Điều 34(1), 560</w:t>
      </w:r>
    </w:p>
    <w:p>
      <w:pPr>
        <w:spacing w:after="80"/>
      </w:pPr>
      <w:r>
        <w:rPr>
          <w:b w:val="0"/>
          <w:i w:val="0"/>
        </w:rPr>
        <w:t>742</w:t>
      </w:r>
    </w:p>
    <w:p>
      <w:pPr>
        <w:spacing w:after="80"/>
      </w:pPr>
      <w:r>
        <w:rPr>
          <w:b w:val="0"/>
          <w:i w:val="0"/>
        </w:rPr>
        <w:t>Điều 34(2), 560Điều 35(1), 561Điều 35(2), 561Điều 35(3), 561Điều 35(4), 561Điều 35(5), 561Điều 35(6), 561Điều 35(7), 561Điều 36(1)(a), 561Điều 36(1)(b), 562Điều 36(2), 561Điều 38, 560Điều 39(1), 530Điều 39(2), 530Phần VI, 549Công ước Chicago về Hàng không</w:t>
      </w:r>
    </w:p>
    <w:p>
      <w:pPr>
        <w:spacing w:after="80"/>
      </w:pPr>
      <w:r>
        <w:rPr>
          <w:b w:val="0"/>
          <w:i w:val="0"/>
        </w:rPr>
        <w:t>150, 151, 656, 673Công ước Châu Âu về Quyền miễn trừ Quốc gia</w:t>
      </w:r>
    </w:p>
    <w:p>
      <w:pPr>
        <w:spacing w:after="80"/>
      </w:pPr>
      <w:r>
        <w:rPr>
          <w:b w:val="0"/>
          <w:i w:val="0"/>
        </w:rPr>
        <w:t>s. 11, 9Công ước về Bằng sáng chế Châu Âu 2007</w:t>
      </w:r>
    </w:p>
    <w:p>
      <w:pPr>
        <w:spacing w:after="80"/>
      </w:pPr>
      <w:r>
        <w:rPr>
          <w:b w:val="0"/>
          <w:i w:val="0"/>
        </w:rPr>
        <w:t>art. 8, 25art. 16, 25art. 64, 335Công ước Montevideo về Quyền và</w:t>
      </w:r>
    </w:p>
    <w:p>
      <w:pPr>
        <w:spacing w:after="80"/>
      </w:pPr>
      <w:r>
        <w:rPr>
          <w:b w:val="0"/>
          <w:i w:val="0"/>
        </w:rPr>
        <w:t>Nghĩa vụ của các Quốc giaart.1, 8art. 2, 8Công ước chung về Hỗ trợ</w:t>
      </w:r>
    </w:p>
    <w:p>
      <w:pPr>
        <w:spacing w:after="80"/>
      </w:pPr>
      <w:r>
        <w:rPr>
          <w:b w:val="0"/>
          <w:i w:val="0"/>
        </w:rPr>
        <w:t>Hành chính trong các Vấn đề ThuếCh. III, s. II, 657Ch. III, s. III, 657art. 2, 657art. 4, 658art. 5, 658art. 6, 658art. 7, 658art. 9, 657, 658art. 11, 658art. 14, 658art. 21, 659art. 22, 659art. 28(1), 656art. 28(6), 660art. 30, 657Công ước Liên hợp quốc về Quyền tài phán</w:t>
      </w:r>
    </w:p>
    <w:p>
      <w:pPr>
        <w:spacing w:after="80"/>
      </w:pPr>
      <w:r>
        <w:rPr>
          <w:b w:val="0"/>
          <w:i w:val="0"/>
        </w:rPr>
        <w:t>Hàng không Dân dụngart. 15, 113Công ước giữa các Nước Bắc Âu</w:t>
      </w:r>
    </w:p>
    <w:p>
      <w:pPr>
        <w:spacing w:after="80"/>
      </w:pPr>
      <w:r>
        <w:rPr>
          <w:b w:val="0"/>
          <w:i w:val="0"/>
        </w:rPr>
        <w:t>về Tránh Đánh thuế Hai lầnđối với Thuế Thu nhập vàTài sản, 612Công ước về Tổ chức Hợp tác</w:t>
      </w:r>
    </w:p>
    <w:p>
      <w:pPr>
        <w:spacing w:after="80"/>
      </w:pPr>
      <w:r>
        <w:rPr>
          <w:b w:val="0"/>
          <w:i w:val="0"/>
        </w:rPr>
        <w:t>và Phát triển Kinh tế, 11Công ước về Đặc quyền và</w:t>
      </w:r>
    </w:p>
    <w:p>
      <w:pPr>
        <w:spacing w:after="80"/>
      </w:pPr>
      <w:r>
        <w:rPr>
          <w:b w:val="0"/>
          <w:i w:val="0"/>
        </w:rPr>
        <w:t>Miễn trừ của Liên hợp quốcart. 7, 25art. 8, 25Hiệp ước EC 1992</w:t>
      </w:r>
    </w:p>
    <w:p>
      <w:pPr>
        <w:spacing w:after="80"/>
      </w:pPr>
      <w:r>
        <w:rPr>
          <w:b w:val="0"/>
          <w:i w:val="0"/>
        </w:rPr>
        <w:t>Miễn trừ của các Quốc gia và Tài sản</w:t>
      </w:r>
    </w:p>
    <w:p>
      <w:pPr>
        <w:spacing w:after="80"/>
      </w:pPr>
      <w:r>
        <w:rPr>
          <w:b w:val="0"/>
          <w:i w:val="0"/>
        </w:rPr>
        <w:t>của họart. 5, 8Công ước Vienna về Quan hệ</w:t>
      </w:r>
    </w:p>
    <w:p>
      <w:pPr>
        <w:spacing w:after="80"/>
      </w:pPr>
      <w:r>
        <w:rPr>
          <w:b w:val="0"/>
          <w:i w:val="0"/>
        </w:rPr>
        <w:t>Lãnh sựart. 293, 67, 68, 70, 88art. 351, 92, 93Công ước Trọng tài EU 90/436</w:t>
      </w:r>
    </w:p>
    <w:p>
      <w:pPr>
        <w:spacing w:after="80"/>
      </w:pPr>
      <w:r>
        <w:rPr>
          <w:b w:val="0"/>
          <w:i w:val="0"/>
        </w:rPr>
        <w:t>1962art. 49, 360Công ước Vienna về Quan hệ</w:t>
      </w:r>
    </w:p>
    <w:p>
      <w:pPr>
        <w:spacing w:after="80"/>
      </w:pPr>
      <w:r>
        <w:rPr>
          <w:b w:val="0"/>
          <w:i w:val="0"/>
        </w:rPr>
        <w:t>Ngoại giaoart. 3(1), 612art. 4, 71art. 9, 403art. 15(5), 450art. 16(1), 450art. 16(2), 450art. 21(1), 59art. 21(3), 450art. 33(2)(a), 450Công ước Châu Âu về Nhân quyền,</w:t>
      </w:r>
    </w:p>
    <w:p>
      <w:pPr>
        <w:spacing w:after="80"/>
      </w:pPr>
      <w:r>
        <w:rPr>
          <w:b w:val="0"/>
          <w:i w:val="0"/>
        </w:rPr>
        <w:t>1962art. 34, 360Công ước Vienna về Luật</w:t>
      </w:r>
    </w:p>
    <w:p>
      <w:pPr>
        <w:spacing w:after="80"/>
      </w:pPr>
      <w:r>
        <w:rPr>
          <w:b w:val="0"/>
          <w:i w:val="0"/>
        </w:rPr>
        <w:t>Điều ước 1969art. 1, 13, 20art. 1(a), 13art. 2, 17, 19art. 2(1), 32art. 2(1)(i), 10, 146</w:t>
      </w:r>
    </w:p>
    <w:p>
      <w:pPr>
        <w:spacing w:after="80"/>
      </w:pPr>
      <w:r>
        <w:rPr>
          <w:b w:val="0"/>
          <w:i w:val="0"/>
        </w:rPr>
        <w:t>743</w:t>
      </w:r>
    </w:p>
    <w:p>
      <w:pPr>
        <w:spacing w:after="80"/>
      </w:pPr>
      <w:r>
        <w:rPr>
          <w:b w:val="0"/>
          <w:i w:val="0"/>
        </w:rPr>
        <w:t>art. 52, 65art. 54, 65art. 56, 92art. 63, 66, 67, 73, 74, 77, 94art. 65, 63, 65art. 107(1), 60art. 108, 60art. 115, 400art. 216(1), 98art. 216(2), 99art. 218, 98art. 267, 61art. 273, 62art. 288, 401art. 293, 88Hiến chương Liên Hợp Quốc</w:t>
      </w:r>
    </w:p>
    <w:p>
      <w:pPr>
        <w:spacing w:after="80"/>
      </w:pPr>
      <w:r>
        <w:rPr>
          <w:b w:val="0"/>
          <w:i w:val="0"/>
        </w:rPr>
        <w:t>art. 25, 11art. 62, 11art. 68, 11Tuyên ngôn Quốc tế Nhân quyền</w:t>
      </w:r>
    </w:p>
    <w:p>
      <w:pPr>
        <w:spacing w:after="80"/>
      </w:pPr>
      <w:r>
        <w:rPr>
          <w:b w:val="0"/>
          <w:i w:val="0"/>
        </w:rPr>
        <w:t>557, 559, 560art. 33, 559art. 34, 15art. 38(1), 359art. 38(2), 359art. 46, 15art. 53, 5art. 84, 110Quy chế của Tòa án Công lý Quốc tế</w:t>
      </w:r>
    </w:p>
    <w:p>
      <w:pPr>
        <w:spacing w:after="80"/>
      </w:pPr>
      <w:r>
        <w:rPr>
          <w:b w:val="0"/>
          <w:i w:val="0"/>
        </w:rPr>
        <w:t>1948art. 1, 453art. 2, 453Hiệp định giữa Cộng đồng</w:t>
      </w:r>
    </w:p>
    <w:p>
      <w:pPr>
        <w:spacing w:after="80"/>
      </w:pPr>
      <w:r>
        <w:rPr>
          <w:b w:val="0"/>
          <w:i w:val="0"/>
        </w:rPr>
        <w:t>Châu Âu và các Quốc gia Thành viên, một bên, và Liên bang Thụy Sĩ, bên kia, về tự do di chuyển của người, 99Các Hiệp định giữa EC và</w:t>
      </w:r>
    </w:p>
    <w:p>
      <w:pPr>
        <w:spacing w:after="80"/>
      </w:pPr>
      <w:r>
        <w:rPr>
          <w:b w:val="0"/>
          <w:i w:val="0"/>
        </w:rPr>
        <w:t>Công lýart. 9, 4art. 38, 2art. 59, 5Hiệp ước về Liên minh Châu Âu</w:t>
      </w:r>
    </w:p>
    <w:p>
      <w:pPr>
        <w:spacing w:after="80"/>
      </w:pPr>
      <w:r>
        <w:rPr>
          <w:b w:val="0"/>
          <w:i w:val="0"/>
        </w:rPr>
        <w:t>Thụy Sĩ, Andorra, Liechtenstein, San Marino và Monaco về thuế tiết kiệm, 98Hiệp định về Quy chế của</w:t>
      </w:r>
    </w:p>
    <w:p>
      <w:pPr>
        <w:spacing w:after="80"/>
      </w:pPr>
      <w:r>
        <w:rPr>
          <w:b w:val="0"/>
          <w:i w:val="0"/>
        </w:rPr>
        <w:t>art. 1, 621art. 3(5), 6art. 50(2), 100, 101art. 50(3), 101Hiệp ước về Hoạt động của</w:t>
      </w:r>
    </w:p>
    <w:p>
      <w:pPr>
        <w:spacing w:after="80"/>
      </w:pPr>
      <w:r>
        <w:rPr>
          <w:b w:val="0"/>
          <w:i w:val="0"/>
        </w:rPr>
        <w:t>Các Lực lượng của các Bên tham gia Hiệp ước Bắc Đại Tây Dương, 27Hiệp định Thương mại và Hợp tác EU-UK</w:t>
      </w:r>
    </w:p>
    <w:p>
      <w:pPr>
        <w:spacing w:after="80"/>
      </w:pPr>
      <w:r>
        <w:rPr>
          <w:b w:val="0"/>
          <w:i w:val="0"/>
        </w:rPr>
        <w:t>Liên minh Châu Âuart. 4(3), 90art. 18, 62, 73, 82art. 21, 73art. 21(2)(c), 76art. 21(3), 76art. 45, 70, 80, 83art. 49, 58, 65, 67, 70, 73, 77, 78, 87,</w:t>
      </w:r>
    </w:p>
    <w:p>
      <w:pPr>
        <w:spacing w:after="80"/>
      </w:pPr>
      <w:r>
        <w:rPr>
          <w:b w:val="0"/>
          <w:i w:val="0"/>
        </w:rPr>
        <w:t>Hiệp định, 101, 688Hiệp định chung về Thương mại Dịch vụ,</w:t>
      </w:r>
    </w:p>
    <w:p>
      <w:pPr>
        <w:spacing w:after="80"/>
      </w:pPr>
      <w:r>
        <w:rPr>
          <w:b w:val="0"/>
          <w:i w:val="0"/>
        </w:rPr>
        <w:t>130, 471, 606, 607Hiệp định Trụ sở giữa</w:t>
      </w:r>
    </w:p>
    <w:p>
      <w:pPr>
        <w:spacing w:after="80"/>
      </w:pPr>
      <w:r>
        <w:rPr>
          <w:b w:val="0"/>
          <w:i w:val="0"/>
        </w:rPr>
        <w:t>Chính phủ Vương quốc Anh và Tổ chức Vệ tinh Di động Quốc tế</w:t>
      </w:r>
    </w:p>
    <w:p>
      <w:pPr>
        <w:spacing w:after="80"/>
      </w:pPr>
      <w:r>
        <w:rPr>
          <w:b w:val="0"/>
          <w:i w:val="0"/>
        </w:rPr>
        <w:t>89, 97, 455</w:t>
      </w:r>
    </w:p>
    <w:p>
      <w:pPr>
        <w:spacing w:after="80"/>
      </w:pPr>
      <w:r>
        <w:rPr>
          <w:b w:val="0"/>
          <w:i w:val="0"/>
        </w:rPr>
        <w:t>744</w:t>
      </w:r>
    </w:p>
    <w:p>
      <w:pPr>
        <w:spacing w:after="80"/>
      </w:pPr>
      <w:r>
        <w:rPr>
          <w:b w:val="0"/>
          <w:i w:val="0"/>
        </w:rPr>
        <w:t>art. 7, 26art. 14, 26Hiệp định Rút lui UK-EU</w:t>
      </w:r>
    </w:p>
    <w:p>
      <w:pPr>
        <w:spacing w:after="80"/>
      </w:pPr>
      <w:r>
        <w:rPr>
          <w:b w:val="0"/>
          <w:i w:val="0"/>
        </w:rPr>
        <w:t>Nghị định thư về Đặc quyền và</w:t>
      </w:r>
    </w:p>
    <w:p>
      <w:pPr>
        <w:spacing w:after="80"/>
      </w:pPr>
      <w:r>
        <w:rPr>
          <w:b w:val="0"/>
          <w:i w:val="0"/>
        </w:rPr>
        <w:t>Miễn trừ của Cơ quan Sáng chế Châu Âu, Nghị định thư về Công ước Cấp Bằng Sáng chế Châu Âu điều 8, 25 điều 16, 25 Nghị định thư (Số 7) về Đặc quyền và</w:t>
      </w:r>
    </w:p>
    <w:p>
      <w:pPr>
        <w:spacing w:after="80"/>
      </w:pPr>
      <w:r>
        <w:rPr>
          <w:b w:val="0"/>
          <w:i w:val="0"/>
        </w:rPr>
        <w:t>điều 86, 101 điều 87, 101 điều 100, 685 điều 111, 105 điều 158, 101 Nghị định thư về Hợp tác Hành chính</w:t>
      </w:r>
    </w:p>
    <w:p>
      <w:pPr>
        <w:spacing w:after="80"/>
      </w:pPr>
      <w:r>
        <w:rPr>
          <w:b w:val="0"/>
          <w:i w:val="0"/>
        </w:rPr>
        <w:t>Miễn trừ của Liên minh Châu Âu, 103</w:t>
      </w:r>
    </w:p>
    <w:p>
      <w:pPr>
        <w:spacing w:after="80"/>
      </w:pPr>
      <w:r>
        <w:rPr>
          <w:b w:val="0"/>
          <w:i w:val="0"/>
        </w:rPr>
        <w:t>và Chống Gian lận trong Lĩnh vực Thuế Giá trị Gia tăng và về Tương trợ trong việc Thu hồi các Khoản nợ Liên quan đến Thuế và Phí điều 1, 688</w:t>
      </w:r>
    </w:p>
    <w:p>
      <w:pPr>
        <w:spacing w:after="80"/>
      </w:pPr>
      <w:r>
        <w:rPr>
          <w:b w:val="0"/>
          <w:i w:val="0"/>
        </w:rPr>
        <w:t>745</w:t>
      </w:r>
    </w:p>
    <w:p>
      <w:pPr>
        <w:spacing w:before="240" w:after="80"/>
      </w:pPr>
      <w:r>
        <w:rPr>
          <w:b/>
          <w:sz w:val="32"/>
        </w:rPr>
        <w:t>Mục lục</w:t>
      </w:r>
    </w:p>
    <w:p>
      <w:pPr>
        <w:spacing w:after="80"/>
      </w:pPr>
      <w:r>
        <w:rPr>
          <w:b/>
          <w:i w:val="0"/>
        </w:rPr>
        <w:t>Giới học thuật</w:t>
      </w:r>
    </w:p>
    <w:p>
      <w:pPr>
        <w:spacing w:after="80"/>
      </w:pPr>
      <w:r>
        <w:rPr>
          <w:b w:val="0"/>
          <w:i w:val="0"/>
        </w:rPr>
        <w:t>biểu mẫu, 572 nói chung, 563 lãi</w:t>
      </w:r>
    </w:p>
    <w:p>
      <w:pPr>
        <w:spacing w:after="80"/>
      </w:pPr>
      <w:r>
        <w:rPr>
          <w:b w:val="0"/>
          <w:i w:val="0"/>
        </w:rPr>
        <w:t>thu nhập từ việc làm</w:t>
      </w:r>
    </w:p>
    <w:p>
      <w:pPr>
        <w:spacing w:after="80"/>
      </w:pPr>
      <w:r>
        <w:rPr>
          <w:b w:val="0"/>
          <w:i w:val="0"/>
        </w:rPr>
        <w:t>cơ sở giáo dục, 357 mô hình OECD hoặc UN, 356 giới hạn hai năm, 357–358 Người phân xử</w:t>
      </w:r>
    </w:p>
    <w:p>
      <w:pPr>
        <w:spacing w:after="80"/>
      </w:pPr>
      <w:r>
        <w:rPr>
          <w:b w:val="0"/>
          <w:i w:val="0"/>
        </w:rPr>
        <w:t xml:space="preserve">Chương trình Cho vay Hợp vốn, 575 Chương trình Hộ chiếu Hiệp ước, 575 giảm thiểu thuế nước ngoài, 581–583 tờ khai thuế của người không cư trú, 565, 567 thông báo nộp thuế theo mức thuế hiệp ước, 571–572 thu nhập hưu trí, 578 thủ tục, 573 thủ tục theo thỏa thuận chung, 564 hoàn thuế, 564 giảm trừ tại nguồn, 571 cư trú, 579–580 tiền bản quyền, 574–575 tự khai – </w:t>
      </w:r>
      <w:r>
        <w:rPr>
          <w:b w:val="0"/>
          <w:i/>
        </w:rPr>
        <w:t>xem</w:t>
      </w:r>
      <w:r>
        <w:rPr>
          <w:b w:val="0"/>
          <w:i w:val="0"/>
        </w:rPr>
        <w:t xml:space="preserve"> </w:t>
      </w:r>
      <w:r>
        <w:rPr>
          <w:b/>
          <w:i w:val="0"/>
        </w:rPr>
        <w:t>Tự khai</w:t>
      </w:r>
      <w:r>
        <w:rPr>
          <w:b w:val="0"/>
          <w:i w:val="0"/>
        </w:rPr>
        <w:t xml:space="preserve"> vận động viên, 579 thủ tục dựa trên hiệp ước, 563–565 Các hiệp ước hợp tác hành chính,</w:t>
      </w:r>
    </w:p>
    <w:p>
      <w:pPr>
        <w:spacing w:after="80"/>
      </w:pPr>
      <w:r>
        <w:rPr>
          <w:b w:val="0"/>
          <w:i w:val="0"/>
        </w:rPr>
        <w:t xml:space="preserve">khiếu nại, 591 Quản lý các hiệp ước </w:t>
      </w:r>
      <w:r>
        <w:rPr>
          <w:b w:val="0"/>
          <w:i/>
        </w:rPr>
        <w:t>– xem thêm</w:t>
      </w:r>
    </w:p>
    <w:p>
      <w:pPr>
        <w:spacing w:after="80"/>
      </w:pPr>
      <w:r>
        <w:rPr>
          <w:b w:val="0"/>
          <w:i w:val="0"/>
        </w:rPr>
        <w:t>Áp dụng các hiệp ước quyền sở hữu thực hưởng, 572–573 lợi nhuận kinh doanh, 577–578 lợi nhuận vốn, 578 Trung tâm dành cho Người không cư trú, 583 giấy chứng nhận cư trú</w:t>
      </w:r>
    </w:p>
    <w:p>
      <w:pPr>
        <w:spacing w:after="80"/>
      </w:pPr>
      <w:r>
        <w:rPr>
          <w:b w:val="0"/>
          <w:i w:val="0"/>
        </w:rPr>
        <w:t>công ty, 580 cá nhân, 579, 580 Công dân Hoa Kỳ và người giữ Thẻ Xanh,</w:t>
      </w:r>
    </w:p>
    <w:p>
      <w:pPr>
        <w:spacing w:after="80"/>
      </w:pPr>
      <w:r>
        <w:rPr>
          <w:b w:val="0"/>
          <w:i w:val="0"/>
        </w:rPr>
        <w:t>579 yêu cầu</w:t>
      </w:r>
    </w:p>
    <w:p>
      <w:pPr>
        <w:spacing w:after="80"/>
      </w:pPr>
      <w:r>
        <w:rPr>
          <w:b w:val="0"/>
          <w:i w:val="0"/>
        </w:rPr>
        <w:t>158–159Giải quyết hành chính đối với</w:t>
      </w:r>
    </w:p>
    <w:p>
      <w:pPr>
        <w:spacing w:after="80"/>
      </w:pPr>
      <w:r>
        <w:rPr>
          <w:b w:val="0"/>
          <w:i w:val="0"/>
        </w:rPr>
        <w:t>tài liệu kép, 568–570việc HMRC sử dụng chính, 568thủ tục, 567–568giới hạn thời gian, 568tài liệu chưa đóng dấu, 570khấu trừ tại nguồn, 565, 570–571cổ tức</w:t>
      </w:r>
    </w:p>
    <w:p>
      <w:pPr>
        <w:spacing w:after="80"/>
      </w:pPr>
      <w:r>
        <w:rPr>
          <w:b w:val="0"/>
          <w:i w:val="0"/>
        </w:rPr>
        <w:t>cư trú, 207–208, 537Thuế công ty tạm ứng (ACT), 35–37,</w:t>
      </w:r>
    </w:p>
    <w:p>
      <w:pPr>
        <w:spacing w:after="80"/>
      </w:pPr>
      <w:r>
        <w:rPr>
          <w:b w:val="0"/>
          <w:i w:val="0"/>
        </w:rPr>
        <w:t>97, 129Ủy ban Cố vấn, 611, 615–618,</w:t>
      </w:r>
    </w:p>
    <w:p>
      <w:pPr>
        <w:spacing w:after="80"/>
      </w:pPr>
      <w:r>
        <w:rPr>
          <w:b w:val="0"/>
          <w:i w:val="0"/>
        </w:rPr>
        <w:t>620, 626–629, 631, 643, 654 –</w:t>
      </w:r>
      <w:r>
        <w:rPr>
          <w:b w:val="0"/>
          <w:i/>
        </w:rPr>
        <w:t>xem thêm</w:t>
      </w:r>
      <w:r>
        <w:rPr>
          <w:b w:val="0"/>
          <w:i w:val="0"/>
        </w:rPr>
        <w:t xml:space="preserve"> Công ước Trọng tài; Chỉ thị EU về Giải quyết Tranh chấp Đánh thuế Hai lầnĐại lý</w:t>
      </w:r>
    </w:p>
    <w:p>
      <w:pPr>
        <w:spacing w:after="80"/>
      </w:pPr>
      <w:r>
        <w:rPr>
          <w:b w:val="0"/>
          <w:i w:val="0"/>
        </w:rPr>
        <w:t>quỹ đầu tư bất động sản</w:t>
      </w:r>
    </w:p>
    <w:p>
      <w:pPr>
        <w:spacing w:after="80"/>
      </w:pPr>
      <w:r>
        <w:rPr>
          <w:b w:val="0"/>
          <w:i w:val="0"/>
        </w:rPr>
        <w:t>cổ tức, 573thuế khấu trừ cổ tức, 564các yếu tố của hệ thống thuế, 563việc làm, 578nghệ sĩ biểu diễn, 579</w:t>
      </w:r>
    </w:p>
    <w:p>
      <w:pPr>
        <w:spacing w:after="80"/>
      </w:pPr>
      <w:r>
        <w:rPr>
          <w:b w:val="0"/>
          <w:i w:val="0"/>
        </w:rPr>
        <w:t>chính phủ phù hợp và</w:t>
      </w:r>
    </w:p>
    <w:p>
      <w:pPr>
        <w:spacing w:after="80"/>
      </w:pPr>
      <w:r>
        <w:rPr>
          <w:b w:val="0"/>
          <w:i w:val="0"/>
        </w:rPr>
        <w:t>thuộc chính phủ, 141</w:t>
      </w:r>
    </w:p>
    <w:p>
      <w:pPr>
        <w:spacing w:after="80"/>
      </w:pPr>
      <w:r>
        <w:rPr>
          <w:b w:val="0"/>
          <w:i w:val="0"/>
        </w:rPr>
        <w:t>747</w:t>
      </w:r>
    </w:p>
    <w:p>
      <w:pPr>
        <w:spacing w:after="80"/>
      </w:pPr>
      <w:r>
        <w:rPr>
          <w:b w:val="0"/>
          <w:i w:val="0"/>
        </w:rPr>
        <w:t>lợi nhuận kinh doanh, 265, 266, 270, 271,</w:t>
      </w:r>
    </w:p>
    <w:p>
      <w:pPr>
        <w:spacing w:after="80"/>
      </w:pPr>
      <w:r>
        <w:rPr>
          <w:b w:val="0"/>
          <w:i w:val="0"/>
        </w:rPr>
        <w:t>thẩm quyền đánh thuế, 290vận tải biển và, 23, 253, 290–291biện pháp đánh thuế hai lần, 24, 54Giải quyết Tranh chấp Thay thế</w:t>
      </w:r>
    </w:p>
    <w:p>
      <w:pPr>
        <w:spacing w:after="80"/>
      </w:pPr>
      <w:r>
        <w:rPr>
          <w:b w:val="0"/>
          <w:i w:val="0"/>
        </w:rPr>
        <w:t>272, 284, 290lợi nhuận vốn, 376, 379, 380, 384định nghĩa, 231thỏa thuận đại lý trao đổi, 497quốc gia nước ngoài, 361cơ sở thường trú</w:t>
      </w:r>
    </w:p>
    <w:p>
      <w:pPr>
        <w:spacing w:after="80"/>
      </w:pPr>
      <w:r>
        <w:rPr>
          <w:b w:val="0"/>
          <w:i w:val="0"/>
        </w:rPr>
        <w:t>Ủy ban, 617, 618, 620 –</w:t>
      </w:r>
      <w:r>
        <w:rPr>
          <w:b w:val="0"/>
          <w:i/>
        </w:rPr>
        <w:t>xem thêm</w:t>
      </w:r>
      <w:r>
        <w:rPr>
          <w:b w:val="0"/>
          <w:i w:val="0"/>
        </w:rPr>
        <w:t xml:space="preserve"> Công ước Trọng tài; Chỉ thị EU về Giải quyết Tranh chấp Đánh thuế Hai lầnTiền cấp dưỡng, 390, 392, 536Người chuyển nhượng</w:t>
      </w:r>
    </w:p>
    <w:p>
      <w:pPr>
        <w:spacing w:after="80"/>
      </w:pPr>
      <w:r>
        <w:rPr>
          <w:b w:val="0"/>
          <w:i w:val="0"/>
        </w:rPr>
        <w:t>phân bổ lợi nhuận của, 259thẩm quyền của người, 232–233khái niệm, 234quan hệ hợp đồng, 236, 237đại lý phụ thuộc, 236các cách tiếp cận khác nhau, 231việc thực hiện thẩm quyền thường xuyên,</w:t>
      </w:r>
    </w:p>
    <w:p>
      <w:pPr>
        <w:spacing w:after="80"/>
      </w:pPr>
      <w:r>
        <w:rPr>
          <w:b w:val="0"/>
          <w:i w:val="0"/>
        </w:rPr>
        <w:t>tài sản vốn, 120lợi nhuận vốn, 377–379, 383chịu thuế, 180Các thỏa thuận tài chính thay thế</w:t>
      </w:r>
    </w:p>
    <w:p>
      <w:pPr>
        <w:spacing w:after="80"/>
      </w:pPr>
      <w:r>
        <w:rPr>
          <w:b w:val="0"/>
          <w:i w:val="0"/>
        </w:rPr>
        <w:t>HMRC view, 245ý nghĩa, 231giao dịch của người không cư trú, 232, 566hoạt động của đại lý, 235–236các yêu cầu, 232phạm vi và bản chất của thẩm quyền,</w:t>
      </w:r>
    </w:p>
    <w:p>
      <w:pPr>
        <w:spacing w:after="80"/>
      </w:pPr>
      <w:r>
        <w:rPr>
          <w:b w:val="0"/>
          <w:i w:val="0"/>
        </w:rPr>
        <w:t>cơ sở thường trú, 240Andorra, 98, 678Các khoản thanh toán hằng năm</w:t>
      </w:r>
    </w:p>
    <w:p>
      <w:pPr>
        <w:spacing w:after="80"/>
      </w:pPr>
      <w:r>
        <w:rPr>
          <w:b w:val="0"/>
          <w:i w:val="0"/>
        </w:rPr>
        <w:t>sở hữu trí tuệ, 329tiền bản quyền, 327thuế được khấu trừ, 390đủ điều kiện, 329nguồn phát sinh, 327Kháng nghị</w:t>
      </w:r>
    </w:p>
    <w:p>
      <w:pPr>
        <w:spacing w:after="80"/>
      </w:pPr>
      <w:r>
        <w:rPr>
          <w:b w:val="0"/>
          <w:i w:val="0"/>
        </w:rPr>
        <w:t>231quy tắc, 243thu nhập từ việc làm của người lao động, 347Đại lý</w:t>
      </w:r>
    </w:p>
    <w:p>
      <w:pPr>
        <w:spacing w:after="80"/>
      </w:pPr>
      <w:r>
        <w:rPr>
          <w:b w:val="0"/>
          <w:i w:val="0"/>
        </w:rPr>
        <w:t>quản lý và, 653lợi nhuận kinh doanh, 258, 260, 264, 265,</w:t>
      </w:r>
    </w:p>
    <w:p>
      <w:pPr>
        <w:spacing w:after="80"/>
      </w:pPr>
      <w:r>
        <w:rPr>
          <w:b w:val="0"/>
          <w:i w:val="0"/>
        </w:rPr>
        <w:t>hợp đồng, 220phụ thuộc, 218chức năng, 237độc lập, thường trú</w:t>
      </w:r>
    </w:p>
    <w:p>
      <w:pPr>
        <w:spacing w:after="80"/>
      </w:pPr>
      <w:r>
        <w:rPr>
          <w:b w:val="0"/>
          <w:i w:val="0"/>
        </w:rPr>
        <w:t>271, 275, 276, 284xác định, 652việc làm và lương hưu, 349, 356nói chung, 598thu nhập từ tài sản, 310, 320, 321,</w:t>
      </w:r>
    </w:p>
    <w:p>
      <w:pPr>
        <w:spacing w:after="80"/>
      </w:pPr>
      <w:r>
        <w:rPr>
          <w:b w:val="0"/>
          <w:i w:val="0"/>
        </w:rPr>
        <w:t>cơ sở, 238–241đại lý hoa hồng thông thường, 238, 240chính thức, 361thường xuyên, 233khấu trừ, 679Thu nhập nông nghiệp</w:t>
      </w:r>
      <w:r>
        <w:rPr>
          <w:b w:val="0"/>
          <w:i/>
        </w:rPr>
        <w:t xml:space="preserve"> – xem</w:t>
      </w:r>
      <w:r>
        <w:rPr>
          <w:b w:val="0"/>
          <w:i w:val="0"/>
        </w:rPr>
        <w:t xml:space="preserve"> Tài sản</w:t>
      </w:r>
    </w:p>
    <w:p>
      <w:pPr>
        <w:spacing w:after="80"/>
      </w:pPr>
      <w:r>
        <w:rPr>
          <w:b w:val="0"/>
          <w:i w:val="0"/>
        </w:rPr>
        <w:t>333, 334thủ tục thỏa thuận song phương so với,</w:t>
      </w:r>
    </w:p>
    <w:p>
      <w:pPr>
        <w:spacing w:after="80"/>
      </w:pPr>
      <w:r>
        <w:rPr>
          <w:b w:val="0"/>
          <w:i w:val="0"/>
        </w:rPr>
        <w:t>598–600quy trình, 586, 587, 598, 615, 632Áp dụng các hiệp định</w:t>
      </w:r>
    </w:p>
    <w:p>
      <w:pPr>
        <w:spacing w:after="80"/>
      </w:pPr>
      <w:r>
        <w:rPr>
          <w:b w:val="0"/>
          <w:i w:val="0"/>
        </w:rPr>
        <w:t>thu nhậpPhi hành đoàn</w:t>
      </w:r>
    </w:p>
    <w:p>
      <w:pPr>
        <w:spacing w:after="80"/>
      </w:pPr>
      <w:r>
        <w:rPr>
          <w:b w:val="0"/>
          <w:i w:val="0"/>
        </w:rPr>
        <w:t>lợi nhuận vốn, 375, 376yêu cầu –</w:t>
      </w:r>
      <w:r>
        <w:rPr>
          <w:b w:val="0"/>
          <w:i/>
        </w:rPr>
        <w:t xml:space="preserve"> xem</w:t>
      </w:r>
      <w:r>
        <w:rPr>
          <w:b/>
          <w:i w:val="0"/>
        </w:rPr>
        <w:t xml:space="preserve"> Yêu cầu</w:t>
      </w:r>
      <w:r>
        <w:rPr>
          <w:b w:val="0"/>
          <w:i w:val="0"/>
        </w:rPr>
        <w:t>khấu trừ thuế tại nguồn, 327thu nhập từ việc làm, 348biểu mẫu, 572nói chung, 348lãi, 318giảm thiểu thuế nước ngoài, 581thông báo nộp theo thuế suất hiệp định, 571</w:t>
      </w:r>
    </w:p>
    <w:p>
      <w:pPr>
        <w:spacing w:after="80"/>
      </w:pPr>
      <w:r>
        <w:rPr>
          <w:b w:val="0"/>
          <w:i w:val="0"/>
        </w:rPr>
        <w:t>thu nhập từ việc làm, 354–355Không phận</w:t>
      </w:r>
    </w:p>
    <w:p>
      <w:pPr>
        <w:spacing w:after="80"/>
      </w:pPr>
      <w:r>
        <w:rPr>
          <w:b w:val="0"/>
          <w:i w:val="0"/>
        </w:rPr>
        <w:t>mở rộng, chủ quyền của một quốc gia, 161luật về, 2giới hạn, 161Vận tải hàng không</w:t>
      </w:r>
    </w:p>
    <w:p>
      <w:pPr>
        <w:spacing w:after="80"/>
      </w:pPr>
      <w:r>
        <w:rPr>
          <w:b w:val="0"/>
          <w:i w:val="0"/>
        </w:rPr>
        <w:t>chuyển nhượng máy bay, lợi nhuận vốn,</w:t>
      </w:r>
    </w:p>
    <w:p>
      <w:pPr>
        <w:spacing w:after="80"/>
      </w:pPr>
      <w:r>
        <w:rPr>
          <w:b w:val="0"/>
          <w:i w:val="0"/>
        </w:rPr>
        <w:t>385</w:t>
      </w:r>
    </w:p>
    <w:p>
      <w:pPr>
        <w:spacing w:after="80"/>
      </w:pPr>
      <w:r>
        <w:rPr>
          <w:b w:val="0"/>
          <w:i w:val="0"/>
        </w:rPr>
        <w:t>748</w:t>
      </w:r>
    </w:p>
    <w:p>
      <w:pPr>
        <w:spacing w:after="80"/>
      </w:pPr>
      <w:r>
        <w:rPr>
          <w:b w:val="0"/>
          <w:i w:val="0"/>
        </w:rPr>
        <w:t>quy tắc tố tụng, 646nơi cư trú, 175tiền bản quyền, 336, 338tự đánh giá, 574Học nghề, 346Trọng tài –</w:t>
      </w:r>
      <w:r>
        <w:rPr>
          <w:b w:val="0"/>
          <w:i/>
        </w:rPr>
        <w:t xml:space="preserve"> xem thêm</w:t>
      </w:r>
      <w:r>
        <w:rPr>
          <w:b w:val="0"/>
          <w:i w:val="0"/>
        </w:rPr>
        <w:t xml:space="preserve"> Trọng tài</w:t>
      </w:r>
    </w:p>
    <w:p>
      <w:pPr>
        <w:spacing w:after="80"/>
      </w:pPr>
      <w:r>
        <w:rPr>
          <w:b w:val="0"/>
          <w:i w:val="0"/>
        </w:rPr>
        <w:t>tòa án quốc gia, 615tham gia quản lý, kiểm soát</w:t>
      </w:r>
    </w:p>
    <w:p>
      <w:pPr>
        <w:spacing w:after="80"/>
      </w:pPr>
      <w:r>
        <w:rPr>
          <w:b w:val="0"/>
          <w:i w:val="0"/>
        </w:rPr>
        <w:t>hoặc vốn, 623thủ tục xử phạt, 630–631thủ tục, 621biện pháp bảo vệ tố tụng, 631vai trò của, 631phạm vi cá nhân, 620ý nghĩa của, 631mối quan hệ đặc biệt, 623các loại thuế được điều chỉnh, 621–622sự tham gia của người nộp thuế, 626–627phạm vi lãnh thổ, 620–621giới hạn thời gian</w:t>
      </w:r>
    </w:p>
    <w:p>
      <w:pPr>
        <w:spacing w:after="80"/>
      </w:pPr>
      <w:r>
        <w:rPr>
          <w:b w:val="0"/>
          <w:i w:val="0"/>
        </w:rPr>
        <w:t>Công ước; Công ước đa phương BEPS; Chỉ thị giải quyết tranh chấp đánh thuế hai lần của EUtrọng tài viên, 551–552bảo mật, 552–553chi phí, 556quyết định, 555–556xử lý mặc định về chi phí và, 556hiệu lực, 561–562phí tổn, 556đề nghị tốt nhất cuối cùng, 553–554ràng buộc bắt buộc, 549–551MAP, 549hội đồng, 550thủ tục, 551quy trình, 553ý kiến có lý lẽ, 554–555giải quyết trong quá trình, 555lập trường của Anh và Ireland, 556Công ước Trọng tài</w:t>
      </w:r>
    </w:p>
    <w:p>
      <w:pPr>
        <w:spacing w:after="80"/>
      </w:pPr>
      <w:r>
        <w:rPr>
          <w:b w:val="0"/>
          <w:i w:val="0"/>
        </w:rPr>
        <w:t>trình bày vụ việc, 623–624giải quyết bằng thỏa thuận chung,</w:t>
      </w:r>
    </w:p>
    <w:p>
      <w:pPr>
        <w:spacing w:after="80"/>
      </w:pPr>
      <w:r>
        <w:rPr>
          <w:b w:val="0"/>
          <w:i w:val="0"/>
        </w:rPr>
        <w:t>624vốn mỏng</w:t>
      </w:r>
    </w:p>
    <w:p>
      <w:pPr>
        <w:spacing w:after="80"/>
      </w:pPr>
      <w:r>
        <w:rPr>
          <w:b w:val="0"/>
          <w:i w:val="0"/>
        </w:rPr>
        <w:t>cơ sở tùy từng trường hợp, 627giải quyết tranh chấp thay thế, 620bổ nhiệm, 551quy trình trọng tài, 551bảo mật, 552chi phí, 556thành lập, 620căn cứ xung đột lợi ích, 616ý kiến của, 628quy tắc tố tụng, 667Lực lượng vũ trang, 368, 374</w:t>
      </w:r>
    </w:p>
    <w:p>
      <w:pPr>
        <w:spacing w:after="80"/>
      </w:pPr>
      <w:r>
        <w:rPr>
          <w:b w:val="0"/>
          <w:i w:val="0"/>
        </w:rPr>
        <w:t>chấp nhận một vụ việc, 625thủ tục điều chỉnh, 624–629Ủy ban Tư vấn, 627–629tiêu chuẩn giao dịch độc lập, 622các doanh nghiệp liên kết, 427Brexit và, 611lựa chọn diễn đàn, 629–630quy tắc ứng xử, 621chi phí, 628loại bỏ đánh thuế hai lần, 71,</w:t>
      </w:r>
    </w:p>
    <w:p>
      <w:pPr>
        <w:spacing w:after="80"/>
      </w:pPr>
      <w:r>
        <w:rPr>
          <w:b w:val="0"/>
          <w:i w:val="0"/>
        </w:rPr>
        <w:t>lực lượng thăm viếng, 24, 27–28Armenia, 43, 365Nguyên tắc giao dịch độc lập –</w:t>
      </w:r>
      <w:r>
        <w:rPr>
          <w:b w:val="0"/>
          <w:i/>
        </w:rPr>
        <w:t xml:space="preserve"> xem thêm</w:t>
      </w:r>
      <w:r>
        <w:rPr>
          <w:b w:val="0"/>
          <w:i w:val="0"/>
        </w:rPr>
        <w:t xml:space="preserve"> Mối quan hệ</w:t>
      </w:r>
    </w:p>
    <w:p>
      <w:pPr>
        <w:spacing w:after="80"/>
      </w:pPr>
      <w:r>
        <w:rPr>
          <w:b w:val="0"/>
          <w:i w:val="0"/>
        </w:rPr>
        <w:t>đặc biệtCông ước Trọng tài và, 604, 621ý nghĩa, 271thủ tục thỏa thuận chung, 594OECD Model, 265, 270, 272, 427hoạt động của, 86giao dịch bên thứ ba, 262Thỏa thuận</w:t>
      </w:r>
    </w:p>
    <w:p>
      <w:pPr>
        <w:spacing w:after="80"/>
      </w:pPr>
      <w:r>
        <w:rPr>
          <w:b w:val="0"/>
          <w:i w:val="0"/>
        </w:rPr>
        <w:t>623, 626thông báo đầu tiên, 592nói chung, 620–621thông tin, 627–628giải quyết ban đầu, 624–625Diễn đàn chuyển giá chung, 610trọng tài bắt buộc, 615thủ tục thỏa thuận chung, 625–626</w:t>
      </w:r>
    </w:p>
    <w:p>
      <w:pPr>
        <w:spacing w:after="80"/>
      </w:pPr>
      <w:r>
        <w:rPr>
          <w:b w:val="0"/>
          <w:i w:val="0"/>
        </w:rPr>
        <w:t>lạm dụng, 481tài chính thay thế, 240nhân tạo, 89–92, 432ngân hàng, 193, 282hợp đồng, 242, 297, 498</w:t>
      </w:r>
    </w:p>
    <w:p>
      <w:pPr>
        <w:spacing w:after="80"/>
      </w:pPr>
      <w:r>
        <w:rPr>
          <w:b w:val="0"/>
          <w:i w:val="0"/>
        </w:rPr>
        <w:t>749</w:t>
      </w:r>
    </w:p>
    <w:p>
      <w:pPr>
        <w:spacing w:after="80"/>
      </w:pPr>
      <w:r>
        <w:rPr>
          <w:b w:val="0"/>
          <w:i w:val="0"/>
        </w:rPr>
        <w:t>lập kế hoạch thuế xuyên biên giới, 102,</w:t>
      </w:r>
    </w:p>
    <w:p>
      <w:pPr>
        <w:spacing w:after="80"/>
      </w:pPr>
      <w:r>
        <w:rPr>
          <w:b w:val="0"/>
          <w:i w:val="0"/>
        </w:rPr>
        <w:t>cơ sở thường trú, 82cơ sở thường trú</w:t>
      </w:r>
    </w:p>
    <w:p>
      <w:pPr>
        <w:spacing w:after="80"/>
      </w:pPr>
      <w:r>
        <w:rPr>
          <w:b w:val="0"/>
          <w:i w:val="0"/>
        </w:rPr>
        <w:t>677–678luật trong nước, 28đánh thuế hai lần, 29, 48, 280, 471, 480ký kết, 20, 21quốc tế, 29tổ chức quốc tế, 25hỗ trợ lẫn nhau, 128thỏa thuận phi hiệp ước, 50thu nhập lương hưu, 363, 371theo luật định, 123thuế, 86, 480, 481timeshare và, 305Nghệ sĩ –</w:t>
      </w:r>
      <w:r>
        <w:rPr>
          <w:b w:val="0"/>
          <w:i/>
        </w:rPr>
        <w:t xml:space="preserve"> xem thêm</w:t>
      </w:r>
      <w:r>
        <w:rPr>
          <w:b w:val="0"/>
          <w:i w:val="0"/>
        </w:rPr>
        <w:t xml:space="preserve"> Vận động viên</w:t>
      </w:r>
    </w:p>
    <w:p>
      <w:pPr>
        <w:spacing w:after="80"/>
      </w:pPr>
      <w:r>
        <w:rPr>
          <w:b w:val="0"/>
          <w:i w:val="0"/>
        </w:rPr>
        <w:t>Cách tiếp cận được OECD ủy quyền, 263thuế doanh nghiệp, 261, 293lực hút, 268miễn thuế nước ngoài, 274thuế thu nhập, 262, 265, 266luật trong nước Vương quốc Anh, 267Hoạt động phụ trợ</w:t>
      </w:r>
      <w:r>
        <w:rPr>
          <w:b w:val="0"/>
          <w:i/>
        </w:rPr>
        <w:t xml:space="preserve"> – xem</w:t>
      </w:r>
      <w:r>
        <w:rPr>
          <w:b w:val="0"/>
          <w:i w:val="0"/>
        </w:rPr>
        <w:t xml:space="preserve"> Cơ sở thường trú, chuẩn bị hoặc</w:t>
      </w:r>
    </w:p>
    <w:p>
      <w:pPr>
        <w:spacing w:after="80"/>
      </w:pPr>
      <w:r>
        <w:rPr>
          <w:b w:val="0"/>
          <w:i w:val="0"/>
        </w:rPr>
        <w:t>phụ trợ chuẩn bịTránh thuế –</w:t>
      </w:r>
      <w:r>
        <w:rPr>
          <w:b w:val="0"/>
          <w:i/>
        </w:rPr>
        <w:t xml:space="preserve"> xem thêm</w:t>
      </w:r>
      <w:r>
        <w:rPr>
          <w:b w:val="0"/>
          <w:i w:val="0"/>
        </w:rPr>
        <w:t xml:space="preserve"> Xói mòn cơ sở và</w:t>
      </w:r>
    </w:p>
    <w:p>
      <w:pPr>
        <w:spacing w:after="80"/>
      </w:pPr>
      <w:r>
        <w:rPr>
          <w:b w:val="0"/>
          <w:i w:val="0"/>
        </w:rPr>
        <w:t>Chuyển dịch lợi nhuận; chỉ thị EU;Luật Liên minh châu Âu; Mua bán hiệp ướcbiện pháp chống lạm dụng</w:t>
      </w:r>
    </w:p>
    <w:p>
      <w:pPr>
        <w:spacing w:after="80"/>
      </w:pPr>
      <w:r>
        <w:rPr>
          <w:b w:val="0"/>
          <w:i w:val="0"/>
        </w:rPr>
        <w:t>phí đại lý, 294lợi nhuận kinh doanh, 292–296nhà cung cấp dịch vụ hòa nhạc, 292trao đổi văn hóa, 293nghệ sĩ biểu diễn, 292–295nhà tổ chức sự kiện, 294nước ngoài, 294công ty trung gian, 293, 294mô hình, như, 292, 293giám đốc opera, như, 292Doanh nghiệp liên kết –</w:t>
      </w:r>
      <w:r>
        <w:rPr>
          <w:b w:val="0"/>
          <w:i/>
        </w:rPr>
        <w:t xml:space="preserve"> xem thêm</w:t>
      </w:r>
    </w:p>
    <w:p>
      <w:pPr>
        <w:spacing w:after="80"/>
      </w:pPr>
      <w:r>
        <w:rPr>
          <w:b w:val="0"/>
          <w:i w:val="0"/>
        </w:rPr>
        <w:t>quyền sở hữu thực hưởng –</w:t>
      </w:r>
      <w:r>
        <w:rPr>
          <w:b w:val="0"/>
          <w:i/>
        </w:rPr>
        <w:t xml:space="preserve"> xem</w:t>
      </w:r>
    </w:p>
    <w:p>
      <w:pPr>
        <w:spacing w:after="80"/>
      </w:pPr>
      <w:r>
        <w:rPr>
          <w:b/>
          <w:i w:val="0"/>
        </w:rPr>
        <w:t>Quyền sở hữu thực hưởng</w:t>
      </w:r>
      <w:r>
        <w:rPr>
          <w:b w:val="0"/>
          <w:i w:val="0"/>
        </w:rPr>
        <w:t>các quy định thiện chí, sử dụng,</w:t>
      </w:r>
    </w:p>
    <w:p>
      <w:pPr>
        <w:spacing w:after="80"/>
      </w:pPr>
      <w:r>
        <w:rPr>
          <w:b w:val="0"/>
          <w:i w:val="0"/>
        </w:rPr>
        <w:t>505–510cách tiếp cận kênh, 504thỏa thuận dẫn dắt, 504công ty dẫn dắt, 487lạm dụng chỉ thị và, 419–424loại trừ các thực thể được ưu đãi thuế,</w:t>
      </w:r>
    </w:p>
    <w:p>
      <w:pPr>
        <w:spacing w:after="80"/>
      </w:pPr>
      <w:r>
        <w:rPr>
          <w:b w:val="0"/>
          <w:i w:val="0"/>
        </w:rPr>
        <w:t>Định giá chuyển nhượngnguyên tắc khoảng cách thị trường, 265, 427lợi nhuận kinh doanh, 295–298quan hệ thương mại hoặc tài chính, 296điều chỉnh tương ứng, 543thuế lợi nhuận chuyển hướng, 298–299ngôn ngữ trong, 270quy định, 248, 295giao dịch, 269, 427ATAD –</w:t>
      </w:r>
      <w:r>
        <w:rPr>
          <w:b w:val="0"/>
          <w:i/>
        </w:rPr>
        <w:t xml:space="preserve"> xem</w:t>
      </w:r>
      <w:r>
        <w:rPr>
          <w:b w:val="0"/>
          <w:i w:val="0"/>
        </w:rPr>
        <w:t xml:space="preserve"> Chống tránh thuế EU</w:t>
      </w:r>
    </w:p>
    <w:p>
      <w:pPr>
        <w:spacing w:after="80"/>
      </w:pPr>
      <w:r>
        <w:rPr>
          <w:b w:val="0"/>
          <w:i w:val="0"/>
        </w:rPr>
        <w:t>501–504cách tiếp cận tư pháp, 521–527giới hạn lợi ích, 518–519quy tắc xuyên qua, 516–518cách tiếp cận khác, 519–520quy tắc thủ tục, 520–521tính tương xứng, 90–92quy định mục đích</w:t>
      </w:r>
    </w:p>
    <w:p>
      <w:pPr>
        <w:spacing w:after="80"/>
      </w:pPr>
      <w:r>
        <w:rPr>
          <w:b w:val="0"/>
          <w:i w:val="0"/>
        </w:rPr>
        <w:t>mục đích chính, 510–516cách tiếp cận chịu thuế, 500–501xói mòn cơ sở thuế, 88–90Báo cáo Công ty Dẫn dắt, 483, 487,</w:t>
      </w:r>
    </w:p>
    <w:p>
      <w:pPr>
        <w:spacing w:after="80"/>
      </w:pPr>
      <w:r>
        <w:rPr>
          <w:b w:val="0"/>
          <w:i w:val="0"/>
        </w:rPr>
        <w:t>Chỉ thịPhân bổ lợi nhuận –</w:t>
      </w:r>
      <w:r>
        <w:rPr>
          <w:b w:val="0"/>
          <w:i/>
        </w:rPr>
        <w:t xml:space="preserve"> xem thêm</w:t>
      </w:r>
      <w:r>
        <w:rPr>
          <w:b w:val="0"/>
          <w:i w:val="0"/>
        </w:rPr>
        <w:t xml:space="preserve"> Lợi nhuận</w:t>
      </w:r>
    </w:p>
    <w:p>
      <w:pPr>
        <w:spacing w:after="80"/>
      </w:pPr>
      <w:r>
        <w:rPr>
          <w:b w:val="0"/>
          <w:i w:val="0"/>
        </w:rPr>
        <w:t>kinh doanhlợi nhuận kinh doanh</w:t>
      </w:r>
    </w:p>
    <w:p>
      <w:pPr>
        <w:spacing w:after="80"/>
      </w:pPr>
      <w:r>
        <w:rPr>
          <w:b w:val="0"/>
          <w:i w:val="0"/>
        </w:rPr>
        <w:t>491mua sắm chỉ thị, 419trốn thuế, và, 485quy tắc chống tránh thuế chung (GAAR),</w:t>
      </w:r>
    </w:p>
    <w:p>
      <w:pPr>
        <w:spacing w:after="80"/>
      </w:pPr>
      <w:r>
        <w:rPr>
          <w:b w:val="0"/>
          <w:i w:val="0"/>
        </w:rPr>
        <w:t>ngân hàng, 264thuế doanh nghiệp, 274phương pháp phân bổ thông thường,</w:t>
      </w:r>
    </w:p>
    <w:p>
      <w:pPr>
        <w:spacing w:after="80"/>
      </w:pPr>
      <w:r>
        <w:rPr>
          <w:b w:val="0"/>
          <w:i w:val="0"/>
        </w:rPr>
        <w:t>428–429sự khác biệt giữa các hệ thống thuế,</w:t>
      </w:r>
    </w:p>
    <w:p>
      <w:pPr>
        <w:spacing w:after="80"/>
      </w:pPr>
      <w:r>
        <w:rPr>
          <w:b w:val="0"/>
          <w:i w:val="0"/>
        </w:rPr>
        <w:t>283tổ chức tài chính, 282–283thuế thu nhập, 265</w:t>
      </w:r>
    </w:p>
    <w:p>
      <w:pPr>
        <w:spacing w:after="80"/>
      </w:pPr>
      <w:r>
        <w:rPr>
          <w:b w:val="0"/>
          <w:i w:val="0"/>
        </w:rPr>
        <w:t>70, 88trung gian, 351</w:t>
      </w:r>
    </w:p>
    <w:p>
      <w:pPr>
        <w:spacing w:after="80"/>
      </w:pPr>
      <w:r>
        <w:rPr>
          <w:b w:val="0"/>
          <w:i w:val="0"/>
        </w:rPr>
        <w:t>750</w:t>
      </w:r>
    </w:p>
    <w:p>
      <w:pPr>
        <w:spacing w:after="80"/>
      </w:pPr>
      <w:r>
        <w:rPr>
          <w:b w:val="0"/>
          <w:i w:val="0"/>
        </w:rPr>
        <w:t>ý nghĩa của tránh thuế, 88–90MLI, 428học thuyết Ramsay, 527luật hồi tố, 481tiền bản quyền, 432xói mòn cơ sở thuế, 88vốn mỏng, 86, 90, 281, 310,</w:t>
      </w:r>
    </w:p>
    <w:p>
      <w:pPr>
        <w:spacing w:after="80"/>
      </w:pPr>
      <w:r>
        <w:rPr>
          <w:b w:val="0"/>
          <w:i w:val="0"/>
        </w:rPr>
        <w:t>596, 611loại bỏ đánh thuế hai lần,</w:t>
      </w:r>
    </w:p>
    <w:p>
      <w:pPr>
        <w:spacing w:after="80"/>
      </w:pPr>
      <w:r>
        <w:rPr>
          <w:b w:val="0"/>
          <w:i w:val="0"/>
        </w:rPr>
        <w:t>các quy định ảnh hưởng, 546–548công ty nước ngoài được kiểm soát (Hành động</w:t>
      </w:r>
    </w:p>
    <w:p>
      <w:pPr>
        <w:spacing w:after="80"/>
      </w:pPr>
      <w:r>
        <w:rPr>
          <w:b w:val="0"/>
          <w:i w:val="0"/>
        </w:rPr>
        <w:t>3), 432nền kinh tế số (Hành động 1), 227trao đổi thông tin về thuế</w:t>
      </w:r>
    </w:p>
    <w:p>
      <w:pPr>
        <w:spacing w:after="80"/>
      </w:pPr>
      <w:r>
        <w:rPr>
          <w:b w:val="0"/>
          <w:i w:val="0"/>
        </w:rPr>
        <w:t>316, 467, 576, 621tương tác hiệp ước với phán quyết</w:t>
      </w:r>
    </w:p>
    <w:p>
      <w:pPr>
        <w:spacing w:after="80"/>
      </w:pPr>
      <w:r>
        <w:rPr>
          <w:b w:val="0"/>
          <w:i w:val="0"/>
        </w:rPr>
        <w:t>trong nước (Hành động 5), 12, 634,662–663thực hành thuế có hại (Hành động 5), 502,</w:t>
      </w:r>
    </w:p>
    <w:p>
      <w:pPr>
        <w:spacing w:after="80"/>
      </w:pPr>
      <w:r>
        <w:rPr>
          <w:b w:val="0"/>
          <w:i w:val="0"/>
        </w:rPr>
        <w:t>luậtOECD, thay đổi đối với Bình luận,</w:t>
      </w:r>
    </w:p>
    <w:p>
      <w:pPr>
        <w:spacing w:after="80"/>
      </w:pPr>
      <w:r>
        <w:rPr>
          <w:b w:val="0"/>
          <w:i w:val="0"/>
        </w:rPr>
        <w:t>634, 662, 675thỏa thuận không khớp lai</w:t>
      </w:r>
    </w:p>
    <w:p>
      <w:pPr>
        <w:spacing w:after="80"/>
      </w:pPr>
      <w:r>
        <w:rPr>
          <w:b w:val="0"/>
          <w:i w:val="0"/>
        </w:rPr>
        <w:t>484–486chuyển tài sản ra nước ngoài, 479mua sắm hiệp ước –</w:t>
      </w:r>
      <w:r>
        <w:rPr>
          <w:b w:val="0"/>
          <w:i/>
        </w:rPr>
        <w:t xml:space="preserve"> xem</w:t>
      </w:r>
      <w:r>
        <w:rPr>
          <w:b/>
          <w:i w:val="0"/>
        </w:rPr>
        <w:t xml:space="preserve"> Hiệp ước</w:t>
      </w:r>
    </w:p>
    <w:p>
      <w:pPr>
        <w:spacing w:after="80"/>
      </w:pPr>
      <w:r>
        <w:rPr>
          <w:b w:val="0"/>
          <w:i w:val="0"/>
        </w:rPr>
        <w:t>(Hành động 2), 433, 476, 530khấu trừ lãi và các khoản thanh toán</w:t>
      </w:r>
    </w:p>
    <w:p>
      <w:pPr>
        <w:spacing w:after="80"/>
      </w:pPr>
      <w:r>
        <w:rPr>
          <w:b w:val="0"/>
          <w:i w:val="0"/>
        </w:rPr>
        <w:t>tài chính khác (Hành động 4), 430công bố bắt buộc về xuyên biên giới</w:t>
      </w:r>
    </w:p>
    <w:p>
      <w:pPr>
        <w:spacing w:after="80"/>
      </w:pPr>
      <w:r>
        <w:rPr>
          <w:b/>
          <w:i w:val="0"/>
        </w:rPr>
        <w:t>Các nước Baltic, 43</w:t>
      </w:r>
    </w:p>
    <w:p>
      <w:pPr>
        <w:spacing w:after="80"/>
      </w:pPr>
      <w:r>
        <w:rPr>
          <w:b/>
          <w:i w:val="0"/>
        </w:rPr>
        <w:t>Baltic States, 43</w:t>
      </w:r>
    </w:p>
    <w:p>
      <w:pPr>
        <w:spacing w:after="80"/>
      </w:pPr>
      <w:r>
        <w:rPr>
          <w:b w:val="0"/>
          <w:i w:val="0"/>
        </w:rPr>
        <w:t>kế hoạch thuế (Action 12), 677tiêu chuẩn tối thiểu, 530–534Công ước đa phương để thực hiện</w:t>
      </w:r>
    </w:p>
    <w:p>
      <w:pPr>
        <w:spacing w:after="80"/>
      </w:pPr>
      <w:r>
        <w:rPr>
          <w:b w:val="0"/>
          <w:i w:val="0"/>
        </w:rPr>
        <w:t>thuế ngân hàng hiệp ước, 23, 29, 158Ngân hàng –</w:t>
      </w:r>
      <w:r>
        <w:rPr>
          <w:b w:val="0"/>
          <w:i/>
        </w:rPr>
        <w:t xml:space="preserve"> xem thêm</w:t>
      </w:r>
      <w:r>
        <w:rPr>
          <w:b w:val="0"/>
          <w:i w:val="0"/>
        </w:rPr>
        <w:t xml:space="preserve"> Lợi nhuận kinh doanh;</w:t>
      </w:r>
    </w:p>
    <w:p>
      <w:pPr>
        <w:spacing w:after="80"/>
      </w:pPr>
      <w:r>
        <w:rPr>
          <w:b w:val="0"/>
          <w:i w:val="0"/>
        </w:rPr>
        <w:t>các biện pháp liên quan đến hiệp ước thuế(MLI) (Action 15), 530, 559có hiệu lực, 548–549tổng quan, 548ngăn chặn lạm dụng hiệp ước, tiêu chuẩn tối thiểu</w:t>
      </w:r>
    </w:p>
    <w:p>
      <w:pPr>
        <w:spacing w:after="80"/>
      </w:pPr>
      <w:r>
        <w:rPr>
          <w:b w:val="0"/>
          <w:i w:val="0"/>
        </w:rPr>
        <w:t>Tiêu chuẩn báo cáo chung(CRS); Thỏa thuận FATCAphân bổ lợi nhuận cho một chi nhánh, 263chi nhánh của người không cư trú, 51thương mại, 264nước ngoài, 230, 282, 325khấu trừ chi phí, 281, 282lãi, 193, 221hiệp ước thuế giữa Vương quốc Anh và Đức,</w:t>
      </w:r>
    </w:p>
    <w:p>
      <w:pPr>
        <w:spacing w:after="80"/>
      </w:pPr>
      <w:r>
        <w:rPr>
          <w:b w:val="0"/>
          <w:i w:val="0"/>
        </w:rPr>
        <w:t>tiêu chuẩn (Action 6), 12, 531–534dự án OECD/G20</w:t>
      </w:r>
    </w:p>
    <w:p>
      <w:pPr>
        <w:spacing w:after="80"/>
      </w:pPr>
      <w:r>
        <w:rPr>
          <w:b w:val="0"/>
          <w:i w:val="0"/>
        </w:rPr>
        <w:t>kế hoạch hành động, 475, 529báo cáo cuối cùng, 557khuôn khổ bao trùm, 13tiêu chuẩn tối thiểu, 533các quốc gia không phải thành viên, 13đánh giá đồng cấp, 13nguyên tắc giải thích hiệp ước, 557các quy định ảnh hưởng đến quy tắc phân phối</w:t>
      </w:r>
    </w:p>
    <w:p>
      <w:pPr>
        <w:spacing w:after="80"/>
      </w:pPr>
      <w:r>
        <w:rPr>
          <w:b w:val="0"/>
          <w:i w:val="0"/>
        </w:rPr>
        <w:t>23, 158người được ủy thác, và, 203, 214Xói mòn cơ sở và chuyển dịch lợi nhuận (BEPS) -</w:t>
      </w:r>
    </w:p>
    <w:p>
      <w:pPr>
        <w:spacing w:after="80"/>
      </w:pPr>
      <w:r>
        <w:rPr>
          <w:b w:val="0"/>
          <w:i/>
        </w:rPr>
        <w:t>xem thêm</w:t>
      </w:r>
      <w:r>
        <w:rPr>
          <w:b w:val="0"/>
          <w:i w:val="0"/>
        </w:rPr>
        <w:t xml:space="preserve"> Công ước đa phương BEPS; Chỉ thị chống tránh thuế của EU (ATAD);Chỉ thị của EU về Hỗ trợ tương hỗ trong các vấn đề thuếkế hoạch hành động, 529–530trao đổi tự động</w:t>
      </w:r>
    </w:p>
    <w:p>
      <w:pPr>
        <w:spacing w:after="80"/>
      </w:pPr>
      <w:r>
        <w:rPr>
          <w:b w:val="0"/>
          <w:i w:val="0"/>
        </w:rPr>
        <w:t>các doanh nghiệp liên kết –</w:t>
      </w:r>
    </w:p>
    <w:p>
      <w:pPr>
        <w:spacing w:after="80"/>
      </w:pPr>
      <w:r>
        <w:rPr>
          <w:b w:val="0"/>
          <w:i w:val="0"/>
        </w:rPr>
        <w:t>điều chỉnh tương ứng, 543lợi nhuận vốn từ việc chuyển nhượng</w:t>
      </w:r>
    </w:p>
    <w:p>
      <w:pPr>
        <w:spacing w:after="80"/>
      </w:pPr>
      <w:r>
        <w:rPr>
          <w:b w:val="0"/>
          <w:i w:val="0"/>
        </w:rPr>
        <w:t>cổ phần, 544–545giao dịch chuyển nhượng cổ tức, 544cơ sở thường trú nằm</w:t>
      </w:r>
    </w:p>
    <w:p>
      <w:pPr>
        <w:spacing w:after="80"/>
      </w:pPr>
      <w:r>
        <w:rPr>
          <w:b w:val="0"/>
          <w:i w:val="0"/>
        </w:rPr>
        <w:t>Báo cáo theo từng quốc gia(Action 13), 12, 634, 647, 661,676giải quyết tranh chấp hiệu quả, tiêu chuẩn tối thiểu</w:t>
      </w:r>
    </w:p>
    <w:p>
      <w:pPr>
        <w:spacing w:after="80"/>
      </w:pPr>
      <w:r>
        <w:rPr>
          <w:b w:val="0"/>
          <w:i w:val="0"/>
        </w:rPr>
        <w:t>tại các quốc gia thứ ba, 545các quy định ảnh hưởng đến tình trạng pháp lý</w:t>
      </w:r>
    </w:p>
    <w:p>
      <w:pPr>
        <w:spacing w:after="80"/>
      </w:pPr>
      <w:r>
        <w:rPr>
          <w:b w:val="0"/>
          <w:i w:val="0"/>
        </w:rPr>
        <w:t>(Action 2)điều khoản tiết kiệm, 535–537thực thể minh bạch, 535</w:t>
      </w:r>
    </w:p>
    <w:p>
      <w:pPr>
        <w:spacing w:after="80"/>
      </w:pPr>
      <w:r>
        <w:rPr>
          <w:b w:val="0"/>
          <w:i w:val="0"/>
        </w:rPr>
        <w:t>tiêu chuẩn (Action 14), 12, 13,298, 530, 543, 548, 549, 593,</w:t>
      </w:r>
    </w:p>
    <w:p>
      <w:pPr>
        <w:spacing w:after="80"/>
      </w:pPr>
      <w:r>
        <w:rPr>
          <w:b w:val="0"/>
          <w:i w:val="0"/>
        </w:rPr>
        <w:t>751</w:t>
      </w:r>
    </w:p>
    <w:p>
      <w:pPr>
        <w:spacing w:after="80"/>
      </w:pPr>
      <w:r>
        <w:rPr>
          <w:b w:val="0"/>
          <w:i w:val="0"/>
        </w:rPr>
        <w:t>các quy định ảnh hưởng đến ý nghĩa của</w:t>
      </w:r>
    </w:p>
    <w:p>
      <w:pPr>
        <w:spacing w:after="80"/>
      </w:pPr>
      <w:r>
        <w:rPr>
          <w:b w:val="0"/>
          <w:i w:val="0"/>
        </w:rPr>
        <w:t>hội nghị các bên, 558hiệu lực và tác dụng, 560tài liệu giải thích, 559–560dẫn chiếu đến hiệp định thuế được bao phủ, 532văn bản tổng hợp, 559các trường hợp không khớp lai, loại bỏ</w:t>
      </w:r>
    </w:p>
    <w:p>
      <w:pPr>
        <w:spacing w:after="80"/>
      </w:pPr>
      <w:r>
        <w:rPr>
          <w:b w:val="0"/>
          <w:i w:val="0"/>
        </w:rPr>
        <w:t>cơ sở thường trú (Hành động 7)đại lý, 538–539các loại trừ phụ trợ, 541–542địa điểm xây dựng, dự án xây dựng hoặc</w:t>
      </w:r>
    </w:p>
    <w:p>
      <w:pPr>
        <w:spacing w:after="80"/>
      </w:pPr>
      <w:r>
        <w:rPr>
          <w:b w:val="0"/>
          <w:i w:val="0"/>
        </w:rPr>
        <w:t>lắp đặt, 540–541người có quan hệ mật thiết với một</w:t>
      </w:r>
    </w:p>
    <w:p>
      <w:pPr>
        <w:spacing w:after="80"/>
      </w:pPr>
      <w:r>
        <w:rPr>
          <w:b w:val="0"/>
          <w:i w:val="0"/>
        </w:rPr>
        <w:t>đánh thuế hai lầnkhấu trừ nhưng không bao gồm (D/NI),</w:t>
      </w:r>
    </w:p>
    <w:p>
      <w:pPr>
        <w:spacing w:after="80"/>
      </w:pPr>
      <w:r>
        <w:rPr>
          <w:b w:val="0"/>
          <w:i w:val="0"/>
        </w:rPr>
        <w:t>doanh nghiệp, 539–540các quy định ảnh hưởng đến nơi cư trú theo hiệp định</w:t>
      </w:r>
    </w:p>
    <w:p>
      <w:pPr>
        <w:spacing w:after="80"/>
      </w:pPr>
      <w:r>
        <w:rPr>
          <w:b w:val="0"/>
          <w:i w:val="0"/>
        </w:rPr>
        <w:t>546chuyển nhượng lai, 546trùng lặp tín dụng thuế, 546chuyển đổi từ miễn thuế sang</w:t>
      </w:r>
    </w:p>
    <w:p>
      <w:pPr>
        <w:spacing w:after="80"/>
      </w:pPr>
      <w:r>
        <w:rPr>
          <w:b w:val="0"/>
          <w:i w:val="0"/>
        </w:rPr>
        <w:t>các thực thể cư trú kép (Hành động 2), 537lạm dụng hiệp định (Hành động 6), 530–534Công ước đa phương BEPS –</w:t>
      </w:r>
      <w:r>
        <w:rPr>
          <w:b w:val="0"/>
          <w:i/>
        </w:rPr>
        <w:t xml:space="preserve"> xem thêm</w:t>
      </w:r>
    </w:p>
    <w:p>
      <w:pPr>
        <w:spacing w:after="80"/>
      </w:pPr>
      <w:r>
        <w:rPr>
          <w:b w:val="0"/>
          <w:i w:val="0"/>
        </w:rPr>
        <w:t>tín dụng, 546thông báo và bảo lưu, 531tổng quan, 529–530các bên, 530cơ sở thường trú tại quốc gia thứ ba</w:t>
      </w:r>
    </w:p>
    <w:p>
      <w:pPr>
        <w:spacing w:after="80"/>
      </w:pPr>
      <w:r>
        <w:rPr>
          <w:b w:val="0"/>
          <w:i w:val="0"/>
        </w:rPr>
        <w:t>BEPSthời gian nắm giữ 365 ngày, 230, 544, 545quản lý, 543, 551, 552cơ sở thường trú đại lý,</w:t>
      </w:r>
    </w:p>
    <w:p>
      <w:pPr>
        <w:spacing w:after="80"/>
      </w:pPr>
      <w:r>
        <w:rPr>
          <w:b w:val="0"/>
          <w:i w:val="0"/>
        </w:rPr>
        <w:t>538–539chống phân mảnh, 539, 542thay đổi đối với hiệp định song phương, 530đại lý hoa hồng, 538điều chỉnh tương ứng, các quốc gia</w:t>
      </w:r>
    </w:p>
    <w:p>
      <w:pPr>
        <w:spacing w:after="80"/>
      </w:pPr>
      <w:r>
        <w:rPr>
          <w:b w:val="0"/>
          <w:i w:val="0"/>
        </w:rPr>
        <w:t>liên quan, 545người có quan hệ mật thiết với một</w:t>
      </w:r>
    </w:p>
    <w:p>
      <w:pPr>
        <w:spacing w:after="80"/>
      </w:pPr>
      <w:r>
        <w:rPr>
          <w:b w:val="0"/>
          <w:i w:val="0"/>
        </w:rPr>
        <w:t>doanh nghiệp, 539–540PPT, 532–534lời nói đầu, 531–532các loại trừ mang tính chuẩn bị hoặc phụ trợ,</w:t>
      </w:r>
    </w:p>
    <w:p>
      <w:pPr>
        <w:spacing w:after="80"/>
      </w:pPr>
      <w:r>
        <w:rPr>
          <w:b w:val="0"/>
          <w:i w:val="0"/>
        </w:rPr>
        <w:t>các doanh nghiệp và cơ sởthường trú, 543cơ quan lưu chiểu, 530–531giao dịch chuyển nhượng cổ tức, 544các thực thể cư trú kép, 537giải quyết tranh chấp hiệu quả</w:t>
      </w:r>
    </w:p>
    <w:p>
      <w:pPr>
        <w:spacing w:after="80"/>
      </w:pPr>
      <w:r>
        <w:rPr>
          <w:b w:val="0"/>
          <w:i w:val="0"/>
        </w:rPr>
        <w:t>541–542ngăn chặn lạm dụng hiệp định, 531–534cổ phần hoặc quyền lợi trong các thực thể</w:t>
      </w:r>
    </w:p>
    <w:p>
      <w:pPr>
        <w:spacing w:after="80"/>
      </w:pPr>
      <w:r>
        <w:rPr>
          <w:b w:val="0"/>
          <w:i w:val="0"/>
        </w:rPr>
        <w:t>bất động sản, 544–545giới hạn lợi ích đơn giản hóa, 534chia tách hợp đồng, 541các thực thể minh bạch, 535rút khỏi, 560Quyền sở hữu thực hưởng</w:t>
      </w:r>
    </w:p>
    <w:p>
      <w:pPr>
        <w:spacing w:after="80"/>
      </w:pPr>
      <w:r>
        <w:rPr>
          <w:b w:val="0"/>
          <w:i w:val="0"/>
        </w:rPr>
        <w:t>trình bày trường hợp, 548trọng tài, 579bảo mật, 552–553quyết định, 555–556cách xử lý mặc định về chi phí và, 556chi phí, 556đề nghị cuối cùng tốt nhất, 553–554ràng buộc bắt buộc, 549–551hội đồng, 550thủ tục, 551ý kiến có lý lẽ, 554–555giải quyết, 555quan điểm Ireland, 556quan điểm Vương quốc Anh, 556giải thích</w:t>
      </w:r>
    </w:p>
    <w:p>
      <w:pPr>
        <w:spacing w:after="80"/>
      </w:pPr>
      <w:r>
        <w:rPr>
          <w:b w:val="0"/>
          <w:i w:val="0"/>
        </w:rPr>
        <w:t>AMLcác biện pháp chống tránh thuế, 338</w:t>
      </w:r>
    </w:p>
    <w:p>
      <w:pPr>
        <w:spacing w:after="80"/>
      </w:pPr>
      <w:r>
        <w:rPr>
          <w:b w:val="0"/>
          <w:i w:val="0"/>
        </w:rPr>
        <w:t>các công ty dẫn vốn, 490luật trong nước, 495, 496mua sắm hiệp ước, 486yêu cầu bồi thường, 488–491, 493cổ tức, 487, 494, 572lãi, 313, 487, 572chỉ thị về lãi và tiền bản quyền,</w:t>
      </w:r>
    </w:p>
    <w:p>
      <w:pPr>
        <w:spacing w:after="80"/>
      </w:pPr>
      <w:r>
        <w:rPr>
          <w:b w:val="0"/>
          <w:i w:val="0"/>
        </w:rPr>
        <w:t>411–412pháp lý, và, 78giới hạn về lợi ích, 327, 339</w:t>
      </w:r>
    </w:p>
    <w:p>
      <w:pPr>
        <w:spacing w:after="80"/>
      </w:pPr>
      <w:r>
        <w:rPr>
          <w:b w:val="0"/>
          <w:i w:val="0"/>
        </w:rPr>
        <w:t>phổ biến, 558</w:t>
      </w:r>
    </w:p>
    <w:p>
      <w:pPr>
        <w:spacing w:after="80"/>
      </w:pPr>
      <w:r>
        <w:rPr>
          <w:b w:val="0"/>
          <w:i w:val="0"/>
        </w:rPr>
        <w:t>752</w:t>
      </w:r>
    </w:p>
    <w:p>
      <w:pPr>
        <w:spacing w:after="80"/>
      </w:pPr>
      <w:r>
        <w:rPr>
          <w:b w:val="0"/>
          <w:i w:val="0"/>
        </w:rPr>
        <w:t>ý nghĩa của, 136, 314, 339, 490các trường hợp hiệp ước khác, 314chia sẻ, 498, 499tín thác, 573Luật trong nước Vương quốc Anh, 495–498, 572, 573Lợi ích của các hiệp ước</w:t>
      </w:r>
    </w:p>
    <w:p>
      <w:pPr>
        <w:spacing w:after="80"/>
      </w:pPr>
      <w:r>
        <w:rPr>
          <w:b w:val="0"/>
          <w:i w:val="0"/>
        </w:rPr>
        <w:t>Chỉ thị về giải quyết tranh chấp đánh thuế hai lần của EU</w:t>
      </w:r>
    </w:p>
    <w:p>
      <w:pPr>
        <w:spacing w:after="80"/>
      </w:pPr>
      <w:r>
        <w:rPr>
          <w:b w:val="0"/>
          <w:i w:val="0"/>
        </w:rPr>
        <w:t>Chỉ thị về giải quyết, 611Chỉ thị về lãi và tiền bản quyền của EU,</w:t>
      </w:r>
    </w:p>
    <w:p>
      <w:pPr>
        <w:spacing w:after="80"/>
      </w:pPr>
      <w:r>
        <w:rPr>
          <w:b w:val="0"/>
          <w:i w:val="0"/>
        </w:rPr>
        <w:t>576cựu quan chức EU, 621mối quan hệ tương lai, 101–103thông báo rút lui, 100–101giai đoạn chuyển tiếp, 101thỏa thuận rút lui, 101, 105công dân Anh</w:t>
      </w:r>
    </w:p>
    <w:p>
      <w:pPr>
        <w:spacing w:after="80"/>
      </w:pPr>
      <w:r>
        <w:rPr>
          <w:b w:val="0"/>
          <w:i w:val="0"/>
        </w:rPr>
        <w:t>cổ tức, giới hạn lợi ích, 654cư trú kép, 187–208thực thể</w:t>
      </w:r>
    </w:p>
    <w:p>
      <w:pPr>
        <w:spacing w:after="80"/>
      </w:pPr>
      <w:r>
        <w:rPr>
          <w:b w:val="0"/>
          <w:i w:val="0"/>
        </w:rPr>
        <w:t>thực hành hành chính, 171phân loại, 168minh bạch tài chính, 170đặc điểm thực thể nước ngoài,</w:t>
      </w:r>
    </w:p>
    <w:p>
      <w:pPr>
        <w:spacing w:after="80"/>
      </w:pPr>
      <w:r>
        <w:rPr>
          <w:b w:val="0"/>
          <w:i w:val="0"/>
        </w:rPr>
        <w:t>quốc tịch, 211các lãnh thổ hải ngoại của Anh</w:t>
      </w:r>
    </w:p>
    <w:p>
      <w:pPr>
        <w:spacing w:after="80"/>
      </w:pPr>
      <w:r>
        <w:rPr>
          <w:b w:val="0"/>
          <w:i w:val="0"/>
        </w:rPr>
        <w:t>trao đổi công hàm, có lợi</w:t>
      </w:r>
    </w:p>
    <w:p>
      <w:pPr>
        <w:spacing w:after="80"/>
      </w:pPr>
      <w:r>
        <w:rPr>
          <w:b w:val="0"/>
          <w:i w:val="0"/>
        </w:rPr>
        <w:t>168–169tư cách pháp nhân, 166minh bạch, 171–175quyền hưởng, 66, 67mở rộng, 51đặc điểm thực thể nước ngoài,</w:t>
      </w:r>
    </w:p>
    <w:p>
      <w:pPr>
        <w:spacing w:after="80"/>
      </w:pPr>
      <w:r>
        <w:rPr>
          <w:b w:val="0"/>
          <w:i w:val="0"/>
        </w:rPr>
        <w:t>quyền sở hữu, 498–499các vấn đề đối ngoại của, 18–19quan hệ với, 17địa vị, 18Môi giới</w:t>
      </w:r>
      <w:r>
        <w:rPr>
          <w:b w:val="0"/>
          <w:i/>
        </w:rPr>
        <w:t xml:space="preserve"> – xem thêm</w:t>
      </w:r>
      <w:r>
        <w:rPr>
          <w:b w:val="0"/>
          <w:i w:val="0"/>
        </w:rPr>
        <w:t xml:space="preserve"> Đại lý</w:t>
      </w:r>
    </w:p>
    <w:p>
      <w:pPr>
        <w:spacing w:after="80"/>
      </w:pPr>
      <w:r>
        <w:rPr>
          <w:b w:val="0"/>
          <w:i w:val="0"/>
        </w:rPr>
        <w:t>permanent establishment, 240Địa điểm xây dựng</w:t>
      </w:r>
    </w:p>
    <w:p>
      <w:pPr>
        <w:spacing w:after="80"/>
      </w:pPr>
      <w:r>
        <w:rPr>
          <w:b w:val="0"/>
          <w:i w:val="0"/>
        </w:rPr>
        <w:t>168–169lãi tiền vay, giới hạn ưu đãi,</w:t>
      </w:r>
    </w:p>
    <w:p>
      <w:pPr>
        <w:spacing w:after="80"/>
      </w:pPr>
      <w:r>
        <w:rPr>
          <w:b w:val="0"/>
          <w:i w:val="0"/>
        </w:rPr>
        <w:t>quy tắc chống phân mảnh áp dụng cho,</w:t>
      </w:r>
    </w:p>
    <w:p>
      <w:pPr>
        <w:spacing w:after="80"/>
      </w:pPr>
      <w:r>
        <w:rPr>
          <w:b w:val="0"/>
          <w:i w:val="0"/>
        </w:rPr>
        <w:t>512giới hạn –</w:t>
      </w:r>
      <w:r>
        <w:rPr>
          <w:b w:val="0"/>
          <w:i/>
        </w:rPr>
        <w:t xml:space="preserve"> xem</w:t>
      </w:r>
      <w:r>
        <w:rPr>
          <w:b/>
          <w:i w:val="0"/>
        </w:rPr>
        <w:t xml:space="preserve"> Hiệp định tránh thuế</w:t>
      </w:r>
    </w:p>
    <w:p>
      <w:pPr>
        <w:spacing w:after="80"/>
      </w:pPr>
      <w:r>
        <w:rPr>
          <w:b w:val="0"/>
          <w:i w:val="0"/>
        </w:rPr>
        <w:t>539cơ sở thường trú, 540chia tách hợp đồng, 541Lợi nhuận kinh doanh</w:t>
      </w:r>
    </w:p>
    <w:p>
      <w:pPr>
        <w:spacing w:after="80"/>
      </w:pPr>
      <w:r>
        <w:rPr>
          <w:b/>
          <w:i w:val="0"/>
        </w:rPr>
        <w:t>mua sắm</w:t>
      </w:r>
      <w:r>
        <w:rPr>
          <w:b w:val="0"/>
          <w:i w:val="0"/>
        </w:rPr>
        <w:t>đối xử tối huệ quốc,</w:t>
      </w:r>
    </w:p>
    <w:p>
      <w:pPr>
        <w:spacing w:after="80"/>
      </w:pPr>
      <w:r>
        <w:rPr>
          <w:b w:val="0"/>
          <w:i w:val="0"/>
        </w:rPr>
        <w:t>65–67quốc tịch, 89vô hiệu hóa phân biệt đối xử, 74–75người không cư trú, 210–212tư cách cá nhân, 165–175cư trú, 175–177, 212–213tiền bản quyền, giới hạn ưu đãi, 512điều khoản bảo lưu, 209–210thực thể minh bạch, 171–175mua sắm hiệp định –</w:t>
      </w:r>
      <w:r>
        <w:rPr>
          <w:b w:val="0"/>
          <w:i/>
        </w:rPr>
        <w:t xml:space="preserve"> xem</w:t>
      </w:r>
      <w:r>
        <w:rPr>
          <w:b/>
          <w:i w:val="0"/>
        </w:rPr>
        <w:t xml:space="preserve"> Hiệp định</w:t>
      </w:r>
    </w:p>
    <w:p>
      <w:pPr>
        <w:spacing w:after="80"/>
      </w:pPr>
      <w:r>
        <w:rPr>
          <w:b w:val="0"/>
          <w:i w:val="0"/>
        </w:rPr>
        <w:t>vận tải hàng không, 253, 290–291nguyên tắc chiều dài cánh tay –</w:t>
      </w:r>
      <w:r>
        <w:rPr>
          <w:b w:val="0"/>
          <w:i/>
        </w:rPr>
        <w:t xml:space="preserve"> xem thêm</w:t>
      </w:r>
    </w:p>
    <w:p>
      <w:pPr>
        <w:spacing w:after="80"/>
      </w:pPr>
      <w:r>
        <w:rPr>
          <w:b/>
          <w:i w:val="0"/>
        </w:rPr>
        <w:t>Nguyên tắc chiều dài cánh tay</w:t>
      </w:r>
      <w:r>
        <w:rPr>
          <w:b w:val="0"/>
          <w:i w:val="0"/>
        </w:rPr>
        <w:t>nghệ sĩ –</w:t>
      </w:r>
      <w:r>
        <w:rPr>
          <w:b w:val="0"/>
          <w:i/>
        </w:rPr>
        <w:t xml:space="preserve"> xem thêm</w:t>
      </w:r>
      <w:r>
        <w:rPr>
          <w:b/>
          <w:i w:val="0"/>
        </w:rPr>
        <w:t xml:space="preserve"> Nghệ sĩ</w:t>
      </w:r>
      <w:r>
        <w:rPr>
          <w:b w:val="0"/>
          <w:i w:val="0"/>
        </w:rPr>
        <w:t>các doanh nghiệp liên kết –</w:t>
      </w:r>
      <w:r>
        <w:rPr>
          <w:b w:val="0"/>
          <w:i/>
        </w:rPr>
        <w:t xml:space="preserve"> xem</w:t>
      </w:r>
    </w:p>
    <w:p>
      <w:pPr>
        <w:spacing w:after="80"/>
      </w:pPr>
      <w:r>
        <w:rPr>
          <w:b/>
          <w:i w:val="0"/>
        </w:rPr>
        <w:t>Các doanh nghiệp liên kết</w:t>
      </w:r>
      <w:r>
        <w:rPr>
          <w:b w:val="0"/>
          <w:i w:val="0"/>
        </w:rPr>
        <w:t>vận động viên –</w:t>
      </w:r>
      <w:r>
        <w:rPr>
          <w:b w:val="0"/>
          <w:i/>
        </w:rPr>
        <w:t xml:space="preserve"> xem</w:t>
      </w:r>
      <w:r>
        <w:rPr>
          <w:b/>
          <w:i w:val="0"/>
        </w:rPr>
        <w:t xml:space="preserve"> Vận động viên thể thao</w:t>
      </w:r>
      <w:r>
        <w:rPr>
          <w:b w:val="0"/>
          <w:i w:val="0"/>
        </w:rPr>
        <w:t>phân bổ lợi nhuận</w:t>
      </w:r>
    </w:p>
    <w:p>
      <w:pPr>
        <w:spacing w:after="80"/>
      </w:pPr>
      <w:r>
        <w:rPr>
          <w:b w:val="0"/>
          <w:i w:val="0"/>
        </w:rPr>
        <w:t>thuế thu nhập doanh nghiệp trong nước, 282thuế thu nhập trong nước, 262phân bổ cho cơ sở thường trú đại lý</w:t>
      </w:r>
    </w:p>
    <w:p>
      <w:pPr>
        <w:spacing w:after="80"/>
      </w:pPr>
      <w:r>
        <w:rPr>
          <w:b/>
          <w:i w:val="0"/>
        </w:rPr>
        <w:t>mua sắm</w:t>
      </w:r>
      <w:r>
        <w:rPr>
          <w:b w:val="0"/>
          <w:i w:val="0"/>
        </w:rPr>
        <w:t>ghi đè hiệp định –</w:t>
      </w:r>
      <w:r>
        <w:rPr>
          <w:b w:val="0"/>
          <w:i/>
        </w:rPr>
        <w:t xml:space="preserve"> xem</w:t>
      </w:r>
      <w:r>
        <w:rPr>
          <w:b/>
          <w:i w:val="0"/>
        </w:rPr>
        <w:t xml:space="preserve"> Hiệp định</w:t>
      </w:r>
    </w:p>
    <w:p>
      <w:pPr>
        <w:spacing w:after="80"/>
      </w:pPr>
      <w:r>
        <w:rPr>
          <w:b w:val="0"/>
          <w:i w:val="0"/>
        </w:rPr>
        <w:t>thường trú, 269–270Phương pháp tiếp cận được OECD ủy quyền, 267hoạt động ngân hàng, 263, 264, 282, 283kinh doanh, ý nghĩa, 260phân bổ vốn, 275, 276, 279yêu cầu bồi thường, 265, 274các phương pháp phân bổ thông thường,</w:t>
      </w:r>
    </w:p>
    <w:p>
      <w:pPr>
        <w:spacing w:after="80"/>
      </w:pPr>
      <w:r>
        <w:rPr>
          <w:b/>
          <w:i w:val="0"/>
        </w:rPr>
        <w:t>ghi đè</w:t>
      </w:r>
      <w:r>
        <w:rPr>
          <w:b w:val="0"/>
          <w:i w:val="0"/>
        </w:rPr>
        <w:t>Nhóm người</w:t>
      </w:r>
    </w:p>
    <w:p>
      <w:pPr>
        <w:spacing w:after="80"/>
      </w:pPr>
      <w:r>
        <w:rPr>
          <w:b w:val="0"/>
          <w:i w:val="0"/>
        </w:rPr>
        <w:t>định nghĩa, 166Chi nhánh</w:t>
      </w:r>
      <w:r>
        <w:rPr>
          <w:b w:val="0"/>
          <w:i/>
        </w:rPr>
        <w:t xml:space="preserve"> – xem</w:t>
      </w:r>
      <w:r>
        <w:rPr>
          <w:b w:val="0"/>
          <w:i w:val="0"/>
        </w:rPr>
        <w:t xml:space="preserve"> Cơ sở thường trúVi phạm luật EU</w:t>
      </w:r>
    </w:p>
    <w:p>
      <w:pPr>
        <w:spacing w:after="80"/>
      </w:pPr>
      <w:r>
        <w:rPr>
          <w:b w:val="0"/>
          <w:i w:val="0"/>
        </w:rPr>
        <w:t>bồi thường, 97Brexit</w:t>
      </w:r>
    </w:p>
    <w:p>
      <w:pPr>
        <w:spacing w:after="80"/>
      </w:pPr>
      <w:r>
        <w:rPr>
          <w:b w:val="0"/>
          <w:i w:val="0"/>
        </w:rPr>
        <w:t>283–284giao dịch, 262</w:t>
      </w:r>
    </w:p>
    <w:p>
      <w:pPr>
        <w:spacing w:after="80"/>
      </w:pPr>
      <w:r>
        <w:rPr>
          <w:b w:val="0"/>
          <w:i w:val="0"/>
        </w:rPr>
        <w:t>Công ước Trọng tài EU, 610, 611</w:t>
      </w:r>
    </w:p>
    <w:p>
      <w:pPr>
        <w:spacing w:after="80"/>
      </w:pPr>
      <w:r>
        <w:rPr>
          <w:b w:val="0"/>
          <w:i w:val="0"/>
        </w:rPr>
        <w:t>753</w:t>
      </w:r>
    </w:p>
    <w:p>
      <w:pPr>
        <w:spacing w:after="80"/>
      </w:pPr>
      <w:r>
        <w:rPr>
          <w:b w:val="0"/>
          <w:i w:val="0"/>
        </w:rPr>
        <w:t>khấu trừ chi phí, 280–282tổ chức tài chính, 282–283doanh nghiệp của một quốc gia ký kết,</w:t>
      </w:r>
    </w:p>
    <w:p>
      <w:pPr>
        <w:spacing w:after="80"/>
      </w:pPr>
      <w:r>
        <w:rPr>
          <w:b w:val="0"/>
          <w:i w:val="0"/>
        </w:rPr>
        <w:t>thuế trọng tải, 291giao dịch</w:t>
      </w:r>
    </w:p>
    <w:p>
      <w:pPr>
        <w:spacing w:after="80"/>
      </w:pPr>
      <w:r>
        <w:rPr>
          <w:b w:val="0"/>
          <w:i w:val="0"/>
        </w:rPr>
        <w:t>ý nghĩa, 262</w:t>
      </w:r>
    </w:p>
    <w:p>
      <w:pPr>
        <w:spacing w:after="80"/>
      </w:pPr>
      <w:r>
        <w:rPr>
          <w:b w:val="0"/>
          <w:i w:val="0"/>
        </w:rPr>
        <w:t>258–260nghệ sĩ biểu diễn –</w:t>
      </w:r>
      <w:r>
        <w:rPr>
          <w:b w:val="0"/>
          <w:i/>
        </w:rPr>
        <w:t xml:space="preserve"> xem</w:t>
      </w:r>
      <w:r>
        <w:rPr>
          <w:b/>
          <w:i w:val="0"/>
        </w:rPr>
        <w:t xml:space="preserve"> Nghệ sĩ</w:t>
      </w:r>
      <w:r>
        <w:rPr>
          <w:b w:val="0"/>
          <w:i w:val="0"/>
        </w:rPr>
        <w:t>phân tích thực tế và chức năng, 277cơ sở cố định, 284–285lực hút, 268miễn thuế lợi nhuận nước ngoài, 501dịch vụ cá nhân độc lập,</w:t>
      </w:r>
    </w:p>
    <w:p>
      <w:pPr>
        <w:spacing w:after="80"/>
      </w:pPr>
      <w:r>
        <w:rPr>
          <w:b/>
          <w:i w:val="0"/>
        </w:rPr>
        <w:t>Kênh đào và giao thông đường thủy nội địa</w:t>
      </w:r>
    </w:p>
    <w:p>
      <w:pPr>
        <w:spacing w:after="80"/>
      </w:pPr>
      <w:r>
        <w:rPr>
          <w:b w:val="0"/>
          <w:i w:val="0"/>
        </w:rPr>
        <w:t>thu nhập từ, 304Lợi nhuận vốn</w:t>
      </w:r>
    </w:p>
    <w:p>
      <w:pPr>
        <w:spacing w:after="80"/>
      </w:pPr>
      <w:r>
        <w:rPr>
          <w:b w:val="0"/>
          <w:i w:val="0"/>
        </w:rPr>
        <w:t>máy bay, chuyển nhượng, 385chuyển nhượng tài sản, 385của các công ty, được quy cho</w:t>
      </w:r>
    </w:p>
    <w:p>
      <w:pPr>
        <w:spacing w:after="80"/>
      </w:pPr>
      <w:r>
        <w:rPr>
          <w:b w:val="0"/>
          <w:i w:val="0"/>
        </w:rPr>
        <w:t>284–286ý nghĩa, 260lợi nhuận công nghiệp hoặc thương mại, 115,</w:t>
      </w:r>
    </w:p>
    <w:p>
      <w:pPr>
        <w:spacing w:after="80"/>
      </w:pPr>
      <w:r>
        <w:rPr>
          <w:b w:val="0"/>
          <w:i w:val="0"/>
        </w:rPr>
        <w:t>người tham gia, 377công ty thôi không còn là cư dân,</w:t>
      </w:r>
    </w:p>
    <w:p>
      <w:pPr>
        <w:spacing w:after="80"/>
      </w:pPr>
      <w:r>
        <w:rPr>
          <w:b w:val="0"/>
          <w:i w:val="0"/>
        </w:rPr>
        <w:t>580–581giao dịch hoặc phát triển đất đai Vương quốc Anh,</w:t>
      </w:r>
    </w:p>
    <w:p>
      <w:pPr>
        <w:spacing w:after="80"/>
      </w:pPr>
      <w:r>
        <w:rPr>
          <w:b w:val="0"/>
          <w:i w:val="0"/>
        </w:rPr>
        <w:t>146, 283, 522bảo hiểm (cũng là bảo hiểm nhân thọ), 260, 263chi phí lãi vay, 263–364, 276giao thông quốc tế, 290, 291phân bổ công bằng và hợp lý, 279lỗ, 271, 278,báo cáo của OECD về phân bổ lợi nhuận,</w:t>
      </w:r>
    </w:p>
    <w:p>
      <w:pPr>
        <w:spacing w:after="80"/>
      </w:pPr>
      <w:r>
        <w:rPr>
          <w:b w:val="0"/>
          <w:i w:val="0"/>
        </w:rPr>
        <w:t>381–382lợi nhuận được coi là, 383phí thoát, 385–386phí thoát nước ngoài, 386–387của cư dân cũ, 387nói chung, 375–377bất động sản, 381–383cá nhân thôi không còn là cư dân, 387sở hữu trí tuệ, chuyển nhượng,</w:t>
      </w:r>
    </w:p>
    <w:p>
      <w:pPr>
        <w:spacing w:after="80"/>
      </w:pPr>
      <w:r>
        <w:rPr>
          <w:b w:val="0"/>
          <w:i w:val="0"/>
        </w:rPr>
        <w:t>270thăm dò và khai thác ngoài khơi</w:t>
      </w:r>
    </w:p>
    <w:p>
      <w:pPr>
        <w:spacing w:after="80"/>
      </w:pPr>
      <w:r>
        <w:rPr>
          <w:b w:val="0"/>
          <w:i w:val="0"/>
        </w:rPr>
        <w:t>hoạt động ngừng khai thác giếng dầu khí,</w:t>
      </w:r>
    </w:p>
    <w:p>
      <w:pPr>
        <w:spacing w:after="80"/>
      </w:pPr>
      <w:r>
        <w:rPr>
          <w:b w:val="0"/>
          <w:i w:val="0"/>
        </w:rPr>
        <w:t>393lắp đặt đường ống, 393vận tải và tàu kéo, 393dịch vụ mỏ dầu, 291hợp danh, 276, 277cơ sở thường trú, 257–258dịch vụ chuyên môn, 258, 284, 285phương pháp tiếp cận hoạt động kinh doanh liên quan,</w:t>
      </w:r>
    </w:p>
    <w:p>
      <w:pPr>
        <w:spacing w:after="80"/>
      </w:pPr>
      <w:r>
        <w:rPr>
          <w:b w:val="0"/>
          <w:i w:val="0"/>
        </w:rPr>
        <w:t>335–336quyền lợi đối với đất đai tại Vương quốc Anh, 382–383đất đai, lợi nhuận phát triển liên quan đến,</w:t>
      </w:r>
    </w:p>
    <w:p>
      <w:pPr>
        <w:spacing w:after="80"/>
      </w:pPr>
      <w:r>
        <w:rPr>
          <w:b w:val="0"/>
          <w:i w:val="0"/>
        </w:rPr>
        <w:t>382–383động sản, 379–381người không cư trú</w:t>
      </w:r>
    </w:p>
    <w:p>
      <w:pPr>
        <w:spacing w:after="80"/>
      </w:pPr>
      <w:r>
        <w:rPr>
          <w:b w:val="0"/>
          <w:i w:val="0"/>
        </w:rPr>
        <w:t>các công ty, 377–378chuyển nhượng, 378–379người không cư trú tại Vương quốc Anh, 384quyền thăm dò hoặc khai thác dầu khí,</w:t>
      </w:r>
    </w:p>
    <w:p>
      <w:pPr>
        <w:spacing w:after="80"/>
      </w:pPr>
      <w:r>
        <w:rPr>
          <w:b w:val="0"/>
          <w:i w:val="0"/>
        </w:rPr>
        <w:t>261doanh nghiệp riêng biệt, 261–265, 267,</w:t>
      </w:r>
    </w:p>
    <w:p>
      <w:pPr>
        <w:spacing w:after="80"/>
      </w:pPr>
      <w:r>
        <w:rPr>
          <w:b w:val="0"/>
          <w:i w:val="0"/>
        </w:rPr>
        <w:t>269, 272–279, 281, 282, 284người quản lý tàu, 291vận tải biển, 253, 290–291luật sư, 268, 286các loại hình kinh doanh hoặc thu nhập cụ thể,</w:t>
      </w:r>
    </w:p>
    <w:p>
      <w:pPr>
        <w:spacing w:after="80"/>
      </w:pPr>
      <w:r>
        <w:rPr>
          <w:b w:val="0"/>
          <w:i w:val="0"/>
        </w:rPr>
        <w:t>384–385quyền sáng chế, 381tạm nộp thuế, 578cơ sở thường trú, động sản</w:t>
      </w:r>
    </w:p>
    <w:p>
      <w:pPr>
        <w:spacing w:after="80"/>
      </w:pPr>
      <w:r>
        <w:rPr>
          <w:b w:val="0"/>
          <w:i w:val="0"/>
        </w:rPr>
        <w:t>thuộc sở hữu của, 379–380đối tượng phải chịu thuế, 377giảm trừ, 30, 54cổ phần và các quyền tương tự phát sinh</w:t>
      </w:r>
    </w:p>
    <w:p>
      <w:pPr>
        <w:spacing w:after="80"/>
      </w:pPr>
      <w:r>
        <w:rPr>
          <w:b w:val="0"/>
          <w:i w:val="0"/>
        </w:rPr>
        <w:t>257vận động viên –</w:t>
      </w:r>
      <w:r>
        <w:rPr>
          <w:b w:val="0"/>
          <w:i/>
        </w:rPr>
        <w:t xml:space="preserve"> xem thêm</w:t>
      </w:r>
    </w:p>
    <w:p>
      <w:pPr>
        <w:spacing w:after="80"/>
      </w:pPr>
      <w:r>
        <w:rPr>
          <w:b/>
          <w:i w:val="0"/>
        </w:rPr>
        <w:t>Vận động viên</w:t>
      </w:r>
      <w:r>
        <w:rPr>
          <w:b w:val="0"/>
          <w:i w:val="0"/>
        </w:rPr>
        <w:t>phí dịch vụ kỹ thuật</w:t>
      </w:r>
    </w:p>
    <w:p>
      <w:pPr>
        <w:spacing w:after="80"/>
      </w:pPr>
      <w:r>
        <w:rPr>
          <w:b w:val="0"/>
          <w:i w:val="0"/>
        </w:rPr>
        <w:t>giá trị từ đất đai, 383–385tàu thuyền, chuyển nhượng, 385các loại thuế được đề cập. 23, 29, 30, 48, 54, 120,</w:t>
      </w:r>
    </w:p>
    <w:p>
      <w:pPr>
        <w:spacing w:after="80"/>
      </w:pPr>
      <w:r>
        <w:rPr>
          <w:b w:val="0"/>
          <w:i w:val="0"/>
        </w:rPr>
        <w:t>được cung cấp, 288–289ý nghĩa, 287lãnh hải, 291</w:t>
      </w:r>
    </w:p>
    <w:p>
      <w:pPr>
        <w:spacing w:after="80"/>
      </w:pPr>
      <w:r>
        <w:rPr>
          <w:b w:val="0"/>
          <w:i w:val="0"/>
        </w:rPr>
        <w:t>754</w:t>
      </w:r>
    </w:p>
    <w:p>
      <w:pPr>
        <w:spacing w:after="80"/>
      </w:pPr>
      <w:r>
        <w:rPr>
          <w:b w:val="0"/>
          <w:i w:val="0"/>
        </w:rPr>
        <w:t>127, 136, 153–157, 161, 162,167, 178, 179, 180, 231,người ủy thác chấm dứt tư cách cư trú, thuế</w:t>
      </w:r>
    </w:p>
    <w:p>
      <w:pPr>
        <w:spacing w:after="80"/>
      </w:pPr>
      <w:r>
        <w:rPr>
          <w:b w:val="0"/>
          <w:i w:val="0"/>
        </w:rPr>
        <w:t>xuất cảnh vận động viên, 579thời hạn, 568Phân loại các nguồn thu nhập,</w:t>
      </w:r>
    </w:p>
    <w:p>
      <w:pPr>
        <w:spacing w:after="80"/>
      </w:pPr>
      <w:r>
        <w:rPr>
          <w:b w:val="0"/>
          <w:i w:val="0"/>
        </w:rPr>
        <w:t>phí, 386 tín thác, quy cho người lập quỹ, 378 công thức Caribbean</w:t>
      </w:r>
    </w:p>
    <w:p>
      <w:pPr>
        <w:spacing w:after="80"/>
      </w:pPr>
      <w:r>
        <w:rPr>
          <w:b w:val="0"/>
          <w:i w:val="0"/>
        </w:rPr>
        <w:t>253–255 Sự gắn kết của các hệ thống thuế, 85, 86 Lợi nhuận thương mại và công nghiệp, 117,</w:t>
      </w:r>
    </w:p>
    <w:p>
      <w:pPr>
        <w:spacing w:after="80"/>
      </w:pPr>
      <w:r>
        <w:rPr>
          <w:b w:val="0"/>
          <w:i w:val="0"/>
        </w:rPr>
        <w:t>loại trừ các thực thể được ưu đãi thuế,</w:t>
      </w:r>
    </w:p>
    <w:p>
      <w:pPr>
        <w:spacing w:after="80"/>
      </w:pPr>
      <w:r>
        <w:rPr>
          <w:b w:val="0"/>
          <w:i w:val="0"/>
        </w:rPr>
        <w:t>260 –</w:t>
      </w:r>
      <w:r>
        <w:rPr>
          <w:b w:val="0"/>
          <w:i/>
        </w:rPr>
        <w:t xml:space="preserve"> xem thêm</w:t>
      </w:r>
      <w:r>
        <w:rPr>
          <w:b w:val="0"/>
          <w:i w:val="0"/>
        </w:rPr>
        <w:t xml:space="preserve"> Lợi nhuận kinh doanh Các nguyên tắc Commerzbank</w:t>
      </w:r>
    </w:p>
    <w:p>
      <w:pPr>
        <w:spacing w:after="80"/>
      </w:pPr>
      <w:r>
        <w:rPr>
          <w:b w:val="0"/>
          <w:i w:val="0"/>
        </w:rPr>
        <w:t>50 Trung tâm dành cho Người không cư trú</w:t>
      </w:r>
    </w:p>
    <w:p>
      <w:pPr>
        <w:spacing w:after="80"/>
      </w:pPr>
      <w:r>
        <w:rPr>
          <w:b w:val="0"/>
          <w:i w:val="0"/>
        </w:rPr>
        <w:t>giải thích các hiệp ước, 110–114,</w:t>
      </w:r>
    </w:p>
    <w:p>
      <w:pPr>
        <w:spacing w:after="80"/>
      </w:pPr>
      <w:r>
        <w:rPr>
          <w:b w:val="0"/>
          <w:i w:val="0"/>
        </w:rPr>
        <w:t>quản lý các yêu cầu bồi thường, 583 Quần đảo Channel</w:t>
      </w:r>
    </w:p>
    <w:p>
      <w:pPr>
        <w:spacing w:after="80"/>
      </w:pPr>
      <w:r>
        <w:rPr>
          <w:b w:val="0"/>
          <w:i w:val="0"/>
        </w:rPr>
        <w:t>118, 133, 527 Công dân Khối thịnh vượng chung</w:t>
      </w:r>
    </w:p>
    <w:p>
      <w:pPr>
        <w:spacing w:after="80"/>
      </w:pPr>
      <w:r>
        <w:rPr>
          <w:b w:val="0"/>
          <w:i w:val="0"/>
        </w:rPr>
        <w:t>loại trừ các thực thể được ưu đãi thuế,</w:t>
      </w:r>
    </w:p>
    <w:p>
      <w:pPr>
        <w:spacing w:after="80"/>
      </w:pPr>
      <w:r>
        <w:rPr>
          <w:b w:val="0"/>
          <w:i w:val="0"/>
        </w:rPr>
        <w:t>quốc tịch, 211 Tiêu chuẩn Báo cáo Chung (CRS), 634</w:t>
      </w:r>
    </w:p>
    <w:p>
      <w:pPr>
        <w:spacing w:after="80"/>
      </w:pPr>
      <w:r>
        <w:rPr>
          <w:b w:val="0"/>
          <w:i w:val="0"/>
        </w:rPr>
        <w:t>502–503 tình trạng, 18, 19 Hoạt động Đường hầm Channel, 394 Lợi nhuận chịu thuế, 30–33, 35, 36, 39, 51,</w:t>
      </w:r>
    </w:p>
    <w:p>
      <w:pPr>
        <w:spacing w:after="80"/>
      </w:pPr>
      <w:r>
        <w:rPr>
          <w:b w:val="0"/>
          <w:i w:val="0"/>
        </w:rPr>
        <w:t>–</w:t>
      </w:r>
      <w:r>
        <w:rPr>
          <w:b w:val="0"/>
          <w:i/>
        </w:rPr>
        <w:t xml:space="preserve"> xem thêm</w:t>
      </w:r>
      <w:r>
        <w:rPr>
          <w:b w:val="0"/>
          <w:i w:val="0"/>
        </w:rPr>
        <w:t xml:space="preserve"> Trao đổi Thông tin; Chỉ thị EU về Hỗ trợ Tương hỗ trong các Vấn đề Thuế; Các Thỏa thuận FATCA; Công ước Hỗ trợ Hành chính Tương hỗ</w:t>
      </w:r>
    </w:p>
    <w:p>
      <w:pPr>
        <w:spacing w:after="80"/>
      </w:pPr>
      <w:r>
        <w:rPr>
          <w:b w:val="0"/>
          <w:i w:val="0"/>
        </w:rPr>
        <w:t>54, 180, 215, 255, 377, 378 giảm trừ thuế thu nhập và</w:t>
      </w:r>
    </w:p>
    <w:p>
      <w:pPr>
        <w:spacing w:after="80"/>
      </w:pPr>
      <w:r>
        <w:rPr>
          <w:b w:val="0"/>
          <w:i w:val="0"/>
        </w:rPr>
        <w:t>thuế doanh nghiệp, 566 Đồ đạc cá nhân, 302 Công thức CIS</w:t>
      </w:r>
    </w:p>
    <w:p>
      <w:pPr>
        <w:spacing w:after="80"/>
      </w:pPr>
      <w:r>
        <w:rPr>
          <w:b/>
          <w:i w:val="0"/>
        </w:rPr>
        <w:t>chủ tài khoản, 660, 661</w:t>
      </w:r>
    </w:p>
    <w:p>
      <w:pPr>
        <w:spacing w:after="80"/>
      </w:pPr>
      <w:r>
        <w:rPr>
          <w:b w:val="0"/>
          <w:i w:val="0"/>
        </w:rPr>
        <w:t>loại trừ các thực thể được ưu đãi thuế,</w:t>
      </w:r>
    </w:p>
    <w:p>
      <w:pPr>
        <w:spacing w:after="80"/>
      </w:pPr>
      <w:r>
        <w:rPr>
          <w:b w:val="0"/>
          <w:i w:val="0"/>
        </w:rPr>
        <w:t>503–504 Yêu cầu bồi thường</w:t>
      </w:r>
    </w:p>
    <w:p>
      <w:pPr>
        <w:spacing w:after="80"/>
      </w:pPr>
      <w:r>
        <w:rPr>
          <w:b/>
          <w:i w:val="0"/>
        </w:rPr>
        <w:t>thẩm định kỹ lưỡng (due diligence), 661</w:t>
      </w:r>
    </w:p>
    <w:p>
      <w:pPr>
        <w:spacing w:after="80"/>
      </w:pPr>
      <w:r>
        <w:rPr>
          <w:b w:val="0"/>
          <w:i w:val="0"/>
        </w:rPr>
        <w:t>quản lý bởi Trung tâm</w:t>
      </w:r>
    </w:p>
    <w:p>
      <w:pPr>
        <w:spacing w:after="80"/>
      </w:pPr>
      <w:r>
        <w:rPr>
          <w:b w:val="0"/>
          <w:i w:val="0"/>
        </w:rPr>
        <w:t>Người không cư trú, 583 quyền sở hữu hưởng lợi (beneficial ownership), 572 lợi nhuận kinh doanh, 577 chứng nhận, 570 khấu trừ tại nguồn, 570 cổ tức, 574 tài liệu, 568–570 thu nhập từ việc làm, 578 nghệ sĩ biểu diễn, 579 biểu mẫu, 570 tiền lãi, 572, 574, 575 giảm thiểu thuế nước ngoài, 581, 582 thu nhập lương hưu, 578 thủ tục, 567–568, 573 cư trú</w:t>
      </w:r>
    </w:p>
    <w:p>
      <w:pPr>
        <w:spacing w:after="80"/>
      </w:pPr>
      <w:r>
        <w:rPr>
          <w:b/>
          <w:i w:val="0"/>
        </w:rPr>
        <w:t>tổ chức tài chính, 660, 661</w:t>
      </w:r>
    </w:p>
    <w:p>
      <w:pPr>
        <w:spacing w:after="80"/>
      </w:pPr>
      <w:r>
        <w:rPr>
          <w:b/>
          <w:i w:val="0"/>
        </w:rPr>
        <w:t>thông tin phải báo cáo, 646–647, 658,</w:t>
      </w:r>
    </w:p>
    <w:p>
      <w:pPr>
        <w:spacing w:after="80"/>
      </w:pPr>
      <w:r>
        <w:rPr>
          <w:b/>
          <w:i w:val="0"/>
        </w:rPr>
        <w:t>660</w:t>
      </w:r>
    </w:p>
    <w:p>
      <w:pPr>
        <w:spacing w:after="80"/>
      </w:pPr>
      <w:r>
        <w:rPr>
          <w:b/>
          <w:i w:val="0"/>
        </w:rPr>
        <w:t>Luật Cộng đồng</w:t>
      </w:r>
      <w:r>
        <w:rPr>
          <w:b w:val="0"/>
          <w:i/>
        </w:rPr>
        <w:t xml:space="preserve"> – xem</w:t>
      </w:r>
      <w:r>
        <w:rPr>
          <w:b/>
          <w:i w:val="0"/>
        </w:rPr>
        <w:t xml:space="preserve"> Luật châu Âu</w:t>
      </w:r>
    </w:p>
    <w:p>
      <w:pPr>
        <w:spacing w:after="80"/>
      </w:pPr>
      <w:r>
        <w:rPr>
          <w:b w:val="0"/>
          <w:i w:val="0"/>
        </w:rPr>
        <w:t>Các công ty</w:t>
      </w:r>
    </w:p>
    <w:p>
      <w:pPr>
        <w:spacing w:after="80"/>
      </w:pPr>
      <w:r>
        <w:rPr>
          <w:b w:val="0"/>
          <w:i w:val="0"/>
        </w:rPr>
        <w:t>tài khoản, 84 chấm dứt tư cách cư trú, thuế ra (exit charge),</w:t>
      </w:r>
    </w:p>
    <w:p>
      <w:pPr>
        <w:spacing w:after="80"/>
      </w:pPr>
      <w:r>
        <w:rPr>
          <w:b w:val="0"/>
          <w:i w:val="0"/>
        </w:rPr>
        <w:t>580 công ty nước ngoài được kiểm soát (CFCs),</w:t>
      </w:r>
    </w:p>
    <w:p>
      <w:pPr>
        <w:spacing w:after="80"/>
      </w:pPr>
      <w:r>
        <w:rPr>
          <w:b w:val="0"/>
          <w:i w:val="0"/>
        </w:rPr>
        <w:t>31, 89, 102, 428, 432–433, 477, 621 mở rộng ưu đãi hiệp ước, 51 định nghĩa công ty, 166 cổ tức, 306, 307, 309 thành lập công ty, 77</w:t>
      </w:r>
    </w:p>
    <w:p>
      <w:pPr>
        <w:spacing w:after="80"/>
      </w:pPr>
      <w:r>
        <w:rPr>
          <w:b w:val="0"/>
          <w:i w:val="0"/>
        </w:rPr>
        <w:t>các công ty, 580 cá nhân, 579, 580 yêu cầu hoàn thuế, 571 tiền bản quyền, 575 tự khai thuế, 565–567</w:t>
      </w:r>
    </w:p>
    <w:p>
      <w:pPr>
        <w:spacing w:after="80"/>
      </w:pPr>
      <w:r>
        <w:rPr>
          <w:b w:val="0"/>
          <w:i w:val="0"/>
        </w:rPr>
        <w:t>755</w:t>
      </w:r>
    </w:p>
    <w:p>
      <w:pPr>
        <w:spacing w:after="80"/>
      </w:pPr>
      <w:r>
        <w:rPr>
          <w:b w:val="0"/>
          <w:i w:val="0"/>
        </w:rPr>
        <w:t>quy tắc tự do thành lập, 59 lợi nhuận của công ty không cư trú,</w:t>
      </w:r>
    </w:p>
    <w:p>
      <w:pPr>
        <w:spacing w:after="80"/>
      </w:pPr>
      <w:r>
        <w:rPr>
          <w:b w:val="0"/>
          <w:i w:val="0"/>
        </w:rPr>
        <w:t>Dịch vụ tư vấn</w:t>
      </w:r>
    </w:p>
    <w:p>
      <w:pPr>
        <w:spacing w:after="80"/>
      </w:pPr>
      <w:r>
        <w:rPr>
          <w:b w:val="0"/>
          <w:i w:val="0"/>
        </w:rPr>
        <w:t>lợi nhuận kinh doanh, 287, 288thu nhập từ tài sản, 331cơ sở thường trú, 241, 242Công ty nước ngoài được kiểm soát (CFCs)</w:t>
      </w:r>
    </w:p>
    <w:p>
      <w:pPr>
        <w:spacing w:after="80"/>
      </w:pPr>
      <w:r>
        <w:rPr>
          <w:b w:val="0"/>
          <w:i w:val="0"/>
        </w:rPr>
        <w:t>377–378bảo hiểm, 70, 87, 116, 146, 154, 243,</w:t>
      </w:r>
    </w:p>
    <w:p>
      <w:pPr>
        <w:spacing w:after="80"/>
      </w:pPr>
      <w:r>
        <w:rPr>
          <w:b w:val="0"/>
          <w:i w:val="0"/>
        </w:rPr>
        <w:t>274, 283, 296, 342, 372, 661,680quyền sở hữu, 77, 655, 673công ty mẹ và công ty con,</w:t>
      </w:r>
    </w:p>
    <w:p>
      <w:pPr>
        <w:spacing w:after="80"/>
      </w:pPr>
      <w:r>
        <w:rPr>
          <w:b w:val="0"/>
          <w:i w:val="0"/>
        </w:rPr>
        <w:t>Chỉ thị chống tránh thuế, 428, 432khoản thu CFC, 31–33thuế công ty, 31, 32thuế quốc tế, 432luật pháp, 89tiêu chuẩn thuế, 102tranh chấp chuyển giá, 621Tiền bản quyền</w:t>
      </w:r>
      <w:r>
        <w:rPr>
          <w:b w:val="0"/>
          <w:i/>
        </w:rPr>
        <w:t xml:space="preserve"> – xem</w:t>
      </w:r>
      <w:r>
        <w:rPr>
          <w:b w:val="0"/>
          <w:i w:val="0"/>
        </w:rPr>
        <w:t xml:space="preserve"> Tiền bản quyềnThuế công ty</w:t>
      </w:r>
    </w:p>
    <w:p>
      <w:pPr>
        <w:spacing w:after="80"/>
      </w:pPr>
      <w:r>
        <w:rPr>
          <w:b w:val="0"/>
          <w:i w:val="0"/>
        </w:rPr>
        <w:t>248lợi nhuận của, 32nơi cư trú</w:t>
      </w:r>
    </w:p>
    <w:p>
      <w:pPr>
        <w:spacing w:after="80"/>
      </w:pPr>
      <w:r>
        <w:rPr>
          <w:b w:val="0"/>
          <w:i w:val="0"/>
        </w:rPr>
        <w:t>quản lý và kiểm soát trung tâm,</w:t>
      </w:r>
    </w:p>
    <w:p>
      <w:pPr>
        <w:spacing w:after="80"/>
      </w:pPr>
      <w:r>
        <w:rPr>
          <w:b w:val="0"/>
          <w:i w:val="0"/>
        </w:rPr>
        <w:t>183, 195yêu cầu, 141, 274luật trong nước, 195cư trú kép, 194–195quản lý và kiểm soát, 195tài liệu OECD, 203nơi quản lý hiệu quả, 196,</w:t>
      </w:r>
    </w:p>
    <w:p>
      <w:pPr>
        <w:spacing w:after="80"/>
      </w:pPr>
      <w:r>
        <w:rPr>
          <w:b w:val="0"/>
          <w:i w:val="0"/>
        </w:rPr>
        <w:t>phân bổ lợi nhuận, 274–280cổ tức nước ngoài và, 313giảm trừ cho thu nhập và lợi nhuận chịu thuế</w:t>
      </w:r>
    </w:p>
    <w:p>
      <w:pPr>
        <w:spacing w:after="80"/>
      </w:pPr>
      <w:r>
        <w:rPr>
          <w:b w:val="0"/>
          <w:i w:val="0"/>
        </w:rPr>
        <w:t>, 36, 54, 640các loại thuế được áp dụng, 154–157Tín dụng thuế nước ngoài –</w:t>
      </w:r>
      <w:r>
        <w:rPr>
          <w:b w:val="0"/>
          <w:i/>
        </w:rPr>
        <w:t xml:space="preserve"> xem thêm</w:t>
      </w:r>
    </w:p>
    <w:p>
      <w:pPr>
        <w:spacing w:after="80"/>
      </w:pPr>
      <w:r>
        <w:rPr>
          <w:b w:val="0"/>
          <w:i w:val="0"/>
        </w:rPr>
        <w:t>197trường hợp tam giác, 204hoàn trả tín dụng thuế, 47cổ đông của, 77, 416, 417, 487,</w:t>
      </w:r>
    </w:p>
    <w:p>
      <w:pPr>
        <w:spacing w:after="80"/>
      </w:pPr>
      <w:r>
        <w:rPr>
          <w:b w:val="0"/>
          <w:i w:val="0"/>
        </w:rPr>
        <w:t>Loại bỏ đánh thuế hai lầnthuế lợi nhuận vốn, và, 437trường hợp vòng tròn, 447–449yêu cầu, 568loại bỏ đánh thuế hai lần kinh tế</w:t>
      </w:r>
    </w:p>
    <w:p>
      <w:pPr>
        <w:spacing w:after="80"/>
      </w:pPr>
      <w:r>
        <w:rPr>
          <w:b w:val="0"/>
          <w:i w:val="0"/>
        </w:rPr>
        <w:t>507, 511đánh thuế, 35, 492Giám đốc công ty</w:t>
      </w:r>
    </w:p>
    <w:p>
      <w:pPr>
        <w:spacing w:after="80"/>
      </w:pPr>
      <w:r>
        <w:rPr>
          <w:b w:val="0"/>
          <w:i w:val="0"/>
        </w:rPr>
        <w:t>đánh thuế hai lần, 307miễn thuế thu nhập nước ngoài, 451–452hệ thống liên bang, 440thuế nước ngoài phải nộp, 445–446thu nhập hoặc lợi nhuận chịu thuế, 32đánh thuế hai lần pháp lý, 444khớp thu nhập và thuế nước ngoài với</w:t>
      </w:r>
    </w:p>
    <w:p>
      <w:pPr>
        <w:spacing w:after="80"/>
      </w:pPr>
      <w:r>
        <w:rPr>
          <w:b w:val="0"/>
          <w:i w:val="0"/>
        </w:rPr>
        <w:t>thu nhập từ việc làm, 346, 355–356tín thác, 206Bồi thường</w:t>
      </w:r>
    </w:p>
    <w:p>
      <w:pPr>
        <w:spacing w:after="80"/>
      </w:pPr>
      <w:r>
        <w:rPr>
          <w:b w:val="0"/>
          <w:i w:val="0"/>
        </w:rPr>
        <w:t xml:space="preserve">vi phạm luật EU, 97vốn, 366hoãn lại, 367thanh toán </w:t>
      </w:r>
      <w:r>
        <w:rPr>
          <w:b w:val="0"/>
          <w:i/>
        </w:rPr>
        <w:t>ex gratia</w:t>
      </w:r>
      <w:r>
        <w:rPr>
          <w:b w:val="0"/>
          <w:i w:val="0"/>
        </w:rPr>
        <w:t>, 591thanh toán bồi thường một phần, 25–26chuyển lỗ, 418Khiếu nại</w:t>
      </w:r>
    </w:p>
    <w:p>
      <w:pPr>
        <w:spacing w:after="80"/>
      </w:pPr>
      <w:r>
        <w:rPr>
          <w:b w:val="0"/>
          <w:i w:val="0"/>
        </w:rPr>
        <w:t>nghĩa vụ thuế UK, 442, 443giảm thiểu thuế nước ngoài, 581tóm tắt, 477nơi cư trú, 444hạn chế, 446–447cùng thu nhập, người khác, 440,</w:t>
      </w:r>
    </w:p>
    <w:p>
      <w:pPr>
        <w:spacing w:after="80"/>
      </w:pPr>
      <w:r>
        <w:rPr>
          <w:b w:val="0"/>
          <w:i w:val="0"/>
        </w:rPr>
        <w:t>người phân xử, 591Quy trình của HMRC, 591Thanh tra viên Nghị viện, 591Công ty trung gian</w:t>
      </w:r>
      <w:r>
        <w:rPr>
          <w:b w:val="0"/>
          <w:i/>
        </w:rPr>
        <w:t xml:space="preserve"> – xem</w:t>
      </w:r>
      <w:r>
        <w:rPr>
          <w:b w:val="0"/>
          <w:i w:val="0"/>
        </w:rPr>
        <w:t xml:space="preserve"> Hưởng lợi</w:t>
      </w:r>
    </w:p>
    <w:p>
      <w:pPr>
        <w:spacing w:after="80"/>
      </w:pPr>
      <w:r>
        <w:rPr>
          <w:b w:val="0"/>
          <w:i w:val="0"/>
        </w:rPr>
        <w:t>441, 442quy tắc nguồn, 443, 444miễn thuế, 450–451giới hạn thời gian, 451cứu trợ theo hiệp ước so với đơn phương, 439–440thuế cơ sở, 449–450cứu trợ đơn phương, 439</w:t>
      </w:r>
    </w:p>
    <w:p>
      <w:pPr>
        <w:spacing w:after="80"/>
      </w:pPr>
      <w:r>
        <w:rPr>
          <w:b w:val="0"/>
          <w:i w:val="0"/>
        </w:rPr>
        <w:t>quyền sở hữuCông trường xây dựng</w:t>
      </w:r>
    </w:p>
    <w:p>
      <w:pPr>
        <w:spacing w:after="80"/>
      </w:pPr>
      <w:r>
        <w:rPr>
          <w:b w:val="0"/>
          <w:i w:val="0"/>
        </w:rPr>
        <w:t>cơ sở thường trú, 228, 230Quan chức lãnh sự</w:t>
      </w:r>
    </w:p>
    <w:p>
      <w:pPr>
        <w:spacing w:after="80"/>
      </w:pPr>
      <w:r>
        <w:rPr>
          <w:b w:val="0"/>
          <w:i w:val="0"/>
        </w:rPr>
        <w:t>thu nhập từ việc làm, 346, 359</w:t>
      </w:r>
    </w:p>
    <w:p>
      <w:pPr>
        <w:spacing w:after="80"/>
      </w:pPr>
      <w:r>
        <w:rPr>
          <w:b w:val="0"/>
          <w:i w:val="0"/>
        </w:rPr>
        <w:t>756</w:t>
      </w:r>
    </w:p>
    <w:p>
      <w:pPr>
        <w:spacing w:after="80"/>
      </w:pPr>
      <w:r>
        <w:rPr>
          <w:b w:val="0"/>
          <w:i w:val="0"/>
        </w:rPr>
        <w:t>Croatia, 44, 269, 604Thuế kinh doanh xuyên biên giới</w:t>
      </w:r>
    </w:p>
    <w:p>
      <w:pPr>
        <w:spacing w:after="80"/>
      </w:pPr>
      <w:r>
        <w:rPr>
          <w:b w:val="0"/>
          <w:i w:val="0"/>
        </w:rPr>
        <w:t>Các biện pháp bảo vệ chống lại hạn chế đối với các quyền tự do của EU</w:t>
      </w:r>
    </w:p>
    <w:p>
      <w:pPr>
        <w:spacing w:after="80"/>
      </w:pPr>
      <w:r>
        <w:rPr>
          <w:b w:val="0"/>
          <w:i w:val="0"/>
        </w:rPr>
        <w:t>tính gắn kết xuyên biên giới của thuế</w:t>
      </w:r>
    </w:p>
    <w:p>
      <w:pPr>
        <w:spacing w:after="80"/>
      </w:pPr>
      <w:r>
        <w:rPr>
          <w:b w:val="0"/>
          <w:i w:val="0"/>
        </w:rPr>
        <w:t>phân bổ lợi nhuận, 217quy kết thu nhập đầu tư, 217thu nhập từ việc làm, 347, 363Tính gắn kết xuyên biên giới của hệ thống thuế,</w:t>
      </w:r>
    </w:p>
    <w:p>
      <w:pPr>
        <w:spacing w:after="80"/>
      </w:pPr>
      <w:r>
        <w:rPr>
          <w:b w:val="0"/>
          <w:i w:val="0"/>
        </w:rPr>
        <w:t>hệ thống, 86–87loại bỏ đánh thuế hai lần, 83–85ngoại lệ, 79quyền tự do thành lập, 60tác động của luật EU, 78–79thuế thu nhập, 79Mô hình OECD, 79, 80nhân viên khu vực công, 81nghĩa vụ thuế, 79, 86từ bỏ sự gắn kết, 85–86Cư dân được coi là, 186–187, 458Quyền thiết kế, 327Các nước đang phát triển, 11, 19, 138, 230,</w:t>
      </w:r>
    </w:p>
    <w:p>
      <w:pPr>
        <w:spacing w:after="80"/>
      </w:pPr>
      <w:r>
        <w:rPr>
          <w:b w:val="0"/>
          <w:i w:val="0"/>
        </w:rPr>
        <w:t>86–87Việc làm cho Hoàng gia, 363Luật quốc tế tập quán</w:t>
      </w:r>
    </w:p>
    <w:p>
      <w:pPr>
        <w:spacing w:after="80"/>
      </w:pPr>
      <w:r>
        <w:rPr>
          <w:b w:val="0"/>
          <w:i w:val="0"/>
        </w:rPr>
        <w:t>luật trong nước, 5phán quyết tư pháp, 5các quy tắc của, 3văn bản của các luật gia, 5Công thức Síp</w:t>
      </w:r>
    </w:p>
    <w:p>
      <w:pPr>
        <w:spacing w:after="80"/>
      </w:pPr>
      <w:r>
        <w:rPr>
          <w:b w:val="0"/>
          <w:i w:val="0"/>
        </w:rPr>
        <w:t>loại trừ các thực thể được ưu đãi thuế, 502Cộng hòa Séc</w:t>
      </w:r>
      <w:r>
        <w:rPr>
          <w:b w:val="0"/>
          <w:i/>
        </w:rPr>
        <w:t xml:space="preserve"> – xem</w:t>
      </w:r>
      <w:r>
        <w:rPr>
          <w:b w:val="0"/>
          <w:i w:val="0"/>
        </w:rPr>
        <w:t xml:space="preserve"> Tiệp Khắc</w:t>
      </w:r>
    </w:p>
    <w:p>
      <w:pPr>
        <w:spacing w:after="80"/>
      </w:pPr>
      <w:r>
        <w:rPr>
          <w:b w:val="0"/>
          <w:i w:val="0"/>
        </w:rPr>
        <w:t>241, 252, 257, 287, 331, 450,470, 483, 487, 523Thuế đất phát triển, 157Nền kinh tế số</w:t>
      </w:r>
    </w:p>
    <w:p>
      <w:pPr>
        <w:spacing w:after="80"/>
      </w:pPr>
      <w:r>
        <w:rPr>
          <w:b w:val="0"/>
          <w:i w:val="0"/>
        </w:rPr>
        <w:t>hiệp ướcHiệp ước Tiệp Khắc</w:t>
      </w:r>
    </w:p>
    <w:p>
      <w:pPr>
        <w:spacing w:after="80"/>
      </w:pPr>
      <w:r>
        <w:rPr>
          <w:b w:val="0"/>
          <w:i w:val="0"/>
        </w:rPr>
        <w:t>Giải thể Tiệp Khắc, 43–44tình trạng, 314</w:t>
      </w:r>
    </w:p>
    <w:p>
      <w:pPr>
        <w:spacing w:after="80"/>
      </w:pPr>
      <w:r>
        <w:rPr>
          <w:b w:val="0"/>
          <w:i w:val="0"/>
        </w:rPr>
        <w:t>và cơ sở thường trú,</w:t>
      </w:r>
    </w:p>
    <w:p>
      <w:pPr>
        <w:spacing w:after="80"/>
      </w:pPr>
      <w:r>
        <w:rPr>
          <w:b w:val="0"/>
          <w:i w:val="0"/>
        </w:rPr>
        <w:t>225–227Thuế Dịch vụ Kỹ thuật số</w:t>
      </w:r>
    </w:p>
    <w:p>
      <w:pPr>
        <w:spacing w:after="80"/>
      </w:pPr>
      <w:r>
        <w:rPr>
          <w:b/>
          <w:i w:val="0"/>
        </w:rPr>
        <w:t>Khấu trừ tại nguồn</w:t>
      </w:r>
    </w:p>
    <w:p>
      <w:pPr>
        <w:spacing w:after="80"/>
      </w:pPr>
      <w:r>
        <w:rPr>
          <w:b w:val="0"/>
          <w:i w:val="0"/>
        </w:rPr>
        <w:t>lợi nhuận kinh doanh, 299doanh thu dịch vụ kỹ thuật số, 299thuế lợi nhuận chuyển hướng, và, 157–158Nhà ngoại giao</w:t>
      </w:r>
    </w:p>
    <w:p>
      <w:pPr>
        <w:spacing w:after="80"/>
      </w:pPr>
      <w:r>
        <w:rPr>
          <w:b w:val="0"/>
          <w:i w:val="0"/>
        </w:rPr>
        <w:t>các khoản thanh toán hàng năm, 327, 329thu nhập từ việc làm, 565nghệ sĩ biểu diễn, 579nói chung, 565cổ tức nước ngoài được tạo ra, 282người không cư trú, 565, 570, 572thông báo nộp thuế theo mức thuế hiệp định, 571, 572thu nhập lương hưu, 565các quy định, 570–571vận động viên thể thao, 579thủ tục dựa trên hiệp định, 565Các khoản khấu trừ –</w:t>
      </w:r>
      <w:r>
        <w:rPr>
          <w:b w:val="0"/>
          <w:i/>
        </w:rPr>
        <w:t xml:space="preserve"> xem thêm</w:t>
      </w:r>
      <w:r>
        <w:rPr>
          <w:b w:val="0"/>
          <w:i w:val="0"/>
        </w:rPr>
        <w:t xml:space="preserve"> Chi phí</w:t>
      </w:r>
    </w:p>
    <w:p>
      <w:pPr>
        <w:spacing w:after="80"/>
      </w:pPr>
      <w:r>
        <w:rPr>
          <w:b w:val="0"/>
          <w:i w:val="0"/>
        </w:rPr>
        <w:t>thu nhập từ việc làm, 358–360Giám đốc</w:t>
      </w:r>
    </w:p>
    <w:p>
      <w:pPr>
        <w:spacing w:after="80"/>
      </w:pPr>
      <w:r>
        <w:rPr>
          <w:b w:val="0"/>
          <w:i w:val="0"/>
        </w:rPr>
        <w:t>thu nhập từ việc làm, 345–347,</w:t>
      </w:r>
    </w:p>
    <w:p>
      <w:pPr>
        <w:spacing w:after="80"/>
      </w:pPr>
      <w:r>
        <w:rPr>
          <w:b w:val="0"/>
          <w:i w:val="0"/>
        </w:rPr>
        <w:t>355–356Phân biệt đối xử</w:t>
      </w:r>
      <w:r>
        <w:rPr>
          <w:b w:val="0"/>
          <w:i/>
        </w:rPr>
        <w:t xml:space="preserve"> – xem</w:t>
      </w:r>
      <w:r>
        <w:rPr>
          <w:b w:val="0"/>
          <w:i w:val="0"/>
        </w:rPr>
        <w:t xml:space="preserve"> thêm</w:t>
      </w:r>
    </w:p>
    <w:p>
      <w:pPr>
        <w:spacing w:after="80"/>
      </w:pPr>
      <w:r>
        <w:rPr>
          <w:b w:val="0"/>
          <w:i w:val="0"/>
        </w:rPr>
        <w:t>Không phân biệt đối xửLuật EU, 468cơ sở thường trú, 460–463các hiệp định</w:t>
      </w:r>
    </w:p>
    <w:p>
      <w:pPr>
        <w:spacing w:after="80"/>
      </w:pPr>
      <w:r>
        <w:rPr>
          <w:b w:val="0"/>
          <w:i w:val="0"/>
        </w:rPr>
        <w:t>trợ cấp và giảm trừ, 500tính toán trợ cấp và, 79chi tiêu, 280–282tổ chức tài chính, 282lãi, 316, 317giới hạn, 281lỗ, 84, 462cơ sở thường trú, 280cấm, 282xử lý, 278</w:t>
      </w:r>
    </w:p>
    <w:p>
      <w:pPr>
        <w:spacing w:after="80"/>
      </w:pPr>
      <w:r>
        <w:rPr>
          <w:b w:val="0"/>
          <w:i w:val="0"/>
        </w:rPr>
        <w:t>cho phép, 469–470lợi ích trung hòa, 74–78phát sinhcư trú, 463–464các nước thứ ba, 73Hiệp định phân biệt đối xử, 72–74Chuyển nhượng sở hữu trí tuệ,</w:t>
      </w:r>
    </w:p>
    <w:p>
      <w:pPr>
        <w:spacing w:after="80"/>
      </w:pPr>
      <w:r>
        <w:rPr>
          <w:b w:val="0"/>
          <w:i w:val="0"/>
        </w:rPr>
        <w:t>335–336Tranh chấp</w:t>
      </w:r>
    </w:p>
    <w:p>
      <w:pPr>
        <w:spacing w:after="80"/>
      </w:pPr>
      <w:r>
        <w:rPr>
          <w:b w:val="0"/>
          <w:i w:val="0"/>
        </w:rPr>
        <w:t>giải quyết tranh chấp thay thế, 587,</w:t>
      </w:r>
    </w:p>
    <w:p>
      <w:pPr>
        <w:spacing w:after="80"/>
      </w:pPr>
      <w:r>
        <w:rPr>
          <w:b w:val="0"/>
          <w:i w:val="0"/>
        </w:rPr>
        <w:t>757</w:t>
      </w:r>
    </w:p>
    <w:p>
      <w:pPr>
        <w:spacing w:after="80"/>
      </w:pPr>
      <w:r>
        <w:rPr>
          <w:b w:val="0"/>
          <w:i w:val="0"/>
        </w:rPr>
        <w:t>604, 615, 617, 618kháng cáo, 587ranh giới, 8vi phạm luật EU, 35, 97, 673thu thuế nước ngoài, 681tranh chấp thương mại, 198, 489khiếu nại</w:t>
      </w:r>
    </w:p>
    <w:p>
      <w:pPr>
        <w:spacing w:after="80"/>
      </w:pPr>
      <w:r>
        <w:rPr>
          <w:b w:val="0"/>
          <w:i w:val="0"/>
        </w:rPr>
        <w:t>Thu nhập từ cổ tức</w:t>
      </w:r>
    </w:p>
    <w:p>
      <w:pPr>
        <w:spacing w:after="80"/>
      </w:pPr>
      <w:r>
        <w:rPr>
          <w:b w:val="0"/>
          <w:i w:val="0"/>
        </w:rPr>
        <w:t>quyền sở hữu hưởng lợi, 314các công ty, 306cấp độ doanh nghiệp, 313luật thuế trong nước về</w:t>
      </w:r>
    </w:p>
    <w:p>
      <w:pPr>
        <w:spacing w:after="80"/>
      </w:pPr>
      <w:r>
        <w:rPr>
          <w:b w:val="0"/>
          <w:i w:val="0"/>
        </w:rPr>
        <w:t>thu nhập từ tài sản, 306, 307phân phối vào trong, 408phân phối ra ngoài</w:t>
      </w:r>
    </w:p>
    <w:p>
      <w:pPr>
        <w:spacing w:after="80"/>
      </w:pPr>
      <w:r>
        <w:rPr>
          <w:b w:val="0"/>
          <w:i w:val="0"/>
        </w:rPr>
        <w:t>người phân xử, 591Thanh tra Nghị viện, 591Công ước Trọng tài EU –</w:t>
      </w:r>
      <w:r>
        <w:rPr>
          <w:b w:val="0"/>
          <w:i/>
        </w:rPr>
        <w:t xml:space="preserve"> xem</w:t>
      </w:r>
    </w:p>
    <w:p>
      <w:pPr>
        <w:spacing w:after="80"/>
      </w:pPr>
      <w:r>
        <w:rPr>
          <w:b w:val="0"/>
          <w:i w:val="0"/>
        </w:rPr>
        <w:t>khấu trừ thuế tại nguồn,408–409các khoản phân phối, 306–307giao dịch chuyển nhượng cổ tức, 544thuế khấu trừ cổ tức, 408, 420,</w:t>
      </w:r>
    </w:p>
    <w:p>
      <w:pPr>
        <w:spacing w:after="80"/>
      </w:pPr>
      <w:r>
        <w:rPr>
          <w:b/>
          <w:i w:val="0"/>
        </w:rPr>
        <w:t>Công ước Trọng tài</w:t>
      </w:r>
      <w:r>
        <w:rPr>
          <w:b w:val="0"/>
          <w:i w:val="0"/>
        </w:rPr>
        <w:t>Hiến chương Quyền cơ bản EU,</w:t>
      </w:r>
    </w:p>
    <w:p>
      <w:pPr>
        <w:spacing w:after="80"/>
      </w:pPr>
      <w:r>
        <w:rPr>
          <w:b w:val="0"/>
          <w:i w:val="0"/>
        </w:rPr>
        <w:t>635, 671, 673, 686chỉ thị giải quyết tranh chấp thuế EU –</w:t>
      </w:r>
    </w:p>
    <w:p>
      <w:pPr>
        <w:spacing w:after="80"/>
      </w:pPr>
      <w:r>
        <w:rPr>
          <w:b w:val="0"/>
          <w:i w:val="0"/>
        </w:rPr>
        <w:t>435, 491các quy định của hiệp ước thuế thu nhập</w:t>
      </w:r>
    </w:p>
    <w:p>
      <w:pPr>
        <w:spacing w:after="80"/>
      </w:pPr>
      <w:r>
        <w:rPr>
          <w:b w:val="0"/>
          <w:i/>
        </w:rPr>
        <w:t>xem</w:t>
      </w:r>
      <w:r>
        <w:rPr>
          <w:b/>
          <w:i w:val="0"/>
        </w:rPr>
        <w:t xml:space="preserve"> Chỉ thị Giải quyết Tranh chấp Đánh thuế Hai lần EU</w:t>
      </w:r>
      <w:r>
        <w:rPr>
          <w:b w:val="0"/>
          <w:i w:val="0"/>
        </w:rPr>
        <w:t>thủ tục HMRC để xử lý</w:t>
      </w:r>
    </w:p>
    <w:p>
      <w:pPr>
        <w:spacing w:after="80"/>
      </w:pPr>
      <w:r>
        <w:rPr>
          <w:b w:val="0"/>
          <w:i w:val="0"/>
        </w:rPr>
        <w:t>phân bổ thẩm quyền đánh thuế,</w:t>
      </w:r>
    </w:p>
    <w:p>
      <w:pPr>
        <w:spacing w:after="80"/>
      </w:pPr>
      <w:r>
        <w:rPr>
          <w:b w:val="0"/>
          <w:i w:val="0"/>
        </w:rPr>
        <w:t>251–253phân loại nguồn, 253–255Genussscheine, 311tín dụng quy kết, 307, 410giới hạn về lợi ích, 314ý nghĩa của cổ tức, 310–311Chỉ thị Công ty Mẹ-Công ty Con, 403, 404,</w:t>
      </w:r>
    </w:p>
    <w:p>
      <w:pPr>
        <w:spacing w:after="80"/>
      </w:pPr>
      <w:r>
        <w:rPr>
          <w:b w:val="0"/>
          <w:i w:val="0"/>
        </w:rPr>
        <w:t>khiếu nại, 591xem xét hành chính nội bộ, 587luật quốc tế, 1, 2, 8, 12xem xét tư pháp</w:t>
      </w:r>
    </w:p>
    <w:p>
      <w:pPr>
        <w:spacing w:after="80"/>
      </w:pPr>
      <w:r>
        <w:rPr>
          <w:b w:val="0"/>
          <w:i w:val="0"/>
        </w:rPr>
        <w:t>sự bất công rõ ràng, 589kỳ vọng chính đáng, 589công lý tự nhiên, 587tính bất hợp lý, 589thủ tục thỏa thuận chung –</w:t>
      </w:r>
      <w:r>
        <w:rPr>
          <w:b w:val="0"/>
          <w:i/>
        </w:rPr>
        <w:t xml:space="preserve"> xem</w:t>
      </w:r>
    </w:p>
    <w:p>
      <w:pPr>
        <w:spacing w:after="80"/>
      </w:pPr>
      <w:r>
        <w:rPr>
          <w:b w:val="0"/>
          <w:i w:val="0"/>
        </w:rPr>
        <w:t>406quỹ hưu trí và các tổ chức được ưu đãi thuế</w:t>
      </w:r>
    </w:p>
    <w:p>
      <w:pPr>
        <w:spacing w:after="80"/>
      </w:pPr>
      <w:r>
        <w:rPr>
          <w:b w:val="0"/>
          <w:i w:val="0"/>
        </w:rPr>
        <w:t>, 309, 544cơ sở thường trú, kết nối</w:t>
      </w:r>
    </w:p>
    <w:p>
      <w:pPr>
        <w:spacing w:after="80"/>
      </w:pPr>
      <w:r>
        <w:rPr>
          <w:b/>
          <w:i w:val="0"/>
        </w:rPr>
        <w:t>Thủ tục thỏa thuận chung</w:t>
      </w:r>
      <w:r>
        <w:rPr>
          <w:b w:val="0"/>
          <w:i w:val="0"/>
        </w:rPr>
        <w:t>giải quyết, 586bồi hoàn hoặc bồi thường thiệt hại do vi phạm hoặc</w:t>
      </w:r>
    </w:p>
    <w:p>
      <w:pPr>
        <w:spacing w:after="80"/>
      </w:pPr>
      <w:r>
        <w:rPr>
          <w:b w:val="0"/>
          <w:i w:val="0"/>
        </w:rPr>
        <w:t>với, 311–312 cơ sở thường trú tại quốc gia thứ ba</w:t>
      </w:r>
    </w:p>
    <w:p>
      <w:pPr>
        <w:spacing w:after="80"/>
      </w:pPr>
      <w:r>
        <w:rPr>
          <w:b w:val="0"/>
          <w:i w:val="0"/>
        </w:rPr>
        <w:t>không tuân thủ một hiệp định, 586 các khoản thanh toán được thực hiện do nhầm lẫn về luật,</w:t>
      </w:r>
    </w:p>
    <w:p>
      <w:pPr>
        <w:spacing w:after="80"/>
      </w:pPr>
      <w:r>
        <w:rPr>
          <w:b w:val="0"/>
          <w:i w:val="0"/>
        </w:rPr>
        <w:t xml:space="preserve">các quốc gia, liên quan đến, 312–313 quỹ đầu tư bất động sản (real estate investment trusts), 306 đánh thuế đối với, 307, 309, 310 thuế khấu trừ tại nguồn, 307–310 các loại thuế, 313 các điều khoản hiệp định, 307 Tín dụng thuế cổ tức – </w:t>
      </w:r>
      <w:r>
        <w:rPr>
          <w:b w:val="0"/>
          <w:i/>
        </w:rPr>
        <w:t>xem thêm</w:t>
      </w:r>
      <w:r>
        <w:rPr>
          <w:b w:val="0"/>
          <w:i w:val="0"/>
        </w:rPr>
        <w:t xml:space="preserve"> Cổ tức</w:t>
      </w:r>
    </w:p>
    <w:p>
      <w:pPr>
        <w:spacing w:after="80"/>
      </w:pPr>
      <w:r>
        <w:rPr>
          <w:b w:val="0"/>
          <w:i w:val="0"/>
        </w:rPr>
        <w:t xml:space="preserve">586 yêu cầu thuế trái với hiệp định, 145 phán quyết, thu hồi, 588 nguồn gốc của, 483 thực chất, 585–587 khu vực hiệp định thuế, 549 hệ thống tòa án, 174 Các khoản phân phối </w:t>
      </w:r>
      <w:r>
        <w:rPr>
          <w:b w:val="0"/>
          <w:i/>
        </w:rPr>
        <w:t>– xem</w:t>
      </w:r>
      <w:r>
        <w:rPr>
          <w:b w:val="0"/>
          <w:i w:val="0"/>
        </w:rPr>
        <w:t xml:space="preserve"> Thu nhập cổ tức Thuế lợi nhuận chuyển hướng</w:t>
      </w:r>
    </w:p>
    <w:p>
      <w:pPr>
        <w:spacing w:after="80"/>
      </w:pPr>
      <w:r>
        <w:rPr>
          <w:b w:val="0"/>
          <w:i w:val="0"/>
        </w:rPr>
        <w:t>thu nhập, tín dụng quy kết (imputation credit) người không cư trú, đối với, 67 hoàn trả, 117–118, 492, 569 Bến tàu, cống và mực nước</w:t>
      </w:r>
    </w:p>
    <w:p>
      <w:pPr>
        <w:spacing w:after="80"/>
      </w:pPr>
      <w:r>
        <w:rPr>
          <w:b w:val="0"/>
          <w:i w:val="0"/>
        </w:rPr>
        <w:t>các doanh nghiệp liên kết, 298–299 và thuế dịch vụ kỹ thuật số, 157–158 cơ sở thường trú, 248–249 chuyển giá, 298, 299</w:t>
      </w:r>
    </w:p>
    <w:p>
      <w:pPr>
        <w:spacing w:after="80"/>
      </w:pPr>
      <w:r>
        <w:rPr>
          <w:b w:val="0"/>
          <w:i w:val="0"/>
        </w:rPr>
        <w:t>thu nhập từ, 304 Nội địa hóa các hiệp định, 31 Thuế cư trú, 156, 179 Đánh thuế hai lần</w:t>
      </w:r>
    </w:p>
    <w:p>
      <w:pPr>
        <w:spacing w:after="80"/>
      </w:pPr>
      <w:r>
        <w:rPr>
          <w:b w:val="0"/>
          <w:i w:val="0"/>
        </w:rPr>
        <w:t>758</w:t>
      </w:r>
    </w:p>
    <w:p>
      <w:pPr>
        <w:spacing w:after="80"/>
      </w:pPr>
      <w:r>
        <w:rPr>
          <w:b w:val="0"/>
          <w:i w:val="0"/>
        </w:rPr>
        <w:t xml:space="preserve">loại bỏ </w:t>
      </w:r>
      <w:r>
        <w:rPr>
          <w:b w:val="0"/>
          <w:i/>
        </w:rPr>
        <w:t>– xem</w:t>
      </w:r>
      <w:r>
        <w:rPr>
          <w:b w:val="0"/>
          <w:i w:val="0"/>
        </w:rPr>
        <w:t xml:space="preserve"> </w:t>
      </w:r>
      <w:r>
        <w:rPr>
          <w:b/>
          <w:i w:val="0"/>
        </w:rPr>
        <w:t>Tín dụng cho thuế nước ngoài</w:t>
      </w:r>
    </w:p>
    <w:p>
      <w:pPr>
        <w:spacing w:after="80"/>
      </w:pPr>
      <w:r>
        <w:rPr>
          <w:b w:val="0"/>
          <w:i w:val="0"/>
        </w:rPr>
        <w:t>cơ sở thường trú và</w:t>
      </w:r>
    </w:p>
    <w:p>
      <w:pPr>
        <w:spacing w:after="80"/>
      </w:pPr>
      <w:r>
        <w:rPr>
          <w:b/>
          <w:i w:val="0"/>
        </w:rPr>
        <w:t>thuế; Loại bỏ đánh thuế hai lần</w:t>
      </w:r>
      <w:r>
        <w:rPr>
          <w:b w:val="0"/>
          <w:i w:val="0"/>
        </w:rPr>
        <w:t xml:space="preserve"> và sự không khớp hỗn hợp (hybrid mismatches), 546–547 thỏa thuận song phương, 602 giảm thuế, 439–440 quỹ tín thác của người lập (settlor trusts), 378 các thực thể minh bạch, và, 547–548 Cư trú kép</w:t>
      </w:r>
    </w:p>
    <w:p>
      <w:pPr>
        <w:spacing w:after="80"/>
      </w:pPr>
      <w:r>
        <w:rPr>
          <w:b w:val="0"/>
          <w:i w:val="0"/>
        </w:rPr>
        <w:t>quy kết nội địa, 451–452 sự không khớp hỗn hợp, 546–547 khớp thu nhập và thuế nước ngoài với</w:t>
      </w:r>
    </w:p>
    <w:p>
      <w:pPr>
        <w:spacing w:after="80"/>
      </w:pPr>
      <w:r>
        <w:rPr>
          <w:b w:val="0"/>
          <w:i w:val="0"/>
        </w:rPr>
        <w:t>nghĩa vụ thuế tại Vương quốc Anh, 442–443 MLI, 531–532 Chỉ thị công ty mẹ – công ty con, 410–411 thanh toán thuế nước ngoài, 568 cư trú, 444 cùng thu nhập, người khác,</w:t>
      </w:r>
    </w:p>
    <w:p>
      <w:pPr>
        <w:spacing w:after="80"/>
      </w:pPr>
      <w:r>
        <w:rPr>
          <w:b w:val="0"/>
          <w:i w:val="0"/>
        </w:rPr>
        <w:t>giải quyết hành chính, 207–208 quản lý và kiểm soát trung tâm, 195 trung tâm lợi ích thiết yếu, 192–194 cuộc cách mạng truyền thông, tác động,</w:t>
      </w:r>
    </w:p>
    <w:p>
      <w:pPr>
        <w:spacing w:after="80"/>
      </w:pPr>
      <w:r>
        <w:rPr>
          <w:b w:val="0"/>
          <w:i w:val="0"/>
        </w:rPr>
        <w:t xml:space="preserve">440–442 quy tắc nguồn, 443–444 miễn thuế (tax sparing), 450–451 các thực thể minh bạch, 547–548 hạn chế tín dụng theo hiệp định, 446–447 giảm thuế theo hiệp định so với đơn phương, 439–440 Thù lao </w:t>
      </w:r>
      <w:r>
        <w:rPr>
          <w:b w:val="0"/>
          <w:i/>
        </w:rPr>
        <w:t>– xem</w:t>
      </w:r>
      <w:r>
        <w:rPr>
          <w:b w:val="0"/>
          <w:i w:val="0"/>
        </w:rPr>
        <w:t xml:space="preserve"> Thu nhập từ việc làm Thu nhập từ việc làm – </w:t>
      </w:r>
      <w:r>
        <w:rPr>
          <w:b w:val="0"/>
          <w:i/>
        </w:rPr>
        <w:t>xem thêm</w:t>
      </w:r>
    </w:p>
    <w:p>
      <w:pPr>
        <w:spacing w:after="80"/>
      </w:pPr>
      <w:r>
        <w:rPr>
          <w:b w:val="0"/>
          <w:i w:val="0"/>
        </w:rPr>
        <w:t>202–203 công ty, 194–195 đồng thời, 187, 188, 201 liên tiếp, 187, 188, 201 nơi ở thường xuyên, 194 tác động của cư trú theo hiệp định đối với nội địa</w:t>
      </w:r>
    </w:p>
    <w:p>
      <w:pPr>
        <w:spacing w:after="80"/>
      </w:pPr>
      <w:r>
        <w:rPr>
          <w:b w:val="0"/>
          <w:i w:val="0"/>
        </w:rPr>
        <w:t>Nhân viênHọc giả và giáo viên, 356, 347lao động qua đại lý, 347phi hành đoàn, 354–355phúc lợi bằng hiện vật, 342, 356do một cơ sở thường trú gánh chịu,</w:t>
      </w:r>
    </w:p>
    <w:p>
      <w:pPr>
        <w:spacing w:after="80"/>
      </w:pPr>
      <w:r>
        <w:rPr>
          <w:b w:val="0"/>
          <w:i w:val="0"/>
        </w:rPr>
        <w:t>luật, 208–209cá nhân –</w:t>
      </w:r>
      <w:r>
        <w:rPr>
          <w:b w:val="0"/>
          <w:i/>
        </w:rPr>
        <w:t xml:space="preserve"> xem</w:t>
      </w:r>
      <w:r>
        <w:rPr>
          <w:b/>
          <w:i w:val="0"/>
        </w:rPr>
        <w:t xml:space="preserve"> Cư trú cá nhân</w:t>
      </w:r>
      <w:r>
        <w:rPr>
          <w:b w:val="0"/>
          <w:i w:val="0"/>
        </w:rPr>
        <w:t>quản lý và kiểm soát, 195–196hợp danh, 206nhà ở thường xuyên, 191–192nơi quản lý hữu hiệu,</w:t>
      </w:r>
    </w:p>
    <w:p>
      <w:pPr>
        <w:spacing w:after="80"/>
      </w:pPr>
      <w:r>
        <w:rPr>
          <w:b w:val="0"/>
          <w:i w:val="0"/>
        </w:rPr>
        <w:t>350, 352giám đốc công ty, 355–356viên chức lãnh sự, 360–361việc làm cho Crown, 363khấu trừ tại nguồn, 565được coi là, 186, 342, 345, 348dịch vụ cá nhân phụ thuộc, 341,</w:t>
      </w:r>
    </w:p>
    <w:p>
      <w:pPr>
        <w:spacing w:after="80"/>
      </w:pPr>
      <w:r>
        <w:rPr>
          <w:b w:val="0"/>
          <w:i w:val="0"/>
        </w:rPr>
        <w:t>196–202rủi ro về, 189–190tự khai, 174điều khoản phá vỡ thế cân bằng, 187–194trường hợp tam giác, 204tín thác, 204–206</w:t>
      </w:r>
    </w:p>
    <w:p>
      <w:pPr>
        <w:spacing w:after="80"/>
      </w:pPr>
      <w:r>
        <w:rPr>
          <w:b w:val="0"/>
          <w:i w:val="0"/>
        </w:rPr>
        <w:t>346, 351nhà ngoại giao, 358–360thù lao giám đốc, 345người sử dụng lao động kinh tế, 350, 351cơ sở giáo dục, 357chương trình cổ phần cho nhân viên, 352chứng khoán liên quan đến việc làm,</w:t>
      </w:r>
    </w:p>
    <w:p>
      <w:pPr>
        <w:spacing w:after="80"/>
      </w:pPr>
      <w:r>
        <w:rPr>
          <w:b/>
          <w:i w:val="0"/>
        </w:rPr>
        <w:t>Cơ sở giáo dục</w:t>
      </w:r>
    </w:p>
    <w:p>
      <w:pPr>
        <w:spacing w:after="80"/>
      </w:pPr>
      <w:r>
        <w:rPr>
          <w:b w:val="0"/>
          <w:i w:val="0"/>
        </w:rPr>
        <w:t>giáo sư và giáo viên thỉnh giảng, 356,</w:t>
      </w:r>
    </w:p>
    <w:p>
      <w:pPr>
        <w:spacing w:after="80"/>
      </w:pPr>
      <w:r>
        <w:rPr>
          <w:b w:val="0"/>
          <w:i w:val="0"/>
        </w:rPr>
        <w:t>358Loại trừ đánh thuế hai lần –</w:t>
      </w:r>
      <w:r>
        <w:rPr>
          <w:b w:val="0"/>
          <w:i/>
        </w:rPr>
        <w:t xml:space="preserve"> xem thêm</w:t>
      </w:r>
    </w:p>
    <w:p>
      <w:pPr>
        <w:spacing w:after="80"/>
      </w:pPr>
      <w:r>
        <w:rPr>
          <w:b w:val="0"/>
          <w:i w:val="0"/>
        </w:rPr>
        <w:t>Khấu trừ thuế nước ngoàiATAD, trong, 442BEPS Hành động 2, 546trường hợp vòng tròn, 447–449khấu trừ thuế nước ngoài, 83–85, 436–439khấu trừ thuế cơ sở, 449–450miễn trừ thu nhập hoặc lợi nhuận nước ngoài</w:t>
      </w:r>
    </w:p>
    <w:p>
      <w:pPr>
        <w:spacing w:after="80"/>
      </w:pPr>
      <w:r>
        <w:rPr>
          <w:b w:val="0"/>
          <w:i w:val="0"/>
        </w:rPr>
        <w:t>352–354nói chung, 341–345dịch vụ chính phủ, 361–363trung gian, 347–348thanh toán một lần, 365–366công ty dịch vụ được quản lý, 348ý nghĩa</w:t>
      </w:r>
    </w:p>
    <w:p>
      <w:pPr>
        <w:spacing w:after="80"/>
      </w:pPr>
      <w:r>
        <w:rPr>
          <w:b w:val="0"/>
          <w:i w:val="0"/>
        </w:rPr>
        <w:t>cổ tức, 451</w:t>
      </w:r>
    </w:p>
    <w:p>
      <w:pPr>
        <w:spacing w:after="80"/>
      </w:pPr>
      <w:r>
        <w:rPr>
          <w:b w:val="0"/>
          <w:i w:val="0"/>
        </w:rPr>
        <w:t>759</w:t>
      </w:r>
    </w:p>
    <w:p>
      <w:pPr>
        <w:spacing w:after="80"/>
      </w:pPr>
      <w:r>
        <w:rPr>
          <w:b w:val="0"/>
          <w:i w:val="0"/>
        </w:rPr>
        <w:t>thu nhập, 342việc làm, 345chức vụ, ý nghĩa, 346thăm dò và khai thác ngoài khơi</w:t>
      </w:r>
    </w:p>
    <w:p>
      <w:pPr>
        <w:spacing w:after="80"/>
      </w:pPr>
      <w:r>
        <w:rPr>
          <w:b w:val="0"/>
          <w:i w:val="0"/>
        </w:rPr>
        <w:t>hợp tác hành chính</w:t>
      </w:r>
    </w:p>
    <w:p>
      <w:pPr>
        <w:spacing w:after="80"/>
      </w:pPr>
      <w:r>
        <w:rPr>
          <w:b w:val="0"/>
          <w:i w:val="0"/>
        </w:rPr>
        <w:t>thẩm quyền cho, 640–641trao đổi thông tin –</w:t>
      </w:r>
      <w:r>
        <w:rPr>
          <w:b w:val="0"/>
          <w:i/>
        </w:rPr>
        <w:t xml:space="preserve"> xem</w:t>
      </w:r>
    </w:p>
    <w:p>
      <w:pPr>
        <w:spacing w:after="80"/>
      </w:pPr>
      <w:r>
        <w:rPr>
          <w:b/>
          <w:i w:val="0"/>
        </w:rPr>
        <w:t>Trao đổi thông tin</w:t>
      </w:r>
      <w:r>
        <w:rPr>
          <w:b w:val="0"/>
          <w:i w:val="0"/>
        </w:rPr>
        <w:t>thu hồi thuế –</w:t>
      </w:r>
      <w:r>
        <w:rPr>
          <w:b w:val="0"/>
          <w:i/>
        </w:rPr>
        <w:t xml:space="preserve"> xem</w:t>
      </w:r>
      <w:r>
        <w:rPr>
          <w:b/>
          <w:i w:val="0"/>
        </w:rPr>
        <w:t xml:space="preserve"> Thu hồi</w:t>
      </w:r>
    </w:p>
    <w:p>
      <w:pPr>
        <w:spacing w:after="80"/>
      </w:pPr>
      <w:r>
        <w:rPr>
          <w:b w:val="0"/>
          <w:i w:val="0"/>
        </w:rPr>
        <w:t>hoạt động, 392–394được trả bởi, hoặc thay mặt cho một cư dân,</w:t>
      </w:r>
    </w:p>
    <w:p>
      <w:pPr>
        <w:spacing w:after="80"/>
      </w:pPr>
      <w:r>
        <w:rPr>
          <w:b/>
          <w:i w:val="0"/>
        </w:rPr>
        <w:t>Thuế</w:t>
      </w:r>
      <w:r>
        <w:rPr>
          <w:b w:val="0"/>
          <w:i w:val="0"/>
        </w:rPr>
        <w:t>nói chung, 1thẩm quyền, giới hạn lãnh thổ, 636quy tắc doanh thu, 635–637Doanh nghiệp</w:t>
      </w:r>
    </w:p>
    <w:p>
      <w:pPr>
        <w:spacing w:after="80"/>
      </w:pPr>
      <w:r>
        <w:rPr>
          <w:b w:val="0"/>
          <w:i w:val="0"/>
        </w:rPr>
        <w:t>350lương hưu –</w:t>
      </w:r>
      <w:r>
        <w:rPr>
          <w:b w:val="0"/>
          <w:i/>
        </w:rPr>
        <w:t xml:space="preserve"> xem</w:t>
      </w:r>
      <w:r>
        <w:rPr>
          <w:b/>
          <w:i w:val="0"/>
        </w:rPr>
        <w:t xml:space="preserve"> Thu nhập từ lương hưu</w:t>
      </w:r>
      <w:r>
        <w:rPr>
          <w:b w:val="0"/>
          <w:i w:val="0"/>
        </w:rPr>
        <w:t>thực hiện nhiệm vụ, 349nơi thực hiện, 348–349kiểm tra hiện diện, 350cư trú, 341, 342, 345, 349, 350,</w:t>
      </w:r>
    </w:p>
    <w:p>
      <w:pPr>
        <w:spacing w:after="80"/>
      </w:pPr>
      <w:r>
        <w:rPr>
          <w:b w:val="0"/>
          <w:i w:val="0"/>
        </w:rPr>
        <w:t>liên kết –</w:t>
      </w:r>
      <w:r>
        <w:rPr>
          <w:b w:val="0"/>
          <w:i/>
        </w:rPr>
        <w:t xml:space="preserve"> xem</w:t>
      </w:r>
      <w:r>
        <w:rPr>
          <w:b/>
          <w:i w:val="0"/>
        </w:rPr>
        <w:t xml:space="preserve"> Liên kết</w:t>
      </w:r>
    </w:p>
    <w:p>
      <w:pPr>
        <w:spacing w:after="80"/>
      </w:pPr>
      <w:r>
        <w:rPr>
          <w:b/>
          <w:i w:val="0"/>
        </w:rPr>
        <w:t>doanh nghiệp</w:t>
      </w:r>
      <w:r>
        <w:rPr>
          <w:b w:val="0"/>
          <w:i w:val="0"/>
        </w:rPr>
        <w:t>và kinh doanh, 217, 218, 219, 220, 226định nghĩa, 258ngôn ngữ, 258lợi nhuận của, 217, 244, 257phạm vi của, 259–260Nghệ sĩ biểu diễn</w:t>
      </w:r>
    </w:p>
    <w:p>
      <w:pPr>
        <w:spacing w:after="80"/>
      </w:pPr>
      <w:r>
        <w:rPr>
          <w:b w:val="0"/>
          <w:i w:val="0"/>
        </w:rPr>
        <w:t>352, 353, 355–358, 364, 365,367, 369, 370thuyền viên, 354–355thỏa thuận biệt phái, 242tự kinh doanh, sự phân biệt giữa</w:t>
      </w:r>
    </w:p>
    <w:p>
      <w:pPr>
        <w:spacing w:after="80"/>
      </w:pPr>
      <w:r>
        <w:rPr>
          <w:b w:val="0"/>
          <w:i w:val="0"/>
        </w:rPr>
        <w:t>việc làm và, 346–347nhân viên lưu trú ngắn hạn, 349–352giáo viên, 345, 356, 358, 374thanh toán chấm dứt, 342–345, 349,</w:t>
      </w:r>
    </w:p>
    <w:p>
      <w:pPr>
        <w:spacing w:after="80"/>
      </w:pPr>
      <w:r>
        <w:rPr>
          <w:b w:val="0"/>
          <w:i w:val="0"/>
        </w:rPr>
        <w:t>lợi nhuận kinh doanh, 292, 294, 295khấu trừ thuế tại nguồn, 579Ghi chú vốn chủ sở hữu, 316Di sản của người đã khuất</w:t>
      </w:r>
    </w:p>
    <w:p>
      <w:pPr>
        <w:spacing w:after="80"/>
      </w:pPr>
      <w:r>
        <w:rPr>
          <w:b w:val="0"/>
          <w:i w:val="0"/>
        </w:rPr>
        <w:t>367thời điểm ghi nhận thu nhập, 349Người lao động –</w:t>
      </w:r>
      <w:r>
        <w:rPr>
          <w:b w:val="0"/>
          <w:i/>
        </w:rPr>
        <w:t xml:space="preserve"> xem thêm</w:t>
      </w:r>
      <w:r>
        <w:rPr>
          <w:b w:val="0"/>
          <w:i w:val="0"/>
        </w:rPr>
        <w:t xml:space="preserve"> Việc làm</w:t>
      </w:r>
    </w:p>
    <w:p>
      <w:pPr>
        <w:spacing w:after="80"/>
      </w:pPr>
      <w:r>
        <w:rPr>
          <w:b w:val="0"/>
          <w:i w:val="0"/>
        </w:rPr>
        <w:t>thu nhập từ, 391hiệp ước, 158, 391Hiệp ước thuế di sản, quà tặng và thừa kế</w:t>
      </w:r>
    </w:p>
    <w:p>
      <w:pPr>
        <w:spacing w:after="80"/>
      </w:pPr>
      <w:r>
        <w:rPr>
          <w:b w:val="0"/>
          <w:i w:val="0"/>
        </w:rPr>
        <w:t>thu nhậpphân loại của, 358dân sự, 27người được nhượng quyền, 394viên chức lãnh sự, phái đoàn ngoại giao,</w:t>
      </w:r>
    </w:p>
    <w:p>
      <w:pPr>
        <w:spacing w:after="80"/>
      </w:pPr>
      <w:r>
        <w:rPr>
          <w:b w:val="0"/>
          <w:i w:val="0"/>
        </w:rPr>
        <w:t>các hiệp ước được bao gồm, 158Estonia, 43, 227, 473, 503, 687Chỉ thị chống tránh thuế của EU (ATAD)</w:t>
      </w:r>
    </w:p>
    <w:p>
      <w:pPr>
        <w:spacing w:after="80"/>
      </w:pPr>
      <w:r>
        <w:rPr>
          <w:b w:val="0"/>
          <w:i w:val="0"/>
        </w:rPr>
        <w:t>–</w:t>
      </w:r>
      <w:r>
        <w:rPr>
          <w:b w:val="0"/>
          <w:i/>
        </w:rPr>
        <w:t xml:space="preserve"> xem thêm</w:t>
      </w:r>
      <w:r>
        <w:rPr>
          <w:b w:val="0"/>
          <w:i w:val="0"/>
        </w:rPr>
        <w:t xml:space="preserve"> Các chỉ thị của EUáp dụng, 428CFCs</w:t>
      </w:r>
    </w:p>
    <w:p>
      <w:pPr>
        <w:spacing w:after="80"/>
      </w:pPr>
      <w:r>
        <w:rPr>
          <w:b w:val="0"/>
          <w:i w:val="0"/>
        </w:rPr>
        <w:t>358–360đầu bếp, 359–360giám đốc, 346, 347, 355–356EU, 104tổ chức quốc tế, 25khu vực công</w:t>
      </w:r>
    </w:p>
    <w:p>
      <w:pPr>
        <w:spacing w:after="80"/>
      </w:pPr>
      <w:r>
        <w:rPr>
          <w:b w:val="0"/>
          <w:i w:val="0"/>
        </w:rPr>
        <w:t>BEPS Hành động 3 và, 432–433đánh thuế khi rời đi, 430–431quy tắc chống lạm dụng chung, 428–429sự không khớp hybrid</w:t>
      </w:r>
    </w:p>
    <w:p>
      <w:pPr>
        <w:spacing w:after="80"/>
      </w:pPr>
      <w:r>
        <w:rPr>
          <w:b w:val="0"/>
          <w:i w:val="0"/>
        </w:rPr>
        <w:t>các chức năng mang tính chất chính phủ,</w:t>
      </w:r>
    </w:p>
    <w:p>
      <w:pPr>
        <w:spacing w:after="80"/>
      </w:pPr>
      <w:r>
        <w:rPr>
          <w:b w:val="0"/>
          <w:i w:val="0"/>
        </w:rPr>
        <w:t>BEPS Action 2 và, 433–434quy định giới hạn lãi suất, 430tiêu chuẩn tối thiểu, 428Công ước Trọng tài EU</w:t>
      </w:r>
      <w:r>
        <w:rPr>
          <w:b w:val="0"/>
          <w:i/>
        </w:rPr>
        <w:t xml:space="preserve"> – xem</w:t>
      </w:r>
    </w:p>
    <w:p>
      <w:pPr>
        <w:spacing w:after="80"/>
      </w:pPr>
      <w:r>
        <w:rPr>
          <w:b w:val="0"/>
          <w:i w:val="0"/>
        </w:rPr>
        <w:t>362cảnh sát, 362y tá, 362chế độ thuế đặc biệt, 103nhà nước, 81, 358miễn thuế, 435Chứng khoán liên quan đến việc làm, 345,</w:t>
      </w:r>
    </w:p>
    <w:p>
      <w:pPr>
        <w:spacing w:after="80"/>
      </w:pPr>
      <w:r>
        <w:rPr>
          <w:b w:val="0"/>
          <w:i w:val="0"/>
        </w:rPr>
        <w:t>Công ước Trọng tàiChỉ thị EU về Tương trợ trong</w:t>
      </w:r>
    </w:p>
    <w:p>
      <w:pPr>
        <w:spacing w:after="80"/>
      </w:pPr>
      <w:r>
        <w:rPr>
          <w:b w:val="0"/>
          <w:i w:val="0"/>
        </w:rPr>
        <w:t>Các vấn đề Thuế –</w:t>
      </w:r>
      <w:r>
        <w:rPr>
          <w:b w:val="0"/>
          <w:i/>
        </w:rPr>
        <w:t xml:space="preserve"> xem thêm</w:t>
      </w:r>
      <w:r>
        <w:rPr>
          <w:b w:val="0"/>
          <w:i w:val="0"/>
        </w:rPr>
        <w:t>Tiêu chuẩn Báo cáo Chung(CRS); Trao đổiThông tin; Các Chỉ thị EU</w:t>
      </w:r>
    </w:p>
    <w:p>
      <w:pPr>
        <w:spacing w:after="80"/>
      </w:pPr>
      <w:r>
        <w:rPr>
          <w:b w:val="0"/>
          <w:i w:val="0"/>
        </w:rPr>
        <w:t>352–354Thực thi pháp luật</w:t>
      </w:r>
    </w:p>
    <w:p>
      <w:pPr>
        <w:spacing w:after="80"/>
      </w:pPr>
      <w:r>
        <w:rPr>
          <w:b w:val="0"/>
          <w:i w:val="0"/>
        </w:rPr>
        <w:t>760</w:t>
      </w:r>
    </w:p>
    <w:p>
      <w:pPr>
        <w:spacing w:after="80"/>
      </w:pPr>
      <w:r>
        <w:rPr>
          <w:b w:val="0"/>
          <w:i w:val="0"/>
        </w:rPr>
        <w:t>quyền truy cập vào các biện pháp chống rửa tiền</w:t>
      </w:r>
    </w:p>
    <w:p>
      <w:pPr>
        <w:spacing w:after="80"/>
      </w:pPr>
      <w:r>
        <w:rPr>
          <w:b w:val="0"/>
          <w:i w:val="0"/>
        </w:rPr>
        <w:t>các hiệp ước trao đổi tự động với bên thứ ba</w:t>
      </w:r>
    </w:p>
    <w:p>
      <w:pPr>
        <w:spacing w:after="80"/>
      </w:pPr>
      <w:r>
        <w:rPr>
          <w:b w:val="0"/>
          <w:i w:val="0"/>
        </w:rPr>
        <w:t>thông tin (DAC 5), 676hợp tác hành chính trong lĩnh vực</w:t>
      </w:r>
    </w:p>
    <w:p>
      <w:pPr>
        <w:spacing w:after="80"/>
      </w:pPr>
      <w:r>
        <w:rPr>
          <w:b w:val="0"/>
          <w:i w:val="0"/>
        </w:rPr>
        <w:t>các quốc gia, 98–100tránh thuế, 87tính ràng buộc của nó, 556hiệu lực trực tiếp của nó, 401–402mua sắm chỉ thị, 419giải quyết tranh chấp đánh thuế hai lần –</w:t>
      </w:r>
    </w:p>
    <w:p>
      <w:pPr>
        <w:spacing w:after="80"/>
      </w:pPr>
      <w:r>
        <w:rPr>
          <w:b w:val="0"/>
          <w:i w:val="0"/>
        </w:rPr>
        <w:t>thuế (DAC 1), 663, 668trao đổi tự động, 665–666trao đổi tự động</w:t>
      </w:r>
    </w:p>
    <w:p>
      <w:pPr>
        <w:spacing w:after="80"/>
      </w:pPr>
      <w:r>
        <w:rPr>
          <w:b w:val="0"/>
          <w:i w:val="0"/>
        </w:rPr>
        <w:t>Báo cáo theo Quốc gia(DAC 4), 661, 676trao đổi tự động thông tin về</w:t>
      </w:r>
    </w:p>
    <w:p>
      <w:pPr>
        <w:spacing w:after="80"/>
      </w:pPr>
      <w:r>
        <w:rPr>
          <w:b w:val="0"/>
          <w:i/>
        </w:rPr>
        <w:t>xem</w:t>
      </w:r>
      <w:r>
        <w:rPr>
          <w:b/>
          <w:i w:val="0"/>
        </w:rPr>
        <w:t xml:space="preserve"> Chỉ thị EU về Giải quyết Tranh chấp Đánh thuế Hai lần</w:t>
      </w:r>
      <w:r>
        <w:rPr>
          <w:b w:val="0"/>
          <w:i w:val="0"/>
        </w:rPr>
        <w:t>trao đổi thông tin –</w:t>
      </w:r>
      <w:r>
        <w:rPr>
          <w:b w:val="0"/>
          <w:i/>
        </w:rPr>
        <w:t xml:space="preserve"> xem</w:t>
      </w:r>
      <w:r>
        <w:rPr>
          <w:b/>
          <w:i w:val="0"/>
        </w:rPr>
        <w:t xml:space="preserve"> EU</w:t>
      </w:r>
    </w:p>
    <w:p>
      <w:pPr>
        <w:spacing w:after="80"/>
      </w:pPr>
      <w:r>
        <w:rPr>
          <w:b w:val="0"/>
          <w:i w:val="0"/>
        </w:rPr>
        <w:t>tài khoản tài chính (DAC 2),655, 666, 674bảo mật, 669–670bảo vệ dữ liệu, 669–670công bố thông tin thuế xuyên biên giới</w:t>
      </w:r>
    </w:p>
    <w:p>
      <w:pPr>
        <w:spacing w:after="80"/>
      </w:pPr>
      <w:r>
        <w:rPr>
          <w:b/>
          <w:i w:val="0"/>
        </w:rPr>
        <w:t>Chỉ thị về Tương trợ trong Các vấn đề Thuế</w:t>
      </w:r>
      <w:r>
        <w:rPr>
          <w:b w:val="0"/>
          <w:i w:val="0"/>
        </w:rPr>
        <w:t>các biện pháp hài hòa hóa, 57Chỉ thị về Lãi suất và Tiền bản quyền –</w:t>
      </w:r>
      <w:r>
        <w:rPr>
          <w:b w:val="0"/>
          <w:i/>
        </w:rPr>
        <w:t xml:space="preserve"> xem</w:t>
      </w:r>
    </w:p>
    <w:p>
      <w:pPr>
        <w:spacing w:after="80"/>
      </w:pPr>
      <w:r>
        <w:rPr>
          <w:b w:val="0"/>
          <w:i w:val="0"/>
        </w:rPr>
        <w:t>kế hoạch (DAC 6), 677–678Thương mại và Hợp tác EU-UK</w:t>
      </w:r>
    </w:p>
    <w:p>
      <w:pPr>
        <w:spacing w:after="80"/>
      </w:pPr>
      <w:r>
        <w:rPr>
          <w:b w:val="0"/>
          <w:i/>
        </w:rPr>
        <w:t>cũng</w:t>
      </w:r>
      <w:r>
        <w:rPr>
          <w:b/>
          <w:i w:val="0"/>
        </w:rPr>
        <w:t xml:space="preserve"> Chỉ thị về Lãi và Tiền bản quyền của EU</w:t>
      </w:r>
      <w:r>
        <w:rPr>
          <w:b w:val="0"/>
          <w:i w:val="0"/>
        </w:rPr>
        <w:t>các văn bản lập pháp, 400–401Chỉ thị về Sáp nhập –</w:t>
      </w:r>
      <w:r>
        <w:rPr>
          <w:b w:val="0"/>
          <w:i/>
        </w:rPr>
        <w:t xml:space="preserve"> xem</w:t>
      </w:r>
      <w:r>
        <w:rPr>
          <w:b/>
          <w:i w:val="0"/>
        </w:rPr>
        <w:t xml:space="preserve"> Sáp nhập EU</w:t>
      </w:r>
    </w:p>
    <w:p>
      <w:pPr>
        <w:spacing w:after="80"/>
      </w:pPr>
      <w:r>
        <w:rPr>
          <w:b w:val="0"/>
          <w:i w:val="0"/>
        </w:rPr>
        <w:t>Thỏa thuận, 688trao đổi theo yêu cầu, 664–665trao đổi với các nước thứ ba,</w:t>
      </w:r>
    </w:p>
    <w:p>
      <w:pPr>
        <w:spacing w:after="80"/>
      </w:pPr>
      <w:r>
        <w:rPr>
          <w:b/>
          <w:i w:val="0"/>
        </w:rPr>
        <w:t>Chỉ thị</w:t>
      </w:r>
      <w:r>
        <w:rPr>
          <w:b w:val="0"/>
          <w:i w:val="0"/>
        </w:rPr>
        <w:t>Hỗ trợ Tương trợ để Thu hồi</w:t>
      </w:r>
    </w:p>
    <w:p>
      <w:pPr>
        <w:spacing w:after="80"/>
      </w:pPr>
      <w:r>
        <w:rPr>
          <w:b w:val="0"/>
          <w:i w:val="0"/>
        </w:rPr>
        <w:t>673–674các hình thức hợp tác hành chính,</w:t>
      </w:r>
    </w:p>
    <w:p>
      <w:pPr>
        <w:spacing w:after="80"/>
      </w:pPr>
      <w:r>
        <w:rPr>
          <w:b w:val="0"/>
          <w:i w:val="0"/>
        </w:rPr>
        <w:t>Chỉ thị về Thuế và Nghĩa vụ –</w:t>
      </w:r>
      <w:r>
        <w:rPr>
          <w:b w:val="0"/>
          <w:i/>
        </w:rPr>
        <w:t>xem</w:t>
      </w:r>
      <w:r>
        <w:rPr>
          <w:b/>
          <w:i w:val="0"/>
        </w:rPr>
        <w:t xml:space="preserve"> Chỉ thị EU về Hỗ trợ Tương trợ để Thu hồi Thuế và Nghĩa vụ</w:t>
      </w:r>
      <w:r>
        <w:rPr>
          <w:b w:val="0"/>
          <w:i w:val="0"/>
        </w:rPr>
        <w:t>Chỉ thị về Công ty Mẹ - Công ty Con –</w:t>
      </w:r>
      <w:r>
        <w:rPr>
          <w:b w:val="0"/>
          <w:i/>
        </w:rPr>
        <w:t xml:space="preserve"> xem</w:t>
      </w:r>
      <w:r>
        <w:rPr>
          <w:b/>
          <w:i w:val="0"/>
        </w:rPr>
        <w:t xml:space="preserve"> EU</w:t>
      </w:r>
    </w:p>
    <w:p>
      <w:pPr>
        <w:spacing w:after="80"/>
      </w:pPr>
      <w:r>
        <w:rPr>
          <w:b w:val="0"/>
          <w:i w:val="0"/>
        </w:rPr>
        <w:t>668triển khai thực hiện, 671tương tác với các hiệp ước thuế, 673–674Ireland, triển khai thực hiện, 674giới hạn hợp tác, 669cơ quan có thẩm quyền đa phương</w:t>
      </w:r>
    </w:p>
    <w:p>
      <w:pPr>
        <w:spacing w:after="80"/>
      </w:pPr>
      <w:r>
        <w:rPr>
          <w:b/>
          <w:i w:val="0"/>
        </w:rPr>
        <w:t>Chỉ thị về Công ty Mẹ - Công ty Con</w:t>
      </w:r>
      <w:r>
        <w:rPr>
          <w:b w:val="0"/>
          <w:i w:val="0"/>
        </w:rPr>
        <w:t>Chỉ thị về Tiết kiệm, 30, 98, 99, 403,</w:t>
      </w:r>
    </w:p>
    <w:p>
      <w:pPr>
        <w:spacing w:after="80"/>
      </w:pPr>
      <w:r>
        <w:rPr>
          <w:b w:val="0"/>
          <w:i w:val="0"/>
        </w:rPr>
        <w:t>thỏa thuận và, 660quyền được xét xử công bằng, 670gửi thông báo, 668–669trao đổi tự nguyện, 666–667trao đổi tự nguyện xuyên biên giới</w:t>
      </w:r>
    </w:p>
    <w:p>
      <w:pPr>
        <w:spacing w:after="80"/>
      </w:pPr>
      <w:r>
        <w:rPr>
          <w:b w:val="0"/>
          <w:i w:val="0"/>
        </w:rPr>
        <w:t>634, 640, 655, 678tránh thuế, 419–424các hiệp ước thuế, mối quan hệ với, 101Chỉ thị EU về Giải quyết Tranh chấp Đánh thuế Hai lần</w:t>
      </w:r>
    </w:p>
    <w:p>
      <w:pPr>
        <w:spacing w:after="80"/>
      </w:pPr>
      <w:r>
        <w:rPr>
          <w:b w:val="0"/>
          <w:i w:val="0"/>
        </w:rPr>
        <w:t>Chỉ thịnhững người bị ảnh hưởng, 616giải quyết tranh chấp thay thế</w:t>
      </w:r>
    </w:p>
    <w:p>
      <w:pPr>
        <w:spacing w:after="80"/>
      </w:pPr>
      <w:r>
        <w:rPr>
          <w:b w:val="0"/>
          <w:i w:val="0"/>
        </w:rPr>
        <w:t>các phán quyết và thỏa thuận định giá trước (DAC 3), 675quyền của người nộp thuế, 671–672sử dụng thông tin, 670–671Các Chỉ thị EU</w:t>
      </w:r>
    </w:p>
    <w:p>
      <w:pPr>
        <w:spacing w:after="80"/>
      </w:pPr>
      <w:r>
        <w:rPr>
          <w:b w:val="0"/>
          <w:i w:val="0"/>
        </w:rPr>
        <w:t>ủy ban, 617đánh thuế hai lần, 611tương tác với các thủ tục tố tụng khác,</w:t>
      </w:r>
    </w:p>
    <w:p>
      <w:pPr>
        <w:spacing w:after="80"/>
      </w:pPr>
      <w:r>
        <w:rPr>
          <w:b w:val="0"/>
          <w:i w:val="0"/>
        </w:rPr>
        <w:t>chống lạm dụng</w:t>
      </w:r>
    </w:p>
    <w:p>
      <w:pPr>
        <w:spacing w:after="80"/>
      </w:pPr>
      <w:r>
        <w:rPr>
          <w:b w:val="0"/>
          <w:i w:val="0"/>
        </w:rPr>
        <w:t>619giải thích chỉ thị, 619–620thẩm quyền của tòa án quốc gia, 629khiếu nại</w:t>
      </w:r>
    </w:p>
    <w:p>
      <w:pPr>
        <w:spacing w:after="80"/>
      </w:pPr>
      <w:r>
        <w:rPr>
          <w:b w:val="0"/>
          <w:i w:val="0"/>
        </w:rPr>
        <w:t>các quy định của chỉ thị, 420–423các cách tiếp cận tư pháp, 424–427các quy định của quốc gia thành viên, 420Chỉ thị về Chống Tránh thuế –</w:t>
      </w:r>
      <w:r>
        <w:rPr>
          <w:b w:val="0"/>
          <w:i/>
        </w:rPr>
        <w:t xml:space="preserve"> xem</w:t>
      </w:r>
      <w:r>
        <w:rPr>
          <w:b/>
          <w:i w:val="0"/>
        </w:rPr>
        <w:t xml:space="preserve"> EU</w:t>
      </w:r>
    </w:p>
    <w:p>
      <w:pPr>
        <w:spacing w:after="80"/>
      </w:pPr>
      <w:r>
        <w:rPr>
          <w:b w:val="0"/>
          <w:i w:val="0"/>
        </w:rPr>
        <w:t>cá nhân và các doanh nghiệp khác,</w:t>
      </w:r>
    </w:p>
    <w:p>
      <w:pPr>
        <w:spacing w:after="80"/>
      </w:pPr>
      <w:r>
        <w:rPr>
          <w:b/>
          <w:i w:val="0"/>
        </w:rPr>
        <w:t>Chỉ thị chống tránh thuế</w:t>
      </w:r>
      <w:r>
        <w:rPr>
          <w:b w:val="0"/>
          <w:i w:val="0"/>
        </w:rPr>
        <w:t>các doanh nghiệp liên kết –</w:t>
      </w:r>
      <w:r>
        <w:rPr>
          <w:b w:val="0"/>
          <w:i/>
        </w:rPr>
        <w:t xml:space="preserve"> xem</w:t>
      </w:r>
    </w:p>
    <w:p>
      <w:pPr>
        <w:spacing w:after="80"/>
      </w:pPr>
      <w:r>
        <w:rPr>
          <w:b w:val="0"/>
          <w:i w:val="0"/>
        </w:rPr>
        <w:t>613yêu cầu về thông tin, 613các tập đoàn lớn, 612</w:t>
      </w:r>
    </w:p>
    <w:p>
      <w:pPr>
        <w:spacing w:after="80"/>
      </w:pPr>
      <w:r>
        <w:rPr>
          <w:b/>
          <w:i w:val="0"/>
        </w:rPr>
        <w:t>Công ước Trọng tài</w:t>
      </w:r>
    </w:p>
    <w:p>
      <w:pPr>
        <w:spacing w:after="80"/>
      </w:pPr>
      <w:r>
        <w:rPr>
          <w:b w:val="0"/>
          <w:i w:val="0"/>
        </w:rPr>
        <w:t>761</w:t>
      </w:r>
    </w:p>
    <w:p>
      <w:pPr>
        <w:spacing w:after="80"/>
      </w:pPr>
      <w:r>
        <w:rPr>
          <w:b w:val="0"/>
          <w:i w:val="0"/>
        </w:rPr>
        <w:t>bác bỏ khiếu nại, các căn cứ,</w:t>
      </w:r>
    </w:p>
    <w:p>
      <w:pPr>
        <w:spacing w:after="80"/>
      </w:pPr>
      <w:r>
        <w:rPr>
          <w:b w:val="0"/>
          <w:i w:val="0"/>
        </w:rPr>
        <w:t>yêu cầu về trình độ chuyên môn</w:t>
      </w:r>
    </w:p>
    <w:p>
      <w:pPr>
        <w:spacing w:after="80"/>
      </w:pPr>
      <w:r>
        <w:rPr>
          <w:b w:val="0"/>
          <w:i w:val="0"/>
        </w:rPr>
        <w:t>613trọng tài bắt buộc</w:t>
      </w:r>
    </w:p>
    <w:p>
      <w:pPr>
        <w:spacing w:after="80"/>
      </w:pPr>
      <w:r>
        <w:rPr>
          <w:b w:val="0"/>
          <w:i w:val="0"/>
        </w:rPr>
        <w:t>các công ty liên kết, 413mối quan hệ đặc biệt –</w:t>
      </w:r>
      <w:r>
        <w:rPr>
          <w:b w:val="0"/>
          <w:i/>
        </w:rPr>
        <w:t xml:space="preserve"> xem thêm</w:t>
      </w:r>
      <w:r>
        <w:rPr>
          <w:b/>
          <w:i w:val="0"/>
        </w:rPr>
        <w:t xml:space="preserve"> Đặc biệt</w:t>
      </w:r>
    </w:p>
    <w:p>
      <w:pPr>
        <w:spacing w:after="80"/>
      </w:pPr>
      <w:r>
        <w:rPr>
          <w:b w:val="0"/>
          <w:i w:val="0"/>
        </w:rPr>
        <w:t>quản lý, 615ủy ban tư vấn, 615–616bảo mật, 617chi phí, 617từ chối tiếp cận, 615quyền hạn về thông tin, 644quy tắc tố tụng, 616–617công bố ý kiến, 620sự tham gia của người nộp thuế, 616Thủ tục thỏa thuận song phương, 612</w:t>
      </w:r>
    </w:p>
    <w:p>
      <w:pPr>
        <w:spacing w:after="80"/>
      </w:pPr>
      <w:r>
        <w:rPr>
          <w:b/>
          <w:i w:val="0"/>
        </w:rPr>
        <w:t>mối quan hệ</w:t>
      </w:r>
      <w:r>
        <w:rPr>
          <w:b w:val="0"/>
          <w:i w:val="0"/>
        </w:rPr>
        <w:t>tiền bản quyền, 576–577ý nghĩa, 411nguồn, 411Chỉ thị Sáp nhập EU –</w:t>
      </w:r>
      <w:r>
        <w:rPr>
          <w:b w:val="0"/>
          <w:i/>
        </w:rPr>
        <w:t xml:space="preserve"> xem thêm</w:t>
      </w:r>
      <w:r>
        <w:rPr>
          <w:b w:val="0"/>
          <w:i w:val="0"/>
        </w:rPr>
        <w:t xml:space="preserve"> EU</w:t>
      </w:r>
    </w:p>
    <w:p>
      <w:pPr>
        <w:spacing w:after="80"/>
      </w:pPr>
      <w:r>
        <w:rPr>
          <w:b w:val="0"/>
          <w:i w:val="0"/>
        </w:rPr>
        <w:t>Các chỉ thịmục tiêu, 415chống lạm dụng, 421khoản thanh toán bằng tiền mặt, 418tương tác với các hiệp ước, 416lỗ, 418cơ sở thường trú, 419mục đích, 415các thực thể đủ điều kiện, 416các giao dịch đủ điều kiện, 416–417các cổ đông, 418lợi nhuận chưa thực hiện, 417–418Hỗ trợ tương hỗ của EU để thu hồi</w:t>
      </w:r>
    </w:p>
    <w:p>
      <w:pPr>
        <w:spacing w:after="80"/>
      </w:pPr>
      <w:r>
        <w:rPr>
          <w:b w:val="0"/>
          <w:i w:val="0"/>
        </w:rPr>
        <w:t>giải quyết bằng thỏa thuận song phương,</w:t>
      </w:r>
    </w:p>
    <w:p>
      <w:pPr>
        <w:spacing w:after="80"/>
      </w:pPr>
      <w:r>
        <w:rPr>
          <w:b w:val="0"/>
          <w:i w:val="0"/>
        </w:rPr>
        <w:t>614giới hạn thời gian</w:t>
      </w:r>
    </w:p>
    <w:p>
      <w:pPr>
        <w:spacing w:after="80"/>
      </w:pPr>
      <w:r>
        <w:rPr>
          <w:b w:val="0"/>
          <w:i w:val="0"/>
        </w:rPr>
        <w:t>chấp nhận khiếu nại, 614đối với khiếu nại, 613chấp nhận thỏa thuận song phương, 615thành lập ủy ban tư vấn,</w:t>
      </w:r>
    </w:p>
    <w:p>
      <w:pPr>
        <w:spacing w:after="80"/>
      </w:pPr>
      <w:r>
        <w:rPr>
          <w:b w:val="0"/>
          <w:i w:val="0"/>
        </w:rPr>
        <w:t>611ý kiến của ủy ban tư vấn, 615giải pháp khác, 618thông báo ý kiến, 614, 616giải quyết bằng thỏa thuận song phương,</w:t>
      </w:r>
    </w:p>
    <w:p>
      <w:pPr>
        <w:spacing w:after="80"/>
      </w:pPr>
      <w:r>
        <w:rPr>
          <w:b w:val="0"/>
          <w:i w:val="0"/>
        </w:rPr>
        <w:t>Chỉ thị về Thuế và Phí –</w:t>
      </w:r>
      <w:r>
        <w:rPr>
          <w:b w:val="0"/>
          <w:i/>
        </w:rPr>
        <w:t>xem thêm</w:t>
      </w:r>
      <w:r>
        <w:rPr>
          <w:b w:val="0"/>
          <w:i w:val="0"/>
        </w:rPr>
        <w:t xml:space="preserve"> Các chỉ thị EUquá độ Brexit, 364các yêu cầu cạnh tranh, 493chi phí, 687trao đổi thông tin, 685Ireland, 674thông báo tài liệu, 685các biện pháp phòng ngừa, 685–687quy định đặt ra các quy tắc chi tiết,</w:t>
      </w:r>
    </w:p>
    <w:p>
      <w:pPr>
        <w:spacing w:after="80"/>
      </w:pPr>
      <w:r>
        <w:rPr>
          <w:b w:val="0"/>
          <w:i w:val="0"/>
        </w:rPr>
        <w:t>phạm vi, 611–612EU Interest and Royalties Directive –</w:t>
      </w:r>
      <w:r>
        <w:rPr>
          <w:b w:val="0"/>
          <w:i/>
        </w:rPr>
        <w:t xml:space="preserve"> xem</w:t>
      </w:r>
    </w:p>
    <w:p>
      <w:pPr>
        <w:spacing w:after="80"/>
      </w:pPr>
      <w:r>
        <w:rPr>
          <w:b w:val="0"/>
          <w:i/>
        </w:rPr>
        <w:t>cũng</w:t>
      </w:r>
      <w:r>
        <w:rPr>
          <w:b w:val="0"/>
          <w:i w:val="0"/>
        </w:rPr>
        <w:t xml:space="preserve"> EU Directivesmục tiêu, 411chống lạm dụng, 419quyền sở hữu thực hưởng, 411–412mua sắm chỉ thị, 419Thuế khấu trừ cổ tức, 420các quy định chống tránh thuế trong nước,</w:t>
      </w:r>
    </w:p>
    <w:p>
      <w:pPr>
        <w:spacing w:after="80"/>
      </w:pPr>
      <w:r>
        <w:rPr>
          <w:b w:val="0"/>
          <w:i w:val="0"/>
        </w:rPr>
        <w:t>684giải quyết tranh chấp với người nộp thuế, 672phạm vi, 685tình trạng khiếu nại, 663, 667thời hạn, 687–688EU Parent-Subsidiary Directive –</w:t>
      </w:r>
      <w:r>
        <w:rPr>
          <w:b w:val="0"/>
          <w:i/>
        </w:rPr>
        <w:t xml:space="preserve"> xem thêm</w:t>
      </w:r>
    </w:p>
    <w:p>
      <w:pPr>
        <w:spacing w:after="80"/>
      </w:pPr>
      <w:r>
        <w:rPr>
          <w:b w:val="0"/>
          <w:i w:val="0"/>
        </w:rPr>
        <w:t>511tương tác với các hiệp định, 409lãi,</w:t>
      </w:r>
    </w:p>
    <w:p>
      <w:pPr>
        <w:spacing w:after="80"/>
      </w:pPr>
      <w:r>
        <w:rPr>
          <w:b w:val="0"/>
          <w:i w:val="0"/>
        </w:rPr>
        <w:t>EU Directivesmục tiêu, 403chống lạm dụng, 419, 428mua sắm chỉ thị, 419cổ tức, 91các quy định chống tránh thuế trong nước, 605loại bỏ đánh thuế hai lần, 403,</w:t>
      </w:r>
    </w:p>
    <w:p>
      <w:pPr>
        <w:spacing w:after="80"/>
      </w:pPr>
      <w:r>
        <w:rPr>
          <w:b w:val="0"/>
          <w:i w:val="0"/>
        </w:rPr>
        <w:t>khả năng khấu trừ, 414ý nghĩa, 414tái phân loại, 492cơ sở thường trú</w:t>
      </w:r>
    </w:p>
    <w:p>
      <w:pPr>
        <w:spacing w:after="80"/>
      </w:pPr>
      <w:r>
        <w:rPr>
          <w:b w:val="0"/>
          <w:i w:val="0"/>
        </w:rPr>
        <w:t>ý nghĩa, 413phân bổ các khoản thanh toán, 413–414quy tắc thủ tục, 416</w:t>
      </w:r>
    </w:p>
    <w:p>
      <w:pPr>
        <w:spacing w:after="80"/>
      </w:pPr>
      <w:r>
        <w:rPr>
          <w:b w:val="0"/>
          <w:i w:val="0"/>
        </w:rPr>
        <w:t>410–411</w:t>
      </w:r>
    </w:p>
    <w:p>
      <w:pPr>
        <w:spacing w:after="80"/>
      </w:pPr>
      <w:r>
        <w:rPr>
          <w:b w:val="0"/>
          <w:i w:val="0"/>
        </w:rPr>
        <w:t>762</w:t>
      </w:r>
    </w:p>
    <w:p>
      <w:pPr>
        <w:spacing w:after="80"/>
      </w:pPr>
      <w:r>
        <w:rPr>
          <w:b w:val="0"/>
          <w:i w:val="0"/>
        </w:rPr>
        <w:t>thực thi, 407–409tương tác với các hiệp định, 409–410phân phối vào trong, 408Ireland, 674phân phối ra ngoài, 408–409cơ sở thường trú, 406–407phân phối đủ điều kiện, 462yêu cầu đủ điều kiện</w:t>
      </w:r>
    </w:p>
    <w:p>
      <w:pPr>
        <w:spacing w:after="80"/>
      </w:pPr>
      <w:r>
        <w:rPr>
          <w:b w:val="0"/>
          <w:i w:val="0"/>
        </w:rPr>
        <w:t>các hiệp định vô hiệu hóa, 74–78các hiệp định phân biệt đối xử, 72–74Hiệp ước EC, 68–70, 80, 87, 88, 92, 93loại bỏ đánh thuế hai lần, nước ngoài</w:t>
      </w:r>
    </w:p>
    <w:p>
      <w:pPr>
        <w:spacing w:after="80"/>
      </w:pPr>
      <w:r>
        <w:rPr>
          <w:b w:val="0"/>
          <w:i w:val="0"/>
        </w:rPr>
        <w:t>tín dụng thuế, 83–85công dân EU, 73, 101Nhóm lợi ích kinh tế châu Âu</w:t>
      </w:r>
    </w:p>
    <w:p>
      <w:pPr>
        <w:spacing w:after="80"/>
      </w:pPr>
      <w:r>
        <w:rPr>
          <w:b w:val="0"/>
          <w:i w:val="0"/>
        </w:rPr>
        <w:t>(EEIGs), 402tự do thành lập, 59, 62, 70,</w:t>
      </w:r>
    </w:p>
    <w:p>
      <w:pPr>
        <w:spacing w:after="80"/>
      </w:pPr>
      <w:r>
        <w:rPr>
          <w:b w:val="0"/>
          <w:i w:val="0"/>
        </w:rPr>
        <w:t>quyền sở hữu thực hưởng, 405, 406nắm giữ tối thiểu, 405thực thể đủ điều kiện, 416cư trú, 404chịu thuế, 405quỹ đầu tư bất động sản, 408thực thể minh bạch, 407miễn thuế khấu trừ, 404Công ước châu Âu về Nhân quyền,</w:t>
      </w:r>
    </w:p>
    <w:p>
      <w:pPr>
        <w:spacing w:after="80"/>
      </w:pPr>
      <w:r>
        <w:rPr>
          <w:b w:val="0"/>
          <w:i w:val="0"/>
        </w:rPr>
        <w:t>73, 78, 87–90, 96, 97tự do di chuyển, 59, 73, 79tự do cung cấp dịch vụ, 92tự do di chuyển vốn, 59, 63, 66,</w:t>
      </w:r>
    </w:p>
    <w:p>
      <w:pPr>
        <w:spacing w:after="80"/>
      </w:pPr>
      <w:r>
        <w:rPr>
          <w:b w:val="0"/>
          <w:i w:val="0"/>
        </w:rPr>
        <w:t>71, 72, 74, 75, 94–96các quyền tự do cơ bản, 59nói chung, 57–59căn cứ phân biệt đối xử, 59hài hòa hóa thuế, 75các phương tiện lập pháp sẵn có, 57giới hạn quyền lợi, 75–78giới hạn hiệu lực của các hiệp định, 69–70Hiệp ước Lisbon, 57, 67đối xử tối huệ quốc,</w:t>
      </w:r>
    </w:p>
    <w:p>
      <w:pPr>
        <w:spacing w:after="80"/>
      </w:pPr>
      <w:r>
        <w:rPr>
          <w:b w:val="0"/>
          <w:i w:val="0"/>
        </w:rPr>
        <w:t>150–151Các Chỉ thị của Châu Âu</w:t>
      </w:r>
      <w:r>
        <w:rPr>
          <w:b w:val="0"/>
          <w:i/>
        </w:rPr>
        <w:t xml:space="preserve"> – xem</w:t>
      </w:r>
      <w:r>
        <w:rPr>
          <w:b w:val="0"/>
          <w:i w:val="0"/>
        </w:rPr>
        <w:t xml:space="preserve"> Các Chỉ thị EUCác Nhóm Lợi ích Kinh tế Châu Âu</w:t>
      </w:r>
    </w:p>
    <w:p>
      <w:pPr>
        <w:spacing w:after="80"/>
      </w:pPr>
      <w:r>
        <w:rPr>
          <w:b w:val="0"/>
          <w:i w:val="0"/>
        </w:rPr>
        <w:t>(EEIGs), 402Luật Liên minh Châu Âu</w:t>
      </w:r>
    </w:p>
    <w:p>
      <w:pPr>
        <w:spacing w:after="80"/>
      </w:pPr>
      <w:r>
        <w:rPr>
          <w:b w:val="0"/>
          <w:i w:val="0"/>
        </w:rPr>
        <w:t>nguyên tắc giao dịch độc lập (arm's-length principle), 86, 87, 91,</w:t>
      </w:r>
    </w:p>
    <w:p>
      <w:pPr>
        <w:spacing w:after="80"/>
      </w:pPr>
      <w:r>
        <w:rPr>
          <w:b w:val="0"/>
          <w:i w:val="0"/>
        </w:rPr>
        <w:t>262, 621, 625tránh và lạm dụng pháp luật</w:t>
      </w:r>
    </w:p>
    <w:p>
      <w:pPr>
        <w:spacing w:after="80"/>
      </w:pPr>
      <w:r>
        <w:rPr>
          <w:b w:val="0"/>
          <w:i w:val="0"/>
        </w:rPr>
        <w:t>65–67quốc tịch, không phân biệt đối xử, 59, 63vô hiệu hóa phân biệt đối xử, 74–78thành viên mới, 624không phân biệt đối xử, 72, 73, 76, 99người không cư trú, ưu đãi hiệp ước, 64–65Mô hình OECD, và, 59quan chức và công chức, 103–105ý kiến, 58phạm vi cá nhân, 62–64quy định, 103, 104cư trú, 60, 63hạn chế –</w:t>
      </w:r>
      <w:r>
        <w:rPr>
          <w:b w:val="0"/>
          <w:i/>
        </w:rPr>
        <w:t xml:space="preserve"> xem thêm</w:t>
      </w:r>
      <w:r>
        <w:rPr>
          <w:b/>
          <w:i w:val="0"/>
        </w:rPr>
        <w:t xml:space="preserve"> phân biệt đối xử</w:t>
      </w:r>
    </w:p>
    <w:p>
      <w:pPr>
        <w:spacing w:after="80"/>
      </w:pPr>
      <w:r>
        <w:rPr>
          <w:b w:val="0"/>
          <w:i w:val="0"/>
        </w:rPr>
        <w:t>ý nghĩa, 88–90nguyên tắc của luật EU, 90yêu cầu thủ tục, 92tính tương xứng, 90–92xói mòn cơ sở thuế, 88phân bổ cân bằng quyền đánh thuế,</w:t>
      </w:r>
    </w:p>
    <w:p>
      <w:pPr>
        <w:spacing w:after="80"/>
      </w:pPr>
      <w:r>
        <w:rPr>
          <w:b w:val="0"/>
          <w:i w:val="0"/>
        </w:rPr>
        <w:t>69trọng tài hiệp định đầu tư song phươngBrexit –</w:t>
      </w:r>
      <w:r>
        <w:rPr>
          <w:b w:val="0"/>
          <w:i/>
        </w:rPr>
        <w:t xml:space="preserve"> xem</w:t>
      </w:r>
      <w:r>
        <w:rPr>
          <w:b/>
          <w:i w:val="0"/>
        </w:rPr>
        <w:t xml:space="preserve"> Brexit</w:t>
      </w:r>
      <w:r>
        <w:rPr>
          <w:b w:val="0"/>
          <w:i w:val="0"/>
        </w:rPr>
        <w:t>thẩm quyền của Tòa án Công lý (CJEU)</w:t>
      </w:r>
    </w:p>
    <w:p>
      <w:pPr>
        <w:spacing w:after="80"/>
      </w:pPr>
      <w:r>
        <w:rPr>
          <w:b w:val="0"/>
          <w:i w:val="0"/>
        </w:rPr>
        <w:t>thỏa thuận đặc biệt, 62giải thích hiệp ước, 62hiệp ước ghi đè, 61sự gắn kết của luật thuế, 85, 86bồi thường cho vi phạm, 97quyết định, 89, 101chỉ thị –</w:t>
      </w:r>
      <w:r>
        <w:rPr>
          <w:b w:val="0"/>
          <w:i/>
        </w:rPr>
        <w:t xml:space="preserve"> xe</w:t>
      </w:r>
      <w:r>
        <w:rPr>
          <w:b w:val="0"/>
          <w:i w:val="0"/>
        </w:rPr>
        <w:t>m</w:t>
      </w:r>
      <w:r>
        <w:rPr>
          <w:b/>
          <w:i w:val="0"/>
        </w:rPr>
        <w:t xml:space="preserve"> Các Chỉ thị EU</w:t>
      </w:r>
      <w:r>
        <w:rPr>
          <w:b w:val="0"/>
          <w:i w:val="0"/>
        </w:rPr>
        <w:t>phân biệt đối xử –</w:t>
      </w:r>
      <w:r>
        <w:rPr>
          <w:b w:val="0"/>
          <w:i/>
        </w:rPr>
        <w:t xml:space="preserve"> xem thêm</w:t>
      </w:r>
      <w:r>
        <w:rPr>
          <w:b/>
          <w:i w:val="0"/>
        </w:rPr>
        <w:t xml:space="preserve"> hạn chế</w:t>
      </w:r>
    </w:p>
    <w:p>
      <w:pPr>
        <w:spacing w:after="80"/>
      </w:pPr>
      <w:r>
        <w:rPr>
          <w:b w:val="0"/>
          <w:i w:val="0"/>
        </w:rPr>
        <w:t>khác biệt, và, 82biện minh cho, 75, 78, 82, 85, 86tính tương xứng, 87quyền di chuyển và cư trú, 59viện trợ nhà nước, 60–61Thụy Sĩ, tự do di chuyển của</w:t>
      </w:r>
    </w:p>
    <w:p>
      <w:pPr>
        <w:spacing w:after="80"/>
      </w:pPr>
      <w:r>
        <w:rPr>
          <w:b w:val="0"/>
          <w:i w:val="0"/>
        </w:rPr>
        <w:t>người, 64quyền miễn trừ và đặc quyền thuế,</w:t>
      </w:r>
    </w:p>
    <w:p>
      <w:pPr>
        <w:spacing w:after="80"/>
      </w:pPr>
      <w:r>
        <w:rPr>
          <w:b w:val="0"/>
          <w:i w:val="0"/>
        </w:rPr>
        <w:t>bí mật, 63biện hộ cho, 60</w:t>
      </w:r>
    </w:p>
    <w:p>
      <w:pPr>
        <w:spacing w:after="80"/>
      </w:pPr>
      <w:r>
        <w:rPr>
          <w:b w:val="0"/>
          <w:i w:val="0"/>
        </w:rPr>
        <w:t>103–105</w:t>
      </w:r>
    </w:p>
    <w:p>
      <w:pPr>
        <w:spacing w:after="80"/>
      </w:pPr>
      <w:r>
        <w:rPr>
          <w:b w:val="0"/>
          <w:i w:val="0"/>
        </w:rPr>
        <w:t>763</w:t>
      </w:r>
    </w:p>
    <w:p>
      <w:pPr>
        <w:spacing w:after="80"/>
      </w:pPr>
      <w:r>
        <w:rPr>
          <w:b w:val="0"/>
          <w:i w:val="0"/>
        </w:rPr>
        <w:t>các nước thứ ba</w:t>
      </w:r>
    </w:p>
    <w:p>
      <w:pPr>
        <w:spacing w:after="80"/>
      </w:pPr>
      <w:r>
        <w:rPr>
          <w:b w:val="0"/>
          <w:i/>
        </w:rPr>
        <w:t>xem</w:t>
      </w:r>
      <w:r>
        <w:rPr>
          <w:b/>
          <w:i w:val="0"/>
        </w:rPr>
        <w:t xml:space="preserve"> Chỉ thị Hỗ trợ Tương hỗ EU</w:t>
      </w:r>
      <w:r>
        <w:rPr>
          <w:b w:val="0"/>
          <w:i w:val="0"/>
        </w:rPr>
        <w:t>Thương mại và Hợp tác EU-Vương quốc Anh</w:t>
      </w:r>
    </w:p>
    <w:p>
      <w:pPr>
        <w:spacing w:after="80"/>
      </w:pPr>
      <w:r>
        <w:rPr>
          <w:b w:val="0"/>
          <w:i w:val="0"/>
        </w:rPr>
        <w:t>các thỏa thuận giữa các quốc gia thành viên,</w:t>
      </w:r>
    </w:p>
    <w:p>
      <w:pPr>
        <w:spacing w:after="80"/>
      </w:pPr>
      <w:r>
        <w:rPr>
          <w:b w:val="0"/>
          <w:i w:val="0"/>
        </w:rPr>
        <w:t>thỏa thuận bồi thường cho việc vi phạm luật EU,</w:t>
      </w:r>
    </w:p>
    <w:p>
      <w:pPr>
        <w:spacing w:after="80"/>
      </w:pPr>
      <w:r>
        <w:rPr>
          <w:b w:val="0"/>
          <w:i w:val="0"/>
        </w:rPr>
        <w:t>Hiệp định, 688Hiệp định FATCA –</w:t>
      </w:r>
      <w:r>
        <w:rPr>
          <w:b w:val="0"/>
          <w:i/>
        </w:rPr>
        <w:t xml:space="preserve"> xem</w:t>
      </w:r>
      <w:r>
        <w:rPr>
          <w:b/>
          <w:i w:val="0"/>
        </w:rPr>
        <w:t xml:space="preserve"> FATCA</w:t>
      </w:r>
    </w:p>
    <w:p>
      <w:pPr>
        <w:spacing w:after="80"/>
      </w:pPr>
      <w:r>
        <w:rPr>
          <w:b w:val="0"/>
          <w:i w:val="0"/>
        </w:rPr>
        <w:t>97phân biệt đối xử, 94giám sát tài chính, 95–97giải thích các hiệp ước với, 108bảo hộ, 93quyền của các quốc gia không phải thành viên, 94–95quyền của cư dân quốc gia thứ ba, 92hiệp ước với, 92–97bên thứ ba, sự phân biệt giữa</w:t>
      </w:r>
    </w:p>
    <w:p>
      <w:pPr>
        <w:spacing w:after="80"/>
      </w:pPr>
      <w:r>
        <w:rPr>
          <w:b/>
          <w:i w:val="0"/>
        </w:rPr>
        <w:t>các hiệp định</w:t>
      </w:r>
      <w:r>
        <w:rPr>
          <w:b w:val="0"/>
          <w:i w:val="0"/>
        </w:rPr>
        <w:t>Diễn đàn về Quản lý Thuế</w:t>
      </w:r>
    </w:p>
    <w:p>
      <w:pPr>
        <w:spacing w:after="80"/>
      </w:pPr>
      <w:r>
        <w:rPr>
          <w:b w:val="0"/>
          <w:i w:val="0"/>
        </w:rPr>
        <w:t>(FTA), 633Diễn đàn Toàn cầu về Minh bạch và</w:t>
      </w:r>
    </w:p>
    <w:p>
      <w:pPr>
        <w:spacing w:after="80"/>
      </w:pPr>
      <w:r>
        <w:rPr>
          <w:b w:val="0"/>
          <w:i w:val="0"/>
        </w:rPr>
        <w:t>Trao đổi Thông tin vì Mục đích Thuế, 12, 633, 657Trung tâm Thông tin về</w:t>
      </w:r>
    </w:p>
    <w:p>
      <w:pPr>
        <w:spacing w:after="80"/>
      </w:pPr>
      <w:r>
        <w:rPr>
          <w:b w:val="0"/>
          <w:i w:val="0"/>
        </w:rPr>
        <w:t>Trú ẩn Thuế Quốc tế Chung (JITSIC), 644Nhóm Trưởng Các Cơ quan Thuế Toàn cầu</w:t>
      </w:r>
    </w:p>
    <w:p>
      <w:pPr>
        <w:spacing w:after="80"/>
      </w:pPr>
      <w:r>
        <w:rPr>
          <w:b w:val="0"/>
          <w:i w:val="0"/>
        </w:rPr>
        <w:t>các hiệp ước giữa các quốc gia thành viên và, 90các hiệp ước cho phép phân biệt đối xử, 72Các Hiệp ước thành lập EU, 57mối quan hệ của Vương quốc Anh với EU, 100–103Hiệp ước Mẫu của Hoa Kỳ, và, 76từ bỏ sự gắn kết, 85–86Văn phòng Sáng chế Châu Âu, 25, 26Trao đổi thông tin</w:t>
      </w:r>
    </w:p>
    <w:p>
      <w:pPr>
        <w:spacing w:after="80"/>
      </w:pPr>
      <w:r>
        <w:rPr>
          <w:b w:val="0"/>
          <w:i w:val="0"/>
        </w:rPr>
        <w:t>Thực thi (J5), 688Công ước Hành chính Tương hỗ</w:t>
      </w:r>
    </w:p>
    <w:p>
      <w:pPr>
        <w:spacing w:after="80"/>
      </w:pPr>
      <w:r>
        <w:rPr>
          <w:b w:val="0"/>
          <w:i w:val="0"/>
        </w:rPr>
        <w:t>–</w:t>
      </w:r>
      <w:r>
        <w:rPr>
          <w:b w:val="0"/>
          <w:i/>
        </w:rPr>
        <w:t xml:space="preserve"> xem</w:t>
      </w:r>
      <w:r>
        <w:rPr>
          <w:b/>
          <w:i w:val="0"/>
        </w:rPr>
        <w:t xml:space="preserve"> Công ước Hỗ trợ Hành chính Tương hỗ</w:t>
      </w:r>
      <w:r>
        <w:rPr>
          <w:b w:val="0"/>
          <w:i w:val="0"/>
        </w:rPr>
        <w:t>Hiệp định Cơ quan Có thẩm quyền</w:t>
      </w:r>
    </w:p>
    <w:p>
      <w:pPr>
        <w:spacing w:after="80"/>
      </w:pPr>
      <w:r>
        <w:rPr>
          <w:b w:val="0"/>
          <w:i w:val="0"/>
        </w:rPr>
        <w:t>Đa phương về Trao đổi Báo cáo CbC (‘CbC MCAA'),661–662Cơ quan Có thẩm quyền Đa phương</w:t>
      </w:r>
    </w:p>
    <w:p>
      <w:pPr>
        <w:spacing w:after="80"/>
      </w:pPr>
      <w:r>
        <w:rPr>
          <w:b w:val="0"/>
          <w:i w:val="0"/>
        </w:rPr>
        <w:t>hợp tác hành chính</w:t>
      </w:r>
    </w:p>
    <w:p>
      <w:pPr>
        <w:spacing w:after="80"/>
      </w:pPr>
      <w:r>
        <w:rPr>
          <w:b w:val="0"/>
          <w:i w:val="0"/>
        </w:rPr>
        <w:t>các hiệp định, 654–655thẩm quyền trao đổi, 642–643Hành động 5 của BEPS, 662, 663Hành động 13 của BEPS, 647, 661trao đổi tự nguyện bắt buộc</w:t>
      </w:r>
    </w:p>
    <w:p>
      <w:pPr>
        <w:spacing w:after="80"/>
      </w:pPr>
      <w:r>
        <w:rPr>
          <w:b w:val="0"/>
          <w:i w:val="0"/>
        </w:rPr>
        <w:t>Hiệp định về Trao đổi Tự động Thông tin Tài khoản Tài chính (MCCA), 660thủ tục, 20gửi thông báo, 668–669nguồn thông tin, 643–645trao đổi thông tin thuế</w:t>
      </w:r>
    </w:p>
    <w:p>
      <w:pPr>
        <w:spacing w:after="80"/>
      </w:pPr>
      <w:r>
        <w:rPr>
          <w:b w:val="0"/>
          <w:i w:val="0"/>
        </w:rPr>
        <w:t>về, 662–663thông tin về các quy định thuế, 662–663Tiêu chuẩn Báo cáo Chung (CRS),</w:t>
      </w:r>
    </w:p>
    <w:p>
      <w:pPr>
        <w:spacing w:after="80"/>
      </w:pPr>
      <w:r>
        <w:rPr>
          <w:b w:val="0"/>
          <w:i w:val="0"/>
        </w:rPr>
        <w:t>các hiệp định, 633, 640, 643quyền của người nộp thuế, 671–672các quy định của hiệp ước</w:t>
      </w:r>
    </w:p>
    <w:p>
      <w:pPr>
        <w:spacing w:after="80"/>
      </w:pPr>
      <w:r>
        <w:rPr>
          <w:b w:val="0"/>
          <w:i w:val="0"/>
        </w:rPr>
        <w:t>646–647tính bảo mật, 641–642báo cáo theo từng quốc gia, 647triển khai, 646–647bảo vệ dữ liệu, 669–670công bố nội địa bởi HMRC, 642thủ tục nội địa, 645–646các quy định của hiệp định đánh thuế hai lần,</w:t>
      </w:r>
    </w:p>
    <w:p>
      <w:pPr>
        <w:spacing w:after="80"/>
      </w:pPr>
      <w:r>
        <w:rPr>
          <w:b w:val="0"/>
          <w:i w:val="0"/>
        </w:rPr>
        <w:t>bí mật ngân hàng, 669thông tin có thể dự đoán trước một cách hợp lý, 648cuộc điều tra câu cá, 648các biện pháp khác với luật pháp và thực tiễn hành chính, 649</w:t>
      </w:r>
    </w:p>
    <w:p>
      <w:pPr>
        <w:spacing w:after="80"/>
      </w:pPr>
      <w:r>
        <w:rPr>
          <w:b w:val="0"/>
          <w:i w:val="0"/>
        </w:rPr>
        <w:t>648–652triển khai nội địa, 637trao đổi tự động của EU</w:t>
      </w:r>
    </w:p>
    <w:p>
      <w:pPr>
        <w:spacing w:after="80"/>
      </w:pPr>
      <w:r>
        <w:rPr>
          <w:b w:val="0"/>
          <w:i w:val="0"/>
        </w:rPr>
        <w:t>thông tin cần thiết, 649thông tin thông thường không thể có được, 649thông tin thương mại hoặc bí mật khác, 659chính sách công, 649, 651</w:t>
      </w:r>
    </w:p>
    <w:p>
      <w:pPr>
        <w:spacing w:after="80"/>
      </w:pPr>
      <w:r>
        <w:rPr>
          <w:b w:val="0"/>
          <w:i w:val="0"/>
        </w:rPr>
        <w:t>các hiệp định thông tin, 640, 652, 655, 658, 663, 666, Chỉ thị Hỗ trợ Tương hỗ của EU –</w:t>
      </w:r>
    </w:p>
    <w:p>
      <w:pPr>
        <w:spacing w:after="80"/>
      </w:pPr>
      <w:r>
        <w:rPr>
          <w:b w:val="0"/>
          <w:i w:val="0"/>
        </w:rPr>
        <w:t>764</w:t>
      </w:r>
    </w:p>
    <w:p>
      <w:pPr>
        <w:spacing w:after="80"/>
      </w:pPr>
      <w:r>
        <w:rPr>
          <w:b w:val="0"/>
          <w:i w:val="0"/>
        </w:rPr>
        <w:t>tính tương hỗ, 651điều chỉnh giá chuyển nhượng, 653sử dụng thông tin, 652–653tuân thủ thuế –</w:t>
      </w:r>
      <w:r>
        <w:rPr>
          <w:b w:val="0"/>
          <w:i/>
        </w:rPr>
        <w:t xml:space="preserve"> xem thêm</w:t>
      </w:r>
      <w:r>
        <w:rPr>
          <w:b/>
          <w:i w:val="0"/>
        </w:rPr>
        <w:t xml:space="preserve"> Thuế</w:t>
      </w:r>
    </w:p>
    <w:p>
      <w:pPr>
        <w:spacing w:after="80"/>
      </w:pPr>
      <w:r>
        <w:rPr>
          <w:b w:val="0"/>
          <w:i w:val="0"/>
        </w:rPr>
        <w:t>nghệ sĩ, 294giấy chứng nhận, 685và chi phí, 617của giám đốc, 345, 347, 355, 356, 441,</w:t>
      </w:r>
    </w:p>
    <w:p>
      <w:pPr>
        <w:spacing w:after="80"/>
      </w:pPr>
      <w:r>
        <w:rPr>
          <w:b/>
          <w:i w:val="0"/>
        </w:rPr>
        <w:t>hiệp định trao đổi thông tin</w:t>
      </w:r>
      <w:r>
        <w:rPr>
          <w:b w:val="0"/>
          <w:i w:val="0"/>
        </w:rPr>
        <w:t>lãnh thổ phụ thuộc vương miện, 655–656lãnh thổ hải ngoại, 655–656Trao đổi công hàm</w:t>
      </w:r>
    </w:p>
    <w:p>
      <w:pPr>
        <w:spacing w:after="80"/>
      </w:pPr>
      <w:r>
        <w:rPr>
          <w:b w:val="0"/>
          <w:i w:val="0"/>
        </w:rPr>
        <w:t>655nghệ sĩ biểu diễn, 294thuế thu nhập, 255cho thuê, 332dịch vụ kỹ thuật, 287–290, 472, 512thuật ngữ, 287Phim và bản ghi âm, 327Các tổ chức tài chính</w:t>
      </w:r>
      <w:r>
        <w:rPr>
          <w:b w:val="0"/>
          <w:i/>
        </w:rPr>
        <w:t xml:space="preserve"> – xem</w:t>
      </w:r>
      <w:r>
        <w:rPr>
          <w:b w:val="0"/>
          <w:i w:val="0"/>
        </w:rPr>
        <w:t xml:space="preserve"> thêm Ngân hàng</w:t>
      </w:r>
    </w:p>
    <w:p>
      <w:pPr>
        <w:spacing w:after="80"/>
      </w:pPr>
      <w:r>
        <w:rPr>
          <w:b w:val="0"/>
          <w:i w:val="0"/>
        </w:rPr>
        <w:t>bối cảnh của hiệp định, 19–20tầm quan trọng của nó, 19cập nhật các hiệp định, 20Phí thoát ra –</w:t>
      </w:r>
      <w:r>
        <w:rPr>
          <w:b w:val="0"/>
          <w:i/>
        </w:rPr>
        <w:t xml:space="preserve"> xem</w:t>
      </w:r>
      <w:r>
        <w:rPr>
          <w:b w:val="0"/>
          <w:i w:val="0"/>
        </w:rPr>
        <w:t xml:space="preserve"> Thuế thoát raThuế thoát ra</w:t>
      </w:r>
    </w:p>
    <w:p>
      <w:pPr>
        <w:spacing w:after="80"/>
      </w:pPr>
      <w:r>
        <w:rPr>
          <w:b w:val="0"/>
          <w:i w:val="0"/>
        </w:rPr>
        <w:t>phân bổ lợi nhuận cho một chi nhánh, 283hậu quả, 679–680khấu trừ chi phí, 282thực tiễn thẩm định, 661FFIs, 678–679kinh doanh tài chính, 283xác định và báo cáo tài khoản của</w:t>
      </w:r>
    </w:p>
    <w:p>
      <w:pPr>
        <w:spacing w:after="80"/>
      </w:pPr>
      <w:r>
        <w:rPr>
          <w:b w:val="0"/>
          <w:i w:val="0"/>
        </w:rPr>
        <w:t>ATAD và, 430BEPS Hành động 6 và, 430thuế thoát ra nước ngoài, giảm nhẹ từ, 386–387Chi phí, 52, 170, 222, 237, 249, 260,</w:t>
      </w:r>
    </w:p>
    <w:p>
      <w:pPr>
        <w:spacing w:after="80"/>
      </w:pPr>
      <w:r>
        <w:rPr>
          <w:b w:val="0"/>
          <w:i w:val="0"/>
        </w:rPr>
        <w:t>262, 270, 276, 281, 288, 294, 434, 556, 617, 649 –</w:t>
      </w:r>
      <w:r>
        <w:rPr>
          <w:b w:val="0"/>
          <w:i/>
        </w:rPr>
        <w:t xml:space="preserve"> xem thêm</w:t>
      </w:r>
      <w:r>
        <w:rPr>
          <w:b w:val="0"/>
          <w:i w:val="0"/>
        </w:rPr>
        <w:t>Các khoản khấu trừkhấu trừ cho, 156, 280, 298, 306,</w:t>
      </w:r>
    </w:p>
    <w:p>
      <w:pPr>
        <w:spacing w:after="80"/>
      </w:pPr>
      <w:r>
        <w:rPr>
          <w:b w:val="0"/>
          <w:i w:val="0"/>
        </w:rPr>
        <w:t>chủ tài khoản, 660lãi suất, 282, 283cư dân Ireland, 275đối xử đặc quyền, 315quy tắc cho, 282quy định, 283hạn chế, 282Vương quốc Anh, 282, 644, 656, 679–680Nơi cư trú thuế, 165–215 –</w:t>
      </w:r>
      <w:r>
        <w:rPr>
          <w:b w:val="0"/>
          <w:i/>
        </w:rPr>
        <w:t xml:space="preserve"> xem thêm</w:t>
      </w:r>
    </w:p>
    <w:p>
      <w:pPr>
        <w:spacing w:after="80"/>
      </w:pPr>
      <w:r>
        <w:rPr>
          <w:b w:val="0"/>
          <w:i w:val="0"/>
        </w:rPr>
        <w:t>472các tổ chức tài chính, 282</w:t>
      </w:r>
    </w:p>
    <w:p>
      <w:pPr>
        <w:spacing w:after="80"/>
      </w:pPr>
      <w:r>
        <w:rPr>
          <w:b/>
          <w:i w:val="0"/>
        </w:rPr>
        <w:t>Nông nghiệp và trồng trọt thương mại</w:t>
      </w:r>
    </w:p>
    <w:p>
      <w:pPr>
        <w:spacing w:after="80"/>
      </w:pPr>
      <w:r>
        <w:rPr>
          <w:b w:val="0"/>
          <w:i w:val="0"/>
        </w:rPr>
        <w:t>thu nhập từ, 304Các Thỏa thuận FATCA –</w:t>
      </w:r>
      <w:r>
        <w:rPr>
          <w:b w:val="0"/>
          <w:i/>
        </w:rPr>
        <w:t xml:space="preserve"> xem thêm</w:t>
      </w:r>
      <w:r>
        <w:rPr>
          <w:b w:val="0"/>
          <w:i w:val="0"/>
        </w:rPr>
        <w:t xml:space="preserve"> Tiêu chuẩn</w:t>
      </w:r>
    </w:p>
    <w:p>
      <w:pPr>
        <w:spacing w:after="80"/>
      </w:pPr>
      <w:r>
        <w:rPr>
          <w:b w:val="0"/>
          <w:i w:val="0"/>
        </w:rPr>
        <w:t>Báo cáo Chung (CRS)quyền sở hữu hưởng lợi, và, 499Minh bạch tài khóa, 167, 170, 173Quyền đánh cá</w:t>
      </w:r>
    </w:p>
    <w:p>
      <w:pPr>
        <w:spacing w:after="80"/>
      </w:pPr>
      <w:r>
        <w:rPr>
          <w:b w:val="0"/>
          <w:i w:val="0"/>
        </w:rPr>
        <w:t>Ireland, 680Vương quốc Anh</w:t>
      </w:r>
    </w:p>
    <w:p>
      <w:pPr>
        <w:spacing w:after="80"/>
      </w:pPr>
      <w:r>
        <w:rPr>
          <w:b w:val="0"/>
          <w:i w:val="0"/>
        </w:rPr>
        <w:t>nhận diện tài khoản, 679hậu quả, 679–680thẩm định kỹ lưỡng, 679trao đổi thông tin, 646triển khai FATCA, 646, 650,</w:t>
      </w:r>
    </w:p>
    <w:p>
      <w:pPr>
        <w:spacing w:after="80"/>
      </w:pPr>
      <w:r>
        <w:rPr>
          <w:b w:val="0"/>
          <w:i w:val="0"/>
        </w:rPr>
        <w:t>thu nhập từ, 304Tàu đánh cá, 77</w:t>
      </w:r>
    </w:p>
    <w:p>
      <w:pPr>
        <w:spacing w:after="80"/>
      </w:pPr>
      <w:r>
        <w:rPr>
          <w:b w:val="0"/>
          <w:i w:val="0"/>
        </w:rPr>
        <w:t>Đăng ký, 78Các tổ chức tài chính nước ngoài (FFIs), 680Cổ tức nước ngoài</w:t>
      </w:r>
    </w:p>
    <w:p>
      <w:pPr>
        <w:spacing w:after="80"/>
      </w:pPr>
      <w:r>
        <w:rPr>
          <w:b w:val="0"/>
          <w:i w:val="0"/>
        </w:rPr>
        <w:t>678–680các tổ chức tài chính, 678sản phẩm rủi ro thấp, 680các thực thể phi tài chính, 679báo cáo, 634kế hoạch hưu trí, 680thuế khấu trừ, 660Phí</w:t>
      </w:r>
    </w:p>
    <w:p>
      <w:pPr>
        <w:spacing w:after="80"/>
      </w:pPr>
      <w:r>
        <w:rPr>
          <w:b w:val="0"/>
          <w:i w:val="0"/>
        </w:rPr>
        <w:t>và thuế ở cấp doanh nghiệp, 313Các thực thể nước ngoài</w:t>
      </w:r>
    </w:p>
    <w:p>
      <w:pPr>
        <w:spacing w:after="80"/>
      </w:pPr>
      <w:r>
        <w:rPr>
          <w:b w:val="0"/>
          <w:i w:val="0"/>
        </w:rPr>
        <w:t>đặc điểm và phân loại, 7Thu nhập từ lâm nghiệp, 301, 302, 328, 332</w:t>
      </w:r>
      <w:r>
        <w:rPr>
          <w:b w:val="0"/>
          <w:i/>
        </w:rPr>
        <w:t xml:space="preserve"> –</w:t>
      </w:r>
    </w:p>
    <w:p>
      <w:pPr>
        <w:spacing w:after="80"/>
      </w:pPr>
      <w:r>
        <w:rPr>
          <w:b w:val="0"/>
          <w:i/>
        </w:rPr>
        <w:t>xem thêm</w:t>
      </w:r>
      <w:r>
        <w:rPr>
          <w:b w:val="0"/>
          <w:i w:val="0"/>
        </w:rPr>
        <w:t xml:space="preserve"> Thu nhập từ tài sảnmiễn thuế, 302Cư trú nước ngoài, 182–183, 358Thuế nước ngoài</w:t>
      </w:r>
    </w:p>
    <w:p>
      <w:pPr>
        <w:spacing w:after="80"/>
      </w:pPr>
      <w:r>
        <w:rPr>
          <w:b w:val="0"/>
          <w:i w:val="0"/>
        </w:rPr>
        <w:t>765</w:t>
      </w:r>
    </w:p>
    <w:p>
      <w:pPr>
        <w:spacing w:after="80"/>
      </w:pPr>
      <w:r>
        <w:rPr>
          <w:b w:val="0"/>
          <w:i w:val="0"/>
        </w:rPr>
        <w:t>bối cảnh của, 33thực thi, 635thu hồi, 681các hiệp ước được đề cập, 54, 155Di chuyển tự do vốn</w:t>
      </w:r>
    </w:p>
    <w:p>
      <w:pPr>
        <w:spacing w:after="80"/>
      </w:pPr>
      <w:r>
        <w:rPr>
          <w:b w:val="0"/>
          <w:i w:val="0"/>
        </w:rPr>
        <w:t>Các nhóm công ty</w:t>
      </w:r>
      <w:r>
        <w:rPr>
          <w:b w:val="0"/>
          <w:i/>
        </w:rPr>
        <w:t xml:space="preserve"> – xem</w:t>
      </w:r>
      <w:r>
        <w:rPr>
          <w:b w:val="0"/>
          <w:i w:val="0"/>
        </w:rPr>
        <w:t xml:space="preserve"> Công ty mẹ</w:t>
      </w:r>
    </w:p>
    <w:p>
      <w:pPr>
        <w:spacing w:after="80"/>
      </w:pPr>
      <w:r>
        <w:rPr>
          <w:b w:val="0"/>
          <w:i w:val="0"/>
        </w:rPr>
        <w:t>và các công ty con</w:t>
      </w:r>
    </w:p>
    <w:p>
      <w:pPr>
        <w:spacing w:after="80"/>
      </w:pPr>
      <w:r>
        <w:rPr>
          <w:b/>
          <w:i w:val="0"/>
        </w:rPr>
        <w:t>Các thỏa thuận trụ sở chính, 24, 26–27</w:t>
      </w:r>
    </w:p>
    <w:p>
      <w:pPr>
        <w:spacing w:after="80"/>
      </w:pPr>
      <w:r>
        <w:rPr>
          <w:b w:val="0"/>
          <w:i w:val="0"/>
        </w:rPr>
        <w:t>HMRC</w:t>
      </w:r>
    </w:p>
    <w:p>
      <w:pPr>
        <w:spacing w:after="80"/>
      </w:pPr>
      <w:r>
        <w:rPr>
          <w:b w:val="0"/>
          <w:i w:val="0"/>
        </w:rPr>
        <w:t>luật EU</w:t>
      </w:r>
    </w:p>
    <w:p>
      <w:pPr>
        <w:spacing w:after="80"/>
      </w:pPr>
      <w:r>
        <w:rPr>
          <w:b w:val="0"/>
          <w:i w:val="0"/>
        </w:rPr>
        <w:t>thủ tục khiếu nại, 591thông báo, 22thực tiễn, 10, 283, 567, 574, 578, 580,</w:t>
      </w:r>
    </w:p>
    <w:p>
      <w:pPr>
        <w:spacing w:after="80"/>
      </w:pPr>
      <w:r>
        <w:rPr>
          <w:b w:val="0"/>
          <w:i w:val="0"/>
        </w:rPr>
        <w:t>biện pháp bảo vệ trước các hạn chế, 63bảo đảm, 59hạn chế đối với, 71, 75, 95, 96Quyền tự do thành lập</w:t>
      </w:r>
    </w:p>
    <w:p>
      <w:pPr>
        <w:spacing w:after="80"/>
      </w:pPr>
      <w:r>
        <w:rPr>
          <w:b w:val="0"/>
          <w:i w:val="0"/>
        </w:rPr>
        <w:t>625đệ trình, 651việc ký kết hiệp ước, 22Hồng Kông, 24, 161, 182, 183, 319, 364,</w:t>
      </w:r>
    </w:p>
    <w:p>
      <w:pPr>
        <w:spacing w:after="80"/>
      </w:pPr>
      <w:r>
        <w:rPr>
          <w:b w:val="0"/>
          <w:i w:val="0"/>
        </w:rPr>
        <w:t>luật EU</w:t>
      </w:r>
    </w:p>
    <w:p>
      <w:pPr>
        <w:spacing w:after="80"/>
      </w:pPr>
      <w:r>
        <w:rPr>
          <w:b w:val="0"/>
          <w:i w:val="0"/>
        </w:rPr>
        <w:t>bồi thường cho vi phạm, 97biện pháp bảo vệ trước các hạn chế, 60, 78các nhóm công ty, 97hạn chế đối với, 78, 89, 455Quyền tự do di chuyển</w:t>
      </w:r>
    </w:p>
    <w:p>
      <w:pPr>
        <w:spacing w:after="80"/>
      </w:pPr>
      <w:r>
        <w:rPr>
          <w:b w:val="0"/>
          <w:i w:val="0"/>
        </w:rPr>
        <w:t>451, 452Quyền con người</w:t>
      </w:r>
    </w:p>
    <w:p>
      <w:pPr>
        <w:spacing w:after="80"/>
      </w:pPr>
      <w:r>
        <w:rPr>
          <w:b w:val="0"/>
          <w:i w:val="0"/>
        </w:rPr>
        <w:t>Tuyên ngôn Nhân quyền năm 1688, 21Hội đồng châu Âu, bảo vệ liên quan đến các hành vi</w:t>
      </w:r>
    </w:p>
    <w:p>
      <w:pPr>
        <w:spacing w:after="80"/>
      </w:pPr>
      <w:r>
        <w:rPr>
          <w:b w:val="0"/>
          <w:i w:val="0"/>
        </w:rPr>
        <w:t>luật EU</w:t>
      </w:r>
    </w:p>
    <w:p>
      <w:pPr>
        <w:spacing w:after="80"/>
      </w:pPr>
      <w:r>
        <w:rPr>
          <w:b w:val="0"/>
          <w:i w:val="0"/>
        </w:rPr>
        <w:t>của các cơ quan hành chính, 656bảo vệ dữ liệu, 642thủ tục tố tụng hợp pháp, 686Hiến chương Quyền cơ bản của EU, 673Công ước châu Âu về, 2–3,</w:t>
      </w:r>
    </w:p>
    <w:p>
      <w:pPr>
        <w:spacing w:after="80"/>
      </w:pPr>
      <w:r>
        <w:rPr>
          <w:b w:val="0"/>
          <w:i w:val="0"/>
        </w:rPr>
        <w:t>biện pháp bảo vệ trước các hạn chế, 59Quyền tự do cung cấp dịch vụ</w:t>
      </w:r>
    </w:p>
    <w:p>
      <w:pPr>
        <w:spacing w:after="80"/>
      </w:pPr>
      <w:r>
        <w:rPr>
          <w:b w:val="0"/>
          <w:i w:val="0"/>
        </w:rPr>
        <w:t>luật EU, 92</w:t>
      </w:r>
    </w:p>
    <w:p>
      <w:pPr>
        <w:spacing w:after="80"/>
      </w:pPr>
      <w:r>
        <w:rPr>
          <w:b/>
          <w:i w:val="0"/>
        </w:rPr>
        <w:t>Quyền thăm dò hoặc khai thác khí đốt</w:t>
      </w:r>
    </w:p>
    <w:p>
      <w:pPr>
        <w:spacing w:after="80"/>
      </w:pPr>
      <w:r>
        <w:rPr>
          <w:b w:val="0"/>
          <w:i w:val="0"/>
        </w:rPr>
        <w:t>lợi nhuận vốn, 384–385thu nhập từ, 392–394Lợi nhuận của các công ty không cư trú,</w:t>
      </w:r>
    </w:p>
    <w:p>
      <w:pPr>
        <w:spacing w:after="80"/>
      </w:pPr>
      <w:r>
        <w:rPr>
          <w:b w:val="0"/>
          <w:i w:val="0"/>
        </w:rPr>
        <w:t>150–151, 642, 646xét xử công bằng, 670hành chính quốc tế</w:t>
      </w:r>
    </w:p>
    <w:p>
      <w:pPr>
        <w:spacing w:after="80"/>
      </w:pPr>
      <w:r>
        <w:rPr>
          <w:b w:val="0"/>
          <w:i w:val="0"/>
        </w:rPr>
        <w:t>377–378Gasworks</w:t>
      </w:r>
    </w:p>
    <w:p>
      <w:pPr>
        <w:spacing w:after="80"/>
      </w:pPr>
      <w:r>
        <w:rPr>
          <w:b w:val="0"/>
          <w:i w:val="0"/>
        </w:rPr>
        <w:t>hợp tác, 642, 656, giải thích hiệp ước, 110quyền riêng tư, 642quyền được quản lý tốt, 671–672Tuyên bố chung về, 453</w:t>
      </w:r>
    </w:p>
    <w:p>
      <w:pPr>
        <w:spacing w:after="80"/>
      </w:pPr>
      <w:r>
        <w:rPr>
          <w:b w:val="0"/>
          <w:i w:val="0"/>
        </w:rPr>
        <w:t>thu nhập từ, 304Hiệp định chung về Thương mại Dịch vụ</w:t>
      </w:r>
    </w:p>
    <w:p>
      <w:pPr>
        <w:spacing w:after="80"/>
      </w:pPr>
      <w:r>
        <w:rPr>
          <w:b w:val="0"/>
          <w:i w:val="0"/>
        </w:rPr>
        <w:t>(GATS)giải quyết tranh chấp, 606–607Đại lý hoa hồng chung</w:t>
      </w:r>
    </w:p>
    <w:p>
      <w:pPr>
        <w:spacing w:after="80"/>
      </w:pPr>
      <w:r>
        <w:rPr>
          <w:b/>
          <w:i w:val="0"/>
        </w:rPr>
        <w:t>Nhận dạng hiệp ước thuế, 154, 475</w:t>
      </w:r>
    </w:p>
    <w:p>
      <w:pPr>
        <w:spacing w:after="80"/>
      </w:pPr>
      <w:r>
        <w:rPr>
          <w:b w:val="0"/>
          <w:i w:val="0"/>
        </w:rPr>
        <w:t>định nghĩa của, 539cơ sở thường trú, 238, 240Cộng hòa Dân chủ Đức, 44Thuế quà tặng</w:t>
      </w:r>
    </w:p>
    <w:p>
      <w:pPr>
        <w:spacing w:after="80"/>
      </w:pPr>
      <w:r>
        <w:rPr>
          <w:b w:val="0"/>
          <w:i w:val="0"/>
        </w:rPr>
        <w:t>Bất động sản</w:t>
      </w:r>
    </w:p>
    <w:p>
      <w:pPr>
        <w:spacing w:after="80"/>
      </w:pPr>
      <w:r>
        <w:rPr>
          <w:b w:val="0"/>
          <w:i w:val="0"/>
        </w:rPr>
        <w:t>mua lại, 99lợi nhuận vốn, 381</w:t>
      </w:r>
    </w:p>
    <w:p>
      <w:pPr>
        <w:spacing w:after="80"/>
      </w:pPr>
      <w:r>
        <w:rPr>
          <w:b w:val="0"/>
          <w:i w:val="0"/>
        </w:rPr>
        <w:t>chuyển nhượng bất động sản,</w:t>
      </w:r>
    </w:p>
    <w:p>
      <w:pPr>
        <w:spacing w:after="80"/>
      </w:pPr>
      <w:r>
        <w:rPr>
          <w:b w:val="0"/>
          <w:i w:val="0"/>
        </w:rPr>
        <w:t>hiệp ước, 23, 93, 158, 217, 612Chủ nợ hoặc con nợ chính phủ, 315Lương hưu chính phủ, 373–374Dịch vụ chính phủ, 253, 345,</w:t>
      </w:r>
    </w:p>
    <w:p>
      <w:pPr>
        <w:spacing w:after="80"/>
      </w:pPr>
      <w:r>
        <w:rPr>
          <w:b w:val="0"/>
          <w:i w:val="0"/>
        </w:rPr>
        <w:t>153, 155, 381, 544–545lợi nhuận phát triển liên quan đến đất đai,</w:t>
      </w:r>
    </w:p>
    <w:p>
      <w:pPr>
        <w:spacing w:after="80"/>
      </w:pPr>
      <w:r>
        <w:rPr>
          <w:b w:val="0"/>
          <w:i w:val="0"/>
        </w:rPr>
        <w:t>382–383thu nhập từ</w:t>
      </w:r>
    </w:p>
    <w:p>
      <w:pPr>
        <w:spacing w:after="80"/>
      </w:pPr>
      <w:r>
        <w:rPr>
          <w:b w:val="0"/>
          <w:i w:val="0"/>
        </w:rPr>
        <w:t>thu nhập từ việc làm, 361–363, 373,</w:t>
      </w:r>
    </w:p>
    <w:p>
      <w:pPr>
        <w:spacing w:after="80"/>
      </w:pPr>
      <w:r>
        <w:rPr>
          <w:b w:val="0"/>
          <w:i w:val="0"/>
        </w:rPr>
        <w:t>nông nghiệp hoặc lâm nghiệp, 301, 302REIT, 305–306quyền làm việc, 304</w:t>
      </w:r>
    </w:p>
    <w:p>
      <w:pPr>
        <w:spacing w:after="80"/>
      </w:pPr>
      <w:r>
        <w:rPr>
          <w:b w:val="0"/>
          <w:i w:val="0"/>
        </w:rPr>
        <w:t>374Tiền bản quyền gộp, 155, 330Thuế gộp, 155, 281, 289</w:t>
      </w:r>
    </w:p>
    <w:p>
      <w:pPr>
        <w:spacing w:after="80"/>
      </w:pPr>
      <w:r>
        <w:rPr>
          <w:b w:val="0"/>
          <w:i w:val="0"/>
        </w:rPr>
        <w:t>766</w:t>
      </w:r>
    </w:p>
    <w:p>
      <w:pPr>
        <w:spacing w:after="80"/>
      </w:pPr>
      <w:r>
        <w:rPr>
          <w:b w:val="0"/>
          <w:i w:val="0"/>
        </w:rPr>
        <w:t>quyền đánh thuế đối với hoạt động bán hàng, 303quyền đánh thuế, 301quyền sở hữu kỳ nghỉ theo tuần và các hình thức tương tự</w:t>
      </w:r>
    </w:p>
    <w:p>
      <w:pPr>
        <w:spacing w:after="80"/>
      </w:pPr>
      <w:r>
        <w:rPr>
          <w:b w:val="0"/>
          <w:i w:val="0"/>
        </w:rPr>
        <w:t>phải trả, 36, 126, 339, 363, 366, 369cá nhân, 673, 686và thuế lợi nhuận, 154, 155mục đích, 252giảm trừ cho thu nhập và phải chịu</w:t>
      </w:r>
    </w:p>
    <w:p>
      <w:pPr>
        <w:spacing w:after="80"/>
      </w:pPr>
      <w:r>
        <w:rPr>
          <w:b w:val="0"/>
          <w:i w:val="0"/>
        </w:rPr>
        <w:t>thỏa thuận, 305ý nghĩa, 302, 303quyền sở hữu, 665giá của, 103bán, 383cổ phần, 383, 544, 545Thu nhập từ bất động sản</w:t>
      </w:r>
    </w:p>
    <w:p>
      <w:pPr>
        <w:spacing w:after="80"/>
      </w:pPr>
      <w:r>
        <w:rPr>
          <w:b w:val="0"/>
          <w:i w:val="0"/>
        </w:rPr>
        <w:t>lợi nhuận, 54, 640các loại thuế được điều chỉnh, 154–157, 160trao đổi lấy, 147Đại lý độc lập –</w:t>
      </w:r>
      <w:r>
        <w:rPr>
          <w:b w:val="0"/>
          <w:i/>
        </w:rPr>
        <w:t xml:space="preserve"> xem thêm</w:t>
      </w:r>
    </w:p>
    <w:p>
      <w:pPr>
        <w:spacing w:after="80"/>
      </w:pPr>
      <w:r>
        <w:rPr>
          <w:b w:val="0"/>
          <w:i w:val="0"/>
        </w:rPr>
        <w:t>Cơ sở thường trúđịnh nghĩa của, 538các cơ sở thường trú</w:t>
      </w:r>
    </w:p>
    <w:p>
      <w:pPr>
        <w:spacing w:after="80"/>
      </w:pPr>
      <w:r>
        <w:rPr>
          <w:b w:val="0"/>
          <w:i w:val="0"/>
        </w:rPr>
        <w:t>nông nghiệp, 301, 302đặc điểm chung, 303cổ tức, 336lâm nghiệp, 301, 302bất động sản, 328, 329, 332tài sản vô hình, 357tài sản trí tuệ, 327, 329,</w:t>
      </w:r>
    </w:p>
    <w:p>
      <w:pPr>
        <w:spacing w:after="80"/>
      </w:pPr>
      <w:r>
        <w:rPr>
          <w:b w:val="0"/>
          <w:i w:val="0"/>
        </w:rPr>
        <w:t>biểu đạt của, 238HMRC, 239–240các phạm trù cụ thể, 240–241Dịch vụ cá nhân độc lập –</w:t>
      </w:r>
      <w:r>
        <w:rPr>
          <w:b w:val="0"/>
          <w:i/>
        </w:rPr>
        <w:t xml:space="preserve"> xem</w:t>
      </w:r>
    </w:p>
    <w:p>
      <w:pPr>
        <w:spacing w:after="80"/>
      </w:pPr>
      <w:r>
        <w:rPr>
          <w:b w:val="0"/>
          <w:i w:val="0"/>
        </w:rPr>
        <w:t>Lợi nhuận kinh doanhCư trú cá nhân –</w:t>
      </w:r>
      <w:r>
        <w:rPr>
          <w:b w:val="0"/>
          <w:i/>
        </w:rPr>
        <w:t xml:space="preserve"> xem</w:t>
      </w:r>
      <w:r>
        <w:rPr>
          <w:b w:val="0"/>
          <w:i w:val="0"/>
        </w:rPr>
        <w:t xml:space="preserve"> Song</w:t>
      </w:r>
    </w:p>
    <w:p>
      <w:pPr>
        <w:spacing w:after="80"/>
      </w:pPr>
      <w:r>
        <w:rPr>
          <w:b w:val="0"/>
          <w:i w:val="0"/>
        </w:rPr>
        <w:t>331–336quyền lợi đối với đất đai, 302mỏ khoáng sản, 302, 303, 328mỏ và mỏ đá, 304lãi thế chấp đã trả, 302mua nhà hình thành trong tương lai, 302tổng quan, 301–302quỹ đầu tư bất động sản, 305–306tiền bản quyền, 327, 329, 336vị trí của tài sản, 302quyền sở hữu kỳ nghỉ theo tuần, 305Quyền miễn trừ và đặc quyền của EU, 25Thực thi hiệp ước</w:t>
      </w:r>
    </w:p>
    <w:p>
      <w:pPr>
        <w:spacing w:after="80"/>
      </w:pPr>
      <w:r>
        <w:rPr>
          <w:b w:val="0"/>
          <w:i w:val="0"/>
        </w:rPr>
        <w:t>cư trú; Cư trúThông tin</w:t>
      </w:r>
      <w:r>
        <w:rPr>
          <w:b w:val="0"/>
          <w:i/>
        </w:rPr>
        <w:t xml:space="preserve"> – xem</w:t>
      </w:r>
      <w:r>
        <w:rPr>
          <w:b w:val="0"/>
          <w:i w:val="0"/>
        </w:rPr>
        <w:t xml:space="preserve"> Trao đổi</w:t>
      </w:r>
    </w:p>
    <w:p>
      <w:pPr>
        <w:spacing w:after="80"/>
      </w:pPr>
      <w:r>
        <w:rPr>
          <w:b w:val="0"/>
          <w:i w:val="0"/>
        </w:rPr>
        <w:t>thông tinThuế thừa kế</w:t>
      </w:r>
    </w:p>
    <w:p>
      <w:pPr>
        <w:spacing w:after="80"/>
      </w:pPr>
      <w:r>
        <w:rPr>
          <w:b w:val="0"/>
          <w:i w:val="0"/>
        </w:rPr>
        <w:t>hiệp ước, 23, 29, 158Đường thủy nội địa</w:t>
      </w:r>
    </w:p>
    <w:p>
      <w:pPr>
        <w:spacing w:after="80"/>
      </w:pPr>
      <w:r>
        <w:rPr>
          <w:b w:val="0"/>
          <w:i w:val="0"/>
        </w:rPr>
        <w:t>thẩm quyền đánh thuế, 161, 290Dự án lắp đặt</w:t>
      </w:r>
    </w:p>
    <w:p>
      <w:pPr>
        <w:spacing w:after="80"/>
      </w:pPr>
      <w:r>
        <w:rPr>
          <w:b w:val="0"/>
          <w:i w:val="0"/>
        </w:rPr>
        <w:t>cơ sở thường trú, 230–231Kinh doanh bảo hiểm</w:t>
      </w:r>
    </w:p>
    <w:p>
      <w:pPr>
        <w:spacing w:after="80"/>
      </w:pPr>
      <w:r>
        <w:rPr>
          <w:b w:val="0"/>
          <w:i w:val="0"/>
        </w:rPr>
        <w:t>cơ sở thường trú, 243Tài sản vô hình, 277, 278, 282, 327Tài sản trí tuệ</w:t>
      </w:r>
    </w:p>
    <w:p>
      <w:pPr>
        <w:spacing w:after="80"/>
      </w:pPr>
      <w:r>
        <w:rPr>
          <w:b w:val="0"/>
          <w:i w:val="0"/>
        </w:rPr>
        <w:t>phạm vi của, 35Thu nhập</w:t>
      </w:r>
    </w:p>
    <w:p>
      <w:pPr>
        <w:spacing w:after="80"/>
      </w:pPr>
      <w:r>
        <w:rPr>
          <w:b w:val="0"/>
          <w:i w:val="0"/>
        </w:rPr>
        <w:t>ý nghĩa, 327tiền bản quyền –</w:t>
      </w:r>
      <w:r>
        <w:rPr>
          <w:b w:val="0"/>
          <w:i/>
        </w:rPr>
        <w:t xml:space="preserve"> xem</w:t>
      </w:r>
      <w:r>
        <w:rPr>
          <w:b/>
          <w:i w:val="0"/>
        </w:rPr>
        <w:t xml:space="preserve"> Tiền bản quyền</w:t>
      </w:r>
      <w:r>
        <w:rPr>
          <w:b w:val="0"/>
          <w:i w:val="0"/>
        </w:rPr>
        <w:t>Lãi</w:t>
      </w:r>
    </w:p>
    <w:p>
      <w:pPr>
        <w:spacing w:after="80"/>
      </w:pPr>
      <w:r>
        <w:rPr>
          <w:b w:val="0"/>
          <w:i w:val="0"/>
        </w:rPr>
        <w:t>thu nhập từ việc làm –</w:t>
      </w:r>
      <w:r>
        <w:rPr>
          <w:b w:val="0"/>
          <w:i/>
        </w:rPr>
        <w:t xml:space="preserve"> xem</w:t>
      </w:r>
    </w:p>
    <w:p>
      <w:pPr>
        <w:spacing w:after="80"/>
      </w:pPr>
      <w:r>
        <w:rPr>
          <w:b/>
          <w:i w:val="0"/>
        </w:rPr>
        <w:t>Thu nhập từ việc làm</w:t>
      </w:r>
      <w:r>
        <w:rPr>
          <w:b w:val="0"/>
          <w:i w:val="0"/>
        </w:rPr>
        <w:t>giảm trừ thuế thu nhập và</w:t>
      </w:r>
    </w:p>
    <w:p>
      <w:pPr>
        <w:spacing w:after="80"/>
      </w:pPr>
      <w:r>
        <w:rPr>
          <w:b w:val="0"/>
          <w:i w:val="0"/>
        </w:rPr>
        <w:t>gán cho cơ sở thường trú, 326cơ sở thường trú, 321quyền sở hữu hưởng lợi, 314khấu trừ thuế, 325Chỉ thị EU –</w:t>
      </w:r>
      <w:r>
        <w:rPr>
          <w:b w:val="0"/>
          <w:i/>
        </w:rPr>
        <w:t xml:space="preserve"> xem</w:t>
      </w:r>
      <w:r>
        <w:rPr>
          <w:b/>
          <w:i w:val="0"/>
        </w:rPr>
        <w:t xml:space="preserve"> Lãi và</w:t>
      </w:r>
    </w:p>
    <w:p>
      <w:pPr>
        <w:spacing w:after="80"/>
      </w:pPr>
      <w:r>
        <w:rPr>
          <w:b w:val="0"/>
          <w:i w:val="0"/>
        </w:rPr>
        <w:t>thuế doanh nghiệpcơ sở chuyển tiền, 394–397Thuế thu nhập</w:t>
      </w:r>
    </w:p>
    <w:p>
      <w:pPr>
        <w:spacing w:after="80"/>
      </w:pPr>
      <w:r>
        <w:rPr>
          <w:b w:val="0"/>
          <w:i w:val="0"/>
        </w:rPr>
        <w:t>gán lợi nhuận, 270–274chịu thuế, 40, 41, 258, 260, 348,</w:t>
      </w:r>
    </w:p>
    <w:p>
      <w:pPr>
        <w:spacing w:after="80"/>
      </w:pPr>
      <w:r>
        <w:rPr>
          <w:b/>
          <w:i w:val="0"/>
        </w:rPr>
        <w:t>Tiền bản quyền</w:t>
      </w:r>
      <w:r>
        <w:rPr>
          <w:b w:val="0"/>
          <w:i w:val="0"/>
        </w:rPr>
        <w:t>Chỉ thị, 576–577Genusscheine, 318thông quan không chính thức, 576Chỉ thị về Lãi và Tiền bản quyền,</w:t>
      </w:r>
    </w:p>
    <w:p>
      <w:pPr>
        <w:spacing w:after="80"/>
      </w:pPr>
      <w:r>
        <w:rPr>
          <w:b w:val="0"/>
          <w:i w:val="0"/>
        </w:rPr>
        <w:t>349, 370, 381, 565Khối Thịnh vượng chung, 155và thuế doanh nghiệp, 31–33các quy định phân phối của, 251–255gán trong nước, 270–274</w:t>
      </w:r>
    </w:p>
    <w:p>
      <w:pPr>
        <w:spacing w:after="80"/>
      </w:pPr>
      <w:r>
        <w:rPr>
          <w:b w:val="0"/>
          <w:i w:val="0"/>
        </w:rPr>
        <w:t>411–412</w:t>
      </w:r>
    </w:p>
    <w:p>
      <w:pPr>
        <w:spacing w:after="80"/>
      </w:pPr>
      <w:r>
        <w:rPr>
          <w:b w:val="0"/>
          <w:i w:val="0"/>
        </w:rPr>
        <w:t>767</w:t>
      </w:r>
    </w:p>
    <w:p>
      <w:pPr>
        <w:spacing w:after="80"/>
      </w:pPr>
      <w:r>
        <w:rPr>
          <w:b w:val="0"/>
          <w:i w:val="0"/>
        </w:rPr>
        <w:t>giới hạn về lợi ích, 327ý nghĩa của lãi, 316–319cơ sở thường trú</w:t>
      </w:r>
    </w:p>
    <w:p>
      <w:pPr>
        <w:spacing w:after="80"/>
      </w:pPr>
      <w:r>
        <w:rPr>
          <w:b w:val="0"/>
          <w:i w:val="0"/>
        </w:rPr>
        <w:t>thiện chí, 111, 114, 115, 129nhân quyền, 150–151án lệ quốc tế, 111, 112,diễn giải tự do, 108ngôn ngữ, 149–150diễn giải theo nghĩa đen, 110, 125, 127đối tượng và mục đích, 125–129Bình luận OECD, 132–138</w:t>
      </w:r>
    </w:p>
    <w:p>
      <w:pPr>
        <w:spacing w:after="80"/>
      </w:pPr>
      <w:r>
        <w:rPr>
          <w:b w:val="0"/>
          <w:i w:val="0"/>
        </w:rPr>
        <w:t>gán cho, 325–326tại các quốc gia thứ ba, 326–327trái phiếu chia sẻ lợi nhuận, 318chương trình giảm thuế theo hiệp ước tạm thời, 576hoàn thuế, 480hợp danh im lặng (stiller</w:t>
      </w:r>
    </w:p>
    <w:p>
      <w:pPr>
        <w:spacing w:after="80"/>
      </w:pPr>
      <w:r>
        <w:rPr>
          <w:b w:val="0"/>
          <w:i w:val="0"/>
        </w:rPr>
        <w:t>thay đổi chính sách, 137ý nghĩa thông thường của các thuật ngữ, 115–119các hiệp ước song song, viện dẫn đến, 138–139cơ sở thường trú, 115phần mở đầu, 114, 119, 120, 126, 127,</w:t>
      </w:r>
    </w:p>
    <w:p>
      <w:pPr>
        <w:spacing w:after="80"/>
      </w:pPr>
      <w:r>
        <w:rPr>
          <w:b w:val="0"/>
          <w:i w:val="0"/>
        </w:rPr>
        <w:t>Gesellschaft), 480nguồn của lãi, 319mối quan hệ đặc biệt, ý nghĩa và</w:t>
      </w:r>
    </w:p>
    <w:p>
      <w:pPr>
        <w:spacing w:after="80"/>
      </w:pPr>
      <w:r>
        <w:rPr>
          <w:b w:val="0"/>
          <w:i w:val="0"/>
        </w:rPr>
        <w:t>hiệu lực của, 323–325điều chỉnh giá chuyển nhượng, 325được coi là phân phối, 317chương trình hộ chiếu hiệp ước, 575Trung gian</w:t>
      </w:r>
    </w:p>
    <w:p>
      <w:pPr>
        <w:spacing w:after="80"/>
      </w:pPr>
      <w:r>
        <w:rPr>
          <w:b w:val="0"/>
          <w:i w:val="0"/>
        </w:rPr>
        <w:t>129cách tiếp cận theo mục đích, 126các quy tắc của luật quốc tế, 130ý nghĩa đặc biệt của các thuật ngữ, 130mối quan hệ đặc biệt, 143–144các quy tắc luật định, 143–144thỏa thuận tiếp theo, 123–124các bình luận tiếp theo, 111, 112thực tiễn tiếp theo, 114, 124các phương tiện bổ sung, 131–143</w:t>
      </w:r>
      <w:r>
        <w:rPr>
          <w:b w:val="0"/>
          <w:i/>
        </w:rPr>
        <w:t>travaux preparatoires,</w:t>
      </w:r>
      <w:r>
        <w:rPr>
          <w:b w:val="0"/>
          <w:i w:val="0"/>
        </w:rPr>
        <w:t xml:space="preserve"> 109, 111, 112,</w:t>
      </w:r>
    </w:p>
    <w:p>
      <w:pPr>
        <w:spacing w:after="80"/>
      </w:pPr>
      <w:r>
        <w:rPr>
          <w:b w:val="0"/>
          <w:i w:val="0"/>
        </w:rPr>
        <w:t>các dịch vụ được cung cấp thông qua, 348tránh thuế, 351Các tổ chức quốc tế</w:t>
      </w:r>
    </w:p>
    <w:p>
      <w:pPr>
        <w:spacing w:after="80"/>
      </w:pPr>
      <w:r>
        <w:rPr>
          <w:b w:val="0"/>
          <w:i w:val="0"/>
        </w:rPr>
        <w:t>nhân viên, 25thỏa thuận trụ sở chính, 24, 26quyền miễn trừ thuế, 25OECD, 11–13tổng quan, 10United Nations, 10–11Giải thích các hiệp ước</w:t>
      </w:r>
    </w:p>
    <w:p>
      <w:pPr>
        <w:spacing w:after="80"/>
      </w:pPr>
      <w:r>
        <w:rPr>
          <w:b w:val="0"/>
          <w:i w:val="0"/>
        </w:rPr>
        <w:t>131, 132, 150hiệp ước được giải thích như một hợp đồng, 107,</w:t>
      </w:r>
    </w:p>
    <w:p>
      <w:pPr>
        <w:spacing w:after="80"/>
      </w:pPr>
      <w:r>
        <w:rPr>
          <w:b w:val="0"/>
          <w:i w:val="0"/>
        </w:rPr>
        <w:t>108hai hoặc nhiều ngôn ngữ, các hiệp ước bằng,</w:t>
      </w:r>
    </w:p>
    <w:p>
      <w:pPr>
        <w:spacing w:after="80"/>
      </w:pPr>
      <w:r>
        <w:rPr>
          <w:b w:val="0"/>
          <w:i w:val="0"/>
        </w:rPr>
        <w:t>các thỏa thuận liên quan đến</w:t>
      </w:r>
    </w:p>
    <w:p>
      <w:pPr>
        <w:spacing w:after="80"/>
      </w:pPr>
      <w:r>
        <w:rPr>
          <w:b w:val="0"/>
          <w:i w:val="0"/>
        </w:rPr>
        <w:t>việc ký kết các hiệp ước, 123giải thích linh hoạt, 136ý nghĩa tự trị, 144–148CJEU, 107, 114,các nguyên tắc Commerzbank, 110–114sự phù hợp với luật quốc tế, 123ngữ cảnh, 119–123các phán quyết của tòa án nước ngoài, 111, 112,</w:t>
      </w:r>
    </w:p>
    <w:p>
      <w:pPr>
        <w:spacing w:after="80"/>
      </w:pPr>
      <w:r>
        <w:rPr>
          <w:b w:val="0"/>
          <w:i w:val="0"/>
        </w:rPr>
        <w:t>149không rõ ràng hoặc mơ hồ, 111Bình luận của UN, 136, 138Sổ tay UN về Đàm phán Hiệp ước,</w:t>
      </w:r>
    </w:p>
    <w:p>
      <w:pPr>
        <w:spacing w:after="80"/>
      </w:pPr>
      <w:r>
        <w:rPr>
          <w:b w:val="0"/>
          <w:i w:val="0"/>
        </w:rPr>
        <w:t>499Công ước Vienna về Luật</w:t>
      </w:r>
    </w:p>
    <w:p>
      <w:pPr>
        <w:spacing w:after="80"/>
      </w:pPr>
      <w:r>
        <w:rPr>
          <w:b w:val="0"/>
          <w:i w:val="0"/>
        </w:rPr>
        <w:t>Hiệp ước, 109–110các tác phẩm của các luật gia, 139–140Thu nhập từ đầu tư</w:t>
      </w:r>
      <w:r>
        <w:rPr>
          <w:b w:val="0"/>
          <w:i/>
        </w:rPr>
        <w:t xml:space="preserve"> – xem</w:t>
      </w:r>
      <w:r>
        <w:rPr>
          <w:b w:val="0"/>
          <w:i w:val="0"/>
        </w:rPr>
        <w:t xml:space="preserve"> Tài sản</w:t>
      </w:r>
    </w:p>
    <w:p>
      <w:pPr>
        <w:spacing w:after="80"/>
      </w:pPr>
      <w:r>
        <w:rPr>
          <w:b w:val="0"/>
          <w:i w:val="0"/>
        </w:rPr>
        <w:t>113, 141luật trong nước, các tham chiếu đến, 144–148tính hai mặt của địa vị, 107Công ước Châu Âu về Nhân</w:t>
      </w:r>
    </w:p>
    <w:p>
      <w:pPr>
        <w:spacing w:after="80"/>
      </w:pPr>
      <w:r>
        <w:rPr>
          <w:b w:val="0"/>
          <w:i w:val="0"/>
        </w:rPr>
        <w:t>quyềnThu nhậpCác nhà quản lý đầu tư, 564</w:t>
      </w:r>
    </w:p>
    <w:p>
      <w:pPr>
        <w:spacing w:after="80"/>
      </w:pPr>
      <w:r>
        <w:rPr>
          <w:b w:val="0"/>
          <w:i w:val="0"/>
        </w:rPr>
        <w:t>cơ sở thường trú, 240Luật Ireland</w:t>
      </w:r>
    </w:p>
    <w:p>
      <w:pPr>
        <w:spacing w:after="80"/>
      </w:pPr>
      <w:r>
        <w:rPr>
          <w:b w:val="0"/>
          <w:i w:val="0"/>
        </w:rPr>
        <w:t>Quyền, 150–151trao đổi công hàm, 120các phán quyết nước ngoài, 141–143nói chung, 107–109quy tắc chung, 114–130</w:t>
      </w:r>
    </w:p>
    <w:p>
      <w:pPr>
        <w:spacing w:after="80"/>
      </w:pPr>
      <w:r>
        <w:rPr>
          <w:b w:val="0"/>
          <w:i w:val="0"/>
        </w:rPr>
        <w:t>Hiến pháp, 52hiệu lực của các hiệp ước, 55việc thực thi các hiệp ước, 53–54hiệu lực hồi tố, 55</w:t>
      </w:r>
    </w:p>
    <w:p>
      <w:pPr>
        <w:spacing w:after="80"/>
      </w:pPr>
      <w:r>
        <w:rPr>
          <w:b w:val="0"/>
          <w:i w:val="0"/>
        </w:rPr>
        <w:t>768</w:t>
      </w:r>
    </w:p>
    <w:p>
      <w:pPr>
        <w:spacing w:after="80"/>
      </w:pPr>
      <w:r>
        <w:rPr>
          <w:b w:val="0"/>
          <w:i w:val="0"/>
        </w:rPr>
        <w:t>phạm vi điều ước, 54–55việc ký kết điều ước, 52–53điều ước ghi đè, 55Ironworks</w:t>
      </w:r>
    </w:p>
    <w:p>
      <w:pPr>
        <w:spacing w:after="80"/>
      </w:pPr>
      <w:r>
        <w:rPr>
          <w:b w:val="0"/>
          <w:i w:val="0"/>
        </w:rPr>
        <w:t>hiệu lực thi hành, 22bất động sản, thuế thừa kế và quà tặng, 158luật EU –</w:t>
      </w:r>
      <w:r>
        <w:rPr>
          <w:b w:val="0"/>
          <w:i/>
        </w:rPr>
        <w:t xml:space="preserve"> xem</w:t>
      </w:r>
      <w:r>
        <w:rPr>
          <w:b/>
          <w:i w:val="0"/>
        </w:rPr>
        <w:t xml:space="preserve"> luật Liên minh châu Âu</w:t>
      </w:r>
      <w:r>
        <w:rPr>
          <w:b w:val="0"/>
          <w:i w:val="0"/>
        </w:rPr>
        <w:t>tác động của luật Liên minh châu Âu, 78–79nội luật hóa vào luật trong nước, 6giải thích –</w:t>
      </w:r>
      <w:r>
        <w:rPr>
          <w:b w:val="0"/>
          <w:i/>
        </w:rPr>
        <w:t xml:space="preserve"> xem</w:t>
      </w:r>
      <w:r>
        <w:rPr>
          <w:b/>
          <w:i w:val="0"/>
        </w:rPr>
        <w:t xml:space="preserve"> Giải thích</w:t>
      </w:r>
    </w:p>
    <w:p>
      <w:pPr>
        <w:spacing w:after="80"/>
      </w:pPr>
      <w:r>
        <w:rPr>
          <w:b w:val="0"/>
          <w:i w:val="0"/>
        </w:rPr>
        <w:t>thu nhập từ, 304Đảo Man</w:t>
      </w:r>
    </w:p>
    <w:p>
      <w:pPr>
        <w:spacing w:after="80"/>
      </w:pPr>
      <w:r>
        <w:rPr>
          <w:b w:val="0"/>
          <w:i w:val="0"/>
        </w:rPr>
        <w:t>địa vị, 18</w:t>
      </w:r>
    </w:p>
    <w:p>
      <w:pPr>
        <w:spacing w:after="80"/>
      </w:pPr>
      <w:r>
        <w:rPr>
          <w:b/>
          <w:i w:val="0"/>
        </w:rPr>
        <w:t>điều ước</w:t>
      </w:r>
      <w:r>
        <w:rPr>
          <w:b w:val="0"/>
          <w:i w:val="0"/>
        </w:rPr>
        <w:t xml:space="preserve">luật về, 13–14việc tuân thủ, 14–15luật cũ, được ban hành theo, 40điều ước ghi đè, 49, 50điều ước bị ghi đè, 50nguyên tắc </w:t>
      </w:r>
      <w:r>
        <w:rPr>
          <w:b w:val="0"/>
          <w:i/>
        </w:rPr>
        <w:t>pacta sunt servanda</w:t>
      </w:r>
      <w:r>
        <w:rPr>
          <w:b w:val="0"/>
          <w:i w:val="0"/>
        </w:rPr>
        <w:t>, 44thẩm quyền ký kết, 21–23ưu tiên hơn luật trong nước, 45thủ tục ký kết, 22điều ước giả định, 42–43phê chuẩn, 28, 29, 52hạn chế</w:t>
      </w:r>
    </w:p>
    <w:p>
      <w:pPr>
        <w:spacing w:after="80"/>
      </w:pPr>
      <w:r>
        <w:rPr>
          <w:b/>
          <w:i w:val="0"/>
        </w:rPr>
        <w:t>Xét duyệt tư pháp, 425, 587–591, 630</w:t>
      </w:r>
    </w:p>
    <w:p>
      <w:pPr>
        <w:spacing w:after="80"/>
      </w:pPr>
      <w:r>
        <w:rPr>
          <w:b w:val="0"/>
          <w:i w:val="0"/>
        </w:rPr>
        <w:t>Thẩm quyền</w:t>
      </w:r>
    </w:p>
    <w:p>
      <w:pPr>
        <w:spacing w:after="80"/>
      </w:pPr>
      <w:r>
        <w:rPr>
          <w:b w:val="0"/>
          <w:i w:val="0"/>
        </w:rPr>
        <w:t>phân bổ quyền đánh thuế, 251–253luật dân sự, 258, 303, 318tòa án Anh, 7, 637đánh thuế độc quyền, 252, 364, 365, 367,</w:t>
      </w:r>
    </w:p>
    <w:p>
      <w:pPr>
        <w:spacing w:after="80"/>
      </w:pPr>
      <w:r>
        <w:rPr>
          <w:b w:val="0"/>
          <w:i w:val="0"/>
        </w:rPr>
        <w:t>376nơi, 320đánh thuế, 58, 70, 71, 81, 82, 128, 241,</w:t>
      </w:r>
    </w:p>
    <w:p>
      <w:pPr>
        <w:spacing w:after="80"/>
      </w:pPr>
      <w:r>
        <w:rPr>
          <w:b w:val="0"/>
          <w:i w:val="0"/>
        </w:rPr>
        <w:t>251–253, 259, 260, 286, 290,329–330, 334, 345, 352, 355,359, 364, 365, 367, 374, 376,386, 391, 392, 416, 419, 454,469, 563, 577</w:t>
      </w:r>
    </w:p>
    <w:p>
      <w:pPr>
        <w:spacing w:after="80"/>
      </w:pPr>
      <w:r>
        <w:rPr>
          <w:b w:val="0"/>
          <w:i w:val="0"/>
        </w:rPr>
        <w:t>biện hộ cho, đối với luật EU, 78ảnh hưởng đến, 70–72hiệu lực hồi tố và các biện pháp</w:t>
      </w:r>
    </w:p>
    <w:p>
      <w:pPr>
        <w:spacing w:after="80"/>
      </w:pPr>
      <w:r>
        <w:rPr>
          <w:b w:val="0"/>
          <w:i w:val="0"/>
        </w:rPr>
        <w:t>chuyển tiếp, 39–40thu hồi, 77vai trò của, 70phạm vi thời gian, 161–163phạm vi lãnh thổ, 159–161cách tiếp cận của Vương quốc Anh, 154chủ quyền, thay đổi về, 44kế thừa quốc gia, 43–44các nước thứ ba đối với luật EU</w:t>
      </w:r>
    </w:p>
    <w:p>
      <w:pPr>
        <w:spacing w:after="80"/>
      </w:pPr>
      <w:r>
        <w:rPr>
          <w:b/>
          <w:i w:val="0"/>
        </w:rPr>
        <w:t>Bí quyết kỹ thuật, 288, 289, 328, 331, 332,</w:t>
      </w:r>
    </w:p>
    <w:p>
      <w:pPr>
        <w:spacing w:after="80"/>
      </w:pPr>
      <w:r>
        <w:rPr>
          <w:b/>
          <w:i w:val="0"/>
        </w:rPr>
        <w:t>335, 336, 472</w:t>
      </w:r>
    </w:p>
    <w:p>
      <w:pPr>
        <w:spacing w:after="80"/>
      </w:pPr>
      <w:r>
        <w:rPr>
          <w:b w:val="0"/>
          <w:i w:val="0"/>
        </w:rPr>
        <w:t>Kyrgyzstan, 43</w:t>
      </w:r>
    </w:p>
    <w:p>
      <w:pPr>
        <w:spacing w:after="80"/>
      </w:pPr>
      <w:r>
        <w:rPr>
          <w:b/>
          <w:i w:val="0"/>
        </w:rPr>
        <w:t>Đất đai, 80, 157, 160, 261, 302, 303, 304,</w:t>
      </w:r>
    </w:p>
    <w:p>
      <w:pPr>
        <w:spacing w:after="80"/>
      </w:pPr>
      <w:r>
        <w:rPr>
          <w:b/>
          <w:i w:val="0"/>
        </w:rPr>
        <w:t>330, 376, 381, 382, 384, 479,567, 578</w:t>
      </w:r>
    </w:p>
    <w:p>
      <w:pPr>
        <w:spacing w:after="80"/>
      </w:pPr>
      <w:r>
        <w:rPr>
          <w:b w:val="0"/>
          <w:i w:val="0"/>
        </w:rPr>
        <w:t>sự phân biệt giữa các quốc gia thành viên</w:t>
      </w:r>
    </w:p>
    <w:p>
      <w:pPr>
        <w:spacing w:after="80"/>
      </w:pPr>
      <w:r>
        <w:rPr>
          <w:b w:val="0"/>
          <w:i w:val="0"/>
        </w:rPr>
        <w:t>thành quả phát triển, 382–383Latvia, 43, 503Luật điều ước</w:t>
      </w:r>
    </w:p>
    <w:p>
      <w:pPr>
        <w:spacing w:after="80"/>
      </w:pPr>
      <w:r>
        <w:rPr>
          <w:b w:val="0"/>
          <w:i w:val="0"/>
        </w:rPr>
        <w:t>và, 59các điều ước EU với, 98–100Khuôn khổ pháp lý</w:t>
      </w:r>
    </w:p>
    <w:p>
      <w:pPr>
        <w:spacing w:after="80"/>
      </w:pPr>
      <w:r>
        <w:rPr>
          <w:b w:val="0"/>
          <w:i w:val="0"/>
        </w:rPr>
        <w:t>ràng buộc các bên, 14nguyên tắc giải thích, 38định nghĩa điều ước, 54phân biệt đối xử và luật EU</w:t>
      </w:r>
    </w:p>
    <w:p>
      <w:pPr>
        <w:spacing w:after="80"/>
      </w:pPr>
      <w:r>
        <w:rPr>
          <w:b w:val="0"/>
          <w:i w:val="0"/>
        </w:rPr>
        <w:t>luật trong nước, 5–6Châu Âu</w:t>
      </w:r>
      <w:r>
        <w:rPr>
          <w:b w:val="0"/>
          <w:i/>
        </w:rPr>
        <w:t xml:space="preserve"> – xem</w:t>
      </w:r>
      <w:r>
        <w:rPr>
          <w:b/>
          <w:i w:val="0"/>
        </w:rPr>
        <w:t xml:space="preserve"> luật Liên minh Châu Âu</w:t>
      </w:r>
      <w:r>
        <w:rPr>
          <w:b w:val="0"/>
          <w:i w:val="0"/>
        </w:rPr>
        <w:t>các nguyên tắc chung của pháp luật, 4công ước quốc tếtập quán quốc tế, 2–4luật quốc tế,các tổ chức quốc tế, 5–6,</w:t>
      </w:r>
    </w:p>
    <w:p>
      <w:pPr>
        <w:spacing w:after="80"/>
      </w:pPr>
      <w:r>
        <w:rPr>
          <w:b w:val="0"/>
          <w:i w:val="0"/>
        </w:rPr>
        <w:t>cho phép phân biệt đối xử, 72vô hiệu hóa, 74–78luật trong nước, 28dự thảo, 40hiệu lực</w:t>
      </w:r>
    </w:p>
    <w:p>
      <w:pPr>
        <w:spacing w:after="80"/>
      </w:pPr>
      <w:r>
        <w:rPr>
          <w:b w:val="0"/>
          <w:i w:val="0"/>
        </w:rPr>
        <w:t>10–13Luật Ireland –</w:t>
      </w:r>
      <w:r>
        <w:rPr>
          <w:b w:val="0"/>
          <w:i/>
        </w:rPr>
        <w:t xml:space="preserve"> xem</w:t>
      </w:r>
      <w:r>
        <w:rPr>
          <w:b/>
          <w:i w:val="0"/>
        </w:rPr>
        <w:t xml:space="preserve"> luật Ireland</w:t>
      </w:r>
      <w:r>
        <w:rPr>
          <w:b w:val="0"/>
          <w:i w:val="0"/>
        </w:rPr>
        <w:t>ius cogens, 4–5</w:t>
      </w:r>
    </w:p>
    <w:p>
      <w:pPr>
        <w:spacing w:after="80"/>
      </w:pPr>
      <w:r>
        <w:rPr>
          <w:b w:val="0"/>
          <w:i w:val="0"/>
        </w:rPr>
        <w:t>các giới hạn đối với, 40–42</w:t>
      </w:r>
    </w:p>
    <w:p>
      <w:pPr>
        <w:spacing w:after="80"/>
      </w:pPr>
      <w:r>
        <w:rPr>
          <w:b w:val="0"/>
          <w:i w:val="0"/>
        </w:rPr>
        <w:t>769</w:t>
      </w:r>
    </w:p>
    <w:p>
      <w:pPr>
        <w:spacing w:after="80"/>
      </w:pPr>
      <w:r>
        <w:rPr>
          <w:b w:val="0"/>
          <w:i w:val="0"/>
        </w:rPr>
        <w:t>các quyết định tư pháp, 5luật điều ước, 13–15việc tuân thủ điều ước, 14–15OECD, 11–13tổng quanluật tư quốc tế, 6–7luật công quốc tế, 6–7các nguồn của luật quốc tế, 2–5các quốc gia, 7–8</w:t>
      </w:r>
    </w:p>
    <w:p>
      <w:pPr>
        <w:spacing w:after="80"/>
      </w:pPr>
      <w:r>
        <w:rPr>
          <w:b w:val="0"/>
          <w:i w:val="0"/>
        </w:rPr>
        <w:t>Động sản</w:t>
      </w:r>
    </w:p>
    <w:p>
      <w:pPr>
        <w:spacing w:after="80"/>
      </w:pPr>
      <w:r>
        <w:rPr>
          <w:b w:val="0"/>
          <w:i w:val="0"/>
        </w:rPr>
        <w:t>lợi nhuận vốn</w:t>
      </w:r>
    </w:p>
    <w:p>
      <w:pPr>
        <w:spacing w:after="80"/>
      </w:pPr>
      <w:r>
        <w:rPr>
          <w:b w:val="0"/>
          <w:i w:val="0"/>
        </w:rPr>
        <w:t>tài sản vốn của một cơ sở</w:t>
      </w:r>
    </w:p>
    <w:p>
      <w:pPr>
        <w:spacing w:after="80"/>
      </w:pPr>
      <w:r>
        <w:rPr>
          <w:b w:val="0"/>
          <w:i w:val="0"/>
        </w:rPr>
        <w:t>thường trú, 379–380Quyền sáng chế Vương quốc Anh, 381Hỗ trợ hành chính tương hỗ</w:t>
      </w:r>
    </w:p>
    <w:p>
      <w:pPr>
        <w:spacing w:after="80"/>
      </w:pPr>
      <w:r>
        <w:rPr>
          <w:b w:val="0"/>
          <w:i w:val="0"/>
        </w:rPr>
        <w:t>Công ước –</w:t>
      </w:r>
      <w:r>
        <w:rPr>
          <w:b w:val="0"/>
          <w:i/>
        </w:rPr>
        <w:t xml:space="preserve"> xem thêm</w:t>
      </w:r>
      <w:r>
        <w:rPr>
          <w:b w:val="0"/>
          <w:i w:val="0"/>
        </w:rPr>
        <w:t>Trao đổi thông tin;Thu hồi thuếnói chung, 159, 660, 661hành chính quốc tế</w:t>
      </w:r>
    </w:p>
    <w:p>
      <w:pPr>
        <w:spacing w:after="80"/>
      </w:pPr>
      <w:r>
        <w:rPr>
          <w:b w:val="0"/>
          <w:i w:val="0"/>
        </w:rPr>
        <w:t>miễn thuế, 8–10luật Vương quốc Anh –</w:t>
      </w:r>
      <w:r>
        <w:rPr>
          <w:b w:val="0"/>
          <w:i/>
        </w:rPr>
        <w:t xml:space="preserve"> xem</w:t>
      </w:r>
      <w:r>
        <w:rPr>
          <w:b/>
          <w:i w:val="0"/>
        </w:rPr>
        <w:t xml:space="preserve"> luật Vương quốc Anh</w:t>
      </w:r>
      <w:r>
        <w:rPr>
          <w:b w:val="0"/>
          <w:i w:val="0"/>
        </w:rPr>
        <w:t>Liên hợp quốc, 10–11văn bản của các luật gia, 5Liechtenstein, 98, 395, 451, 589, 678,</w:t>
      </w:r>
    </w:p>
    <w:p>
      <w:pPr>
        <w:spacing w:after="80"/>
      </w:pPr>
      <w:r>
        <w:rPr>
          <w:b w:val="0"/>
          <w:i w:val="0"/>
        </w:rPr>
        <w:t>hợp tác, 656–660quốc gia tham gia, 656tiêu chí tham gia, 656Diễn đàn Toàn cầu về Minh bạch</w:t>
      </w:r>
    </w:p>
    <w:p>
      <w:pPr>
        <w:spacing w:after="80"/>
      </w:pPr>
      <w:r>
        <w:rPr>
          <w:b w:val="0"/>
          <w:i w:val="0"/>
        </w:rPr>
        <w:t>683Giới hạn về lợi ích</w:t>
      </w:r>
    </w:p>
    <w:p>
      <w:pPr>
        <w:spacing w:after="80"/>
      </w:pPr>
      <w:r>
        <w:rPr>
          <w:b w:val="0"/>
          <w:i w:val="0"/>
        </w:rPr>
        <w:t>Trao đổi Thông tin vìMục đích Thuếtrao đổi thông tin, 658cơ quan có thẩm quyền đa phương</w:t>
      </w:r>
    </w:p>
    <w:p>
      <w:pPr>
        <w:spacing w:after="80"/>
      </w:pPr>
      <w:r>
        <w:rPr>
          <w:b w:val="0"/>
          <w:i w:val="0"/>
        </w:rPr>
        <w:t>lợi ích, 327tiền bản quyền, 339Công ty trách nhiệm hữu hạn (LLC), 172Hợp danh trách nhiệm hữu hạn (LLP)</w:t>
      </w:r>
    </w:p>
    <w:p>
      <w:pPr>
        <w:spacing w:after="80"/>
      </w:pPr>
      <w:r>
        <w:rPr>
          <w:b w:val="0"/>
          <w:i w:val="0"/>
        </w:rPr>
        <w:t>các thỏa thuậnTiêu chuẩn Báo cáo Chung, 658trao đổi báo cáo CbC, 658giới hạn của nghĩa vụ hỗ trợ, 659thu hồi các khoản nợ thuế, 658–659hiệu lực hồi tố, 660tống đạt tài liệu, 657các loại thuế được điều chỉnh, 657kiểm tra thuế ở nước ngoài, 658Thủ tục Thỏa thuận Song phương</w:t>
      </w:r>
    </w:p>
    <w:p>
      <w:pPr>
        <w:spacing w:after="80"/>
      </w:pPr>
      <w:r>
        <w:rPr>
          <w:b w:val="0"/>
          <w:i w:val="0"/>
        </w:rPr>
        <w:t>nhân cách, 167Lithuania, 43, 153, 207, 344đại lý của các thành viên Lloyd’s</w:t>
      </w:r>
    </w:p>
    <w:p>
      <w:pPr>
        <w:spacing w:after="80"/>
      </w:pPr>
      <w:r>
        <w:rPr>
          <w:b w:val="0"/>
          <w:i w:val="0"/>
        </w:rPr>
        <w:t>cơ sở thường trú, 240Quy tắc xuyên qua</w:t>
      </w:r>
    </w:p>
    <w:p>
      <w:pPr>
        <w:spacing w:after="80"/>
      </w:pPr>
      <w:r>
        <w:rPr>
          <w:b w:val="0"/>
          <w:i w:val="0"/>
        </w:rPr>
        <w:t>công ty dẫn vốn, 516giới hạn lợi ích đơn giản hóa, 534Giới hạn lợi ích theo Hiệp ước Mẫu Hoa Kỳ</w:t>
      </w:r>
    </w:p>
    <w:p>
      <w:pPr>
        <w:spacing w:after="80"/>
      </w:pPr>
      <w:r>
        <w:rPr>
          <w:b w:val="0"/>
          <w:i w:val="0"/>
        </w:rPr>
        <w:t>, 518–519</w:t>
      </w:r>
    </w:p>
    <w:p>
      <w:pPr>
        <w:spacing w:after="80"/>
      </w:pPr>
      <w:r>
        <w:rPr>
          <w:b w:val="0"/>
          <w:i w:val="0"/>
        </w:rPr>
        <w:t>kháng cáo so với, 585–587trọng tài, hiệp ước song phương</w:t>
      </w:r>
    </w:p>
    <w:p>
      <w:pPr>
        <w:spacing w:after="80"/>
      </w:pPr>
      <w:r>
        <w:rPr>
          <w:b/>
          <w:i w:val="0"/>
        </w:rPr>
        <w:t>Các khoản thanh toán bảo trì, 392, 536, 666</w:t>
      </w:r>
    </w:p>
    <w:p>
      <w:pPr>
        <w:spacing w:after="80"/>
      </w:pPr>
      <w:r>
        <w:rPr>
          <w:b w:val="0"/>
          <w:i w:val="0"/>
        </w:rPr>
        <w:t>hiệu lực ràng buộc, 602từ chối tiếp cận, 61loại trừ các biện pháp khắc phục trong nước,</w:t>
      </w:r>
    </w:p>
    <w:p>
      <w:pPr>
        <w:spacing w:after="80"/>
      </w:pPr>
      <w:r>
        <w:rPr>
          <w:b w:val="0"/>
          <w:i w:val="0"/>
        </w:rPr>
        <w:t>Ký kết hiệp ước, 487Công ty dịch vụ được quản lý</w:t>
      </w:r>
    </w:p>
    <w:p>
      <w:pPr>
        <w:spacing w:after="80"/>
      </w:pPr>
      <w:r>
        <w:rPr>
          <w:b w:val="0"/>
          <w:i w:val="0"/>
        </w:rPr>
        <w:t>thu nhập việc làm được coi là, 345Cổ tức nước ngoài được tạo ra, 461Thị trường và hội chợ</w:t>
      </w:r>
    </w:p>
    <w:p>
      <w:pPr>
        <w:spacing w:after="80"/>
      </w:pPr>
      <w:r>
        <w:rPr>
          <w:b w:val="0"/>
          <w:i w:val="0"/>
        </w:rPr>
        <w:t>604–605thủ tục, 603phạm vi trọng tài, 604thời hạn thỏa thuận, 595–596nguyên tắc giao dịch độc lập, 272Công ước Đa phương BEPS –</w:t>
      </w:r>
      <w:r>
        <w:rPr>
          <w:b w:val="0"/>
          <w:i/>
        </w:rPr>
        <w:t xml:space="preserve"> xem</w:t>
      </w:r>
    </w:p>
    <w:p>
      <w:pPr>
        <w:spacing w:after="80"/>
      </w:pPr>
      <w:r>
        <w:rPr>
          <w:b w:val="0"/>
          <w:i w:val="0"/>
        </w:rPr>
        <w:t>Thu nhập từ, 304Tiền gửi khoáng sản, 302, 303, 328, 332Mỏ và mỏ đá</w:t>
      </w:r>
    </w:p>
    <w:p>
      <w:pPr>
        <w:spacing w:after="80"/>
      </w:pPr>
      <w:r>
        <w:rPr>
          <w:b w:val="0"/>
          <w:i w:val="0"/>
        </w:rPr>
        <w:t>Thu nhập từ, 304Thu nhập khác, 389–397Monaco, 98, 678Đối xử Tối huệ quốc,</w:t>
      </w:r>
    </w:p>
    <w:p>
      <w:pPr>
        <w:spacing w:after="80"/>
      </w:pPr>
      <w:r>
        <w:rPr>
          <w:b/>
          <w:i w:val="0"/>
        </w:rPr>
        <w:t>Công ước Đa phương BEPS</w:t>
      </w:r>
      <w:r>
        <w:rPr>
          <w:b w:val="0"/>
          <w:i w:val="0"/>
        </w:rPr>
        <w:t>thực tiễn tốt nhất, 593, 596liên lạc giữa các cơ quan</w:t>
      </w:r>
    </w:p>
    <w:p>
      <w:pPr>
        <w:spacing w:after="80"/>
      </w:pPr>
      <w:r>
        <w:rPr>
          <w:b w:val="0"/>
          <w:i w:val="0"/>
        </w:rPr>
        <w:t>có thẩm quyền, 603Công ước Trọng tài EU –</w:t>
      </w:r>
      <w:r>
        <w:rPr>
          <w:b w:val="0"/>
          <w:i/>
        </w:rPr>
        <w:t xml:space="preserve"> xem</w:t>
      </w:r>
    </w:p>
    <w:p>
      <w:pPr>
        <w:spacing w:after="80"/>
      </w:pPr>
      <w:r>
        <w:rPr>
          <w:b w:val="0"/>
          <w:i w:val="0"/>
        </w:rPr>
        <w:t>65–67, 102, 471–473, 674</w:t>
      </w:r>
    </w:p>
    <w:p>
      <w:pPr>
        <w:spacing w:after="80"/>
      </w:pPr>
      <w:r>
        <w:rPr>
          <w:b w:val="0"/>
          <w:i w:val="0"/>
        </w:rPr>
        <w:t>770</w:t>
      </w:r>
    </w:p>
    <w:p>
      <w:pPr>
        <w:spacing w:after="80"/>
      </w:pPr>
      <w:r>
        <w:rPr>
          <w:b/>
          <w:i w:val="0"/>
        </w:rPr>
        <w:t>Công ước Trọng tài</w:t>
      </w:r>
      <w:r>
        <w:rPr>
          <w:b w:val="0"/>
          <w:i w:val="0"/>
        </w:rPr>
        <w:t>chỉ thị giải quyết tranh chấp thuế EU –</w:t>
      </w:r>
    </w:p>
    <w:p>
      <w:pPr>
        <w:spacing w:after="80"/>
      </w:pPr>
      <w:r>
        <w:rPr>
          <w:b w:val="0"/>
          <w:i w:val="0"/>
        </w:rPr>
        <w:t>Công dân Khối Thịnh vượng chung, 211khái niệm trong các hiệp ước Vương quốc Anh, 211phân biệt đối xử trên cơ sở, luật EU,</w:t>
      </w:r>
    </w:p>
    <w:p>
      <w:pPr>
        <w:spacing w:after="80"/>
      </w:pPr>
      <w:r>
        <w:rPr>
          <w:b w:val="0"/>
          <w:i/>
        </w:rPr>
        <w:t>xem</w:t>
      </w:r>
      <w:r>
        <w:rPr>
          <w:b/>
          <w:i w:val="0"/>
        </w:rPr>
        <w:t xml:space="preserve"> Chỉ thị Cơ chế Giải quyết Tranh chấp Đánh thuế Hai lần EU</w:t>
      </w:r>
      <w:r>
        <w:rPr>
          <w:b w:val="0"/>
          <w:i w:val="0"/>
        </w:rPr>
        <w:t>loại bỏ đánh thuế hai lần không</w:t>
      </w:r>
    </w:p>
    <w:p>
      <w:pPr>
        <w:spacing w:after="80"/>
      </w:pPr>
      <w:r>
        <w:rPr>
          <w:b w:val="0"/>
          <w:i w:val="0"/>
        </w:rPr>
        <w:t>59, 63, 73nói chung, 210–211quốc tịch, định nghĩa, 211không phân biệt đối xử, 211trợ cấp và giảm trừ cá nhân, 212nghĩa vụ thuế, 210Đàm phán, 19, 38,Không phân biệt đối xử –</w:t>
      </w:r>
      <w:r>
        <w:rPr>
          <w:b w:val="0"/>
          <w:i/>
        </w:rPr>
        <w:t xml:space="preserve"> xem thêm</w:t>
      </w:r>
    </w:p>
    <w:p>
      <w:pPr>
        <w:spacing w:after="80"/>
      </w:pPr>
      <w:r>
        <w:rPr>
          <w:b w:val="0"/>
          <w:i w:val="0"/>
        </w:rPr>
        <w:t>được quy định, 602nỗ lực đồng ý, 626quyền viện dẫn, 614thông báo đầu tiên về hành động không</w:t>
      </w:r>
    </w:p>
    <w:p>
      <w:pPr>
        <w:spacing w:after="80"/>
      </w:pPr>
      <w:r>
        <w:rPr>
          <w:b w:val="0"/>
          <w:i w:val="0"/>
        </w:rPr>
        <w:t>phù hợp với hiệp ước, 592,595hình thức khiếu nại, 595Hiệp định chung về Thương mại</w:t>
      </w:r>
    </w:p>
    <w:p>
      <w:pPr>
        <w:spacing w:after="80"/>
      </w:pPr>
      <w:r>
        <w:rPr>
          <w:b w:val="0"/>
          <w:i w:val="0"/>
        </w:rPr>
        <w:t>Phân biệt đối xửcho phép phân biệt đối xử,</w:t>
      </w:r>
    </w:p>
    <w:p>
      <w:pPr>
        <w:spacing w:after="80"/>
      </w:pPr>
      <w:r>
        <w:rPr>
          <w:b w:val="0"/>
          <w:i w:val="0"/>
        </w:rPr>
        <w:t>469–470thuế ba lô, 456, 457yêu cầu liên quan, 454, 456,</w:t>
      </w:r>
    </w:p>
    <w:p>
      <w:pPr>
        <w:spacing w:after="80"/>
      </w:pPr>
      <w:r>
        <w:rPr>
          <w:b w:val="0"/>
          <w:i w:val="0"/>
        </w:rPr>
        <w:t>Dịch vụ (GATS), 606–607giới hạn, 594–596tiêu chuẩn tối thiểu, 593, 596các phương thức giảm thuếvăn bản quan điểm được trao đổi, 596quy định trong hiệp ước, 592các vấn đề cụ thể cần giải quyết, 597tạm ngưng thu thuế, 597, 603sự tham gia của người nộp thuế, 586thuế không phù hợp với hiệp ước, 36thời hạn trình bày vụ việc, 594giải thích hoặc áp dụng hiệp ước,</w:t>
      </w:r>
    </w:p>
    <w:p>
      <w:pPr>
        <w:spacing w:after="80"/>
      </w:pPr>
      <w:r>
        <w:rPr>
          <w:b w:val="0"/>
          <w:i w:val="0"/>
        </w:rPr>
        <w:t>457, 459, 460, 464, 466, 501các khoản khấu trừ, 454, 458, 462, 470mở rộng hiệp ước theo luật trong nước</w:t>
      </w:r>
    </w:p>
    <w:p>
      <w:pPr>
        <w:spacing w:after="80"/>
      </w:pPr>
      <w:r>
        <w:rPr>
          <w:b w:val="0"/>
          <w:i w:val="0"/>
        </w:rPr>
        <w:t>không phân biệt đối xử, 470–471Luật châu Âu –</w:t>
      </w:r>
      <w:r>
        <w:rPr>
          <w:b w:val="0"/>
          <w:i/>
        </w:rPr>
        <w:t xml:space="preserve"> xem</w:t>
      </w:r>
      <w:r>
        <w:rPr>
          <w:b/>
          <w:i w:val="0"/>
        </w:rPr>
        <w:t xml:space="preserve"> Liên minh châu Âu</w:t>
      </w:r>
    </w:p>
    <w:p>
      <w:pPr>
        <w:spacing w:after="80"/>
      </w:pPr>
      <w:r>
        <w:rPr>
          <w:b/>
          <w:i w:val="0"/>
        </w:rPr>
        <w:t>Luật</w:t>
      </w:r>
      <w:r>
        <w:rPr>
          <w:b w:val="0"/>
          <w:i w:val="0"/>
        </w:rPr>
        <w:t>người nước ngoài, 456–460nói chung, 453đánh thuế ít thuận lợi hơn, 460,</w:t>
      </w:r>
    </w:p>
    <w:p>
      <w:pPr>
        <w:spacing w:after="80"/>
      </w:pPr>
      <w:r>
        <w:rPr>
          <w:b w:val="0"/>
          <w:i w:val="0"/>
        </w:rPr>
        <w:t>462nhân quyền, 453đối xử tối huệ quốc,</w:t>
      </w:r>
    </w:p>
    <w:p>
      <w:pPr>
        <w:spacing w:after="80"/>
      </w:pPr>
      <w:r>
        <w:rPr>
          <w:b w:val="0"/>
          <w:i w:val="0"/>
        </w:rPr>
        <w:t>601–602Hiệp ước thuế đa phương</w:t>
      </w:r>
    </w:p>
    <w:p>
      <w:pPr>
        <w:spacing w:after="80"/>
      </w:pPr>
      <w:r>
        <w:rPr>
          <w:b w:val="0"/>
          <w:i w:val="0"/>
        </w:rPr>
        <w:t>Công ước Trọng tài EU –</w:t>
      </w:r>
      <w:r>
        <w:rPr>
          <w:b w:val="0"/>
          <w:i/>
        </w:rPr>
        <w:t xml:space="preserve"> xem</w:t>
      </w:r>
    </w:p>
    <w:p>
      <w:pPr>
        <w:spacing w:after="80"/>
      </w:pPr>
      <w:r>
        <w:rPr>
          <w:b w:val="0"/>
          <w:i w:val="0"/>
        </w:rPr>
        <w:t>471–473đánh thuế khác hoặc nặng hơn,</w:t>
      </w:r>
    </w:p>
    <w:p>
      <w:pPr>
        <w:spacing w:after="80"/>
      </w:pPr>
      <w:r>
        <w:rPr>
          <w:b/>
          <w:i w:val="0"/>
        </w:rPr>
        <w:t>Công ước Trọng tài</w:t>
      </w:r>
      <w:r>
        <w:rPr>
          <w:b w:val="0"/>
          <w:i w:val="0"/>
        </w:rPr>
        <w:t>Công ước Đa phương BEPS –</w:t>
      </w:r>
      <w:r>
        <w:rPr>
          <w:b w:val="0"/>
          <w:i/>
        </w:rPr>
        <w:t xml:space="preserve"> xem</w:t>
      </w:r>
    </w:p>
    <w:p>
      <w:pPr>
        <w:spacing w:after="80"/>
      </w:pPr>
      <w:r>
        <w:rPr>
          <w:b w:val="0"/>
          <w:i w:val="0"/>
        </w:rPr>
        <w:t>456, 457, 459, 460, 464, 466,471quyền sở hữu doanh nghiệp, 464–469quốc tịch, 211tính chất phòng ngừa, 455cơ sở thường trú, 460–463cư trú</w:t>
      </w:r>
    </w:p>
    <w:p>
      <w:pPr>
        <w:spacing w:after="80"/>
      </w:pPr>
      <w:r>
        <w:rPr>
          <w:b/>
          <w:i w:val="0"/>
        </w:rPr>
        <w:t>Công ước Đa phương BEPS</w:t>
      </w:r>
      <w:r>
        <w:rPr>
          <w:b w:val="0"/>
          <w:i w:val="0"/>
        </w:rPr>
        <w:t>Công ước Tương trợ –</w:t>
      </w:r>
      <w:r>
        <w:rPr>
          <w:b w:val="0"/>
          <w:i/>
        </w:rPr>
        <w:t xml:space="preserve"> xem</w:t>
      </w:r>
    </w:p>
    <w:p>
      <w:pPr>
        <w:spacing w:after="80"/>
      </w:pPr>
      <w:r>
        <w:rPr>
          <w:b/>
          <w:i w:val="0"/>
        </w:rPr>
        <w:t>Công ước Tương trợhành chính lẫn nhau</w:t>
      </w:r>
      <w:r>
        <w:rPr>
          <w:b w:val="0"/>
          <w:i w:val="0"/>
        </w:rPr>
        <w:t>Hiệp ước thuế hai lần Bắc Âu, 612Công ước Tương trợ</w:t>
      </w:r>
      <w:r>
        <w:rPr>
          <w:b w:val="0"/>
          <w:i/>
        </w:rPr>
        <w:t xml:space="preserve"> – xem</w:t>
      </w:r>
    </w:p>
    <w:p>
      <w:pPr>
        <w:spacing w:after="80"/>
      </w:pPr>
      <w:r>
        <w:rPr>
          <w:b w:val="0"/>
          <w:i w:val="0"/>
        </w:rPr>
        <w:t>Công ước Tương trợhành chính lẫn nhau</w:t>
      </w:r>
    </w:p>
    <w:p>
      <w:pPr>
        <w:spacing w:after="80"/>
      </w:pPr>
      <w:r>
        <w:rPr>
          <w:b w:val="0"/>
          <w:i w:val="0"/>
        </w:rPr>
        <w:t>quốc tịch, và, 177người nhận thanh toán, 463–464điều khoản tiết kiệm, 209hoàn cảnh tương tự, 458, 462doanh nghiệp tương tự, 454, 464–466người không quốc tịch, 456–460các loại thuế được áp dụng, 469Các nước ngoài EU</w:t>
      </w:r>
    </w:p>
    <w:p>
      <w:pPr>
        <w:spacing w:after="80"/>
      </w:pPr>
      <w:r>
        <w:rPr>
          <w:b/>
          <w:i w:val="0"/>
        </w:rPr>
        <w:t>Hiệp ước thuế hai lần Bắc Âu, 612</w:t>
      </w:r>
    </w:p>
    <w:p>
      <w:pPr>
        <w:spacing w:after="80"/>
      </w:pPr>
      <w:r>
        <w:rPr>
          <w:b w:val="0"/>
          <w:i w:val="0"/>
        </w:rPr>
        <w:t>Namibia, 44, 338, 488Quốc tịch</w:t>
      </w:r>
    </w:p>
    <w:p>
      <w:pPr>
        <w:spacing w:after="80"/>
      </w:pPr>
      <w:r>
        <w:rPr>
          <w:b w:val="0"/>
          <w:i w:val="0"/>
        </w:rPr>
        <w:t>Công dân Anh, 211</w:t>
      </w:r>
    </w:p>
    <w:p>
      <w:pPr>
        <w:spacing w:after="80"/>
      </w:pPr>
      <w:r>
        <w:rPr>
          <w:b w:val="0"/>
          <w:i w:val="0"/>
        </w:rPr>
        <w:t>771</w:t>
      </w:r>
    </w:p>
    <w:p>
      <w:pPr>
        <w:spacing w:after="80"/>
      </w:pPr>
      <w:r>
        <w:rPr>
          <w:b w:val="0"/>
          <w:i w:val="0"/>
        </w:rPr>
        <w:t>Hiệp ước EU với, 92Người không cư trú</w:t>
      </w:r>
    </w:p>
    <w:p>
      <w:pPr>
        <w:spacing w:after="80"/>
      </w:pPr>
      <w:r>
        <w:rPr>
          <w:b w:val="0"/>
          <w:i w:val="0"/>
        </w:rPr>
        <w:t>Công ước, 11, 150, 220, 225,263, 485Ủy ban về các vấn đề tài khóa (CFA),</w:t>
      </w:r>
    </w:p>
    <w:p>
      <w:pPr>
        <w:spacing w:after="80"/>
      </w:pPr>
      <w:r>
        <w:rPr>
          <w:b w:val="0"/>
          <w:i w:val="0"/>
        </w:rPr>
        <w:t>đại lý, 240, 577lợi nhuận kinh doanh, 271, 278, 287lợi nhuận chịu thuế</w:t>
      </w:r>
    </w:p>
    <w:p>
      <w:pPr>
        <w:spacing w:after="80"/>
      </w:pPr>
      <w:r>
        <w:rPr>
          <w:b w:val="0"/>
          <w:i w:val="0"/>
        </w:rPr>
        <w:t>11, 220, 225, 263, 269, 293,482, 487Diễn đàn về các thực hành thuế có hại</w:t>
      </w:r>
    </w:p>
    <w:p>
      <w:pPr>
        <w:spacing w:after="80"/>
      </w:pPr>
      <w:r>
        <w:rPr>
          <w:b w:val="0"/>
          <w:i w:val="0"/>
        </w:rPr>
        <w:t>công ty, 377–378cá nhân, cư dân cũ, 387dàn xếp, 378–379thu nhập và lợi nhuận chịu thuế, 36dàn xếp, 378–379</w:t>
      </w:r>
    </w:p>
    <w:p>
      <w:pPr>
        <w:spacing w:after="80"/>
      </w:pPr>
      <w:r>
        <w:rPr>
          <w:b w:val="0"/>
          <w:i w:val="0"/>
        </w:rPr>
        <w:t>(FHTP), 11–12, 662Diễn đàn về quản lý thuế (FTA),</w:t>
      </w:r>
    </w:p>
    <w:p>
      <w:pPr>
        <w:spacing w:after="80"/>
      </w:pPr>
      <w:r>
        <w:rPr>
          <w:b w:val="0"/>
          <w:i w:val="0"/>
        </w:rPr>
        <w:t>12, 477, 633Diễn đàn toàn cầu về minh bạch và</w:t>
      </w:r>
    </w:p>
    <w:p>
      <w:pPr>
        <w:spacing w:after="80"/>
      </w:pPr>
      <w:r>
        <w:rPr>
          <w:b w:val="0"/>
          <w:i w:val="0"/>
        </w:rPr>
        <w:t>tín thác của người lập di chúc, 378tín dụng thuế, 35quyền lợi hiệp ước, 51, 64–65nghĩa vụ đại diện Vương quốc Anh và</w:t>
      </w:r>
    </w:p>
    <w:p>
      <w:pPr>
        <w:spacing w:after="80"/>
      </w:pPr>
      <w:r>
        <w:rPr>
          <w:b w:val="0"/>
          <w:i w:val="0"/>
        </w:rPr>
        <w:t>Trao đổi thông tin vì mục đích thuế, 12, 633, 657Mô hình OECD</w:t>
      </w:r>
    </w:p>
    <w:p>
      <w:pPr>
        <w:spacing w:after="80"/>
      </w:pPr>
      <w:r>
        <w:rPr>
          <w:b w:val="0"/>
          <w:i w:val="0"/>
        </w:rPr>
        <w:t>quyền lợi, 64lợi nhuận kinh doanh, 257bình luận</w:t>
      </w:r>
    </w:p>
    <w:p>
      <w:pPr>
        <w:spacing w:after="80"/>
      </w:pPr>
      <w:r>
        <w:rPr>
          <w:b w:val="0"/>
          <w:i w:val="0"/>
        </w:rPr>
        <w:t>nghĩa vụ, 233, 272, 577–578Hiệp ước phi thuế</w:t>
      </w:r>
    </w:p>
    <w:p>
      <w:pPr>
        <w:spacing w:after="80"/>
      </w:pPr>
      <w:r>
        <w:rPr>
          <w:b w:val="0"/>
          <w:i w:val="0"/>
        </w:rPr>
        <w:t>quan hệ ngoại giao và lãnh sự, 24biện pháp thuế hai lần, 24thương mại và hợp tác EU-UK</w:t>
      </w:r>
    </w:p>
    <w:p>
      <w:pPr>
        <w:spacing w:after="80"/>
      </w:pPr>
      <w:r>
        <w:rPr>
          <w:b w:val="0"/>
          <w:i w:val="0"/>
        </w:rPr>
        <w:t>cập nhật, 74, 80Tiêu chuẩn báo cáo chung, 634công ty, nơi quản lý hiệu quả, 196quản lý, 137, 177, 196khấu trừ chi phí, 280, 281,</w:t>
      </w:r>
    </w:p>
    <w:p>
      <w:pPr>
        <w:spacing w:after="80"/>
      </w:pPr>
      <w:r>
        <w:rPr>
          <w:b w:val="0"/>
          <w:i w:val="0"/>
        </w:rPr>
        <w:t>Thỏa thuận, 24thỏa thuận trụ sở chính, 26–27tổ chức quốc tế, 25–26địa vị pháp lý, 27NATO, 27quy tắc thuế trong đó, 24–28Thỏa thuận phi hiệp ước</w:t>
      </w:r>
    </w:p>
    <w:p>
      <w:pPr>
        <w:spacing w:after="80"/>
      </w:pPr>
      <w:r>
        <w:rPr>
          <w:b w:val="0"/>
          <w:i w:val="0"/>
        </w:rPr>
        <w:t>282cổ tức, 307, 309, 311, 312thu nhập từ việc làm, 341, 342thu nhập từ bất động sản, 309lãi suất, 314Công ước đa phương về tương trợ</w:t>
      </w:r>
    </w:p>
    <w:p>
      <w:pPr>
        <w:spacing w:after="80"/>
      </w:pPr>
      <w:r>
        <w:rPr>
          <w:b w:val="0"/>
          <w:i w:val="0"/>
        </w:rPr>
        <w:t>Ireland, 54Vương quốc Anh, 20–21Thông báo</w:t>
      </w:r>
    </w:p>
    <w:p>
      <w:pPr>
        <w:spacing w:after="80"/>
      </w:pPr>
      <w:r>
        <w:rPr>
          <w:b w:val="0"/>
          <w:i w:val="0"/>
        </w:rPr>
        <w:t>Hỗ trợ hành chính trong các vấn đề thuế, và, 661không phân biệt đối xử, 454, 456, 459, 460nhận xét và bảo lưu, 133lương hưu, 363cơ sở thường trú, 218cư dân của một quốc gia ký kết,</w:t>
      </w:r>
    </w:p>
    <w:p>
      <w:pPr>
        <w:spacing w:after="80"/>
      </w:pPr>
      <w:r>
        <w:rPr>
          <w:b w:val="0"/>
          <w:i w:val="0"/>
        </w:rPr>
        <w:t>miễn thuế, 577HMRC, 22, 571thông tin, 636, 652, 671thay thế, 190, 342, 343trả theo mức thuế hiệp ước, 571–572yêu cầu hoàn thuế, 572gửi tống đạt, 668–669theo luật định, 595đánh giá thuế, 624, 626, 627chấm dứt, 162rút lui, 21, 100, 560</w:t>
      </w:r>
    </w:p>
    <w:p>
      <w:pPr>
        <w:spacing w:after="80"/>
      </w:pPr>
      <w:r>
        <w:rPr>
          <w:b w:val="0"/>
          <w:i w:val="0"/>
        </w:rPr>
        <w:t>định nghĩa, 177các loại thuế được điều chỉnh, 459thẩm quyền đánh thuế, 82, 251, 252các hiệp ước của Vương quốc Anh dựa trên, 24cập nhật, 133, 134, 138, 484Các quan chức của EU</w:t>
      </w:r>
    </w:p>
    <w:p>
      <w:pPr>
        <w:spacing w:after="80"/>
      </w:pPr>
      <w:r>
        <w:rPr>
          <w:b w:val="0"/>
          <w:i w:val="0"/>
        </w:rPr>
        <w:t>miễn thuế, 103–105Quyền thăm dò hoặc khai thác dầu khí</w:t>
      </w:r>
    </w:p>
    <w:p>
      <w:pPr>
        <w:spacing w:after="80"/>
      </w:pPr>
      <w:r>
        <w:rPr>
          <w:b/>
          <w:i w:val="0"/>
        </w:rPr>
        <w:t>OECD</w:t>
      </w:r>
    </w:p>
    <w:p>
      <w:pPr>
        <w:spacing w:after="80"/>
      </w:pPr>
      <w:r>
        <w:rPr>
          <w:b w:val="0"/>
          <w:i w:val="0"/>
        </w:rPr>
        <w:t>lợi nhuận vốn, 384–385thu nhập từ, 392–394Lương hưu tuổi già, 366</w:t>
      </w:r>
    </w:p>
    <w:p>
      <w:pPr>
        <w:spacing w:after="80"/>
      </w:pPr>
      <w:r>
        <w:rPr>
          <w:b w:val="0"/>
          <w:i w:val="0"/>
        </w:rPr>
        <w:t>các báo cáo BEPS, 12Bình luận về Hiệp ước mẫu</w:t>
      </w:r>
    </w:p>
    <w:p>
      <w:pPr>
        <w:spacing w:after="80"/>
      </w:pPr>
      <w:r>
        <w:rPr>
          <w:b w:val="0"/>
          <w:i w:val="0"/>
        </w:rPr>
        <w:t>772</w:t>
      </w:r>
    </w:p>
    <w:p>
      <w:pPr>
        <w:spacing w:after="80"/>
      </w:pPr>
      <w:r>
        <w:rPr>
          <w:b w:val="0"/>
          <w:i w:val="0"/>
        </w:rPr>
        <w:t>Lệnh của Hội đồng</w:t>
      </w:r>
    </w:p>
    <w:p>
      <w:pPr>
        <w:spacing w:after="80"/>
      </w:pPr>
      <w:r>
        <w:rPr>
          <w:b w:val="0"/>
          <w:i w:val="0"/>
        </w:rPr>
        <w:t>600chấm dứt, 190, 342–345, 349, 367Thủ tục xử phạt</w:t>
      </w:r>
    </w:p>
    <w:p>
      <w:pPr>
        <w:spacing w:after="80"/>
      </w:pPr>
      <w:r>
        <w:rPr>
          <w:b w:val="0"/>
          <w:i w:val="0"/>
        </w:rPr>
        <w:t>các biện pháp hồi tố, 39thực thi hiệp ước, 28xây dựng hiệp ước, 22Thu nhập khác</w:t>
      </w:r>
    </w:p>
    <w:p>
      <w:pPr>
        <w:spacing w:after="80"/>
      </w:pPr>
      <w:r>
        <w:rPr>
          <w:b w:val="0"/>
          <w:i w:val="0"/>
        </w:rPr>
        <w:t>Công ước Trọng tài, 630–631Quỹ hưu trí hoặc chương trình hưu trí</w:t>
      </w:r>
    </w:p>
    <w:p>
      <w:pPr>
        <w:spacing w:after="80"/>
      </w:pPr>
      <w:r>
        <w:rPr>
          <w:b w:val="0"/>
          <w:i w:val="0"/>
        </w:rPr>
        <w:t>tiền cấp dưỡng, 392tiền thắng cờ bạc, 390thu nhập không được đề cập rõ ràng, 389các khoản thanh toán bảo trì, 392lương hưu an sinh xã hội, 366, 390nhà đầu tư sân khấu, 390thu nhập từ tín thác và di sản, 391Không gian vũ trụ, 2, 161Hiệp ước ghi đè</w:t>
      </w:r>
    </w:p>
    <w:p>
      <w:pPr>
        <w:spacing w:after="80"/>
      </w:pPr>
      <w:r>
        <w:rPr>
          <w:b w:val="0"/>
          <w:i w:val="0"/>
        </w:rPr>
        <w:t>thành lập tại một quốc gia ký kết, 215thu nhập cổ tức, 309được công nhận cho mục đích thuế, 372cư dân tại một quốc gia ký kết, 402Thu nhập lương hưu</w:t>
      </w:r>
    </w:p>
    <w:p>
      <w:pPr>
        <w:spacing w:after="80"/>
      </w:pPr>
      <w:r>
        <w:rPr>
          <w:b w:val="0"/>
          <w:i w:val="0"/>
        </w:rPr>
        <w:t>niên kim, 363khoản bồi thường cho mất thu nhập, đau đớn và</w:t>
      </w:r>
    </w:p>
    <w:p>
      <w:pPr>
        <w:spacing w:after="80"/>
      </w:pPr>
      <w:r>
        <w:rPr>
          <w:b w:val="0"/>
          <w:i w:val="0"/>
        </w:rPr>
        <w:t>đau khổ, 369khoản đền bù cho việc làm trong quá khứ,</w:t>
      </w:r>
    </w:p>
    <w:p>
      <w:pPr>
        <w:spacing w:after="80"/>
      </w:pPr>
      <w:r>
        <w:rPr>
          <w:b w:val="0"/>
          <w:i w:val="0"/>
        </w:rPr>
        <w:t>vi phạm luật quốc tế, 45, 46luật trong nước, 45, 50giải thích, bởi, 48–50quyền hạn của Nghị viện, 50Quyền sở hữu</w:t>
      </w:r>
    </w:p>
    <w:p>
      <w:pPr>
        <w:spacing w:after="80"/>
      </w:pPr>
      <w:r>
        <w:rPr>
          <w:b w:val="0"/>
          <w:i w:val="0"/>
        </w:rPr>
        <w:t>367–369các khoản đóng góp vào chương trình hưu trí,</w:t>
      </w:r>
    </w:p>
    <w:p>
      <w:pPr>
        <w:spacing w:after="80"/>
      </w:pPr>
      <w:r>
        <w:rPr>
          <w:b w:val="0"/>
          <w:i w:val="0"/>
        </w:rPr>
        <w:t>369–373khấu trừ tại nguồn nói chung, 363–365lương hưu dịch vụ công, 373–374các khoản thanh toán một lần, 365–366lương hưu tuổi già, 366các khoản thanh toán cho nạn nhân bị bức hại,</w:t>
      </w:r>
    </w:p>
    <w:p>
      <w:pPr>
        <w:spacing w:after="80"/>
      </w:pPr>
      <w:r>
        <w:rPr>
          <w:b w:val="0"/>
          <w:i w:val="0"/>
        </w:rPr>
        <w:t>quyền lợi –</w:t>
      </w:r>
      <w:r>
        <w:rPr>
          <w:b w:val="0"/>
          <w:i/>
        </w:rPr>
        <w:t xml:space="preserve"> xem</w:t>
      </w:r>
      <w:r>
        <w:rPr>
          <w:b/>
          <w:i w:val="0"/>
        </w:rPr>
        <w:t xml:space="preserve"> Quyền sở hữu hưởng lợi</w:t>
      </w:r>
      <w:r>
        <w:rPr>
          <w:b w:val="0"/>
          <w:i w:val="0"/>
        </w:rPr>
        <w:t>Chỉ thị về Lãi và Tiền bản quyền,</w:t>
      </w:r>
    </w:p>
    <w:p>
      <w:pPr>
        <w:spacing w:after="80"/>
      </w:pPr>
      <w:r>
        <w:rPr>
          <w:b w:val="0"/>
          <w:i w:val="0"/>
        </w:rPr>
        <w:t>411–412</w:t>
      </w:r>
    </w:p>
    <w:p>
      <w:pPr>
        <w:spacing w:after="80"/>
      </w:pPr>
      <w:r>
        <w:rPr>
          <w:b/>
          <w:i w:val="0"/>
        </w:rPr>
        <w:t>Công ty mẹ và công ty con</w:t>
      </w:r>
    </w:p>
    <w:p>
      <w:pPr>
        <w:spacing w:after="80"/>
      </w:pPr>
      <w:r>
        <w:rPr>
          <w:b w:val="0"/>
          <w:i w:val="0"/>
        </w:rPr>
        <w:t>366cá nhân tự kinh doanh, 367lương hưu an sinh xã hội, 366nguồn gốc của, 364Thực hiện nhiệm vụ</w:t>
      </w:r>
    </w:p>
    <w:p>
      <w:pPr>
        <w:spacing w:after="80"/>
      </w:pPr>
      <w:r>
        <w:rPr>
          <w:b w:val="0"/>
          <w:i w:val="0"/>
        </w:rPr>
        <w:t>bồi thường thiệt hại do vi phạm luật EU,</w:t>
      </w:r>
    </w:p>
    <w:p>
      <w:pPr>
        <w:spacing w:after="80"/>
      </w:pPr>
      <w:r>
        <w:rPr>
          <w:b w:val="0"/>
          <w:i w:val="0"/>
        </w:rPr>
        <w:t>97phân biệt đối xử, 248Chỉ thị EC –</w:t>
      </w:r>
      <w:r>
        <w:rPr>
          <w:b w:val="0"/>
          <w:i/>
        </w:rPr>
        <w:t xml:space="preserve"> xem</w:t>
      </w:r>
      <w:r>
        <w:rPr>
          <w:b/>
          <w:i w:val="0"/>
        </w:rPr>
        <w:t xml:space="preserve"> Công ty mẹ-Công ty con</w:t>
      </w:r>
    </w:p>
    <w:p>
      <w:pPr>
        <w:spacing w:after="80"/>
      </w:pPr>
      <w:r>
        <w:rPr>
          <w:b w:val="0"/>
          <w:i w:val="0"/>
        </w:rPr>
        <w:t>thu nhập từ việc làm, 349Người biểu diễn</w:t>
      </w:r>
    </w:p>
    <w:p>
      <w:pPr>
        <w:spacing w:after="80"/>
      </w:pPr>
      <w:r>
        <w:rPr>
          <w:b/>
          <w:i w:val="0"/>
        </w:rPr>
        <w:t>Chỉ thị</w:t>
      </w:r>
      <w:r>
        <w:rPr>
          <w:b w:val="0"/>
          <w:i w:val="0"/>
        </w:rPr>
        <w:t>cơ sở thường trú, 248Thanh tra Nghị viện</w:t>
      </w:r>
    </w:p>
    <w:p>
      <w:pPr>
        <w:spacing w:after="80"/>
      </w:pPr>
      <w:r>
        <w:rPr>
          <w:b w:val="0"/>
          <w:i w:val="0"/>
        </w:rPr>
        <w:t>lợi nhuận kinh doanh, 294Cơ sở thường trú</w:t>
      </w:r>
    </w:p>
    <w:p>
      <w:pPr>
        <w:spacing w:after="80"/>
      </w:pPr>
      <w:r>
        <w:rPr>
          <w:b w:val="0"/>
          <w:i w:val="0"/>
        </w:rPr>
        <w:t>khiếu nại, 591Quan hệ đối tác</w:t>
      </w:r>
    </w:p>
    <w:p>
      <w:pPr>
        <w:spacing w:after="80"/>
      </w:pPr>
      <w:r>
        <w:rPr>
          <w:b w:val="0"/>
          <w:i w:val="0"/>
        </w:rPr>
        <w:t>quyền tiếp cận các quyền lợi theo hiệp ước, 224luật đại lý, luật dân sự và thông luật,</w:t>
      </w:r>
    </w:p>
    <w:p>
      <w:pPr>
        <w:spacing w:after="80"/>
      </w:pPr>
      <w:r>
        <w:rPr>
          <w:b w:val="0"/>
          <w:i w:val="0"/>
        </w:rPr>
        <w:t>cư trú kép, 206tư cách pháp nhân, 222Quyền sáng chế, 328, 335, 381, 575Các khoản thanh toán</w:t>
      </w:r>
    </w:p>
    <w:p>
      <w:pPr>
        <w:spacing w:after="80"/>
      </w:pPr>
      <w:r>
        <w:rPr>
          <w:b w:val="0"/>
          <w:i w:val="0"/>
        </w:rPr>
        <w:t>234cơ sở thường trú của đại lý,</w:t>
      </w:r>
    </w:p>
    <w:p>
      <w:pPr>
        <w:spacing w:after="80"/>
      </w:pPr>
      <w:r>
        <w:rPr>
          <w:b w:val="0"/>
          <w:i w:val="0"/>
        </w:rPr>
        <w:t>231–237đại lý, độc lập, 219phân bổ lợi nhuận, 217các thỏa thuận tài chính thay thế, 240chống phân mảnh, 247quy kết lãi, 326quy kết thu nhập đầu tư, 143quy kết lợi nhuận cho, 261–266hoạt động phụ trợ</w:t>
      </w:r>
    </w:p>
    <w:p>
      <w:pPr>
        <w:spacing w:after="80"/>
      </w:pPr>
      <w:r>
        <w:rPr>
          <w:b w:val="0"/>
          <w:i w:val="0"/>
        </w:rPr>
        <w:t>tài khoản thuế, 578các khoản thanh toán hàng năm, 327, 329, 390các khoản thanh toán "bí quyết kỹ thuật", 335khoản trọn gói, 365–366duy trì, 392, 536, 666hoàn thuế, 34, 47, 48, 307, 480,</w:t>
      </w:r>
    </w:p>
    <w:p>
      <w:pPr>
        <w:spacing w:after="80"/>
      </w:pPr>
      <w:r>
        <w:rPr>
          <w:b w:val="0"/>
          <w:i w:val="0"/>
        </w:rPr>
        <w:t>510, 567, 571, 573, 574, 578,</w:t>
      </w:r>
    </w:p>
    <w:p>
      <w:pPr>
        <w:spacing w:after="80"/>
      </w:pPr>
      <w:r>
        <w:rPr>
          <w:b w:val="0"/>
          <w:i w:val="0"/>
        </w:rPr>
        <w:t>773</w:t>
      </w:r>
    </w:p>
    <w:p>
      <w:pPr>
        <w:spacing w:after="80"/>
      </w:pPr>
      <w:r>
        <w:rPr>
          <w:b w:val="0"/>
          <w:i w:val="0"/>
        </w:rPr>
        <w:t>chống phân mảnh, 247chi nhánh, 227, 229–230môi giới, 240công trường xây dựng hoặc thi công,</w:t>
      </w:r>
    </w:p>
    <w:p>
      <w:pPr>
        <w:spacing w:after="80"/>
      </w:pPr>
      <w:r>
        <w:rPr>
          <w:b w:val="0"/>
          <w:i w:val="0"/>
        </w:rPr>
        <w:t>thăm dò và khai thác ngoài khơi</w:t>
      </w:r>
    </w:p>
    <w:p>
      <w:pPr>
        <w:spacing w:after="80"/>
      </w:pPr>
      <w:r>
        <w:rPr>
          <w:b w:val="0"/>
          <w:i w:val="0"/>
        </w:rPr>
        <w:t>hoạt động, 392lợi nhuận kinh doanh, 392thu nhập từ việc làm, 392công ty mẹ và công ty con,</w:t>
      </w:r>
    </w:p>
    <w:p>
      <w:pPr>
        <w:spacing w:after="80"/>
      </w:pPr>
      <w:r>
        <w:rPr>
          <w:b w:val="0"/>
          <w:i w:val="0"/>
        </w:rPr>
        <w:t>230–231kinh doanh, tiến hành, 221, 258lợi nhuận của –</w:t>
      </w:r>
      <w:r>
        <w:rPr>
          <w:b w:val="0"/>
          <w:i/>
        </w:rPr>
        <w:t xml:space="preserve"> xem</w:t>
      </w:r>
      <w:r>
        <w:rPr>
          <w:b/>
          <w:i w:val="0"/>
        </w:rPr>
        <w:t xml:space="preserve"> Lợi nhuận kinh doanh</w:t>
      </w:r>
      <w:r>
        <w:rPr>
          <w:b w:val="0"/>
          <w:i w:val="0"/>
        </w:rPr>
        <w:t>tài sản vốn, 379–380người có liên quan chặt chẽ, 323đại lý hoa hồng, 235, 538, 540thuế kinh doanh xuyên biên giới, 217hoạt động được coi là, 243được coi là, danh sách minh họa, 227–229nền kinh tế số, 225–227phân biệt đối xử, 259các hiệp ước phân biệt đối xử trong luật EU, 72thuộc quyền định đoạt của doanh nghiệp,</w:t>
      </w:r>
    </w:p>
    <w:p>
      <w:pPr>
        <w:spacing w:after="80"/>
      </w:pPr>
      <w:r>
        <w:rPr>
          <w:b w:val="0"/>
          <w:i w:val="0"/>
        </w:rPr>
        <w:t>248Chỉ thị Công ty Mẹ-Công ty Con, 406–407hợp danh, 222, 229, 233, 234tính thường xuyên, 221, 224vật chất, 220–225địa điểm kinh doanh, 218, 219, 220, 221,</w:t>
      </w:r>
    </w:p>
    <w:p>
      <w:pPr>
        <w:spacing w:after="80"/>
      </w:pPr>
      <w:r>
        <w:rPr>
          <w:b w:val="0"/>
          <w:i w:val="0"/>
        </w:rPr>
        <w:t>222, 229hoạt động chuẩn bị hoặc phụ trợ,</w:t>
      </w:r>
    </w:p>
    <w:p>
      <w:pPr>
        <w:spacing w:after="80"/>
      </w:pPr>
      <w:r>
        <w:rPr>
          <w:b w:val="0"/>
          <w:i w:val="0"/>
        </w:rPr>
        <w:t>243–247đại lý thường xuyên, 233tiền bản quyền liên quan đến, 336thỏa thuận biệt phái, 242cơ sở thường trú dịch vụ,</w:t>
      </w:r>
    </w:p>
    <w:p>
      <w:pPr>
        <w:spacing w:after="80"/>
      </w:pPr>
      <w:r>
        <w:rPr>
          <w:b w:val="0"/>
          <w:i w:val="0"/>
        </w:rPr>
        <w:t>221–223, 225thuế lợi nhuận chuyển hướng, 248–249cổ tức liên quan đến, 248–249thu nhập từ việc làm, 217các trường hợp loại trừ, 218, 240, 246, 249sự tồn tại, các yếu tố cần đáp ứng, 221địa điểm cố định, 244cung cấp dịch vụ, 228đại lý hoa hồng chung, 238, 240vệ tinh địa tĩnh, 161thực hiện quyền hạn một cách thường xuyên, 233danh sách minh họa, 227–229đại lý độc lập, 238–241dự án lắp đặt, 230–231kinh doanh bảo hiểm, 243lãi</w:t>
      </w:r>
    </w:p>
    <w:p>
      <w:pPr>
        <w:spacing w:after="80"/>
      </w:pPr>
      <w:r>
        <w:rPr>
          <w:b w:val="0"/>
          <w:i w:val="0"/>
        </w:rPr>
        <w:t>241–243chào mời đơn hàng, 223, 228, 237chia tách hợp đồng, 541lưu kho, trưng bày hoặc giao hàng hóa,</w:t>
      </w:r>
    </w:p>
    <w:p>
      <w:pPr>
        <w:spacing w:after="80"/>
      </w:pPr>
      <w:r>
        <w:rPr>
          <w:b w:val="0"/>
          <w:i w:val="0"/>
        </w:rPr>
        <w:t>244, 246công ty con là cơ sở thường trú</w:t>
      </w:r>
    </w:p>
    <w:p>
      <w:pPr>
        <w:spacing w:after="80"/>
      </w:pPr>
      <w:r>
        <w:rPr>
          <w:b w:val="0"/>
          <w:i w:val="0"/>
        </w:rPr>
        <w:t>, 228, 237, 242hậu quả thuế, 419thuật ngữ, 219các quốc gia thứ ba</w:t>
      </w:r>
    </w:p>
    <w:p>
      <w:pPr>
        <w:spacing w:after="80"/>
      </w:pPr>
      <w:r>
        <w:rPr>
          <w:b w:val="0"/>
          <w:i w:val="0"/>
        </w:rPr>
        <w:t>lợi ích, 326–327tiền bản quyền, 336–337thu nhập đầu tư, 326không theo thông lệ, 243Cá nhân</w:t>
      </w:r>
    </w:p>
    <w:p>
      <w:pPr>
        <w:spacing w:after="80"/>
      </w:pPr>
      <w:r>
        <w:rPr>
          <w:b w:val="0"/>
          <w:i w:val="0"/>
        </w:rPr>
        <w:t>quy cho, 325–326 trong Third States, 326–327 Chỉ thị Lãi vay và Tiền bản quyền,</w:t>
      </w:r>
    </w:p>
    <w:p>
      <w:pPr>
        <w:spacing w:after="80"/>
      </w:pPr>
      <w:r>
        <w:rPr>
          <w:b w:val="0"/>
          <w:i w:val="0"/>
        </w:rPr>
        <w:t xml:space="preserve">pháp nhân (body corporate), 166 tập thể cá nhân (body of persons), 166 định nghĩa, 165 GmbH, 170 quỹ đầu tư, 213 hợp danh, với tư cách là, 116 hợp danh im lặng (silent partnership), 122, 170 </w:t>
      </w:r>
      <w:r>
        <w:rPr>
          <w:b w:val="0"/>
          <w:i/>
        </w:rPr>
        <w:t>societe en nom collectif</w:t>
      </w:r>
      <w:r>
        <w:rPr>
          <w:b w:val="0"/>
          <w:i w:val="0"/>
        </w:rPr>
        <w:t xml:space="preserve"> (SNC), 169 tín thác (trusts), với tư cách là, 204, 205 Phạm vi cá nhân, 62–67, 115, 165, 177,</w:t>
      </w:r>
    </w:p>
    <w:p>
      <w:pPr>
        <w:spacing w:after="80"/>
      </w:pPr>
      <w:r>
        <w:rPr>
          <w:b w:val="0"/>
          <w:i w:val="0"/>
        </w:rPr>
        <w:t>413–414 giải thích, 220 nhà quản lý đầu tư, 240 đại lý thành viên Lloyd's, 240 ý nghĩa, 218–219 Chỉ thị Sáp nhập, 419 đàm phán hợp đồng, 244–245 hãng thông tấn, 218 không phân biệt đối xử, 259</w:t>
      </w:r>
    </w:p>
    <w:p>
      <w:pPr>
        <w:spacing w:after="80"/>
      </w:pPr>
      <w:r>
        <w:rPr>
          <w:b w:val="0"/>
          <w:i w:val="0"/>
        </w:rPr>
        <w:t>187, 215, 620 Tư cách pháp nhân (Personality), quyền lợi hiệp ước</w:t>
      </w:r>
    </w:p>
    <w:p>
      <w:pPr>
        <w:spacing w:after="80"/>
      </w:pPr>
      <w:r>
        <w:rPr>
          <w:b w:val="0"/>
          <w:i w:val="0"/>
        </w:rPr>
        <w:t>774</w:t>
      </w:r>
    </w:p>
    <w:p>
      <w:pPr>
        <w:spacing w:after="80"/>
      </w:pPr>
      <w:r>
        <w:rPr>
          <w:b w:val="0"/>
          <w:i w:val="0"/>
        </w:rPr>
        <w:t>thực tiễn hành chính, 171 phân loại hiệp ước, 168 định nghĩa, cá nhân, 165 minh bạch tài khóa, 170, 173 đặc điểm thực thể nước ngoài,</w:t>
      </w:r>
    </w:p>
    <w:p>
      <w:pPr>
        <w:spacing w:after="80"/>
      </w:pPr>
      <w:r>
        <w:rPr>
          <w:b/>
          <w:i w:val="0"/>
        </w:rPr>
        <w:t>Đường sắt</w:t>
      </w:r>
    </w:p>
    <w:p>
      <w:pPr>
        <w:spacing w:after="80"/>
      </w:pPr>
      <w:r>
        <w:rPr>
          <w:b w:val="0"/>
          <w:i w:val="0"/>
        </w:rPr>
        <w:t>thu nhập từ, 304 Phê chuẩn hiệp ước, 28 Quỹ tín thác đầu tư bất động sản (REIT)</w:t>
      </w:r>
    </w:p>
    <w:p>
      <w:pPr>
        <w:spacing w:after="80"/>
      </w:pPr>
      <w:r>
        <w:rPr>
          <w:b w:val="0"/>
          <w:i w:val="0"/>
        </w:rPr>
        <w:t>cổ tức, 573 Chỉ thị Công ty mẹ - Công ty con, 408 thu nhập từ tài sản, 305–306 Thu hồi thuế</w:t>
      </w:r>
    </w:p>
    <w:p>
      <w:pPr>
        <w:spacing w:after="80"/>
      </w:pPr>
      <w:r>
        <w:rPr>
          <w:b w:val="0"/>
          <w:i w:val="0"/>
        </w:rPr>
        <w:t>168–169 ý nghĩa, tập thể cá nhân, 166 minh bạch, 167 thực thể minh bạch, 171–175 quyền lợi hiệp ước, 171–175 Người chịu thuế, 377 Thuế doanh thu dầu khí, 29, 601, 643</w:t>
      </w:r>
    </w:p>
    <w:p>
      <w:pPr>
        <w:spacing w:after="80"/>
      </w:pPr>
      <w:r>
        <w:rPr>
          <w:b w:val="0"/>
          <w:i w:val="0"/>
        </w:rPr>
        <w:t>Công ước Brussels, 682 Hỗ trợ tương trợ của EU về Thu hồi</w:t>
      </w:r>
    </w:p>
    <w:p>
      <w:pPr>
        <w:spacing w:after="80"/>
      </w:pPr>
      <w:r>
        <w:rPr>
          <w:b w:val="0"/>
          <w:i w:val="0"/>
        </w:rPr>
        <w:t>Thuế và Nghĩa vụ Chỉ thị –</w:t>
      </w:r>
      <w:r>
        <w:rPr>
          <w:b w:val="0"/>
          <w:i/>
        </w:rPr>
        <w:t>xem</w:t>
      </w:r>
      <w:r>
        <w:rPr>
          <w:b/>
          <w:i w:val="0"/>
        </w:rPr>
        <w:t xml:space="preserve"> Chỉ thị EU về Hỗ trợ Tương trợ Thu hồi Thuế và Nghĩa vụ</w:t>
      </w:r>
      <w:r>
        <w:rPr>
          <w:b w:val="0"/>
          <w:i w:val="0"/>
        </w:rPr>
        <w:t xml:space="preserve"> Yêu cầu EU-UK, 688 thực thi gián tiếp, 663 thực thi thuế quốc tế, 681 mất khả năng thanh toán và, 683 thẩm quyền, giới hạn lãnh thổ, 636 giới hạn hỗ trợ hiệp ước</w:t>
      </w:r>
    </w:p>
    <w:p>
      <w:pPr>
        <w:spacing w:after="80"/>
      </w:pPr>
      <w:r>
        <w:rPr>
          <w:b w:val="0"/>
          <w:i w:val="0"/>
        </w:rPr>
        <w:t>Giảm thuế, 30 các loại thuế được bao gồm, 157 Cơ sở thường trú vật lý –</w:t>
      </w:r>
      <w:r>
        <w:rPr>
          <w:b w:val="0"/>
          <w:i/>
        </w:rPr>
        <w:t xml:space="preserve"> xem</w:t>
      </w:r>
    </w:p>
    <w:p>
      <w:pPr>
        <w:spacing w:after="80"/>
      </w:pPr>
      <w:r>
        <w:rPr>
          <w:b w:val="0"/>
          <w:i w:val="0"/>
        </w:rPr>
        <w:t>Cơ sở thường trú Nơi quản lý hiệu quả (POEM),</w:t>
      </w:r>
    </w:p>
    <w:p>
      <w:pPr>
        <w:spacing w:after="80"/>
      </w:pPr>
      <w:r>
        <w:rPr>
          <w:b w:val="0"/>
          <w:i w:val="0"/>
        </w:rPr>
        <w:t>134, 137, 140, 183, 187, 196–202, 207, 290, 354, 355, 385, 394, 526, 537, 592 Nơi thực hiện, 79, 105, 286, 287</w:t>
      </w:r>
    </w:p>
    <w:p>
      <w:pPr>
        <w:spacing w:after="80"/>
      </w:pPr>
      <w:r>
        <w:rPr>
          <w:b w:val="0"/>
          <w:i w:val="0"/>
        </w:rPr>
        <w:t>đánh thuế được chấp nhận chung</w:t>
      </w:r>
    </w:p>
    <w:p>
      <w:pPr>
        <w:spacing w:after="80"/>
      </w:pPr>
      <w:r>
        <w:rPr>
          <w:b w:val="0"/>
          <w:i w:val="0"/>
        </w:rPr>
        <w:t>Việc làm, 348–349, 355Lời nói đầu, 94, 114, 119, 120, 126, 127,</w:t>
      </w:r>
    </w:p>
    <w:p>
      <w:pPr>
        <w:spacing w:after="80"/>
      </w:pPr>
      <w:r>
        <w:rPr>
          <w:b w:val="0"/>
          <w:i w:val="0"/>
        </w:rPr>
        <w:t>các nguyên tắc và, 669, 683tính tương xứng, 90chính sách công, 682các biện pháp hợp lý không được thực hiện,</w:t>
      </w:r>
    </w:p>
    <w:p>
      <w:pPr>
        <w:spacing w:after="80"/>
      </w:pPr>
      <w:r>
        <w:rPr>
          <w:b w:val="0"/>
          <w:i w:val="0"/>
        </w:rPr>
        <w:t>129, 377, 483, 527, 530–532,669Hoạt động chuẩn bị hoặc hỗ trợ –</w:t>
      </w:r>
      <w:r>
        <w:rPr>
          <w:b w:val="0"/>
          <w:i/>
        </w:rPr>
        <w:t xml:space="preserve"> xem</w:t>
      </w:r>
    </w:p>
    <w:p>
      <w:pPr>
        <w:spacing w:after="80"/>
      </w:pPr>
      <w:r>
        <w:rPr>
          <w:b w:val="0"/>
          <w:i w:val="0"/>
        </w:rPr>
        <w:t>682tính có đi có lại, 657khác biệt với luật pháp và</w:t>
      </w:r>
    </w:p>
    <w:p>
      <w:pPr>
        <w:spacing w:after="80"/>
      </w:pPr>
      <w:r>
        <w:rPr>
          <w:b w:val="0"/>
          <w:i/>
        </w:rPr>
        <w:t>cũng</w:t>
      </w:r>
      <w:r>
        <w:rPr>
          <w:b w:val="0"/>
          <w:i w:val="0"/>
        </w:rPr>
        <w:t xml:space="preserve"> Cơ sở thường trúCơ sở thường trú</w:t>
      </w:r>
    </w:p>
    <w:p>
      <w:pPr>
        <w:spacing w:after="80"/>
      </w:pPr>
      <w:r>
        <w:rPr>
          <w:b w:val="0"/>
          <w:i w:val="0"/>
        </w:rPr>
        <w:t>chống phân mảnh, 247ranh giới, 245–246phạm vi, 243quy tắc địa điểm kinh doanh cố định, 243quan điểm của HMRC, 245Thanh tra, 246đàm phán hợp đồng, 244–245Luật quốc tế tư nhân, 6–7, 302, 379Dịch vụ chuyên nghiệp</w:t>
      </w:r>
    </w:p>
    <w:p>
      <w:pPr>
        <w:spacing w:after="80"/>
      </w:pPr>
      <w:r>
        <w:rPr>
          <w:b w:val="0"/>
          <w:i w:val="0"/>
        </w:rPr>
        <w:t>thực tiễn hành chính, 682Hỗ trợ hành chính tương hỗ</w:t>
      </w:r>
    </w:p>
    <w:p>
      <w:pPr>
        <w:spacing w:after="80"/>
      </w:pPr>
      <w:r>
        <w:rPr>
          <w:b w:val="0"/>
          <w:i w:val="0"/>
        </w:rPr>
        <w:t>Công ước –</w:t>
      </w:r>
      <w:r>
        <w:rPr>
          <w:b w:val="0"/>
          <w:i/>
        </w:rPr>
        <w:t xml:space="preserve"> xem</w:t>
      </w:r>
      <w:r>
        <w:rPr>
          <w:b/>
          <w:i w:val="0"/>
        </w:rPr>
        <w:t xml:space="preserve"> Hỗ trợ hành chính tương hỗCông ước</w:t>
      </w:r>
      <w:r>
        <w:rPr>
          <w:b w:val="0"/>
          <w:i w:val="0"/>
        </w:rPr>
        <w:t>yêu cầu doanh thu, 682quy tắc doanh thu, 7, 635–637chủ quyền quốc gia và, 636hỗ trợ hiệp ước</w:t>
      </w:r>
    </w:p>
    <w:p>
      <w:pPr>
        <w:spacing w:after="80"/>
      </w:pPr>
      <w:r>
        <w:rPr>
          <w:b w:val="0"/>
          <w:i w:val="0"/>
        </w:rPr>
        <w:t>lợi nhuận, 284Luật quốc tế công, 2, 5, 6, 7, 9, 20,</w:t>
      </w:r>
    </w:p>
    <w:p>
      <w:pPr>
        <w:spacing w:after="80"/>
      </w:pPr>
      <w:r>
        <w:rPr>
          <w:b w:val="0"/>
          <w:i w:val="0"/>
        </w:rPr>
        <w:t>thẩm quyền, 685tính hồi tố, 39phạm vi, 685Luật mẫu UNCITRAL về</w:t>
      </w:r>
    </w:p>
    <w:p>
      <w:pPr>
        <w:spacing w:after="80"/>
      </w:pPr>
      <w:r>
        <w:rPr>
          <w:b w:val="0"/>
          <w:i w:val="0"/>
        </w:rPr>
        <w:t>110, 111Các hiệp ước giả định, 42–43</w:t>
      </w:r>
    </w:p>
    <w:p>
      <w:pPr>
        <w:spacing w:after="80"/>
      </w:pPr>
      <w:r>
        <w:rPr>
          <w:b/>
          <w:i w:val="0"/>
        </w:rPr>
        <w:t>Mỏ đá</w:t>
      </w:r>
    </w:p>
    <w:p>
      <w:pPr>
        <w:spacing w:after="80"/>
      </w:pPr>
      <w:r>
        <w:rPr>
          <w:b w:val="0"/>
          <w:i w:val="0"/>
        </w:rPr>
        <w:t>Mất khả năng thanh toán xuyên biên giới, 636Cơ sở chuyển tiền, 209, 363, 373,</w:t>
      </w:r>
    </w:p>
    <w:p>
      <w:pPr>
        <w:spacing w:after="80"/>
      </w:pPr>
      <w:r>
        <w:rPr>
          <w:b w:val="0"/>
          <w:i w:val="0"/>
        </w:rPr>
        <w:t>thu nhập từ, 304</w:t>
      </w:r>
    </w:p>
    <w:p>
      <w:pPr>
        <w:spacing w:after="80"/>
      </w:pPr>
      <w:r>
        <w:rPr>
          <w:b w:val="0"/>
          <w:i w:val="0"/>
        </w:rPr>
        <w:t>394–397, 500</w:t>
      </w:r>
    </w:p>
    <w:p>
      <w:pPr>
        <w:spacing w:after="80"/>
      </w:pPr>
      <w:r>
        <w:rPr>
          <w:b w:val="0"/>
          <w:i w:val="0"/>
        </w:rPr>
        <w:t>775</w:t>
      </w:r>
    </w:p>
    <w:p>
      <w:pPr>
        <w:spacing w:after="80"/>
      </w:pPr>
      <w:r>
        <w:rPr>
          <w:b w:val="0"/>
          <w:i w:val="0"/>
        </w:rPr>
        <w:t>Remuneration</w:t>
      </w:r>
      <w:r>
        <w:rPr>
          <w:b w:val="0"/>
          <w:i/>
        </w:rPr>
        <w:t xml:space="preserve"> – xem</w:t>
      </w:r>
      <w:r>
        <w:rPr>
          <w:b w:val="0"/>
          <w:i w:val="0"/>
        </w:rPr>
        <w:t xml:space="preserve"> Thu nhập từ việc làmCư trú</w:t>
      </w:r>
    </w:p>
    <w:p>
      <w:pPr>
        <w:spacing w:after="80"/>
      </w:pPr>
      <w:r>
        <w:rPr>
          <w:b w:val="0"/>
          <w:i w:val="0"/>
        </w:rPr>
        <w:t>212–213tiểu bang, 61Bài kiểm tra Cư trú Theo Luật định, 189, 194các thực thể được ưu đãi thuế với tư cách là cư dân,</w:t>
      </w:r>
    </w:p>
    <w:p>
      <w:pPr>
        <w:spacing w:after="80"/>
      </w:pPr>
      <w:r>
        <w:rPr>
          <w:b w:val="0"/>
          <w:i w:val="0"/>
        </w:rPr>
        <w:t>trên một con tàu, 181, 290, 355phúc lợi, 175–177, 212–213quản lý và kiểm soát tập trung, 195giấy chứng nhận, 569, 570, 579yêu cầu</w:t>
      </w:r>
    </w:p>
    <w:p>
      <w:pPr>
        <w:spacing w:after="80"/>
      </w:pPr>
      <w:r>
        <w:rPr>
          <w:b w:val="0"/>
          <w:i w:val="0"/>
        </w:rPr>
        <w:t>213–215bài kiểm tra về, 186, 458, 459yếu tố phá vỡ thế cân bằng –</w:t>
      </w:r>
      <w:r>
        <w:rPr>
          <w:b w:val="0"/>
          <w:i/>
        </w:rPr>
        <w:t xml:space="preserve"> xem</w:t>
      </w:r>
      <w:r>
        <w:rPr>
          <w:b/>
          <w:i w:val="0"/>
        </w:rPr>
        <w:t xml:space="preserve"> Cư trú Song trùng</w:t>
      </w:r>
      <w:r>
        <w:rPr>
          <w:b w:val="0"/>
          <w:i w:val="0"/>
        </w:rPr>
        <w:t>thời gian để kiểm tra, 183, 375cư trú theo hiệp ước và luật trong nước,</w:t>
      </w:r>
    </w:p>
    <w:p>
      <w:pPr>
        <w:spacing w:after="80"/>
      </w:pPr>
      <w:r>
        <w:rPr>
          <w:b w:val="0"/>
          <w:i w:val="0"/>
        </w:rPr>
        <w:t>các công ty, 580cá nhân, 579, 580các công ty</w:t>
      </w:r>
    </w:p>
    <w:p>
      <w:pPr>
        <w:spacing w:after="80"/>
      </w:pPr>
      <w:r>
        <w:rPr>
          <w:b w:val="0"/>
          <w:i w:val="0"/>
        </w:rPr>
        <w:t>208–209tín thác, 204–206các chuyến thăm đến Vương quốc Anh, 189, 356Kế hoạch Hưu trí Nhân viên Ngân hàng Thế giới,</w:t>
      </w:r>
    </w:p>
    <w:p>
      <w:pPr>
        <w:spacing w:after="80"/>
      </w:pPr>
      <w:r>
        <w:rPr>
          <w:b w:val="0"/>
          <w:i w:val="0"/>
        </w:rPr>
        <w:t>yêu cầu, 580các quốc gia ký kết, 175–177tín dụng cho thuế nước ngoài, 436, 437cư dân được coi là, 186–187phân biệt đối xử, 463–464luật trong nước, tác động của hiệp ước</w:t>
      </w:r>
    </w:p>
    <w:p>
      <w:pPr>
        <w:spacing w:after="80"/>
      </w:pPr>
      <w:r>
        <w:rPr>
          <w:b w:val="0"/>
          <w:i w:val="0"/>
        </w:rPr>
        <w:t>119, 214, 365Tiền bản quyền</w:t>
      </w:r>
    </w:p>
    <w:p>
      <w:pPr>
        <w:spacing w:after="80"/>
      </w:pPr>
      <w:r>
        <w:rPr>
          <w:b w:val="0"/>
          <w:i w:val="0"/>
        </w:rPr>
        <w:t>chống tránh thuế, 338băng thông, cho thuê, 332quyền sở hữu hưởng lợi, 411–412nghĩa vụ chứng minh, 339Nhãn hiệu Cộng đồng, 335bản quyền, 327, 329, 331–334phần mềm tùy chỉnh, 333chuyển nhượng sở hữu trí tuệ,</w:t>
      </w:r>
    </w:p>
    <w:p>
      <w:pPr>
        <w:spacing w:after="80"/>
      </w:pPr>
      <w:r>
        <w:rPr>
          <w:b w:val="0"/>
          <w:i w:val="0"/>
        </w:rPr>
        <w:t>cư trú, 208–209cư trú song trùng –</w:t>
      </w:r>
      <w:r>
        <w:rPr>
          <w:b w:val="0"/>
          <w:i/>
        </w:rPr>
        <w:t xml:space="preserve"> xem</w:t>
      </w:r>
      <w:r>
        <w:rPr>
          <w:b/>
          <w:i w:val="0"/>
        </w:rPr>
        <w:t xml:space="preserve"> Cư trú Song trùng</w:t>
      </w:r>
      <w:r>
        <w:rPr>
          <w:b w:val="0"/>
          <w:i w:val="0"/>
        </w:rPr>
        <w:t>quản lý hiệu quả, 196–202thu nhập từ việc làm, 190, 341, 345,</w:t>
      </w:r>
    </w:p>
    <w:p>
      <w:pPr>
        <w:spacing w:after="80"/>
      </w:pPr>
      <w:r>
        <w:rPr>
          <w:b w:val="0"/>
          <w:i w:val="0"/>
        </w:rPr>
        <w:t>444bằng chứng, 182, 202, 206, 209cư trú nước ngoài, 182–183cá nhân</w:t>
      </w:r>
    </w:p>
    <w:p>
      <w:pPr>
        <w:spacing w:after="80"/>
      </w:pPr>
      <w:r>
        <w:rPr>
          <w:b w:val="0"/>
          <w:i w:val="0"/>
        </w:rPr>
        <w:t>335–336nội dung học trực tuyến, 333–334thỏa thuận cấp phép cho người dùng cuối, 334nghệ sĩ biểu diễn, 292Chỉ thị EU –</w:t>
      </w:r>
      <w:r>
        <w:rPr>
          <w:b w:val="0"/>
          <w:i/>
        </w:rPr>
        <w:t xml:space="preserve"> xem</w:t>
      </w:r>
      <w:r>
        <w:rPr>
          <w:b/>
          <w:i w:val="0"/>
        </w:rPr>
        <w:t xml:space="preserve"> Lãi và</w:t>
      </w:r>
    </w:p>
    <w:p>
      <w:pPr>
        <w:spacing w:after="80"/>
      </w:pPr>
      <w:r>
        <w:rPr>
          <w:b w:val="0"/>
          <w:i w:val="0"/>
        </w:rPr>
        <w:t>yêu cầu, 189–194chịu thuế, 174, 177, 178, 180, 181,</w:t>
      </w:r>
    </w:p>
    <w:p>
      <w:pPr>
        <w:spacing w:after="80"/>
      </w:pPr>
      <w:r>
        <w:rPr>
          <w:b w:val="0"/>
          <w:i w:val="0"/>
        </w:rPr>
        <w:t>182, 187, 212, 227, 229, 312,341, 386, 402quản lý và kiểm soát, 195–196quốc tịch, 179, 191, 210–211không phân biệt đối xử, 177một phần của năm thuế, 189, 526đóng góp vào kế hoạch hưu trí,</w:t>
      </w:r>
    </w:p>
    <w:p>
      <w:pPr>
        <w:spacing w:after="80"/>
      </w:pPr>
      <w:r>
        <w:rPr>
          <w:b/>
          <w:i w:val="0"/>
        </w:rPr>
        <w:t>Chỉ thị Tiền bản quyền</w:t>
      </w:r>
      <w:r>
        <w:rPr>
          <w:b w:val="0"/>
          <w:i w:val="0"/>
        </w:rPr>
        <w:t>bằng sáng chế châu Âu, 335người trả tiền nước ngoài, giảm nhẹ ưu đãi,</w:t>
      </w:r>
    </w:p>
    <w:p>
      <w:pPr>
        <w:spacing w:after="80"/>
      </w:pPr>
      <w:r>
        <w:rPr>
          <w:b w:val="0"/>
          <w:i w:val="0"/>
        </w:rPr>
        <w:t>335Google AdWords, 334Chỉ thị Lãi và Tiền bản quyền,</w:t>
      </w:r>
    </w:p>
    <w:p>
      <w:pPr>
        <w:spacing w:after="80"/>
      </w:pPr>
      <w:r>
        <w:rPr>
          <w:b w:val="0"/>
          <w:i w:val="0"/>
        </w:rPr>
        <w:t>369–373người nộp thuế theo cơ sở chuyển tiền (remittance basis), 394cư dân của một quốc gia ký kết</w:t>
      </w:r>
    </w:p>
    <w:p>
      <w:pPr>
        <w:spacing w:after="80"/>
      </w:pPr>
      <w:r>
        <w:rPr>
          <w:b w:val="0"/>
          <w:i w:val="0"/>
        </w:rPr>
        <w:t>411–415, 576–577các khoản thanh toán "bí quyết kỹ thuật" (know-how), 332giới hạn về quyền lợi (limitation on benefits), 339ý nghĩa, 327–328khai thác khoáng sản, 331các khoản thu nhập ở nước ngoài liên quan đến</w:t>
      </w:r>
    </w:p>
    <w:p>
      <w:pPr>
        <w:spacing w:after="80"/>
      </w:pPr>
      <w:r>
        <w:rPr>
          <w:b w:val="0"/>
          <w:i w:val="0"/>
        </w:rPr>
        <w:t>định nghĩa thời thuộc địa, 184–186cư dân được coi là, 186–187luật trong nước, 179cư trú nước ngoài, 182–183định nghĩa của OECD, 177–181các câu hỏi về thời gian, 183–184quyền, luật EU, 60, 63điều khoản bảo lưu (saving clause), 209, 210các quốc gia với tư cách là cư dân của một quốc gia ký kết,</w:t>
      </w:r>
    </w:p>
    <w:p>
      <w:pPr>
        <w:spacing w:after="80"/>
      </w:pPr>
      <w:r>
        <w:rPr>
          <w:b w:val="0"/>
          <w:i w:val="0"/>
        </w:rPr>
        <w:t>tài sản vô hình, 330cơ sở thường trú (permanent establishment), liên quan</w:t>
      </w:r>
    </w:p>
    <w:p>
      <w:pPr>
        <w:spacing w:after="80"/>
      </w:pPr>
      <w:r>
        <w:rPr>
          <w:b w:val="0"/>
          <w:i w:val="0"/>
        </w:rPr>
        <w:t>đến, 336cơ sở thường trú tại quốc gia</w:t>
      </w:r>
    </w:p>
    <w:p>
      <w:pPr>
        <w:spacing w:after="80"/>
      </w:pPr>
      <w:r>
        <w:rPr>
          <w:b w:val="0"/>
          <w:i w:val="0"/>
        </w:rPr>
        <w:t>thứ ba, liên quan đến, 336–337</w:t>
      </w:r>
    </w:p>
    <w:p>
      <w:pPr>
        <w:spacing w:after="80"/>
      </w:pPr>
      <w:r>
        <w:rPr>
          <w:b w:val="0"/>
          <w:i w:val="0"/>
        </w:rPr>
        <w:t>776</w:t>
      </w:r>
    </w:p>
    <w:p>
      <w:pPr>
        <w:spacing w:after="80"/>
      </w:pPr>
      <w:r>
        <w:rPr>
          <w:b w:val="0"/>
          <w:i w:val="0"/>
        </w:rPr>
        <w:t>phí quảng bá đua xe, 333sản xuất nhà máy lọc dầu, 331phạm vi áp dụng các quy định,</w:t>
      </w:r>
    </w:p>
    <w:p>
      <w:pPr>
        <w:spacing w:after="80"/>
      </w:pPr>
      <w:r>
        <w:rPr>
          <w:b w:val="0"/>
          <w:i w:val="0"/>
        </w:rPr>
        <w:t>quyền tự do cung cấp dịch vụ, 92cung cấp, cơ sở thường trú,</w:t>
      </w:r>
    </w:p>
    <w:p>
      <w:pPr>
        <w:spacing w:after="80"/>
      </w:pPr>
      <w:r>
        <w:rPr>
          <w:b w:val="0"/>
          <w:i w:val="0"/>
        </w:rPr>
        <w:t>228, 241–243chính phủ, 253, 345, 361–363, 373,</w:t>
      </w:r>
    </w:p>
    <w:p>
      <w:pPr>
        <w:spacing w:after="80"/>
      </w:pPr>
      <w:r>
        <w:rPr>
          <w:b w:val="0"/>
          <w:i w:val="0"/>
        </w:rPr>
        <w:t>327phạm vi của điều khoản tiền bản quyền (royalty), 331–334thỏa thuận phân phối phần mềm, 333nguồn gốc của, 334–335mối quan hệ đặc biệt, 337–338</w:t>
      </w:r>
    </w:p>
    <w:p>
      <w:pPr>
        <w:spacing w:after="80"/>
      </w:pPr>
      <w:r>
        <w:rPr>
          <w:b w:val="0"/>
          <w:i w:val="0"/>
        </w:rPr>
        <w:t>374dịch vụ cá nhân độc lập, 254,</w:t>
      </w:r>
    </w:p>
    <w:p>
      <w:pPr>
        <w:spacing w:after="80"/>
      </w:pPr>
      <w:r>
        <w:rPr>
          <w:b w:val="0"/>
          <w:i w:val="0"/>
        </w:rPr>
        <w:t>255, 257, 284–287, 292, 305,312, 325, 331, 346, 380, 393,605và cơ sở thường trú,</w:t>
      </w:r>
    </w:p>
    <w:p>
      <w:pPr>
        <w:spacing w:after="80"/>
      </w:pPr>
      <w:r>
        <w:rPr>
          <w:b w:val="0"/>
          <w:i w:val="0"/>
        </w:rPr>
        <w:t>ý nghĩa mở rộngđiều chỉnh giá chuyển nhượng (transfer pricing), 339báo cáo của Ủy ban Ruding, 75, 76</w:t>
      </w:r>
    </w:p>
    <w:p>
      <w:pPr>
        <w:spacing w:after="80"/>
      </w:pPr>
      <w:r>
        <w:rPr>
          <w:b w:val="0"/>
          <w:i w:val="0"/>
        </w:rPr>
        <w:t>241–243địa điểm kinh doanh cố định, 241thực hiện dịch vụ, 268, 284dịch vụ chuyên môn, 241thẩm quyền đánh thuế, 241thỏa thuận chuyển giao công nghệ, 242chuyên môn, 241, 258, 284, 285, 286,</w:t>
      </w:r>
    </w:p>
    <w:p>
      <w:pPr>
        <w:spacing w:after="80"/>
      </w:pPr>
      <w:r>
        <w:rPr>
          <w:b/>
          <w:i w:val="0"/>
        </w:rPr>
        <w:t>Tiền lương</w:t>
      </w:r>
      <w:r>
        <w:rPr>
          <w:b w:val="0"/>
          <w:i/>
        </w:rPr>
        <w:t xml:space="preserve"> – xem</w:t>
      </w:r>
      <w:r>
        <w:rPr>
          <w:b/>
          <w:i w:val="0"/>
        </w:rPr>
        <w:t xml:space="preserve"> Thu nhập từ việc làm</w:t>
      </w:r>
    </w:p>
    <w:p>
      <w:pPr>
        <w:spacing w:after="80"/>
      </w:pPr>
      <w:r>
        <w:rPr>
          <w:b w:val="0"/>
          <w:i w:val="0"/>
        </w:rPr>
        <w:t>Các suối nước mặn hoặc công trình khai thác muối</w:t>
      </w:r>
    </w:p>
    <w:p>
      <w:pPr>
        <w:spacing w:after="80"/>
      </w:pPr>
      <w:r>
        <w:rPr>
          <w:b w:val="0"/>
          <w:i w:val="0"/>
        </w:rPr>
        <w:t>thu nhập từ, 304San Marino, 98, 678Chỉ thị Tiết kiệm</w:t>
      </w:r>
    </w:p>
    <w:p>
      <w:pPr>
        <w:spacing w:after="80"/>
      </w:pPr>
      <w:r>
        <w:rPr>
          <w:b w:val="0"/>
          <w:i w:val="0"/>
        </w:rPr>
        <w:t>287, 347, 380, 390kỹ thuật, 228, 241, 271, 287–290, 472Cổ phần</w:t>
      </w:r>
    </w:p>
    <w:p>
      <w:pPr>
        <w:spacing w:after="80"/>
      </w:pPr>
      <w:r>
        <w:rPr>
          <w:b w:val="0"/>
          <w:i w:val="0"/>
        </w:rPr>
        <w:t>các hiệp ước EU, 30, 98, 99, 634, 640, 655,</w:t>
      </w:r>
    </w:p>
    <w:p>
      <w:pPr>
        <w:spacing w:after="80"/>
      </w:pPr>
      <w:r>
        <w:rPr>
          <w:b w:val="0"/>
          <w:i w:val="0"/>
        </w:rPr>
        <w:t>678Các thỏa thuận thuế tiết kiệm, 23Phạm vi áp dụng của hiệp ước</w:t>
      </w:r>
    </w:p>
    <w:p>
      <w:pPr>
        <w:spacing w:after="80"/>
      </w:pPr>
      <w:r>
        <w:rPr>
          <w:b w:val="0"/>
          <w:i w:val="0"/>
        </w:rPr>
        <w:t>lợi nhuận vốn, 376, 394các chương trình chia cổ phần cho nhân viên và các quyền tương tự, 383–385</w:t>
      </w:r>
    </w:p>
    <w:p>
      <w:pPr>
        <w:spacing w:after="80"/>
      </w:pPr>
      <w:r>
        <w:rPr>
          <w:b w:val="0"/>
          <w:i w:val="0"/>
        </w:rPr>
        <w:t>phạm vi địa lý, 153, 160các loại thuế được điều chỉnh, 153–159phạm vi thời gian, 161–163phạm vi lãnh thổ, 159–161Thuyền viên</w:t>
      </w:r>
    </w:p>
    <w:p>
      <w:pPr>
        <w:spacing w:after="80"/>
      </w:pPr>
      <w:r>
        <w:rPr>
          <w:b w:val="0"/>
          <w:i w:val="0"/>
        </w:rPr>
        <w:t>thăm dò hoặc khai thác, 384–385người không cư trú, 383quyền lợi hợp danh, 383, 384tín thác, 384Vận tải biển</w:t>
      </w:r>
    </w:p>
    <w:p>
      <w:pPr>
        <w:spacing w:after="80"/>
      </w:pPr>
      <w:r>
        <w:rPr>
          <w:b w:val="0"/>
          <w:i w:val="0"/>
        </w:rPr>
        <w:t>thu nhập từ việc làm, 354–355Chứng khoán, 313, 316, 318, 326, 327, 409,</w:t>
      </w:r>
    </w:p>
    <w:p>
      <w:pPr>
        <w:spacing w:after="80"/>
      </w:pPr>
      <w:r>
        <w:rPr>
          <w:b w:val="0"/>
          <w:i w:val="0"/>
        </w:rPr>
        <w:t>chuyển nhượng tàu thuyền, lợi nhuận vốn, 385giao thông quốc tế, 247, 290, 291,</w:t>
      </w:r>
    </w:p>
    <w:p>
      <w:pPr>
        <w:spacing w:after="80"/>
      </w:pPr>
      <w:r>
        <w:rPr>
          <w:b w:val="0"/>
          <w:i w:val="0"/>
        </w:rPr>
        <w:t>414, 418, 422, 431, 461, 496,497, 511, 545, 644, 647liên quan đến việc làm, 345, 352–354lương hưu an sinh xã hội, 211, 366,</w:t>
      </w:r>
    </w:p>
    <w:p>
      <w:pPr>
        <w:spacing w:after="80"/>
      </w:pPr>
      <w:r>
        <w:rPr>
          <w:b w:val="0"/>
          <w:i w:val="0"/>
        </w:rPr>
        <w:t>354, 355, 385thẩm quyền đánh thuế, 290Nhân viên lưu trú ngắn hạn, 349–352Cộng hòa Slovak</w:t>
      </w:r>
      <w:r>
        <w:rPr>
          <w:b w:val="0"/>
          <w:i/>
        </w:rPr>
        <w:t xml:space="preserve"> – xem</w:t>
      </w:r>
      <w:r>
        <w:rPr>
          <w:b w:val="0"/>
          <w:i w:val="0"/>
        </w:rPr>
        <w:t xml:space="preserve"> Tiệp Khắc</w:t>
      </w:r>
    </w:p>
    <w:p>
      <w:pPr>
        <w:spacing w:after="80"/>
      </w:pPr>
      <w:r>
        <w:rPr>
          <w:b w:val="0"/>
          <w:i w:val="0"/>
        </w:rPr>
        <w:t>369, 390Tự khai thuế, 174, 575–580, 596</w:t>
      </w:r>
    </w:p>
    <w:p>
      <w:pPr>
        <w:spacing w:after="80"/>
      </w:pPr>
      <w:r>
        <w:rPr>
          <w:b w:val="0"/>
          <w:i w:val="0"/>
        </w:rPr>
        <w:t>hiệp ướcSlovenia, 44Lương hưu an sinh xã hội, 211, 366, 369,</w:t>
      </w:r>
    </w:p>
    <w:p>
      <w:pPr>
        <w:spacing w:after="80"/>
      </w:pPr>
      <w:r>
        <w:rPr>
          <w:b w:val="0"/>
          <w:i w:val="0"/>
        </w:rPr>
        <w:t>khấu trừ tại nguồn, 565nói chung, 565cư trú, 573quyền lợi theo hiệp ước, 565–567Tự làm chủ</w:t>
      </w:r>
    </w:p>
    <w:p>
      <w:pPr>
        <w:spacing w:after="80"/>
      </w:pPr>
      <w:r>
        <w:rPr>
          <w:b w:val="0"/>
          <w:i w:val="0"/>
        </w:rPr>
        <w:t>390Phần mềm, 135, 333, 334, 531Các nguồn thu nhập, 104, 215, 260, 317,</w:t>
      </w:r>
    </w:p>
    <w:p>
      <w:pPr>
        <w:spacing w:after="80"/>
      </w:pPr>
      <w:r>
        <w:rPr>
          <w:b w:val="0"/>
          <w:i w:val="0"/>
        </w:rPr>
        <w:t>Sự phân biệt giữa việc làm và,</w:t>
      </w:r>
    </w:p>
    <w:p>
      <w:pPr>
        <w:spacing w:after="80"/>
      </w:pPr>
      <w:r>
        <w:rPr>
          <w:b w:val="0"/>
          <w:i w:val="0"/>
        </w:rPr>
        <w:t>347, 443, 513, 565phân loại, 253–255tín dụng cho thuế nước ngoài, 167, 437, 438Các nguồn của luật quốc tế</w:t>
      </w:r>
    </w:p>
    <w:p>
      <w:pPr>
        <w:spacing w:after="80"/>
      </w:pPr>
      <w:r>
        <w:rPr>
          <w:b w:val="0"/>
          <w:i w:val="0"/>
        </w:rPr>
        <w:t>346–347Các dịch vụ</w:t>
      </w:r>
    </w:p>
    <w:p>
      <w:pPr>
        <w:spacing w:after="80"/>
      </w:pPr>
      <w:r>
        <w:rPr>
          <w:b w:val="0"/>
          <w:i w:val="0"/>
        </w:rPr>
        <w:t>dịch vụ tư vấn, 241, 242, 287,</w:t>
      </w:r>
    </w:p>
    <w:p>
      <w:pPr>
        <w:spacing w:after="80"/>
      </w:pPr>
      <w:r>
        <w:rPr>
          <w:b w:val="0"/>
          <w:i w:val="0"/>
        </w:rPr>
        <w:t>288, 331</w:t>
      </w:r>
    </w:p>
    <w:p>
      <w:pPr>
        <w:spacing w:after="80"/>
      </w:pPr>
      <w:r>
        <w:rPr>
          <w:b w:val="0"/>
          <w:i w:val="0"/>
        </w:rPr>
        <w:t>các nguyên tắc chung của pháp luật, 4</w:t>
      </w:r>
    </w:p>
    <w:p>
      <w:pPr>
        <w:spacing w:after="80"/>
      </w:pPr>
      <w:r>
        <w:rPr>
          <w:b w:val="0"/>
          <w:i w:val="0"/>
        </w:rPr>
        <w:t>777</w:t>
      </w:r>
    </w:p>
    <w:p>
      <w:pPr>
        <w:spacing w:after="80"/>
      </w:pPr>
      <w:r>
        <w:rPr>
          <w:b w:val="0"/>
          <w:i w:val="0"/>
        </w:rPr>
        <w:t>nhận diện, 2các công ước quốc tế, 2–3tập quán quốc tế, 3–4</w:t>
      </w:r>
      <w:r>
        <w:rPr>
          <w:b w:val="0"/>
          <w:i/>
        </w:rPr>
        <w:t>Ius Cogens,</w:t>
      </w:r>
      <w:r>
        <w:rPr>
          <w:b w:val="0"/>
          <w:i w:val="0"/>
        </w:rPr>
        <w:t xml:space="preserve"> 4–5các phán quyết tư pháp, 5các tác phẩm của các luật giaCác nguồn lợi tức, 319–322Nguồn thu nhập từ lương hưu, 369Các nguồn thu nhập từ tiền bản quyền, 344–345Nam Phi</w:t>
      </w:r>
    </w:p>
    <w:p>
      <w:pPr>
        <w:spacing w:after="80"/>
      </w:pPr>
      <w:r>
        <w:rPr>
          <w:b w:val="0"/>
          <w:i w:val="0"/>
        </w:rPr>
        <w:t>cách đối xử với cổ đông, 418lợi nhuận chưa thực hiện, 417–418Các thực thể được ưu đãi thuế</w:t>
      </w:r>
    </w:p>
    <w:p>
      <w:pPr>
        <w:spacing w:after="80"/>
      </w:pPr>
      <w:r>
        <w:rPr>
          <w:b w:val="0"/>
          <w:i w:val="0"/>
        </w:rPr>
        <w:t>loại trừ</w:t>
      </w:r>
    </w:p>
    <w:p>
      <w:pPr>
        <w:spacing w:after="80"/>
      </w:pPr>
      <w:r>
        <w:rPr>
          <w:b w:val="0"/>
          <w:i w:val="0"/>
        </w:rPr>
        <w:t>công thức Caribbean, 502công thức Quần đảo Channel, 502–503công thức CIS, 503–504công thức Síp, 504Các miễn trừ thuế của EU, 103–105Các hiệp định trao đổi thông tin thuế</w:t>
      </w:r>
    </w:p>
    <w:p>
      <w:pPr>
        <w:spacing w:after="80"/>
      </w:pPr>
      <w:r>
        <w:rPr>
          <w:b w:val="0"/>
          <w:i w:val="0"/>
        </w:rPr>
        <w:t>các quốc gia bản địaChủ quyền, 1–3, 43, 44, 45, 52, 69, 83,</w:t>
      </w:r>
    </w:p>
    <w:p>
      <w:pPr>
        <w:spacing w:after="80"/>
      </w:pPr>
      <w:r>
        <w:rPr>
          <w:b w:val="0"/>
          <w:i w:val="0"/>
        </w:rPr>
        <w:t>thẩm quyền đối với, 55Các thông lệ thuế có hại của OECD</w:t>
      </w:r>
    </w:p>
    <w:p>
      <w:pPr>
        <w:spacing w:after="80"/>
      </w:pPr>
      <w:r>
        <w:rPr>
          <w:b w:val="0"/>
          <w:i w:val="0"/>
        </w:rPr>
        <w:t>160, 161, 399, 475, 482, 636Mối quan hệ đặc biệt –</w:t>
      </w:r>
      <w:r>
        <w:rPr>
          <w:b w:val="0"/>
          <w:i/>
        </w:rPr>
        <w:t xml:space="preserve"> xem thêm</w:t>
      </w:r>
      <w:r>
        <w:rPr>
          <w:b w:val="0"/>
          <w:i w:val="0"/>
        </w:rPr>
        <w:t xml:space="preserve"> Nguyên tắc</w:t>
      </w:r>
    </w:p>
    <w:p>
      <w:pPr>
        <w:spacing w:after="80"/>
      </w:pPr>
      <w:r>
        <w:rPr>
          <w:b w:val="0"/>
          <w:i w:val="0"/>
        </w:rPr>
        <w:t>chương trình, 640, 654, 662Người nộp thuế, 23, 35, 43, 45, 46, 63, 64, 66,</w:t>
      </w:r>
    </w:p>
    <w:p>
      <w:pPr>
        <w:spacing w:after="80"/>
      </w:pPr>
      <w:r>
        <w:rPr>
          <w:b w:val="0"/>
          <w:i w:val="0"/>
        </w:rPr>
        <w:t>chiều dàiarm's lengthchống tránh thuế, 338Công ước Trọng tài EU, 623Chỉ thị Lãi suất và Tiền bản quyền EU,</w:t>
      </w:r>
    </w:p>
    <w:p>
      <w:pPr>
        <w:spacing w:after="80"/>
      </w:pPr>
      <w:r>
        <w:rPr>
          <w:b w:val="0"/>
          <w:i w:val="0"/>
        </w:rPr>
        <w:t>68, 72, 79, 81, 84, 85, 91, 94,104, 157, 168, 174, 178, 206,207, 252, 254, 255, 266, 324,361, 382, 394–397, 426, 427,428, 429, 436, 439, 449, 453,455, 468, 470, 471, 472, 480,482, 483, 484, 485, 493, 506,525, 534, 547, 556, 563, 565,568, 573, 576, 579, 584, 589,590, 591, 593, 594, 597, 598,600, 601, 603, 604, 615, 616,617, 619, 627, 628, 629, 631,641, 642, 644, 645, 646, 652,653, 654, 668, 672, 678Miễn thuế theo hiệp định, 30, 39, 148, 450–451, 483Hiệp định thuế</w:t>
      </w:r>
    </w:p>
    <w:p>
      <w:pPr>
        <w:spacing w:after="80"/>
      </w:pPr>
      <w:r>
        <w:rPr>
          <w:b w:val="0"/>
          <w:i w:val="0"/>
        </w:rPr>
        <w:t>411lãi suất</w:t>
      </w:r>
    </w:p>
    <w:p>
      <w:pPr>
        <w:spacing w:after="80"/>
      </w:pPr>
      <w:r>
        <w:rPr>
          <w:b w:val="0"/>
          <w:i w:val="0"/>
        </w:rPr>
        <w:t>điều kiện tích lũy, 323hiệu lực của, 323–325ý nghĩa của, 323người trả tiền và chủ sở hữu hưởng lợi, 322tiền bản quyền, 337–338Vận động viên –</w:t>
      </w:r>
      <w:r>
        <w:rPr>
          <w:b w:val="0"/>
          <w:i/>
        </w:rPr>
        <w:t xml:space="preserve"> xem thêm</w:t>
      </w:r>
      <w:r>
        <w:rPr>
          <w:b w:val="0"/>
          <w:i w:val="0"/>
        </w:rPr>
        <w:t xml:space="preserve"> Nghệ sĩ</w:t>
      </w:r>
    </w:p>
    <w:p>
      <w:pPr>
        <w:spacing w:after="80"/>
      </w:pPr>
      <w:r>
        <w:rPr>
          <w:b w:val="0"/>
          <w:i w:val="0"/>
        </w:rPr>
        <w:t>lợi nhuận kinh doanh, 292khấu trừ thuế tại nguồnthu nhập từ chuyển nhượngThế vận hội Olympic và Paralympic, 295Viện trợ nhà nước, 60–62, 90, 102Kế thừa nhà nước, 43–44, 360Sinh viên, 255, 345, 397Công ty con</w:t>
      </w:r>
    </w:p>
    <w:p>
      <w:pPr>
        <w:spacing w:after="80"/>
      </w:pPr>
      <w:r>
        <w:rPr>
          <w:b w:val="0"/>
          <w:i w:val="0"/>
        </w:rPr>
        <w:t>mục đích của, 23, 500tránh và lạm dụng pháp luật, 87–92lợi ích –</w:t>
      </w:r>
      <w:r>
        <w:rPr>
          <w:b w:val="0"/>
          <w:i/>
        </w:rPr>
        <w:t xml:space="preserve"> xem</w:t>
      </w:r>
      <w:r>
        <w:rPr>
          <w:b/>
          <w:i w:val="0"/>
        </w:rPr>
        <w:t xml:space="preserve"> Lợi ích của hiệp định</w:t>
      </w:r>
      <w:r>
        <w:rPr>
          <w:b w:val="0"/>
          <w:i w:val="0"/>
        </w:rPr>
        <w:t>đánh thuế thu nhập hoặc lợi nhuận, 34–35mô hình thuộc địa, 184, 194, 195, 204,</w:t>
      </w:r>
    </w:p>
    <w:p>
      <w:pPr>
        <w:spacing w:after="80"/>
      </w:pPr>
      <w:r>
        <w:rPr>
          <w:b w:val="0"/>
          <w:i w:val="0"/>
        </w:rPr>
        <w:t>công ty mẹ và, 248Thụy Sĩ, 24, 64, 82, 98, 99, 100, 141,</w:t>
      </w:r>
    </w:p>
    <w:p>
      <w:pPr>
        <w:spacing w:after="80"/>
      </w:pPr>
      <w:r>
        <w:rPr>
          <w:b w:val="0"/>
          <w:i w:val="0"/>
        </w:rPr>
        <w:t>260bồi thường cho vi phạm châu Âu</w:t>
      </w:r>
    </w:p>
    <w:p>
      <w:pPr>
        <w:spacing w:after="80"/>
      </w:pPr>
      <w:r>
        <w:rPr>
          <w:b w:val="0"/>
          <w:i w:val="0"/>
        </w:rPr>
        <w:t>179, 202, 365, 460, 678</w:t>
      </w:r>
    </w:p>
    <w:p>
      <w:pPr>
        <w:spacing w:after="80"/>
      </w:pPr>
      <w:r>
        <w:rPr>
          <w:b w:val="0"/>
          <w:i w:val="0"/>
        </w:rPr>
        <w:t>luật, 97các loại thuế được bảo hiểm, 531các điều khoản phân phối, 251–255xóa bỏ đánh thuế hai lần, 67mở rộng lợi ích hiệp định, 51thực hiện</w:t>
      </w:r>
    </w:p>
    <w:p>
      <w:pPr>
        <w:spacing w:after="80"/>
      </w:pPr>
      <w:r>
        <w:rPr>
          <w:b/>
          <w:i w:val="0"/>
        </w:rPr>
        <w:t>Tránh thuế</w:t>
      </w:r>
      <w:r>
        <w:rPr>
          <w:b w:val="0"/>
          <w:i/>
        </w:rPr>
        <w:t xml:space="preserve"> – xem</w:t>
      </w:r>
      <w:r>
        <w:rPr>
          <w:b/>
          <w:i w:val="0"/>
        </w:rPr>
        <w:t xml:space="preserve"> Tránh</w:t>
      </w:r>
    </w:p>
    <w:p>
      <w:pPr>
        <w:spacing w:after="80"/>
      </w:pPr>
      <w:r>
        <w:rPr>
          <w:b w:val="0"/>
          <w:i w:val="0"/>
        </w:rPr>
        <w:t>Xói mòn cơ sở thuế –</w:t>
      </w:r>
      <w:r>
        <w:rPr>
          <w:b w:val="0"/>
          <w:i/>
        </w:rPr>
        <w:t xml:space="preserve"> xem</w:t>
      </w:r>
      <w:r>
        <w:rPr>
          <w:b w:val="0"/>
          <w:i w:val="0"/>
        </w:rPr>
        <w:t xml:space="preserve"> BEPSHệ quả thuế</w:t>
      </w:r>
    </w:p>
    <w:p>
      <w:pPr>
        <w:spacing w:after="80"/>
      </w:pPr>
      <w:r>
        <w:rPr>
          <w:b w:val="0"/>
          <w:i w:val="0"/>
        </w:rPr>
        <w:t>khoản đối价 bằng tiền mặt, 418lỗ, 418cơ sở thường trú, 419</w:t>
      </w:r>
    </w:p>
    <w:p>
      <w:pPr>
        <w:spacing w:after="80"/>
      </w:pPr>
      <w:r>
        <w:rPr>
          <w:b w:val="0"/>
          <w:i w:val="0"/>
        </w:rPr>
        <w:t>luật trong nước, 28, 53, 61–62luật quốc tế, 28</w:t>
      </w:r>
    </w:p>
    <w:p>
      <w:pPr>
        <w:spacing w:after="80"/>
      </w:pPr>
      <w:r>
        <w:rPr>
          <w:b w:val="0"/>
          <w:i w:val="0"/>
        </w:rPr>
        <w:t>778</w:t>
      </w:r>
    </w:p>
    <w:p>
      <w:pPr>
        <w:spacing w:after="80"/>
      </w:pPr>
      <w:r>
        <w:rPr>
          <w:b w:val="0"/>
          <w:i w:val="0"/>
        </w:rPr>
        <w:t>phạm vi của, 23–24phê chuẩn, 28, 53TIOPA 2010, 28–29Công ước Trọng tài EU, 29giải thích –</w:t>
      </w:r>
      <w:r>
        <w:rPr>
          <w:b w:val="0"/>
          <w:i/>
        </w:rPr>
        <w:t xml:space="preserve"> xem</w:t>
      </w:r>
      <w:r>
        <w:rPr>
          <w:b/>
          <w:i w:val="0"/>
        </w:rPr>
        <w:t xml:space="preserve"> Giải thích</w:t>
      </w:r>
    </w:p>
    <w:p>
      <w:pPr>
        <w:spacing w:after="80"/>
      </w:pPr>
      <w:r>
        <w:rPr>
          <w:b w:val="0"/>
          <w:i w:val="0"/>
        </w:rPr>
        <w:t>tổ chức giáo dục, 357thu nhập từ việc làm, 345, 356giới hạn hai năm, 357, 358Phí dịch vụ kỹ thuật, 287–290Quyền viễn thông, 327–330Phạm vi thời gian, 161–163Các khoản thanh toán chấm dứt, 343, 344, 345,</w:t>
      </w:r>
    </w:p>
    <w:p>
      <w:pPr>
        <w:spacing w:after="80"/>
      </w:pPr>
      <w:r>
        <w:rPr>
          <w:b/>
          <w:i w:val="0"/>
        </w:rPr>
        <w:t>các hiệp ước</w:t>
      </w:r>
      <w:r>
        <w:rPr>
          <w:b w:val="0"/>
          <w:i w:val="0"/>
        </w:rPr>
        <w:t>giới hạn quyền tiếp cận các lợi ích hiệp ước,</w:t>
      </w:r>
    </w:p>
    <w:p>
      <w:pPr>
        <w:spacing w:after="80"/>
      </w:pPr>
      <w:r>
        <w:rPr>
          <w:b w:val="0"/>
          <w:i w:val="0"/>
        </w:rPr>
        <w:t>50–51các quy định không phân biệt đối xử, 31, 72,</w:t>
      </w:r>
    </w:p>
    <w:p>
      <w:pPr>
        <w:spacing w:after="80"/>
      </w:pPr>
      <w:r>
        <w:rPr>
          <w:b w:val="0"/>
          <w:i w:val="0"/>
        </w:rPr>
        <w:t>367Phạm vi lãnh thổ</w:t>
      </w:r>
    </w:p>
    <w:p>
      <w:pPr>
        <w:spacing w:after="80"/>
      </w:pPr>
      <w:r>
        <w:rPr>
          <w:b w:val="0"/>
          <w:i w:val="0"/>
        </w:rPr>
        <w:t>142, 279, 454, 464, 471người không cư trú</w:t>
      </w:r>
    </w:p>
    <w:p>
      <w:pPr>
        <w:spacing w:after="80"/>
      </w:pPr>
      <w:r>
        <w:rPr>
          <w:b w:val="0"/>
          <w:i w:val="0"/>
        </w:rPr>
        <w:t>vùng trời, 2, 161Thềm lục địa, 160Biển Bắc, 160không gian vũ trụ, 2, 161lãnh hải, 161Mỏng vốn hóa, 86, 90, 91, 281, 310,</w:t>
      </w:r>
    </w:p>
    <w:p>
      <w:pPr>
        <w:spacing w:after="80"/>
      </w:pPr>
      <w:r>
        <w:rPr>
          <w:b w:val="0"/>
          <w:i w:val="0"/>
        </w:rPr>
        <w:t>tín dụng thuế, 35lợi ích hiệp ước, 64–65các thỏa thuận phi hiệp ước, 24–25, 54hiệp ước giả định, 42–43mối quan hệ với các quy định luật định cụ thể</w:t>
      </w:r>
    </w:p>
    <w:p>
      <w:pPr>
        <w:spacing w:after="80"/>
      </w:pPr>
      <w:r>
        <w:rPr>
          <w:b w:val="0"/>
          <w:i w:val="0"/>
        </w:rPr>
        <w:t>316, 467, 576, 621 –</w:t>
      </w:r>
      <w:r>
        <w:rPr>
          <w:b w:val="0"/>
          <w:i/>
        </w:rPr>
        <w:t xml:space="preserve"> xem thêm</w:t>
      </w:r>
      <w:r>
        <w:rPr>
          <w:b w:val="0"/>
          <w:i w:val="0"/>
        </w:rPr>
        <w:t>Mối quan hệ đặc biệt; Chuyển giáCác quốc gia thứ ba</w:t>
      </w:r>
    </w:p>
    <w:p>
      <w:pPr>
        <w:spacing w:after="80"/>
      </w:pPr>
      <w:r>
        <w:rPr>
          <w:b w:val="0"/>
          <w:i w:val="0"/>
        </w:rPr>
        <w:t>các quy định, 44–45giảm nhẹ thuế thu nhập hoặc thuế công ty, 30,</w:t>
      </w:r>
    </w:p>
    <w:p>
      <w:pPr>
        <w:spacing w:after="80"/>
      </w:pPr>
      <w:r>
        <w:rPr>
          <w:b w:val="0"/>
          <w:i w:val="0"/>
        </w:rPr>
        <w:t>577phạm vi của</w:t>
      </w:r>
    </w:p>
    <w:p>
      <w:pPr>
        <w:spacing w:after="80"/>
      </w:pPr>
      <w:r>
        <w:rPr>
          <w:b w:val="0"/>
          <w:i w:val="0"/>
        </w:rPr>
        <w:t>các thỏa thuận giữa các quốc gia thành viên,</w:t>
      </w:r>
    </w:p>
    <w:p>
      <w:pPr>
        <w:spacing w:after="80"/>
      </w:pPr>
      <w:r>
        <w:rPr>
          <w:b w:val="0"/>
          <w:i w:val="0"/>
        </w:rPr>
        <w:t>địa lý, 153các loại thuế được điều chỉnh, 23tín dụng thuế cho người không cư trú, 35–37các loại thuế theo nghĩa chung, 153Các loại thuế được điều chỉnh</w:t>
      </w:r>
    </w:p>
    <w:p>
      <w:pPr>
        <w:spacing w:after="80"/>
      </w:pPr>
      <w:r>
        <w:rPr>
          <w:b w:val="0"/>
          <w:i w:val="0"/>
        </w:rPr>
        <w:t>92bồi thường cho vi phạm luật EU,</w:t>
      </w:r>
    </w:p>
    <w:p>
      <w:pPr>
        <w:spacing w:after="80"/>
      </w:pPr>
      <w:r>
        <w:rPr>
          <w:b w:val="0"/>
          <w:i w:val="0"/>
        </w:rPr>
        <w:t>97phân biệt đối xử, 94giám sát tài chính, 95–97bảo vệ, 93quyền của các quốc gia không phải thành viên, 94–95các hiệp ước với, 98–100</w:t>
      </w:r>
    </w:p>
    <w:p>
      <w:pPr>
        <w:spacing w:after="80"/>
      </w:pPr>
      <w:r>
        <w:rPr>
          <w:b w:val="0"/>
          <w:i w:val="0"/>
        </w:rPr>
        <w:t>các hiệp ước hợp tác hành chính,</w:t>
      </w:r>
    </w:p>
    <w:p>
      <w:pPr>
        <w:spacing w:after="80"/>
      </w:pPr>
      <w:r>
        <w:rPr>
          <w:b w:val="0"/>
          <w:i w:val="0"/>
        </w:rPr>
        <w:t>158–159các hiệp ước thuế ngân hàng, 158thuế thu nhập từ vốn, 153, 154, 155thuế công ty, 154thuế đất phát triển, 157thuế lợi nhuận chuyển hướng, 157–158thuế bất động sản, thừa kế và quà tặng</w:t>
      </w:r>
    </w:p>
    <w:p>
      <w:pPr>
        <w:spacing w:after="80"/>
      </w:pPr>
      <w:r>
        <w:rPr>
          <w:b w:val="0"/>
          <w:i w:val="0"/>
        </w:rPr>
        <w:t>sự phân biệt giữa các hiệp ước</w:t>
      </w:r>
    </w:p>
    <w:p>
      <w:pPr>
        <w:spacing w:after="80"/>
      </w:pPr>
      <w:r>
        <w:rPr>
          <w:b w:val="0"/>
          <w:i w:val="0"/>
        </w:rPr>
        <w:t>giữa các quốc gia thành viên và, 90Phá vỡ thế bế tắc –</w:t>
      </w:r>
      <w:r>
        <w:rPr>
          <w:b w:val="0"/>
          <w:i/>
        </w:rPr>
        <w:t xml:space="preserve"> xem</w:t>
      </w:r>
      <w:r>
        <w:rPr>
          <w:b w:val="0"/>
          <w:i w:val="0"/>
        </w:rPr>
        <w:t xml:space="preserve"> Cư trú képTimeshares, 305Thời điểm ghi nhận thu nhập</w:t>
      </w:r>
    </w:p>
    <w:p>
      <w:pPr>
        <w:spacing w:after="80"/>
      </w:pPr>
      <w:r>
        <w:rPr>
          <w:b w:val="0"/>
          <w:i w:val="0"/>
        </w:rPr>
        <w:t>hiệp ước, 158thuế nước ngoài, 154, 155, 156, 157nhận diện, 154thuế thu nhập, 154, 155thuế doanh thu dầu khí, 157các loại thuế tương tự, 155Thẩm quyền đánh thuế</w:t>
      </w:r>
    </w:p>
    <w:p>
      <w:pPr>
        <w:spacing w:after="80"/>
      </w:pPr>
      <w:r>
        <w:rPr>
          <w:b w:val="0"/>
          <w:i w:val="0"/>
        </w:rPr>
        <w:t>thu nhập từ việc làm, 349và việc thực hiện nhiệm vụ, 349Nhãn hiệu, 327, 331, 335Chuyển giá –</w:t>
      </w:r>
      <w:r>
        <w:rPr>
          <w:b w:val="0"/>
          <w:i/>
        </w:rPr>
        <w:t xml:space="preserve"> xem thêm</w:t>
      </w:r>
      <w:r>
        <w:rPr>
          <w:b w:val="0"/>
          <w:i w:val="0"/>
        </w:rPr>
        <w:t xml:space="preserve"> Nguyên tắc</w:t>
      </w:r>
    </w:p>
    <w:p>
      <w:pPr>
        <w:spacing w:after="80"/>
      </w:pPr>
      <w:r>
        <w:rPr>
          <w:b w:val="0"/>
          <w:i w:val="0"/>
        </w:rPr>
        <w:t>giá thị trường; Mối quan hệ đặc biệtđiều chỉnh</w:t>
      </w:r>
    </w:p>
    <w:p>
      <w:pPr>
        <w:spacing w:after="80"/>
      </w:pPr>
      <w:r>
        <w:rPr>
          <w:b w:val="0"/>
          <w:i w:val="0"/>
        </w:rPr>
        <w:t>lãi tiền vay, 325tiền bản quyền, 339kháng nghị so với thỏa thuận song phương</w:t>
      </w:r>
    </w:p>
    <w:p>
      <w:pPr>
        <w:spacing w:after="80"/>
      </w:pPr>
      <w:r>
        <w:rPr>
          <w:b w:val="0"/>
          <w:i w:val="0"/>
        </w:rPr>
        <w:t>vận tải hàng không, 290phân bổ, 70, 71, 81, 82, 251–253,</w:t>
      </w:r>
    </w:p>
    <w:p>
      <w:pPr>
        <w:spacing w:after="80"/>
      </w:pPr>
      <w:r>
        <w:rPr>
          <w:b w:val="0"/>
          <w:i w:val="0"/>
        </w:rPr>
        <w:t>259vận tải biển, 290Giáo viên và học giả</w:t>
      </w:r>
    </w:p>
    <w:p>
      <w:pPr>
        <w:spacing w:after="80"/>
      </w:pPr>
      <w:r>
        <w:rPr>
          <w:b w:val="0"/>
          <w:i w:val="0"/>
        </w:rPr>
        <w:t>thủ tục, 585–587các doanh nghiệp liên kết, 295–298phân bổ lợi nhuận, 295</w:t>
      </w:r>
    </w:p>
    <w:p>
      <w:pPr>
        <w:spacing w:after="80"/>
      </w:pPr>
      <w:r>
        <w:rPr>
          <w:b w:val="0"/>
          <w:i w:val="0"/>
        </w:rPr>
        <w:t>779</w:t>
      </w:r>
    </w:p>
    <w:p>
      <w:pPr>
        <w:spacing w:after="80"/>
      </w:pPr>
      <w:r>
        <w:rPr>
          <w:b w:val="0"/>
          <w:i w:val="0"/>
        </w:rPr>
        <w:t>thuế lợi nhuận chuyển hướng, 298, 299Công ước Trọng tài EU –</w:t>
      </w:r>
      <w:r>
        <w:rPr>
          <w:b w:val="0"/>
          <w:i/>
        </w:rPr>
        <w:t xml:space="preserve"> xem</w:t>
      </w:r>
    </w:p>
    <w:p>
      <w:pPr>
        <w:spacing w:after="80"/>
      </w:pPr>
      <w:r>
        <w:rPr>
          <w:b w:val="0"/>
          <w:i w:val="0"/>
        </w:rPr>
        <w:t>các lợi ích của hiệp ước, 50thuế lợi nhuận chuyển hướng, 50Tín thác</w:t>
      </w:r>
    </w:p>
    <w:p>
      <w:pPr>
        <w:spacing w:after="80"/>
      </w:pPr>
      <w:r>
        <w:rPr>
          <w:b/>
          <w:i w:val="0"/>
        </w:rPr>
        <w:t>Công ước Trọng tài</w:t>
      </w:r>
      <w:r>
        <w:rPr>
          <w:b w:val="0"/>
          <w:i w:val="0"/>
        </w:rPr>
        <w:t>Quy tắc Ứng xử EU, 610Diễn đàn Chuyển giá chung EU, 610Luật châu Âu và, 610lãi tiền vay đã trả, 325Hướng dẫn Chuyển giá (OECD),</w:t>
      </w:r>
    </w:p>
    <w:p>
      <w:pPr>
        <w:spacing w:after="80"/>
      </w:pPr>
      <w:r>
        <w:rPr>
          <w:b w:val="0"/>
          <w:i w:val="0"/>
        </w:rPr>
        <w:t>cư trú kép, 194, 199, 204–206thu nhập từ tín thác tùy ý, 174,</w:t>
      </w:r>
    </w:p>
    <w:p>
      <w:pPr>
        <w:spacing w:after="80"/>
      </w:pPr>
      <w:r>
        <w:rPr>
          <w:b w:val="0"/>
          <w:i w:val="0"/>
        </w:rPr>
        <w:t>391, 644, 661người không cư trú</w:t>
      </w:r>
    </w:p>
    <w:p>
      <w:pPr>
        <w:spacing w:after="80"/>
      </w:pPr>
      <w:r>
        <w:rPr>
          <w:b w:val="0"/>
          <w:i w:val="0"/>
        </w:rPr>
        <w:t>lợi nhuận chịu thuế, 377, 378thuế khi rời đi, 385, 386</w:t>
      </w:r>
    </w:p>
    <w:p>
      <w:pPr>
        <w:spacing w:after="80"/>
      </w:pPr>
      <w:r>
        <w:rPr>
          <w:b w:val="0"/>
          <w:i w:val="0"/>
        </w:rPr>
        <w:t>267, 295, 296, 622, 647tiền bản quyền, 339vốn mỏng, 276, 316Tính minh bạch</w:t>
      </w:r>
    </w:p>
    <w:p>
      <w:pPr>
        <w:spacing w:after="80"/>
      </w:pPr>
      <w:r>
        <w:rPr>
          <w:b/>
          <w:i w:val="0"/>
        </w:rPr>
        <w:t>Luật Vương quốc Anh</w:t>
      </w:r>
    </w:p>
    <w:p>
      <w:pPr>
        <w:spacing w:after="80"/>
      </w:pPr>
      <w:r>
        <w:rPr>
          <w:b w:val="0"/>
          <w:i w:val="0"/>
        </w:rPr>
        <w:t>hiệu lực của các hiệp định, 31, 40–42mở rộng quyền lợi theo hiệp định, 51, 177thực thi các hiệp định, 28–29</w:t>
      </w:r>
    </w:p>
    <w:p>
      <w:pPr>
        <w:spacing w:after="80"/>
      </w:pPr>
      <w:r>
        <w:rPr>
          <w:b w:val="0"/>
          <w:i w:val="0"/>
        </w:rPr>
        <w:t>trọng tài, 618và trao đổi thông tin, 12, 102,</w:t>
      </w:r>
    </w:p>
    <w:p>
      <w:pPr>
        <w:spacing w:after="80"/>
      </w:pPr>
      <w:r>
        <w:rPr>
          <w:b w:val="0"/>
          <w:i w:val="0"/>
        </w:rPr>
        <w:t>633, 657về thuế, 167, 170, 173Các thực thể minh bạch</w:t>
      </w:r>
    </w:p>
    <w:p>
      <w:pPr>
        <w:spacing w:after="80"/>
      </w:pPr>
      <w:r>
        <w:rPr>
          <w:b w:val="0"/>
          <w:i w:val="0"/>
        </w:rPr>
        <w:t>phạm vi, 21giới hạn tiếp cận các hiệp định, 50–51luật cũ, các hiệp định được ký kết theo, 40các hiệp định giả định, 42–43mối quan hệ giữa các hiệp định và</w:t>
      </w:r>
    </w:p>
    <w:p>
      <w:pPr>
        <w:spacing w:after="80"/>
      </w:pPr>
      <w:r>
        <w:rPr>
          <w:b w:val="0"/>
          <w:i w:val="0"/>
        </w:rPr>
        <w:t>Các Chỉ thị Thuế của Châu Âu, 407MLI, 535quyền lợi theo hiệp định và, 170–175Các hiệp định</w:t>
      </w:r>
      <w:r>
        <w:rPr>
          <w:b w:val="0"/>
          <w:i/>
        </w:rPr>
        <w:t xml:space="preserve"> – xem</w:t>
      </w:r>
      <w:r>
        <w:rPr>
          <w:b w:val="0"/>
          <w:i w:val="0"/>
        </w:rPr>
        <w:t xml:space="preserve"> Hiệp định thuếQuyền lợi theo hiệp định</w:t>
      </w:r>
      <w:r>
        <w:rPr>
          <w:b w:val="0"/>
          <w:i/>
        </w:rPr>
        <w:t xml:space="preserve"> – xem</w:t>
      </w:r>
      <w:r>
        <w:rPr>
          <w:b w:val="0"/>
          <w:i w:val="0"/>
        </w:rPr>
        <w:t xml:space="preserve"> Quyền lợi của các hiệp địnhHiệp ước về Hoạt động của</w:t>
      </w:r>
    </w:p>
    <w:p>
      <w:pPr>
        <w:spacing w:after="80"/>
      </w:pPr>
      <w:r>
        <w:rPr>
          <w:b w:val="0"/>
          <w:i w:val="0"/>
        </w:rPr>
        <w:t>các quy định luật định cụ thể, 44–45hiệu lực hồi tố, 39–40phạm vi của các hiệp định thuế, 23–24kế thừa quốc gia, 43–44các hiệp định thuế được định nghĩa, 19–21các loại thuế được TIOPA điều chỉnh, 29–31việc ký kết hiệp định, 21–23ghi đè hiệp định, 45–50Cứu trợ đơn phương</w:t>
      </w:r>
      <w:r>
        <w:rPr>
          <w:b w:val="0"/>
          <w:i/>
        </w:rPr>
        <w:t xml:space="preserve"> – xem</w:t>
      </w:r>
      <w:r>
        <w:rPr>
          <w:b w:val="0"/>
          <w:i w:val="0"/>
        </w:rPr>
        <w:t xml:space="preserve"> Tín dụng cho thuế nước ngoài</w:t>
      </w:r>
    </w:p>
    <w:p>
      <w:pPr>
        <w:spacing w:after="80"/>
      </w:pPr>
      <w:r>
        <w:rPr>
          <w:b w:val="0"/>
          <w:i w:val="0"/>
        </w:rPr>
        <w:t>Liên minh Châu Âu</w:t>
      </w:r>
      <w:r>
        <w:rPr>
          <w:b w:val="0"/>
          <w:i/>
        </w:rPr>
        <w:t xml:space="preserve"> – xem</w:t>
      </w:r>
      <w:r>
        <w:rPr>
          <w:b w:val="0"/>
          <w:i w:val="0"/>
        </w:rPr>
        <w:t xml:space="preserve"> Hiệp ước EUMua sắm hiệp định</w:t>
      </w:r>
    </w:p>
    <w:p>
      <w:pPr>
        <w:spacing w:after="80"/>
      </w:pPr>
      <w:r>
        <w:rPr>
          <w:b w:val="0"/>
          <w:i w:val="0"/>
        </w:rPr>
        <w:t>các biện pháp chống lạm dụng, 486</w:t>
      </w:r>
    </w:p>
    <w:p>
      <w:pPr>
        <w:spacing w:after="80"/>
      </w:pPr>
      <w:r>
        <w:rPr>
          <w:b w:val="0"/>
          <w:i w:val="0"/>
        </w:rPr>
        <w:t>quyền sở hữu thực hưởng, 486–499các quy định thiện chí, việc sử dụng,</w:t>
      </w:r>
    </w:p>
    <w:p>
      <w:pPr>
        <w:spacing w:after="80"/>
      </w:pPr>
      <w:r>
        <w:rPr>
          <w:b w:val="0"/>
          <w:i w:val="0"/>
        </w:rPr>
        <w:t>505–510cách tiếp cận kênh dẫn, 504các công ty dẫn vốn, 482, 490, 499,</w:t>
      </w:r>
    </w:p>
    <w:p>
      <w:pPr>
        <w:spacing w:after="80"/>
      </w:pPr>
      <w:r>
        <w:rPr>
          <w:b w:val="0"/>
          <w:i w:val="0"/>
        </w:rPr>
        <w:t>thuếLiên Hợp Quốc</w:t>
      </w:r>
    </w:p>
    <w:p>
      <w:pPr>
        <w:spacing w:after="80"/>
      </w:pPr>
      <w:r>
        <w:rPr>
          <w:b w:val="0"/>
          <w:i w:val="0"/>
        </w:rPr>
        <w:t>Đại hội đồng, 8, 11Ủy ban Chuyên gia về Hợp tác Quốc tế</w:t>
      </w:r>
    </w:p>
    <w:p>
      <w:pPr>
        <w:spacing w:after="80"/>
      </w:pPr>
      <w:r>
        <w:rPr>
          <w:b w:val="0"/>
          <w:i w:val="0"/>
        </w:rPr>
        <w:t>516các biện pháp phòng vệ, 508, 509loại trừ các thực thể được ưu đãi thuế,</w:t>
      </w:r>
    </w:p>
    <w:p>
      <w:pPr>
        <w:spacing w:after="80"/>
      </w:pPr>
      <w:r>
        <w:rPr>
          <w:b w:val="0"/>
          <w:i w:val="0"/>
        </w:rPr>
        <w:t>về các vấn đề thuế, 10, 634Hội đồng Kinh tế và Xã hội</w:t>
      </w:r>
    </w:p>
    <w:p>
      <w:pPr>
        <w:spacing w:after="80"/>
      </w:pPr>
      <w:r>
        <w:rPr>
          <w:b w:val="0"/>
          <w:i w:val="0"/>
        </w:rPr>
        <w:t>501–504các cách tiếp cận tư pháp, 521–527quy tắc xuyên qua, 516–518quy tắc thủ tục, 520các quy định về mục đích, 510–516cách tiếp cận chịu thuế, 500–501quyền sở hữu thực hưởng, 486–499giới hạn quyền lợi, 518–519tóm tắt, 477Hiệp định bị ghi đè</w:t>
      </w:r>
    </w:p>
    <w:p>
      <w:pPr>
        <w:spacing w:after="80"/>
      </w:pPr>
      <w:r>
        <w:rPr>
          <w:b w:val="0"/>
          <w:i w:val="0"/>
        </w:rPr>
        <w:t>(ECOSOC), 10–11Cẩm nang Đàm phán Hiệp định</w:t>
      </w:r>
    </w:p>
    <w:p>
      <w:pPr>
        <w:spacing w:after="80"/>
      </w:pPr>
      <w:r>
        <w:rPr>
          <w:b w:val="0"/>
          <w:i w:val="0"/>
        </w:rPr>
        <w:t>Thuế Song phương, 11, 138Bình luận về Hiệp định Thuế</w:t>
      </w:r>
    </w:p>
    <w:p>
      <w:pPr>
        <w:spacing w:after="80"/>
      </w:pPr>
      <w:r>
        <w:rPr>
          <w:b w:val="0"/>
          <w:i w:val="0"/>
        </w:rPr>
        <w:t>Mẫu, 220, 485Hiệp định Mẫu của Liên Hợp Quốc</w:t>
      </w:r>
    </w:p>
    <w:p>
      <w:pPr>
        <w:spacing w:after="80"/>
      </w:pPr>
      <w:r>
        <w:rPr>
          <w:b w:val="0"/>
          <w:i w:val="0"/>
        </w:rPr>
        <w:t>Giới học thuật, 356trọng tài (MAP), 604, 605</w:t>
      </w:r>
    </w:p>
    <w:p>
      <w:pPr>
        <w:spacing w:after="80"/>
      </w:pPr>
      <w:r>
        <w:rPr>
          <w:b w:val="0"/>
          <w:i w:val="0"/>
        </w:rPr>
        <w:t>780</w:t>
      </w:r>
    </w:p>
    <w:p>
      <w:pPr>
        <w:spacing w:after="80"/>
      </w:pPr>
      <w:r>
        <w:rPr>
          <w:b w:val="0"/>
          <w:i w:val="0"/>
        </w:rPr>
        <w:t>hỗ trợ thu thuế, 683quyền sở hữu thực hưởng, 314, 411, 486,</w:t>
      </w:r>
    </w:p>
    <w:p>
      <w:pPr>
        <w:spacing w:after="80"/>
      </w:pPr>
      <w:r>
        <w:rPr>
          <w:b w:val="0"/>
          <w:i w:val="0"/>
        </w:rPr>
        <w:t>Hiệp định, 2</w:t>
      </w:r>
      <w:r>
        <w:rPr>
          <w:b w:val="0"/>
          <w:i/>
        </w:rPr>
        <w:t xml:space="preserve"> – xem</w:t>
      </w:r>
      <w:r>
        <w:rPr>
          <w:b w:val="0"/>
          <w:i w:val="0"/>
        </w:rPr>
        <w:t xml:space="preserve"> thêmGiải thích hiệp định thuếcác thỏa thuận và văn kiện</w:t>
      </w:r>
    </w:p>
    <w:p>
      <w:pPr>
        <w:spacing w:after="80"/>
      </w:pPr>
      <w:r>
        <w:rPr>
          <w:b w:val="0"/>
          <w:i w:val="0"/>
        </w:rPr>
        <w:t>487công trình xây dựng và thi công, 228thực thể minh bạch về thuế, 442lực hút, 268đại lý độc lập, 238dịch vụ cá nhân độc lập, 257,</w:t>
      </w:r>
    </w:p>
    <w:p>
      <w:pPr>
        <w:spacing w:after="80"/>
      </w:pPr>
      <w:r>
        <w:rPr>
          <w:b w:val="0"/>
          <w:i w:val="0"/>
        </w:rPr>
        <w:t>liên quan đến việc ký kếthiệp định, 123áp dụnghiệu lực ràng buộc, 14bối cảnh, 28thẩm quyền ký kết, 14–15, 38luật quốc tế tập quán, 14, 110,</w:t>
      </w:r>
    </w:p>
    <w:p>
      <w:pPr>
        <w:spacing w:after="80"/>
      </w:pPr>
      <w:r>
        <w:rPr>
          <w:b w:val="0"/>
          <w:i w:val="0"/>
        </w:rPr>
        <w:t>284–286kinh doanh bảo hiểm, 243giao dịch nội bộ doanh nghiệp, 281không phân biệt đối xử, 454thanh toán lương hưu, 578cơ sở thường trú, 218, 219,</w:t>
      </w:r>
    </w:p>
    <w:p>
      <w:pPr>
        <w:spacing w:after="80"/>
      </w:pPr>
      <w:r>
        <w:rPr>
          <w:b w:val="0"/>
          <w:i w:val="0"/>
        </w:rPr>
        <w:t xml:space="preserve">113, 131, 145thiện chí, 14mục tiêu và mục đích, 125nguyên tắc </w:t>
      </w:r>
      <w:r>
        <w:rPr>
          <w:b w:val="0"/>
          <w:i/>
        </w:rPr>
        <w:t>pacta servanda sunt</w:t>
      </w:r>
      <w:r>
        <w:rPr>
          <w:b w:val="0"/>
          <w:i w:val="0"/>
        </w:rPr>
        <w:t>, 38hồi tố, và, 163Lực lượng thăm viếng, 24, 27, 28Nghề nghiệp</w:t>
      </w:r>
    </w:p>
    <w:p>
      <w:pPr>
        <w:spacing w:after="80"/>
      </w:pPr>
      <w:r>
        <w:rPr>
          <w:b w:val="0"/>
          <w:i w:val="0"/>
        </w:rPr>
        <w:t>228, 230, 237, 239, 243tiền bản quyền, 330dịch vụcơ sở thường trú,</w:t>
      </w:r>
    </w:p>
    <w:p>
      <w:pPr>
        <w:spacing w:after="80"/>
      </w:pPr>
      <w:r>
        <w:rPr>
          <w:b w:val="0"/>
          <w:i w:val="0"/>
        </w:rPr>
        <w:t>lợi nhuận, 258</w:t>
      </w:r>
    </w:p>
    <w:p>
      <w:pPr>
        <w:spacing w:after="80"/>
      </w:pPr>
      <w:r>
        <w:rPr>
          <w:b w:val="0"/>
          <w:i w:val="0"/>
        </w:rPr>
        <w:t>241, 538nguồn tiền bản quyền, 334, 335phí dịch vụ kỹ thuật, 472hiệp định Liên Xô</w:t>
      </w:r>
    </w:p>
    <w:p>
      <w:pPr>
        <w:spacing w:after="80"/>
      </w:pPr>
      <w:r>
        <w:rPr>
          <w:b/>
          <w:i w:val="0"/>
        </w:rPr>
        <w:t>Tiền lương</w:t>
      </w:r>
      <w:r>
        <w:rPr>
          <w:b w:val="0"/>
          <w:i/>
        </w:rPr>
        <w:t xml:space="preserve"> – xem</w:t>
      </w:r>
      <w:r>
        <w:rPr>
          <w:b/>
          <w:i w:val="0"/>
        </w:rPr>
        <w:t xml:space="preserve"> Thu nhập từ việc làm</w:t>
      </w:r>
    </w:p>
    <w:p>
      <w:pPr>
        <w:spacing w:after="80"/>
      </w:pPr>
      <w:r>
        <w:rPr>
          <w:b w:val="0"/>
          <w:i w:val="0"/>
        </w:rPr>
        <w:t>Công trình cấp nước và dòng nước</w:t>
      </w:r>
    </w:p>
    <w:p>
      <w:pPr>
        <w:spacing w:after="80"/>
      </w:pPr>
      <w:r>
        <w:rPr>
          <w:b w:val="0"/>
          <w:i w:val="0"/>
        </w:rPr>
        <w:t>thu nhập từ, 304Woodlands</w:t>
      </w:r>
    </w:p>
    <w:p>
      <w:pPr>
        <w:spacing w:after="80"/>
      </w:pPr>
      <w:r>
        <w:rPr>
          <w:b w:val="0"/>
          <w:i w:val="0"/>
        </w:rPr>
        <w:t>đơn xin, 43sự tan rã của Liên Xô, 44</w:t>
      </w:r>
    </w:p>
    <w:p>
      <w:pPr>
        <w:spacing w:after="80"/>
      </w:pPr>
      <w:r>
        <w:rPr>
          <w:b w:val="0"/>
          <w:i w:val="0"/>
        </w:rPr>
        <w:t>thu nhập từ, 304Thu nhập từ việc làm của người lao động, 347, 348,</w:t>
      </w:r>
    </w:p>
    <w:p>
      <w:pPr>
        <w:spacing w:after="80"/>
      </w:pPr>
      <w:r>
        <w:rPr>
          <w:b/>
          <w:i w:val="0"/>
        </w:rPr>
        <w:t>Công ước Vienna về Quan hệ Lãnh sự</w:t>
      </w:r>
    </w:p>
    <w:p>
      <w:pPr>
        <w:spacing w:after="80"/>
      </w:pPr>
      <w:r>
        <w:rPr>
          <w:b/>
          <w:i w:val="0"/>
        </w:rPr>
        <w:t>, 360</w:t>
      </w:r>
    </w:p>
    <w:p>
      <w:pPr>
        <w:spacing w:after="80"/>
      </w:pPr>
      <w:r>
        <w:rPr>
          <w:b/>
          <w:i w:val="0"/>
        </w:rPr>
        <w:t>Hiệp ước Nam Tư</w:t>
      </w:r>
    </w:p>
    <w:p>
      <w:pPr>
        <w:spacing w:after="80"/>
      </w:pPr>
      <w:r>
        <w:rPr>
          <w:b w:val="0"/>
          <w:i w:val="0"/>
        </w:rPr>
        <w:t>Công ước Vienna về Quan hệ Ngoại giao</w:t>
      </w:r>
    </w:p>
    <w:p>
      <w:pPr>
        <w:spacing w:after="80"/>
      </w:pPr>
      <w:r>
        <w:rPr>
          <w:b w:val="0"/>
          <w:i w:val="0"/>
        </w:rPr>
        <w:t>sự tan rã của Nam Tư, 44tình trạng, 351, 362</w:t>
      </w:r>
    </w:p>
    <w:p>
      <w:pPr>
        <w:spacing w:after="80"/>
      </w:pPr>
      <w:r>
        <w:rPr>
          <w:b w:val="0"/>
          <w:i w:val="0"/>
        </w:rPr>
        <w:t>, 359, 360Công ước Vienna về Luật</w:t>
      </w:r>
    </w:p>
    <w:p>
      <w:pPr>
        <w:spacing w:after="80"/>
      </w:pPr>
      <w:r>
        <w:rPr>
          <w:b w:val="0"/>
          <w:i w:val="0"/>
        </w:rPr>
        <w:t>781</w:t>
      </w:r>
    </w:p>
    <w:p>
      <w:pPr>
        <w:spacing w:before="240" w:after="80"/>
      </w:pPr>
      <w:r>
        <w:rPr>
          <w:b/>
          <w:sz w:val="26"/>
        </w:rPr>
        <w:t>Schwarz về Hiệp ước Thuế</w:t>
      </w:r>
    </w:p>
    <w:p>
      <w:pPr>
        <w:spacing w:after="80"/>
      </w:pPr>
      <w:r>
        <w:rPr>
          <w:b w:val="0"/>
          <w:i w:val="0"/>
        </w:rPr>
        <w:t>Ấn bản thứ sáu</w:t>
      </w:r>
    </w:p>
    <w:p>
      <w:pPr>
        <w:spacing w:after="80"/>
      </w:pPr>
      <w:r>
        <w:rPr>
          <w:b w:val="0"/>
          <w:i w:val="0"/>
        </w:rPr>
        <w:t>Bởi Jonathan Schwarz</w:t>
      </w:r>
    </w:p>
    <w:p>
      <w:pPr>
        <w:spacing w:after="80"/>
      </w:pPr>
      <w:r>
        <w:rPr>
          <w:b w:val="0"/>
          <w:i/>
        </w:rPr>
        <w:t>Schwarz về Hiệp ước Thuế</w:t>
      </w:r>
      <w:r>
        <w:rPr>
          <w:b w:val="0"/>
          <w:i w:val="0"/>
        </w:rPr>
        <w:t xml:space="preserve"> là phân tích chuyên sâu mang tính quyết định về các hiệp ước thuế từ góc nhìn của Vương quốc Anh và Ireland, đồng thời cung cấp phân tích chuyên gia sâu sắc về việc giải thích và tương tác của các mạng lưới hiệp ước đó với luật Liên minh châu Âu và luật quốc tế.</w:t>
      </w:r>
    </w:p>
    <w:p>
      <w:pPr>
        <w:spacing w:after="80"/>
      </w:pPr>
      <w:r>
        <w:rPr>
          <w:b w:val="0"/>
          <w:i w:val="0"/>
        </w:rPr>
        <w:t>Ấn bản thứ sáu phát triển đáng kể so với tác phẩm trước đó với phần bình luận được nâng cao và được cập nhật để bao gồm những phát triển mới nhất về luật trong nước và hiệp ước của Vương quốc Anh và Ireland, luật quốc tế và luật EU, bao gồm:</w:t>
      </w:r>
    </w:p>
    <w:p>
      <w:pPr>
        <w:jc w:val="center"/>
      </w:pPr>
      <w:r>
        <w:drawing>
          <wp:inline xmlns:a="http://schemas.openxmlformats.org/drawingml/2006/main" xmlns:pic="http://schemas.openxmlformats.org/drawingml/2006/picture">
            <wp:extent cx="5335206" cy="3266328"/>
            <wp:docPr id="3" name="Picture 3"/>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335206" cy="3266328"/>
                    </a:xfrm>
                    <a:prstGeom prst="rect"/>
                  </pic:spPr>
                </pic:pic>
              </a:graphicData>
            </a:graphic>
          </wp:inline>
        </w:drawing>
      </w:r>
    </w:p>
    <w:p>
      <w:pPr>
        <w:spacing w:after="80"/>
      </w:pPr>
      <w:r>
        <w:rPr>
          <w:b w:val="0"/>
          <w:i w:val="0"/>
        </w:rPr>
        <w:t>• Các Hiệp định Thuế được điều chỉnh bởi Công cụ Đa phương BEPS;• các phán quyết tư pháp của Ireland, Vương quốc Anh và tòa án nước ngoài về các hiệp ước của Vương quốc Anh và Ireland;• Thuế Dịch vụ Kỹ thuật số;• trọng tài bắt buộc ràng buộc theo hiệp ước;• Brexit và Hiệp định Thương mại và Hợp tác EU-Vương quốc Anh;• quyền của người nộp thuế trong trao đổi thông tin;• quyền của người nộp thuế trong việc thu thuế xuyên biên giới của EU;• phân bổ lợi nhuận cho các cơ sở thường trú; và• EU DAC 6 Công bố về kế hoạch xuyên biên giới.</w:t>
      </w:r>
    </w:p>
    <w:p>
      <w:pPr>
        <w:spacing w:after="80"/>
      </w:pPr>
      <w:r>
        <w:rPr>
          <w:b w:val="0"/>
          <w:i w:val="0"/>
        </w:rPr>
        <w:t>Các diễn biến án lệ bao gồm:</w:t>
      </w:r>
    </w:p>
    <w:p>
      <w:pPr>
        <w:spacing w:after="80"/>
      </w:pPr>
      <w:r>
        <w:rPr>
          <w:b w:val="0"/>
          <w:i w:val="0"/>
        </w:rPr>
        <w:t xml:space="preserve">• Tòa án Tối cao Vương quốc Anh trong </w:t>
      </w:r>
      <w:r>
        <w:rPr>
          <w:b w:val="0"/>
          <w:i/>
        </w:rPr>
        <w:t>Fowler v HMRC</w:t>
      </w:r>
      <w:r>
        <w:rPr>
          <w:b w:val="0"/>
          <w:i w:val="0"/>
        </w:rPr>
        <w:t xml:space="preserve">;• Tòa án Tối cao Ấn Độ trong </w:t>
      </w:r>
      <w:r>
        <w:rPr>
          <w:b w:val="0"/>
          <w:i/>
        </w:rPr>
        <w:t>Engineering Analysis Centre of Excellence Private Limited and Others v CIT</w:t>
      </w:r>
      <w:r>
        <w:rPr>
          <w:b w:val="0"/>
          <w:i w:val="0"/>
        </w:rPr>
        <w:t xml:space="preserve">;• Tòa án Liên bang Toàn phần Úc trong </w:t>
      </w:r>
      <w:r>
        <w:rPr>
          <w:b w:val="0"/>
          <w:i/>
        </w:rPr>
        <w:t>Addy v CoT</w:t>
      </w:r>
      <w:r>
        <w:rPr>
          <w:b w:val="0"/>
          <w:i w:val="0"/>
        </w:rPr>
        <w:t xml:space="preserve">;• Tòa án Hành chính Tối cao Pháp trong </w:t>
      </w:r>
      <w:r>
        <w:rPr>
          <w:b w:val="0"/>
          <w:i/>
        </w:rPr>
        <w:t>Valueclick</w:t>
      </w:r>
      <w:r>
        <w:rPr>
          <w:b w:val="0"/>
          <w:i w:val="0"/>
        </w:rPr>
        <w:t xml:space="preserve">;• Tòa án Phúc thẩm Anh trong </w:t>
      </w:r>
      <w:r>
        <w:rPr>
          <w:b w:val="0"/>
          <w:i/>
        </w:rPr>
        <w:t>Irish Bank Resolution Corporation v HMRC; JJ Management and others v HMRC</w:t>
      </w:r>
      <w:r>
        <w:rPr>
          <w:b w:val="0"/>
          <w:i w:val="0"/>
        </w:rPr>
        <w:t xml:space="preserve">;• Tòa án Thuế Hoa Kỳ trong </w:t>
      </w:r>
      <w:r>
        <w:rPr>
          <w:b w:val="0"/>
          <w:i/>
        </w:rPr>
        <w:t>Adams Challenge v CIR</w:t>
      </w:r>
      <w:r>
        <w:rPr>
          <w:b w:val="0"/>
          <w:i w:val="0"/>
        </w:rPr>
        <w:t xml:space="preserve">;• Các Tòa án Thuế Vương quốc Anh trong </w:t>
      </w:r>
      <w:r>
        <w:rPr>
          <w:b w:val="0"/>
          <w:i/>
        </w:rPr>
        <w:t>Royal Bank of Canada v HMRC; Lloyd-Webber v HMRC; Esso Exploration and Production v HMRC; Glencore v HMRC; McCabe v HMRC; Padﬁeld v HMRC; Davies v HMRC; Uddin v HMRC;</w:t>
      </w:r>
      <w:r>
        <w:rPr>
          <w:b w:val="0"/>
          <w:i w:val="0"/>
        </w:rPr>
        <w:t xml:space="preserve">• Tòa án Cấp cao Anh trong </w:t>
      </w:r>
      <w:r>
        <w:rPr>
          <w:b w:val="0"/>
          <w:i/>
        </w:rPr>
        <w:t>Minera Las Bambas v Glencore; Kotton v First Tier Tribunal</w:t>
      </w:r>
      <w:r>
        <w:rPr>
          <w:b w:val="0"/>
          <w:i w:val="0"/>
        </w:rPr>
        <w:t xml:space="preserve">; và• CJEU trong </w:t>
      </w:r>
      <w:r>
        <w:rPr>
          <w:b w:val="0"/>
          <w:i/>
        </w:rPr>
        <w:t xml:space="preserve">N Luxembourg I, and others </w:t>
      </w:r>
      <w:r>
        <w:rPr>
          <w:b w:val="0"/>
          <w:i w:val="0"/>
        </w:rPr>
        <w:t xml:space="preserve">(các 'vụ án quyền sở hữu hưởng lợi Đan Mạch'); </w:t>
      </w:r>
      <w:r>
        <w:rPr>
          <w:b w:val="0"/>
          <w:i/>
        </w:rPr>
        <w:t>État belge v Pantochim; College Pension Plan of British Columbia v Finanzamt München; HB v Istituto Nazionale della Previdenza Sociale</w:t>
      </w:r>
      <w:r>
        <w:rPr>
          <w:b w:val="0"/>
          <w:i w:val="0"/>
        </w:rPr>
        <w:t>.</w:t>
      </w:r>
    </w:p>
    <w:p>
      <w:pPr>
        <w:spacing w:after="80"/>
      </w:pPr>
      <w:r>
        <w:rPr>
          <w:b/>
          <w:i w:val="0"/>
        </w:rPr>
        <w:t>Về Tác giảJonathan Schwarz</w:t>
      </w:r>
      <w:r>
        <w:rPr>
          <w:b w:val="0"/>
          <w:i w:val="0"/>
        </w:rPr>
        <w:t xml:space="preserve"> BA, LLB (Witwatersrand), LLM (UC Berkeley), FTII là Luật sư tranh tụng người Anh tại Temple Tax Chambers ở London, đồng thời là Luật sư biện hộ Nam Phi và Luật sư tranh tụng Canada và Ireland. Hành nghề của ông tập trung vào các tranh chấp thuế quốc tế với vai trò cố vấn và chuyên gia, đồng thời tư vấn giải quyết các vấn đề thuế xuyên biên giới. Ông là Giáo sư thỉnh giảng tại Khoa Luật, Đại học King's College London. Ông đã được xếp hạng là Luật sư tranh tụng thuế hàng đầu trong cả Legal 500, về thuế doanh nghiệp quốc tế, và Chambers' Guide to the Legal Profession, về các giao dịch quốc tế và chuyên môn đặc biệt về chuyển giá. Ông đã được ca ngợi trong Who's Who Legal, UK Bar vì cách xử lý 'xuất sắc' các vấn đề thuế xuyên biên giới. Trong Chambers Guide, ông được nhận định là 'bậc thầy về thuế song phương' với 'chiều sâu kiến thức và kinh nghiệm phi thường khi nói đến các vấn đề hiệp định thuế, là một nhà tư tưởng sáng tạo và một người viết rõ ràng, tỉ mỉ'.</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