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drawing>
          <wp:inline xmlns:a="http://schemas.openxmlformats.org/drawingml/2006/main" xmlns:pic="http://schemas.openxmlformats.org/drawingml/2006/picture">
            <wp:extent cx="5486400" cy="8223176"/>
            <wp:docPr id="1" name="Picture 1"/>
            <wp:cNvGraphicFramePr>
              <a:graphicFrameLocks noChangeAspect="1"/>
            </wp:cNvGraphicFramePr>
            <a:graphic>
              <a:graphicData uri="http://schemas.openxmlformats.org/drawingml/2006/picture">
                <pic:pic>
                  <pic:nvPicPr>
                    <pic:cNvPr id="0" name="image_rsrc7P2.jpg"/>
                    <pic:cNvPicPr/>
                  </pic:nvPicPr>
                  <pic:blipFill>
                    <a:blip r:embed="rId9"/>
                    <a:stretch>
                      <a:fillRect/>
                    </a:stretch>
                  </pic:blipFill>
                  <pic:spPr>
                    <a:xfrm>
                      <a:off x="0" y="0"/>
                      <a:ext cx="5486400" cy="8223176"/>
                    </a:xfrm>
                    <a:prstGeom prst="rect"/>
                  </pic:spPr>
                </pic:pic>
              </a:graphicData>
            </a:graphic>
          </wp:inline>
        </w:drawing>
      </w:r>
    </w:p>
    <w:p>
      <w:pPr>
        <w:pStyle w:val="Heading1"/>
      </w:pPr>
      <w:r>
        <w:rPr>
          <w:rFonts w:ascii="Calibri" w:hAnsi="Calibri"/>
          <w:b/>
          <w:i w:val="0"/>
          <w:sz w:val="40"/>
        </w:rPr>
        <w:t xml:space="preserve">Lời khen cho </w:t>
      </w:r>
      <w:r>
        <w:rPr>
          <w:rFonts w:ascii="Calibri" w:hAnsi="Calibri"/>
          <w:b/>
          <w:i/>
          <w:sz w:val="40"/>
        </w:rPr>
        <w:t>On Board</w:t>
      </w:r>
    </w:p>
    <w:p>
      <w:pPr>
        <w:spacing w:after="80"/>
      </w:pPr>
      <w:r>
        <w:rPr>
          <w:b w:val="0"/>
          <w:i w:val="0"/>
        </w:rPr>
        <w:t>“Foster mổ xẻ sự tiến hóa của quản trị doanh nghiệp và đưa ra một lộ trình rõ ràng để xây dựng những hội đồng quản trị hiệu suất cao trong thế giới phức tạp và khó lường ngày nay. Một cuốn sách nhất định phải đọc cho bất kỳ ai cam kết theo đuổi sự xuất sắc trong vai trò lãnh đạo hội đồng quản trị.”</w:t>
      </w:r>
    </w:p>
    <w:p>
      <w:pPr>
        <w:spacing w:after="80"/>
      </w:pPr>
      <w:r>
        <w:rPr>
          <w:b w:val="0"/>
          <w:i w:val="0"/>
        </w:rPr>
        <w:t>—Hubert Joly, Chủ tịch và CEO (đã nghỉ hưu), Best Buy</w:t>
      </w:r>
    </w:p>
    <w:p>
      <w:pPr>
        <w:spacing w:after="80"/>
      </w:pPr>
      <w:r>
        <w:rPr>
          <w:b w:val="0"/>
          <w:i w:val="0"/>
        </w:rPr>
        <w:t xml:space="preserve">“Trong thế giới lãnh đạo công ty đại chúng không ngừng biến đổi, có một cẩm nang như </w:t>
      </w:r>
      <w:r>
        <w:rPr>
          <w:b w:val="0"/>
          <w:i/>
        </w:rPr>
        <w:t>On Board</w:t>
      </w:r>
      <w:r>
        <w:rPr>
          <w:b w:val="0"/>
          <w:i w:val="0"/>
        </w:rPr>
        <w:t xml:space="preserve"> là một tài sản vô giá.”</w:t>
      </w:r>
    </w:p>
    <w:p>
      <w:pPr>
        <w:spacing w:after="80"/>
      </w:pPr>
      <w:r>
        <w:rPr>
          <w:b w:val="0"/>
          <w:i w:val="0"/>
        </w:rPr>
        <w:t>—Rob Lynch, CEO, Shake Shack</w:t>
      </w:r>
    </w:p>
    <w:p>
      <w:pPr>
        <w:spacing w:after="80"/>
      </w:pPr>
      <w:r>
        <w:rPr>
          <w:b w:val="0"/>
          <w:i w:val="0"/>
        </w:rPr>
        <w:t>“Foster đã định nghĩa một cách chu đáo vai trò của các thành viên hội đồng quản trị trong tác phẩm ‘cẩm nang thực hành’ đầy cân bằng và thiết yếu này về cách các hội đồng quản trị hiệu quả nên vận hành.”</w:t>
      </w:r>
    </w:p>
    <w:p>
      <w:pPr>
        <w:spacing w:after="80"/>
      </w:pPr>
      <w:r>
        <w:rPr>
          <w:b w:val="0"/>
          <w:i w:val="0"/>
        </w:rPr>
        <w:t>—Stuart Miller, Chủ tịch Điều hành, Đồng CEO, và cựu CEO, Lennar</w:t>
      </w:r>
    </w:p>
    <w:p>
      <w:pPr>
        <w:spacing w:after="80"/>
      </w:pPr>
      <w:r>
        <w:rPr>
          <w:b w:val="0"/>
          <w:i w:val="0"/>
        </w:rPr>
        <w:t>“Bằng cách sử dụng những ví dụ thực tế, Foster đã khéo léo giải mã ma trận phức tạp của quản trị doanh nghiệp ngày nay trong cái nhìn tổng quan đáng kinh ngạc này về bức tranh quản trị.”</w:t>
      </w:r>
    </w:p>
    <w:p>
      <w:pPr>
        <w:spacing w:after="80"/>
      </w:pPr>
      <w:r>
        <w:rPr>
          <w:b w:val="0"/>
          <w:i w:val="0"/>
        </w:rPr>
        <w:t>—Melissa Sawyer, Thành viên Hợp danh, Trưởng nhóm Sáp nhập &amp; Mua lại Toàn cầu, và Đồng trưởng bộ phận Thực hành Quản trị Doanh nghiệp, Sullivan &amp; Cromwell</w:t>
      </w:r>
    </w:p>
    <w:p>
      <w:pPr>
        <w:spacing w:after="80"/>
      </w:pPr>
      <w:r>
        <w:rPr>
          <w:b w:val="0"/>
          <w:i w:val="0"/>
        </w:rPr>
        <w:t>“Cuốn cẩm nang nhịp độ nhanh và rất dễ đọc này là một bổ sung quý giá cho kho tàng sách về Phố Wall.”</w:t>
      </w:r>
    </w:p>
    <w:p>
      <w:pPr>
        <w:spacing w:after="80"/>
      </w:pPr>
      <w:r>
        <w:rPr>
          <w:b w:val="0"/>
          <w:i w:val="0"/>
        </w:rPr>
        <w:t xml:space="preserve">—Bill Cohan, Tác giả sách bán chạy nhất của </w:t>
      </w:r>
      <w:r>
        <w:rPr>
          <w:b w:val="0"/>
          <w:i/>
        </w:rPr>
        <w:t>New York Times</w:t>
      </w:r>
      <w:r>
        <w:rPr>
          <w:b w:val="0"/>
          <w:i w:val="0"/>
        </w:rPr>
        <w:t>—</w:t>
      </w:r>
      <w:r>
        <w:rPr>
          <w:b w:val="0"/>
          <w:i/>
        </w:rPr>
        <w:t>Power Failure</w:t>
      </w:r>
    </w:p>
    <w:p>
      <w:pPr>
        <w:spacing w:after="80"/>
      </w:pPr>
      <w:r>
        <w:rPr>
          <w:b w:val="0"/>
          <w:i w:val="0"/>
        </w:rPr>
        <w:t>“Quản trị tốt là nền tảng của một công ty vĩ đại. Cuốn cẩm nang này làm nổi bật một cách rõ ràng bản chất của quản trị tốt. Tôi sẽ giới thiệu nó cho cả các doanh nhân, thành viên hội đồng quản trị, và lãnh đạo công ty đại chúng.”</w:t>
      </w:r>
    </w:p>
    <w:p>
      <w:pPr>
        <w:spacing w:after="80"/>
      </w:pPr>
      <w:r>
        <w:rPr>
          <w:b w:val="0"/>
          <w:i w:val="0"/>
        </w:rPr>
        <w:t>—Harvey Jones, Thành viên Hội đồng Quản trị, Nvidia</w:t>
      </w:r>
    </w:p>
    <w:p>
      <w:pPr>
        <w:spacing w:after="80"/>
      </w:pPr>
      <w:r>
        <w:rPr>
          <w:b w:val="0"/>
          <w:i w:val="0"/>
        </w:rPr>
        <w:t>“Cuốn sách của Foster là một lớp học thạc sĩ về quản trị doanh nghiệp, ngay cả với những thành viên hội đồng quản trị dày dạn kinh nghiệm và với tất cả những ai quan tâm đến cách các công ty đưa ra quyết định. Cuốn sách mang đến cả ống kính lẫn tiêu điểm cho thành công của hội đồng quản trị.”</w:t>
      </w:r>
    </w:p>
    <w:p>
      <w:pPr>
        <w:spacing w:after="80"/>
      </w:pPr>
      <w:r>
        <w:rPr>
          <w:b w:val="0"/>
          <w:i w:val="0"/>
        </w:rPr>
        <w:t>—Glenn Hubbard, Hiệu trưởng Danh dự và Giáo sư Tài chính và Kinh tế Russell L. Carson, Trường Kinh doanh Columbia</w:t>
      </w:r>
    </w:p>
    <w:p>
      <w:pPr>
        <w:spacing w:after="80"/>
      </w:pPr>
      <w:r>
        <w:rPr>
          <w:b w:val="0"/>
          <w:i w:val="0"/>
        </w:rPr>
        <w:t>“Tôi rất khuyến khích cuốn sách sâu sắc này. Foster không chỉ giáo dục người đọc về các nền tảng và nghĩa vụ pháp lý mà còn làm sáng tỏ quản trị đúng đắn như một tài sản chiến lược có thể thúc đẩy thành công lâu dài.”</w:t>
      </w:r>
    </w:p>
    <w:p>
      <w:pPr>
        <w:spacing w:after="80"/>
      </w:pPr>
      <w:r>
        <w:rPr>
          <w:b w:val="0"/>
          <w:i w:val="0"/>
        </w:rPr>
        <w:t>—Jeremy London, Đối tác Điều hành, Skadden, Arps, Slate, Meagher &amp; Flom</w:t>
      </w:r>
    </w:p>
    <w:p>
      <w:pPr>
        <w:spacing w:after="80"/>
      </w:pPr>
      <w:r>
        <w:rPr>
          <w:b w:val="0"/>
          <w:i w:val="0"/>
        </w:rPr>
        <w:t>“Ước gì tôi đã đọc cuốn sách này trước khi tham gia hội đồng quản trị đầu tiên của mình. Các nguyên tắc quản trị, ý tưởng và góc nhìn thực tế được chia sẻ thật tuyệt vời.”</w:t>
      </w:r>
    </w:p>
    <w:p>
      <w:pPr>
        <w:spacing w:after="80"/>
      </w:pPr>
      <w:r>
        <w:rPr>
          <w:b w:val="0"/>
          <w:i w:val="0"/>
        </w:rPr>
        <w:t>—Rob Steele, Phó Chủ tịch (đã nghỉ hưu), Procter &amp; Gamble</w:t>
      </w:r>
    </w:p>
    <w:p>
      <w:pPr>
        <w:spacing w:after="80"/>
      </w:pPr>
      <w:r>
        <w:rPr>
          <w:b w:val="0"/>
          <w:i w:val="0"/>
        </w:rPr>
        <w:t>“Cuốn sách rất đầy đủ nhưng dễ đọc này cung cấp một lịch sử đương đại về những gì thúc đẩy quản trị tốt ngày nay và có những mô tả chi tiết về cách thực hiện quản trị tốt. Đây nên là tài liệu bắt buộc đọc cho tất cả những ai quan tâm hoặc tham gia vào việc quản trị và lãnh đạo của bất kỳ tổ chức nào.”</w:t>
      </w:r>
    </w:p>
    <w:p>
      <w:pPr>
        <w:spacing w:after="80"/>
      </w:pPr>
      <w:r>
        <w:rPr>
          <w:b w:val="0"/>
          <w:i w:val="0"/>
        </w:rPr>
        <w:t>—Steve Rattner, Chủ tịch và Giám đốc Điều hành, Willett Advisors</w:t>
      </w:r>
    </w:p>
    <w:p>
      <w:pPr>
        <w:spacing w:after="80"/>
      </w:pPr>
      <w:r>
        <w:rPr>
          <w:b w:val="0"/>
          <w:i w:val="0"/>
        </w:rPr>
        <w:t>“Từng làm việc với Foster, tôi đã trực tiếp trải nghiệm sự khôn ngoan của ông về quản trị doanh nghiệp. Cuốn sách của ông mang đến một nghiên cứu giá trị về sự phát triển của quản trị doanh nghiệp hiện đại và cách các giám đốc có thể hiểu rõ hơn vai trò của hội đồng quản trị cũng như tiềm năng hiệu quả của nó.”</w:t>
      </w:r>
    </w:p>
    <w:p>
      <w:pPr>
        <w:spacing w:after="80"/>
      </w:pPr>
      <w:r>
        <w:rPr>
          <w:b w:val="0"/>
          <w:i w:val="0"/>
        </w:rPr>
        <w:t>—Jordan Brugg, CEO, Spencer Stuart</w:t>
      </w:r>
    </w:p>
    <w:p>
      <w:pPr>
        <w:spacing w:after="80"/>
      </w:pPr>
      <w:r>
        <w:rPr>
          <w:b w:val="0"/>
          <w:i w:val="0"/>
        </w:rPr>
        <w:t xml:space="preserve">“Đây là cẩm nang nội bộ tối thượng về hội đồng quản trị doanh nghiệp, bao gồm những ví dụ thực tế về những gì </w:t>
      </w:r>
      <w:r>
        <w:rPr>
          <w:b w:val="0"/>
          <w:i/>
        </w:rPr>
        <w:t>thực sự</w:t>
      </w:r>
      <w:r>
        <w:rPr>
          <w:b w:val="0"/>
          <w:i w:val="0"/>
        </w:rPr>
        <w:t xml:space="preserve"> diễn ra bên trong các phòng họp hội đồng quản trị.”</w:t>
      </w:r>
    </w:p>
    <w:p>
      <w:pPr>
        <w:spacing w:after="80"/>
      </w:pPr>
      <w:r>
        <w:rPr>
          <w:b w:val="0"/>
          <w:i w:val="0"/>
        </w:rPr>
        <w:t>—Scott Ullem, CFO, Edwards Lifesciences</w:t>
      </w:r>
    </w:p>
    <w:p>
      <w:pPr>
        <w:spacing w:after="80"/>
      </w:pPr>
      <w:r>
        <w:rPr>
          <w:b w:val="0"/>
          <w:i w:val="0"/>
        </w:rPr>
        <w:t>“Những câu chuyện và giai thoại khiến các khái niệm quản trị phức tạp trở nên gần gũi và dễ hiểu, đảm bảo rằng độc giả có thể áp dụng ngay các bài học vào các tình huống thực tế.”</w:t>
      </w:r>
    </w:p>
    <w:p>
      <w:pPr>
        <w:spacing w:after="80"/>
      </w:pPr>
      <w:r>
        <w:rPr>
          <w:b w:val="0"/>
          <w:i w:val="0"/>
        </w:rPr>
        <w:t>—Mei-Wei Cheng, Chủ tịch và CEO (đã nghỉ hưu), Siemens Đông Bắc Á và Trung Quốc, và Cựu Chủ tịch và CEO, Ford Motor Company Trung Quốc và General Electric Trung Quốc</w:t>
      </w:r>
    </w:p>
    <w:p>
      <w:pPr>
        <w:jc w:val="center"/>
      </w:pPr>
      <w:r>
        <w:drawing>
          <wp:inline xmlns:a="http://schemas.openxmlformats.org/drawingml/2006/main" xmlns:pic="http://schemas.openxmlformats.org/drawingml/2006/picture">
            <wp:extent cx="5272087" cy="8229599"/>
            <wp:docPr id="2" name="Picture 2"/>
            <wp:cNvGraphicFramePr>
              <a:graphicFrameLocks noChangeAspect="1"/>
            </wp:cNvGraphicFramePr>
            <a:graphic>
              <a:graphicData uri="http://schemas.openxmlformats.org/drawingml/2006/picture">
                <pic:pic>
                  <pic:nvPicPr>
                    <pic:cNvPr id="0" name="image_rsrc7P3.jpg"/>
                    <pic:cNvPicPr/>
                  </pic:nvPicPr>
                  <pic:blipFill>
                    <a:blip r:embed="rId10"/>
                    <a:stretch>
                      <a:fillRect/>
                    </a:stretch>
                  </pic:blipFill>
                  <pic:spPr>
                    <a:xfrm>
                      <a:off x="0" y="0"/>
                      <a:ext cx="5272087" cy="8229599"/>
                    </a:xfrm>
                    <a:prstGeom prst="rect"/>
                  </pic:spPr>
                </pic:pic>
              </a:graphicData>
            </a:graphic>
          </wp:inline>
        </w:drawing>
      </w:r>
    </w:p>
    <w:p>
      <w:pPr>
        <w:pStyle w:val="Heading1"/>
      </w:pPr>
      <w:r>
        <w:rPr>
          <w:rFonts w:ascii="Calibri" w:hAnsi="Calibri"/>
          <w:b/>
          <w:i w:val="0"/>
          <w:sz w:val="40"/>
        </w:rPr>
        <w:t>Trong Hội đồng Quản trị</w:t>
      </w:r>
    </w:p>
    <w:p>
      <w:pPr>
        <w:jc w:val="center"/>
      </w:pPr>
      <w:r>
        <w:drawing>
          <wp:inline xmlns:a="http://schemas.openxmlformats.org/drawingml/2006/main" xmlns:pic="http://schemas.openxmlformats.org/drawingml/2006/picture">
            <wp:extent cx="4930856" cy="8229599"/>
            <wp:docPr id="3" name="Picture 3"/>
            <wp:cNvGraphicFramePr>
              <a:graphicFrameLocks noChangeAspect="1"/>
            </wp:cNvGraphicFramePr>
            <a:graphic>
              <a:graphicData uri="http://schemas.openxmlformats.org/drawingml/2006/picture">
                <pic:pic>
                  <pic:nvPicPr>
                    <pic:cNvPr id="0" name="image_rsrc7P4.jpg"/>
                    <pic:cNvPicPr/>
                  </pic:nvPicPr>
                  <pic:blipFill>
                    <a:blip r:embed="rId11"/>
                    <a:stretch>
                      <a:fillRect/>
                    </a:stretch>
                  </pic:blipFill>
                  <pic:spPr>
                    <a:xfrm>
                      <a:off x="0" y="0"/>
                      <a:ext cx="4930856" cy="8229599"/>
                    </a:xfrm>
                    <a:prstGeom prst="rect"/>
                  </pic:spPr>
                </pic:pic>
              </a:graphicData>
            </a:graphic>
          </wp:inline>
        </w:drawing>
      </w:r>
    </w:p>
    <w:p>
      <w:pPr>
        <w:spacing w:after="80"/>
      </w:pPr>
      <w:r>
        <w:rPr>
          <w:b w:val="0"/>
          <w:i w:val="0"/>
        </w:rPr>
        <w:t>Radius Book Group</w:t>
      </w:r>
    </w:p>
    <w:p>
      <w:pPr>
        <w:spacing w:after="80"/>
      </w:pPr>
      <w:r>
        <w:rPr>
          <w:b w:val="0"/>
          <w:i w:val="0"/>
        </w:rPr>
        <w:t>Một bộ phận của Diversion Media and Communications, LLC</w:t>
      </w:r>
    </w:p>
    <w:p>
      <w:pPr>
        <w:spacing w:after="80"/>
      </w:pPr>
      <w:r>
        <w:rPr>
          <w:b w:val="0"/>
          <w:i w:val="0"/>
        </w:rPr>
        <w:t>www.RadiusBookGroup.com</w:t>
      </w:r>
    </w:p>
    <w:p>
      <w:pPr>
        <w:spacing w:after="80"/>
      </w:pPr>
      <w:r>
        <w:rPr>
          <w:b w:val="0"/>
          <w:i w:val="0"/>
        </w:rPr>
        <w:t>Bản quyền © 2025 bởi Jonathan F. Foster</w:t>
      </w:r>
    </w:p>
    <w:p>
      <w:pPr>
        <w:spacing w:after="80"/>
      </w:pPr>
      <w:r>
        <w:rPr>
          <w:b w:val="0"/>
          <w:i w:val="0"/>
        </w:rPr>
        <w:t>Mọi quyền được bảo lưu, bao gồm quyền sao chép cuốn sách này hoặc bất kỳ phần nào của nó dưới bất kỳ hình thức nào. Không phần nào của ấn phẩm này được phép sao chép hoặc truyền tải dưới bất kỳ hình thức hay phương tiện nào, điện tử hay cơ học, bao gồm photocopy, ghi âm, hoặc bất kỳ hệ thống lưu trữ và truy xuất thông tin nào khác, nếu không có sự cho phép bằng văn bản của tác giả.</w:t>
      </w:r>
    </w:p>
    <w:p>
      <w:pPr>
        <w:spacing w:after="80"/>
      </w:pPr>
      <w:r>
        <w:rPr>
          <w:b w:val="0"/>
          <w:i w:val="0"/>
        </w:rPr>
        <w:t>Để biết thêm thông tin, vui lòng gửi email đến info@radiusbookgroup.com.</w:t>
      </w:r>
    </w:p>
    <w:p>
      <w:pPr>
        <w:spacing w:after="80"/>
      </w:pPr>
      <w:r>
        <w:rPr>
          <w:b w:val="0"/>
          <w:i w:val="0"/>
        </w:rPr>
        <w:t>Ấn bản đầu tiên của Radius Book Group: Tháng 6 năm 2025</w:t>
      </w:r>
    </w:p>
    <w:p>
      <w:pPr>
        <w:spacing w:after="80"/>
      </w:pPr>
      <w:r>
        <w:rPr>
          <w:b w:val="0"/>
          <w:i w:val="0"/>
        </w:rPr>
        <w:t>ISBN bìa cứng: 9798895150788</w:t>
      </w:r>
    </w:p>
    <w:p>
      <w:pPr>
        <w:spacing w:after="80"/>
      </w:pPr>
      <w:r>
        <w:rPr>
          <w:b w:val="0"/>
          <w:i w:val="0"/>
        </w:rPr>
        <w:t>ISBN bìa mềm thương mại: 9798895150146</w:t>
      </w:r>
    </w:p>
    <w:p>
      <w:pPr>
        <w:spacing w:after="80"/>
      </w:pPr>
      <w:r>
        <w:rPr>
          <w:b w:val="0"/>
          <w:i w:val="0"/>
        </w:rPr>
        <w:t>ISBN sách điện tử: 9798895150153</w:t>
      </w:r>
    </w:p>
    <w:p>
      <w:pPr>
        <w:spacing w:after="80"/>
      </w:pPr>
      <w:r>
        <w:rPr>
          <w:b w:val="0"/>
          <w:i w:val="0"/>
        </w:rPr>
        <w:t>Sản xuất tại Hoa Kỳ</w:t>
      </w:r>
    </w:p>
    <w:p>
      <w:pPr>
        <w:spacing w:after="80"/>
      </w:pPr>
      <w:r>
        <w:rPr>
          <w:b w:val="0"/>
          <w:i w:val="0"/>
        </w:rPr>
        <w:t>10 9 8 7 6 5 4 3 2 1</w:t>
      </w:r>
    </w:p>
    <w:p>
      <w:pPr>
        <w:spacing w:after="80"/>
      </w:pPr>
      <w:r>
        <w:rPr>
          <w:b w:val="0"/>
          <w:i w:val="0"/>
        </w:rPr>
        <w:t>Thiết kế bìa bởi Pete Garceau</w:t>
      </w:r>
    </w:p>
    <w:p>
      <w:pPr>
        <w:spacing w:after="80"/>
      </w:pPr>
      <w:r>
        <w:rPr>
          <w:b w:val="0"/>
          <w:i w:val="0"/>
        </w:rPr>
        <w:t>Thiết kế áo bìa bởi Elizabeth Kingsbury</w:t>
      </w:r>
    </w:p>
    <w:p>
      <w:pPr>
        <w:spacing w:after="80"/>
      </w:pPr>
      <w:r>
        <w:rPr>
          <w:b w:val="0"/>
          <w:i w:val="0"/>
        </w:rPr>
        <w:t>Thiết kế nội thất bởi Scribe Inc.</w:t>
      </w:r>
    </w:p>
    <w:p>
      <w:pPr>
        <w:spacing w:after="80"/>
      </w:pPr>
      <w:r>
        <w:rPr>
          <w:b w:val="0"/>
          <w:i w:val="0"/>
        </w:rPr>
        <w:t>Radius Book Group và biểu trưng của Radius Book Group là thương hiệu đã đăng ký của Radius Book Group, một bộ phận của Diversion Media and Communications, LLC.</w:t>
      </w:r>
    </w:p>
    <w:p>
      <w:pPr>
        <w:spacing w:after="80"/>
      </w:pPr>
      <w:r>
        <w:rPr>
          <w:b w:val="0"/>
          <w:i w:val="0"/>
        </w:rPr>
        <w:t>Cuốn sách này chứa đựng những ý kiến và quan điểm của tác giả. Không có lời khuyên hay dịch vụ chuyên môn nào về kinh doanh, tài chính, pháp lý, quản trị hay lĩnh vực nào khác được đưa ra ở đây. Những bình luận, gợi ý và chiến lược sau đây có thể không phù hợp với mọi cá nhân, tình huống hoặc công ty và không được bảo đảm hay cam kết sẽ mang lại bất kỳ kết quả cụ thể nào.</w:t>
      </w:r>
    </w:p>
    <w:p>
      <w:pPr>
        <w:spacing w:after="80"/>
      </w:pPr>
      <w:r>
        <w:rPr>
          <w:b w:val="0"/>
          <w:i w:val="0"/>
        </w:rPr>
        <w:t>Dành cho Roni, Rebekah và Jack . . .</w:t>
      </w:r>
    </w:p>
    <w:p>
      <w:pPr>
        <w:pStyle w:val="Heading1"/>
      </w:pPr>
      <w:r>
        <w:rPr>
          <w:rFonts w:ascii="Calibri" w:hAnsi="Calibri"/>
          <w:b/>
          <w:i w:val="0"/>
          <w:sz w:val="40"/>
        </w:rPr>
        <w:t>Mục lục</w:t>
      </w:r>
    </w:p>
    <w:p>
      <w:pPr>
        <w:pStyle w:val="Heading2"/>
      </w:pPr>
      <w:r>
        <w:rPr>
          <w:rFonts w:ascii="Calibri" w:hAnsi="Calibri"/>
          <w:b/>
          <w:i w:val="0"/>
          <w:sz w:val="32"/>
        </w:rPr>
        <w:t>Mục I</w:t>
      </w:r>
    </w:p>
    <w:p>
      <w:pPr>
        <w:pStyle w:val="Heading2"/>
      </w:pPr>
      <w:r>
        <w:rPr>
          <w:rFonts w:ascii="Calibri" w:hAnsi="Calibri"/>
          <w:b/>
          <w:i w:val="0"/>
          <w:sz w:val="32"/>
        </w:rPr>
        <w:t>Vì sao có cuốn sách này và góc nhìn lịch sử</w:t>
      </w:r>
    </w:p>
    <w:p>
      <w:pPr>
        <w:spacing w:after="80"/>
      </w:pPr>
      <w:r>
        <w:rPr>
          <w:b w:val="0"/>
          <w:i w:val="0"/>
        </w:rPr>
        <w:t>1. Vào cuộc</w:t>
      </w:r>
    </w:p>
    <w:p>
      <w:pPr>
        <w:spacing w:after="80"/>
      </w:pPr>
      <w:r>
        <w:rPr>
          <w:b w:val="0"/>
          <w:i w:val="0"/>
        </w:rPr>
        <w:t>2. Chúng ta đã đi đến hiện tại như thế nào</w:t>
      </w:r>
    </w:p>
    <w:p>
      <w:pPr>
        <w:pStyle w:val="Heading2"/>
      </w:pPr>
      <w:r>
        <w:rPr>
          <w:rFonts w:ascii="Calibri" w:hAnsi="Calibri"/>
          <w:b/>
          <w:i w:val="0"/>
          <w:sz w:val="32"/>
        </w:rPr>
        <w:t>Mục II</w:t>
      </w:r>
    </w:p>
    <w:p>
      <w:pPr>
        <w:pStyle w:val="Heading2"/>
      </w:pPr>
      <w:r>
        <w:rPr>
          <w:rFonts w:ascii="Calibri" w:hAnsi="Calibri"/>
          <w:b/>
          <w:i w:val="0"/>
          <w:sz w:val="32"/>
        </w:rPr>
        <w:t>Giám đốc làm gì và làm như thế nào?</w:t>
      </w:r>
    </w:p>
    <w:p>
      <w:pPr>
        <w:spacing w:after="80"/>
      </w:pPr>
      <w:r>
        <w:rPr>
          <w:b w:val="0"/>
          <w:i w:val="0"/>
        </w:rPr>
        <w:t>3. Cốt lõi vai trò của giám đốc công ty</w:t>
      </w:r>
    </w:p>
    <w:p>
      <w:pPr>
        <w:spacing w:after="80"/>
      </w:pPr>
      <w:r>
        <w:rPr>
          <w:b w:val="0"/>
          <w:i w:val="0"/>
        </w:rPr>
        <w:t>4. Ba ủy ban chính của hội đồng quản trị</w:t>
      </w:r>
    </w:p>
    <w:p>
      <w:pPr>
        <w:spacing w:after="80"/>
      </w:pPr>
      <w:r>
        <w:rPr>
          <w:b w:val="0"/>
          <w:i w:val="0"/>
        </w:rPr>
        <w:t>5. Lãnh đạo hội đồng quản trị</w:t>
      </w:r>
    </w:p>
    <w:p>
      <w:pPr>
        <w:pStyle w:val="Heading2"/>
      </w:pPr>
      <w:r>
        <w:rPr>
          <w:rFonts w:ascii="Calibri" w:hAnsi="Calibri"/>
          <w:b/>
          <w:i w:val="0"/>
          <w:sz w:val="32"/>
        </w:rPr>
        <w:t>Mục III</w:t>
      </w:r>
    </w:p>
    <w:p>
      <w:pPr>
        <w:pStyle w:val="Heading2"/>
      </w:pPr>
      <w:r>
        <w:rPr>
          <w:rFonts w:ascii="Calibri" w:hAnsi="Calibri"/>
          <w:b/>
          <w:i w:val="0"/>
          <w:sz w:val="32"/>
        </w:rPr>
        <w:t>Giám đốc phải làm việc trong bối cảnh nào?</w:t>
      </w:r>
    </w:p>
    <w:p>
      <w:pPr>
        <w:spacing w:after="80"/>
      </w:pPr>
      <w:r>
        <w:rPr>
          <w:b w:val="0"/>
          <w:i w:val="0"/>
        </w:rPr>
        <w:t>6. Sáp nhập, mua lại và bán công ty</w:t>
      </w:r>
    </w:p>
    <w:p>
      <w:pPr>
        <w:spacing w:after="80"/>
      </w:pPr>
      <w:r>
        <w:rPr>
          <w:b w:val="0"/>
          <w:i w:val="0"/>
        </w:rPr>
        <w:t>7. Ảnh hưởng đang lên của các nhà đầu tư hoạt động</w:t>
      </w:r>
    </w:p>
    <w:p>
      <w:pPr>
        <w:spacing w:after="80"/>
      </w:pPr>
      <w:r>
        <w:rPr>
          <w:b w:val="0"/>
          <w:i w:val="0"/>
        </w:rPr>
        <w:t>8. Tác động ngày càng tăng của các nhà đầu tư tổ chức</w:t>
      </w:r>
    </w:p>
    <w:p>
      <w:pPr>
        <w:spacing w:after="80"/>
      </w:pPr>
      <w:r>
        <w:rPr>
          <w:b w:val="0"/>
          <w:i w:val="0"/>
        </w:rPr>
        <w:t>9. Các công ty gặp khó khăn và tái cấu trúc tài chính</w:t>
      </w:r>
    </w:p>
    <w:p>
      <w:pPr>
        <w:spacing w:after="80"/>
      </w:pPr>
      <w:r>
        <w:rPr>
          <w:b w:val="0"/>
          <w:i w:val="0"/>
        </w:rPr>
        <w:t>10. Các vấn đề môi trường, xã hội và quản trị</w:t>
      </w:r>
    </w:p>
    <w:p>
      <w:pPr>
        <w:pStyle w:val="Heading2"/>
      </w:pPr>
      <w:r>
        <w:rPr>
          <w:rFonts w:ascii="Calibri" w:hAnsi="Calibri"/>
          <w:b/>
          <w:i w:val="0"/>
          <w:sz w:val="32"/>
        </w:rPr>
        <w:t>Mục IV</w:t>
      </w:r>
    </w:p>
    <w:p>
      <w:pPr>
        <w:pStyle w:val="Heading2"/>
      </w:pPr>
      <w:r>
        <w:rPr>
          <w:rFonts w:ascii="Calibri" w:hAnsi="Calibri"/>
          <w:b/>
          <w:i w:val="0"/>
          <w:sz w:val="32"/>
        </w:rPr>
        <w:t>Các giám đốc có thể làm gì để thúc đẩy thành công lâu dài?</w:t>
      </w:r>
    </w:p>
    <w:p>
      <w:pPr>
        <w:spacing w:after="80"/>
      </w:pPr>
      <w:r>
        <w:rPr>
          <w:b w:val="0"/>
          <w:i w:val="0"/>
        </w:rPr>
        <w:t>11. Các giám đốc mới: Tuyển dụng, Đa dạng và Hội nhập</w:t>
      </w:r>
    </w:p>
    <w:p>
      <w:pPr>
        <w:spacing w:after="80"/>
      </w:pPr>
      <w:r>
        <w:rPr>
          <w:b w:val="0"/>
          <w:i w:val="0"/>
        </w:rPr>
        <w:t>12. Tổng giám đốc điều hành</w:t>
      </w:r>
    </w:p>
    <w:p>
      <w:pPr>
        <w:spacing w:after="80"/>
      </w:pPr>
      <w:r>
        <w:rPr>
          <w:b w:val="0"/>
          <w:i w:val="0"/>
        </w:rPr>
        <w:t>13. Rủi ro và Khủng hoảng</w:t>
      </w:r>
    </w:p>
    <w:p>
      <w:pPr>
        <w:spacing w:after="80"/>
      </w:pPr>
      <w:r>
        <w:rPr>
          <w:b w:val="0"/>
          <w:i w:val="0"/>
        </w:rPr>
        <w:t>14. Giữ cho hội đồng quản trị luôn mới mẻ và sắc bén</w:t>
      </w:r>
    </w:p>
    <w:p>
      <w:pPr>
        <w:spacing w:after="80"/>
      </w:pPr>
      <w:r>
        <w:rPr>
          <w:b w:val="0"/>
          <w:i w:val="0"/>
        </w:rPr>
        <w:t>15. Nhìn về phía trước và các khuyến nghị</w:t>
      </w:r>
    </w:p>
    <w:p>
      <w:pPr>
        <w:pStyle w:val="Heading2"/>
      </w:pPr>
      <w:r>
        <w:rPr>
          <w:rFonts w:ascii="Calibri" w:hAnsi="Calibri"/>
          <w:b/>
          <w:i w:val="0"/>
          <w:sz w:val="32"/>
        </w:rPr>
        <w:t>Lời cảm ơn</w:t>
      </w:r>
    </w:p>
    <w:p>
      <w:pPr>
        <w:pStyle w:val="Heading2"/>
      </w:pPr>
      <w:r>
        <w:rPr>
          <w:rFonts w:ascii="Calibri" w:hAnsi="Calibri"/>
          <w:b/>
          <w:i w:val="0"/>
          <w:sz w:val="32"/>
        </w:rPr>
        <w:t>Phụ lục: Các cuộc phỏng vấn</w:t>
      </w:r>
    </w:p>
    <w:p>
      <w:pPr>
        <w:pStyle w:val="Heading2"/>
      </w:pPr>
      <w:r>
        <w:rPr>
          <w:rFonts w:ascii="Calibri" w:hAnsi="Calibri"/>
          <w:b/>
          <w:i w:val="0"/>
          <w:sz w:val="32"/>
        </w:rPr>
        <w:t>Ghi chú</w:t>
      </w:r>
    </w:p>
    <w:p>
      <w:pPr>
        <w:pStyle w:val="Heading2"/>
      </w:pPr>
      <w:r>
        <w:rPr>
          <w:rFonts w:ascii="Calibri" w:hAnsi="Calibri"/>
          <w:b/>
          <w:i w:val="0"/>
          <w:sz w:val="32"/>
        </w:rPr>
        <w:t>Mục lục tra cứu</w:t>
      </w:r>
    </w:p>
    <w:p>
      <w:pPr>
        <w:pStyle w:val="Heading2"/>
      </w:pPr>
      <w:r>
        <w:rPr>
          <w:rFonts w:ascii="Calibri" w:hAnsi="Calibri"/>
          <w:b/>
          <w:i w:val="0"/>
          <w:sz w:val="32"/>
        </w:rPr>
        <w:t>Về tác giả</w:t>
      </w:r>
    </w:p>
    <w:p>
      <w:pPr>
        <w:pStyle w:val="Heading1"/>
      </w:pPr>
      <w:r>
        <w:rPr>
          <w:rFonts w:ascii="Calibri" w:hAnsi="Calibri"/>
          <w:b/>
          <w:i w:val="0"/>
          <w:sz w:val="40"/>
        </w:rPr>
        <w:t>Mục I</w:t>
      </w:r>
    </w:p>
    <w:p>
      <w:pPr>
        <w:pStyle w:val="Heading1"/>
      </w:pPr>
      <w:r>
        <w:rPr>
          <w:rFonts w:ascii="Calibri" w:hAnsi="Calibri"/>
          <w:b/>
          <w:i w:val="0"/>
          <w:sz w:val="40"/>
        </w:rPr>
        <w:t>Tại sao có cuốn sách này và một góc nhìn lịch sử</w:t>
      </w:r>
    </w:p>
    <w:p>
      <w:pPr>
        <w:pStyle w:val="Heading1"/>
      </w:pPr>
      <w:r>
        <w:rPr>
          <w:rFonts w:ascii="Calibri" w:hAnsi="Calibri"/>
          <w:b/>
          <w:i w:val="0"/>
          <w:sz w:val="40"/>
        </w:rPr>
        <w:t>Chương 1</w:t>
      </w:r>
    </w:p>
    <w:p>
      <w:pPr>
        <w:pStyle w:val="Heading1"/>
      </w:pPr>
      <w:r>
        <w:rPr>
          <w:rFonts w:ascii="Calibri" w:hAnsi="Calibri"/>
          <w:b/>
          <w:i w:val="0"/>
          <w:sz w:val="40"/>
        </w:rPr>
        <w:t>Trong hội đồng quản trị</w:t>
      </w:r>
    </w:p>
    <w:p>
      <w:pPr>
        <w:spacing w:after="80"/>
      </w:pPr>
      <w:r>
        <w:rPr>
          <w:b w:val="0"/>
          <w:i w:val="0"/>
        </w:rPr>
        <w:t xml:space="preserve">Tất cả bắt đầu từ những dòng tóm tắt ngắn gọn trong hai cột bên trái trang nhất của tờ </w:t>
      </w:r>
      <w:r>
        <w:rPr>
          <w:b w:val="0"/>
          <w:i/>
        </w:rPr>
        <w:t>Wall Street Journal</w:t>
      </w:r>
      <w:r>
        <w:rPr>
          <w:b w:val="0"/>
          <w:i w:val="0"/>
        </w:rPr>
        <w:t xml:space="preserve"> cách đây khoảng 50 năm—tất nhiên là báo giấy. Bố tôi từng giúp điều hành rồi sau đó sở hữu một công ty sản xuất nhỏ ở New Hampshire và mỗi tối đều mang tờ </w:t>
      </w:r>
      <w:r>
        <w:rPr>
          <w:b w:val="0"/>
          <w:i/>
        </w:rPr>
        <w:t>Journal</w:t>
      </w:r>
      <w:r>
        <w:rPr>
          <w:b w:val="0"/>
          <w:i w:val="0"/>
        </w:rPr>
        <w:t xml:space="preserve"> từ văn phòng về nhà.</w:t>
      </w:r>
    </w:p>
    <w:p>
      <w:pPr>
        <w:spacing w:after="80"/>
      </w:pPr>
      <w:r>
        <w:rPr>
          <w:b w:val="0"/>
          <w:i w:val="0"/>
        </w:rPr>
        <w:t xml:space="preserve">Ngay cả trong thời kỳ chưa có internet và mạng xã hội, việc đọc tin tức kinh doanh trong ngày khi ngày đã gần tàn vẫn có vẻ muộn màng. Vì vậy, cha tôi hứa rằng nếu tôi đọc trang nhất của tờ </w:t>
      </w:r>
      <w:r>
        <w:rPr>
          <w:b w:val="0"/>
          <w:i/>
        </w:rPr>
        <w:t>Journal</w:t>
      </w:r>
      <w:r>
        <w:rPr>
          <w:b w:val="0"/>
          <w:i w:val="0"/>
        </w:rPr>
        <w:t xml:space="preserve"> mỗi tối trong vài tuần, ông sẽ mua cho tôi một bản riêng được giao đến nhà cùng thư buổi trưa để tôi đọc sau giờ học. Tôi đã nhận lời đề nghị đó.</w:t>
      </w:r>
    </w:p>
    <w:p>
      <w:pPr>
        <w:spacing w:after="80"/>
      </w:pPr>
      <w:r>
        <w:rPr>
          <w:b w:val="0"/>
          <w:i w:val="0"/>
        </w:rPr>
        <w:t xml:space="preserve">Những câu chuyện trên tờ </w:t>
      </w:r>
      <w:r>
        <w:rPr>
          <w:b w:val="0"/>
          <w:i/>
        </w:rPr>
        <w:t>Journal</w:t>
      </w:r>
      <w:r>
        <w:rPr>
          <w:b w:val="0"/>
          <w:i w:val="0"/>
        </w:rPr>
        <w:t xml:space="preserve"> khẳng định cảm nhận của tôi rằng dù cuộc sống ở New Hampshire có vẻ thú vị với một thiếu niên trẻ, thì Phố Wall vẫn hấp dẫn hơn nhiều. Niềm phấn khích đó chưa bao giờ rời bỏ tôi. Cuối cùng tôi có một khoảng thời gian ngắn làm kế toán công tại nơi nay là PwC và đã dành hơn 30 năm qua chủ yếu cho công việc tư vấn sáp nhập và mua lại (M&amp;A), bao gồm tại Lazard, nơi tôi trở thành giám đốc điều hành, và tại một công ty do tôi thành lập và vẫn đang hoạt động, Current Capital Partners.</w:t>
      </w:r>
    </w:p>
    <w:p>
      <w:pPr>
        <w:spacing w:after="80"/>
      </w:pPr>
      <w:r>
        <w:rPr>
          <w:b w:val="0"/>
          <w:i w:val="0"/>
        </w:rPr>
        <w:t>Khoảng 25 năm trước, tôi tham gia hội đồng quản trị đầu tiên rồi đến hội đồng thứ hai, cả hai đều là các công ty đại chúng nhỏ, và tôi được tận mắt chứng kiến cảm giác tham gia vào quản trị doanh nghiệp không chỉ với tư cách cố vấn bên ngoài, mà còn chia sẻ trách nhiệm về kết quả hoạt động của công ty, dù tốt hay xấu.</w:t>
      </w:r>
    </w:p>
    <w:p>
      <w:pPr>
        <w:spacing w:after="80"/>
      </w:pPr>
      <w:r>
        <w:rPr>
          <w:b w:val="0"/>
          <w:i w:val="0"/>
        </w:rPr>
        <w:t>Ngay sau cuộc suy thoái 2007–9, tôi tham gia hội đồng quản trị của Masonite, một nhà sản xuất sản phẩm xây dựng đã thoát khỏi quá trình tái cấu trúc theo Chương 11 của Bộ luật Phá sản Hoa Kỳ. Một công ty đầu tư, Centerbridge, là nhà đầu tư thiểu số được quyền có một ghế trong hội đồng. Nhờ nền tảng và mối quan hệ của tôi với một số người tại Centerbridge, họ đã đề cử tôi vào ghế của họ.</w:t>
      </w:r>
    </w:p>
    <w:p>
      <w:pPr>
        <w:spacing w:after="80"/>
      </w:pPr>
      <w:r>
        <w:rPr>
          <w:b w:val="0"/>
          <w:i w:val="0"/>
        </w:rPr>
        <w:t>Tại cuộc họp hội đồng đầu tiên của tôi, người ta bàn về việc ai sẽ tham gia và sau đó ai sẽ làm chủ tịch ủy ban kiểm toán. Tôi giơ tay cho cả hai vị trí và giữ chức chủ tịch ủy ban kiểm toán trong khoảng 15 năm, cho đến khi Masonite được bán vào năm 2024 cho Owens Corning với giá khoảng 4 tỷ đô la. Trong thời gian đó, tôi đã giúp đưa Masonite niêm yết trên Sở Giao dịch Chứng khoán New York (NYSE), trải qua một lần chuyển giao tổng giám đốc điều hành (CEO), hai lần thay đổi giám đốc tài chính (CFO), và mức tăng hơn 10 lần trong lợi nhuận trước lãi vay, thuế, khấu hao và phân bổ, hay EBITDA, hằng năm.</w:t>
      </w:r>
    </w:p>
    <w:p>
      <w:pPr>
        <w:spacing w:after="80"/>
      </w:pPr>
      <w:r>
        <w:rPr>
          <w:b w:val="0"/>
          <w:i w:val="0"/>
        </w:rPr>
        <w:t>Tôi không thực sự chắc làm thế nào để trở thành một chủ tịch ủy ban kiểm toán hiệu quả khi nhận vai trò này, nhưng tôi biết cách học. Tôi gọi cho bạn tôi Steve Key, một giám đốc giàu kinh nghiệm, cựu trưởng văn phòng New York của hãng kế toán Arthur Young (sau này trở thành Ernst &amp; Young), và cựu CFO của Textron và Conagra. Chỉ vài tuần sau, tôi ngồi với ông trên hiên ngôi nhà kiểu Victoria của ông ở Providence, Rhode Island.</w:t>
      </w:r>
    </w:p>
    <w:p>
      <w:pPr>
        <w:spacing w:after="80"/>
      </w:pPr>
      <w:r>
        <w:rPr>
          <w:b w:val="0"/>
          <w:i w:val="0"/>
        </w:rPr>
        <w:t>Steve bắt đầu bằng việc giải thích cho tôi tầm quan trọng của một văn hóa tuyệt vời, mà ông mô tả là “những niềm tin và hành vi quyết định cách nhân viên và ban quản lý của một tổ chức tương tác và xử lý các giao dịch bên trong lẫn bên ngoài. Thông thường, đây là sản phẩm phụ của sự lãnh đạo tuyệt vời,” Steve nói thêm, “và tập trung vào việc mang lại giá trị cho khách hàng và lợi nhuận cho nhà đầu tư.” Ông nói rằng ủy ban kiểm toán phải hoạt động trong văn hóa này và nhấn mạnh lợi ích của việc xây dựng một kế hoạch công việc cho cả năm.</w:t>
      </w:r>
    </w:p>
    <w:p>
      <w:pPr>
        <w:spacing w:after="80"/>
      </w:pPr>
      <w:r>
        <w:rPr>
          <w:b w:val="0"/>
          <w:i w:val="0"/>
        </w:rPr>
        <w:t>Steve lưu ý rằng hai trong số những nhiệm vụ quan trọng nhất dẫn đến thành công của ủy ban là một cái nhìn tổng quan chiến lược về những gì lĩnh vực kế toán và tài chính phải làm trong vài năm tới để hỗ trợ hoạt động đạt được các mục tiêu chiến lược, và việc xem xét những nhân sự chủ chốt trong các chức năng kế toán và tài chính. Suốt phần còn lại của buổi chiều, Steve đã dạy tôi một khóa học chi tiết về cách trở thành một chủ tịch ủy ban kiểm toán hiệu quả. Đó là khóa học mà tôi đã ấp ủ từ lâu muốn mở rộng theo nhiều hướng và chia sẻ với người khác.</w:t>
      </w:r>
    </w:p>
    <w:p>
      <w:pPr>
        <w:spacing w:after="80"/>
      </w:pPr>
      <w:r>
        <w:rPr>
          <w:b w:val="0"/>
          <w:i w:val="0"/>
        </w:rPr>
        <w:t>Đến nay tôi đã tham gia hơn 50 hội đồng quản trị doanh nghiệp, từ các công ty tư nhân nhỏ đến các công ty gặp khó khăn đến các công ty đại chúng, bao gồm cả các công ty trong Fortune 500. Tôi đã là chủ tịch không điều hành cũng như thành viên và trưởng của ba ủy ban hội đồng chính và thành viên của nhiều ủy ban hội đồng khác.</w:t>
      </w:r>
    </w:p>
    <w:p>
      <w:pPr>
        <w:spacing w:after="80"/>
      </w:pPr>
      <w:r>
        <w:rPr>
          <w:b w:val="0"/>
          <w:i w:val="0"/>
        </w:rPr>
        <w:t>Tôi chắc chắn chưa thấy hết mọi thứ, nhưng tôi đã thấy rất nhiều.</w:t>
      </w:r>
    </w:p>
    <w:p>
      <w:pPr>
        <w:spacing w:after="80"/>
      </w:pPr>
      <w:r>
        <w:rPr>
          <w:b w:val="0"/>
          <w:i w:val="0"/>
        </w:rPr>
        <w:t>Tôi vẫn nhớ cuộc họp hội đồng lớn đầu tiên của mình với tư cách một chuyên gia ngân hàng đầu tư hồi năm 1990, khi tôi là thành viên cấp thấp trong nhóm Lazard tư vấn cho Wheelabrator về việc sáp nhập với Waste Management. Michael Dingman, người sau này từ bỏ quốc tịch Hoa Kỳ và chuyển đến Nassau, là CEO đầy khí phách của Wheelabrator, công ty đã phát triển từ Henley Group, trước đó được tách ra từ Allied-Signal dưới sự lãnh đạo của Dingman với một tập hợp tài sản hỗn tạp. Có lúc tôi nhìn sang, và trong khi tôi đã ngồi như trên đống lửa suốt một giờ chỉ để tiếp thu mọi thứ, thì mắt Dingman nhắm chặt, và ông có vẻ đang ngủ.</w:t>
      </w:r>
    </w:p>
    <w:p>
      <w:pPr>
        <w:spacing w:after="80"/>
      </w:pPr>
      <w:r>
        <w:rPr>
          <w:b w:val="0"/>
          <w:i w:val="0"/>
        </w:rPr>
        <w:t>Cũng trong năm đó, vào dịp nghỉ lễ Giáng sinh, trong một thương vụ riêng, các phi công của United Airlines đã giành quyền kiểm soát hãng hàng không này. Một lần nữa, với tư cách cộng sự trẻ trong nhóm Lazard, tôi ngồi trong một phòng hội nghị lớn tại khách sạn Regency ở Thành phố New York, nơi khai sinh “bữa sáng quyền lực”, khi hội đồng United phê duyệt thương vụ này. Tôi nhớ rằng chỉ có một giám đốc hỏi đúng một câu: “Vé hạng nhất miễn phí của chúng ta có còn được cấp sau khi thương vụ hoàn tất không?”</w:t>
      </w:r>
    </w:p>
    <w:p>
      <w:pPr>
        <w:spacing w:after="80"/>
      </w:pPr>
      <w:r>
        <w:rPr>
          <w:b w:val="0"/>
          <w:i w:val="0"/>
        </w:rPr>
        <w:t>Như tôi sẽ trình bày trong những trang tiếp theo, quản trị doanh nghiệp đã cải thiện rất nhiều. Tất nhiên, vẫn cần thêm nhiều cải thiện. Tôi tin chắc rằng quản trị tốt có thể là khác biệt giữa thành công và thất bại đối với một doanh nghiệp. Dù cuốn sách này chủ yếu tập trung vào các giám đốc và hội đồng quản trị của các công ty đại chúng, quản trị tốt vẫn quan trọng đối với các công ty tư nhân và thực sự là bất kỳ tổ chức nào.</w:t>
      </w:r>
    </w:p>
    <w:p>
      <w:pPr>
        <w:spacing w:after="80"/>
      </w:pPr>
      <w:r>
        <w:rPr>
          <w:b w:val="0"/>
          <w:i w:val="0"/>
        </w:rPr>
        <w:t>Cuốn sách này xem xét sự phát triển của quản trị doanh nghiệp hiện đại và những vấn đề then chốt mà các giám đốc cần hiểu và giải quyết. Từ những trách nhiệm cốt lõi là cẩn trọng và trung thành đến những vấn đề cụ thể khi cân nhắc bán một công ty; đến các chủ đề môi trường, xã hội và quản trị (ESG); đến kế nhiệm CEO và hơn thế nữa, hy vọng của tôi là cuốn sách này sẽ là một hướng dẫn cho bất kỳ ai muốn hiểu rõ hơn về vai trò của hội đồng quản trị và cách nó có thể hoạt động hiệu quả nhất trong thế giới doanh nghiệp toàn cầu năng động ngày nay.</w:t>
      </w:r>
    </w:p>
    <w:p>
      <w:pPr>
        <w:spacing w:after="80"/>
      </w:pPr>
      <w:r>
        <w:rPr>
          <w:b w:val="0"/>
          <w:i w:val="0"/>
        </w:rPr>
        <w:t>Quản trị doanh nghiệp thường bị xem nhẹ, đặc biệt khi người ta quá tập trung vào các CEO nổi tiếng và chu kỳ tin tức kinh doanh 24/7. Nhưng ít điều gì quan trọng hơn đối với một doanh nghiệp bằng quản trị tốt, dù chúng ta thường chỉ để ý khi một hội đồng quản trị thất bại thảm hại trong nhiệm vụ của mình. Để hy vọng tránh được những thất bại thảm hại này và chỉ trải nghiệm giá cổ phiếu tăng—như tất cả chúng ta đều mong—tôi hy vọng bạn sẽ đọc tiếp.</w:t>
      </w:r>
    </w:p>
    <w:p>
      <w:pPr>
        <w:pStyle w:val="Heading1"/>
      </w:pPr>
      <w:r>
        <w:rPr>
          <w:rFonts w:ascii="Calibri" w:hAnsi="Calibri"/>
          <w:b/>
          <w:i w:val="0"/>
          <w:sz w:val="40"/>
        </w:rPr>
        <w:t>Chương 2</w:t>
      </w:r>
    </w:p>
    <w:p>
      <w:pPr>
        <w:pStyle w:val="Heading1"/>
      </w:pPr>
      <w:r>
        <w:rPr>
          <w:rFonts w:ascii="Calibri" w:hAnsi="Calibri"/>
          <w:b/>
          <w:i w:val="0"/>
          <w:sz w:val="40"/>
        </w:rPr>
        <w:t>Chúng Ta Đã Đi Đến Đây Như Thế Nào</w:t>
      </w:r>
    </w:p>
    <w:p>
      <w:pPr>
        <w:spacing w:after="80"/>
      </w:pPr>
      <w:r>
        <w:rPr>
          <w:b w:val="0"/>
          <w:i w:val="0"/>
        </w:rPr>
        <w:t>Trong những chương tiếp theo, sẽ trở nên rõ ràng rằng một cẩm nang quản trị tốt trong môi trường doanh nghiệp ngày càng phức tạp và thay đổi nhanh chóng ngày nay được xây dựng dựa trên một số nguyên tắc cốt lõi.</w:t>
      </w:r>
    </w:p>
    <w:p>
      <w:pPr>
        <w:spacing w:after="80"/>
      </w:pPr>
      <w:r>
        <w:rPr>
          <w:b w:val="0"/>
          <w:i w:val="0"/>
        </w:rPr>
        <w:t>Thứ nhất, hội đồng quản trị giám sát ban điều hành, và ban điều hành điều hành công ty trong hoạt động hằng ngày. Một số người dùng thành ngữ "mũi chúi vào, ngón tay rút ra" (noses in, fingers out). Nói cách khác, các giám đốc nên tham gia vào những vấn đề lớn nhưng không sa vào chi tiết—những việc đó nên để cho ban điều hành.</w:t>
      </w:r>
    </w:p>
    <w:p>
      <w:pPr>
        <w:spacing w:after="80"/>
      </w:pPr>
      <w:r>
        <w:rPr>
          <w:b w:val="0"/>
          <w:i w:val="0"/>
        </w:rPr>
        <w:t>Thứ hai, thời kỳ mà CEO điều hành hội đồng quản trị và công ty gần như không bị ràng buộc đã phần lớn qua rồi. Người ta kỳ vọng ở các giám đốc nhiều hơn bao giờ hết, với những quy định ngày càng nghiêm ngặt do Ủy ban Chứng khoán và Giao dịch (SEC) và các sở giao dịch chứng khoán lớn đặt ra, cùng với án lệ và áp lực từ các nhà đầu tư tổ chức lớn, các công ty tư vấn quản trị, các nhà hoạt động và những người khác. Đồng thời, các giám đốc nên "ở đúng làn đường của mình" và không vượt quá vai trò giám sát của họ.</w:t>
      </w:r>
    </w:p>
    <w:p>
      <w:pPr>
        <w:spacing w:after="80"/>
      </w:pPr>
      <w:r>
        <w:rPr>
          <w:b w:val="0"/>
          <w:i w:val="0"/>
        </w:rPr>
        <w:t>Thứ ba, nhiều bước chiến lược khác nhau, như M&amp;A, bao gồm bán tài sản và công ty và mua lại bằng đòn bẩy (LBO), cũng như tái cấu trúc, là một phần quan trọng của bối cảnh doanh nghiệp và có tác động sâu sắc đến vai trò, trách nhiệm và rủi ro pháp lý tiềm ẩn của hội đồng quản trị.</w:t>
      </w:r>
    </w:p>
    <w:p>
      <w:pPr>
        <w:spacing w:after="80"/>
      </w:pPr>
      <w:r>
        <w:rPr>
          <w:b w:val="0"/>
          <w:i w:val="0"/>
        </w:rPr>
        <w:t xml:space="preserve">Cuối cùng, chúng ta đang sống trong thời đại mà vai trò của một tập đoàn đang được tranh luận có lẽ chưa từng có tiền lệ. Có một cuộc tranh luận liên tục và không ngừng về các vấn đề ESG và liệu các tập đoàn nên nỗ lực tối đa hóa giá trị </w:t>
      </w:r>
      <w:r>
        <w:rPr>
          <w:b w:val="0"/>
          <w:i/>
        </w:rPr>
        <w:t>cổ đông</w:t>
      </w:r>
      <w:r>
        <w:rPr>
          <w:b w:val="0"/>
          <w:i w:val="0"/>
        </w:rPr>
        <w:t xml:space="preserve"> dài hạn hay cũng nên hướng tới các </w:t>
      </w:r>
      <w:r>
        <w:rPr>
          <w:b w:val="0"/>
          <w:i/>
        </w:rPr>
        <w:t>bên liên quan</w:t>
      </w:r>
      <w:r>
        <w:rPr>
          <w:b w:val="0"/>
          <w:i w:val="0"/>
        </w:rPr>
        <w:t xml:space="preserve"> rộng hơn (không chỉ cổ đông mà còn nhân viên, cộng đồng và các thành phần khác).</w:t>
      </w:r>
    </w:p>
    <w:p>
      <w:pPr>
        <w:spacing w:after="80"/>
      </w:pPr>
      <w:r>
        <w:rPr>
          <w:b w:val="0"/>
          <w:i w:val="0"/>
        </w:rPr>
        <w:t>Khoảng 100—hoặc thậm chí chỉ 50—năm trước, thường thấy rằng các giám đốc phần lớn chỉ là những nhân vật bù nhìn, thường chỉ đồng ý với ban điều hành, phần lớn không chịu trách nhiệm giải trình, và thiếu trách nhiệm thực sự trong việc giám sát. Frank Carlucci—người đã làm việc cho bốn tổng thống, bao gồm cố vấn an ninh quốc gia và bộ trưởng quốc phòng trong nhiệm kỳ thứ hai của Tổng thống Ronald Reagan, rồi tiếp tục với một sự nghiệp thành công khác tại công ty cổ phần tư nhân Carlyle Group, nơi ông nghỉ hưu với vai trò chủ tịch vào năm 2003, và qua đời năm 2018—đã ngồi trong 14 hội đồng quản trị công ty đại chúng vào năm 1996, theo các tuyên bố ủy quyền của công ty. Ngày nay, các nhà đầu tư tổ chức và dịch vụ tư vấn quản trị thường giới hạn mỗi cá nhân không quá 5 hội đồng quản trị công ty đại chúng cùng một lúc.</w:t>
      </w:r>
    </w:p>
    <w:p>
      <w:pPr>
        <w:spacing w:after="80"/>
      </w:pPr>
      <w:r>
        <w:rPr>
          <w:b w:val="0"/>
          <w:i w:val="0"/>
        </w:rPr>
        <w:t>Đây cũng là thời kỳ mà kinh doanh phần lớn chỉ tập trung vào kinh doanh, thường ít quan tâm đến các vấn đề ESG, bao gồm đa dạng hoặc các lợi ích bên ngoài công ty. Cách đây không nhiều thập kỷ, có lẽ khoảng năm thập kỷ, đã có sự ổn định doanh nghiệp to lớn, khi mà đòn bẩy lớn, giao dịch lớn và tái cấu trúc lớn là hiếm gặp. Ở nhiều khía cạnh, đó là một thời kỳ đơn giản hơn nhiều để làm thành viên hội đồng quản trị.</w:t>
      </w:r>
    </w:p>
    <w:p>
      <w:pPr>
        <w:spacing w:after="80"/>
      </w:pPr>
      <w:r>
        <w:rPr>
          <w:b w:val="0"/>
          <w:i w:val="0"/>
        </w:rPr>
        <w:t>Jim McCann, người sáng lập và chủ tịch của 1-800-FLOWERS, người đã phát triển công ty thành một doanh nghiệp tỷ đô và là thành viên của các hội đồng quản trị công ty khác, đã nhận thấy sự thay đổi: "Quản trị đã phát triển đáng kể trong năm thập kỷ qua và chắc chắn kể từ khi tôi bắt đầu phục vụ trong các hội đồng quản trị. Là một người học hỏi suốt đời, tôi đã đón nhận đường cong học tập dốc mà mình đối mặt, vì tôi nhận ra rõ ràng rằng quản trị là một lĩnh vực thiết yếu cho sự thành công của một công ty."</w:t>
      </w:r>
    </w:p>
    <w:p>
      <w:pPr>
        <w:spacing w:after="80"/>
      </w:pPr>
      <w:r>
        <w:rPr>
          <w:b w:val="0"/>
          <w:i w:val="0"/>
        </w:rPr>
        <w:t>McCann không đơn độc. Daniel Slifkin, một đối tác tranh tụng tại công ty luật Cravath, hiện đang ở thế kỷ thứ ba của mình, và trước đây là người đứng đầu bộ phận tranh tụng của công ty, cũng đã nhận thấy những thay đổi. "Đã có sự gia tăng về tính chuyên nghiệp và sự chú ý nói chung," ông nói với tôi.</w:t>
      </w:r>
    </w:p>
    <w:p>
      <w:pPr>
        <w:spacing w:after="80"/>
      </w:pPr>
      <w:r>
        <w:rPr>
          <w:b w:val="0"/>
          <w:i w:val="0"/>
        </w:rPr>
        <w:t xml:space="preserve">Để trân trọng và hiểu về quản trị doanh nghiệp ngày nay—và tất cả các vấn đề sẽ đến trong cuốn sách này—đòi hỏi phải xem lại lịch sử của các giao dịch hiện đại và các chủ đề liên quan đã thúc đẩy sự phát triển của quản trị doanh nghiệp đến trạng thái hiện tại. Như Charles Dickens đã viết trong </w:t>
      </w:r>
      <w:r>
        <w:rPr>
          <w:b w:val="0"/>
          <w:i/>
        </w:rPr>
        <w:t>David Copperfield</w:t>
      </w:r>
      <w:r>
        <w:rPr>
          <w:b w:val="0"/>
          <w:i w:val="0"/>
        </w:rPr>
        <w:t>, "Thật vô ích khi nhớ lại quá khứ, trừ khi nó có ảnh hưởng nào đó đến hiện tại." Thật vậy, quá khứ thực sự định hình quản trị doanh nghiệp hiện đại. Do đó, chúng ta sẽ bắt đầu với cách chúng ta đã đi đến hiểu biết về các thực hành tốt nhất cho công việc và trách nhiệm của các giám đốc ngày nay.</w:t>
      </w:r>
    </w:p>
    <w:p>
      <w:pPr>
        <w:pStyle w:val="Heading2"/>
      </w:pPr>
      <w:r>
        <w:rPr>
          <w:rFonts w:ascii="Calibri" w:hAnsi="Calibri"/>
          <w:b/>
          <w:i w:val="0"/>
          <w:sz w:val="32"/>
        </w:rPr>
        <w:t>Truy Vết Lịch Sử</w:t>
      </w:r>
    </w:p>
    <w:p>
      <w:pPr>
        <w:spacing w:after="80"/>
      </w:pPr>
      <w:r>
        <w:rPr>
          <w:b w:val="0"/>
          <w:i w:val="0"/>
        </w:rPr>
        <w:t xml:space="preserve">Quản trị doanh nghiệp đã là một chủ đề được quan tâm, dù không phải là một lĩnh vực nghiên cứu được định nghĩa rõ ràng, kể từ khi có khả năng xảy ra xung đột giữa nhà đầu tư và nhà quản lý—điều này đưa chúng ta trở lại tận thế kỷ 16 và 17 với các doanh nghiệp như Công ty Đông Ấn.1 Adam Smith đã lưu ý trong </w:t>
      </w:r>
      <w:r>
        <w:rPr>
          <w:b w:val="0"/>
          <w:i/>
        </w:rPr>
        <w:t>The Wealth of Nations</w:t>
      </w:r>
      <w:r>
        <w:rPr>
          <w:b w:val="0"/>
          <w:i w:val="0"/>
        </w:rPr>
        <w:t xml:space="preserve"> rằng "những người quản lý tiền của người khác" không có xu hướng thực hiện quyền kiểm soát với "cùng sự cảnh giác lo lắng mà các đối tác trong một công ty hợp danh tư nhân [công ty] thường xuyên trông chừng tài sản của chính họ."2 Nói cách khác, ban điều hành sẽ không bảo vệ lợi ích nhà đầu tư một cách cẩn thận và kỹ lưỡng như chủ sở hữu.</w:t>
      </w:r>
    </w:p>
    <w:p>
      <w:pPr>
        <w:spacing w:after="80"/>
      </w:pPr>
      <w:r>
        <w:rPr>
          <w:b w:val="0"/>
          <w:i w:val="0"/>
        </w:rPr>
        <w:t xml:space="preserve">Năm 1914, Thẩm phán Tòa án Tối cao Louis D. Brandeis đã xuất bản một tuyển tập tiểu luận có tựa đề </w:t>
      </w:r>
      <w:r>
        <w:rPr>
          <w:b w:val="0"/>
          <w:i/>
        </w:rPr>
        <w:t>Other People's Money and How the Bankers Use It</w:t>
      </w:r>
      <w:r>
        <w:rPr>
          <w:b w:val="0"/>
          <w:i w:val="0"/>
        </w:rPr>
        <w:t>, trong đó ông lập luận rằng các nhà đầu tư nhỏ không có khả năng kiểm soát khoản đầu tư của mình và ngay cả các nhà quản lý cũng trở nên tương đối bất lực do quy mô khổng lồ của các tập đoàn thời đó và những sự kém hiệu quả dẫn đến. Ông than thở về sự mất mát của các doanh nghiệp nhỏ và lo sợ về việc sự hợp nhất đang phát triển có thể gây hại cho công chúng như thế nào.3 Ở một mức độ nào đó, ông đang yêu cầu một chế độ quản trị doanh nghiệp mà vào thời điểm đó chưa tồn tại.</w:t>
      </w:r>
    </w:p>
    <w:p>
      <w:pPr>
        <w:spacing w:after="80"/>
      </w:pPr>
      <w:r>
        <w:rPr>
          <w:b w:val="0"/>
          <w:i w:val="0"/>
        </w:rPr>
        <w:t xml:space="preserve">Cảm nhận hiện đại của chúng ta về quản trị doanh nghiệp có lẽ bắt đầu vào năm 1932, khi Adolf A. Berle và Gardiner Means xuất bản </w:t>
      </w:r>
      <w:r>
        <w:rPr>
          <w:b w:val="0"/>
          <w:i/>
        </w:rPr>
        <w:t>The Modern Corporation and Private Property</w:t>
      </w:r>
      <w:r>
        <w:rPr>
          <w:b w:val="0"/>
          <w:i w:val="0"/>
        </w:rPr>
        <w:t>. Đây có thể là tác phẩm đầu tiên định nghĩa khái niệm quản trị doanh nghiệp là việc quản lý các mối quan ngại phát sinh giữa quyền sở hữu và quyền kiểm soát: việc tách biệt quyền sở hữu và quyền kiểm soát có ý nghĩa gì, ai bị ảnh hưởng nhiều nhất, và liệu chúng có thực sự nên được tách biệt hay không.4</w:t>
      </w:r>
    </w:p>
    <w:p>
      <w:pPr>
        <w:spacing w:after="80"/>
      </w:pPr>
      <w:r>
        <w:rPr>
          <w:b w:val="0"/>
          <w:i w:val="0"/>
        </w:rPr>
        <w:t>Cuốn sách trùng với thời điểm mà một số người gọi là sự chuyển dịch từ "chủ nghĩa tư bản doanh nhân" sang "chủ nghĩa tư bản quản lý", nơi quyền kiểm soát doanh nghiệp được thực hiện bởi các nhà quản lý chuyên nghiệp, không phải chủ sở hữu vốn cổ phần.5 SEC cũng được thành lập vào thời điểm này, sau cuộc Đại Suy Thoái, bề ngoài là để bảo vệ nhà đầu tư. Tuy nhiên, các Đạo luật Giao dịch Chứng khoán năm 1933 và 1934—đạo luật năm 1934 đã khai sinh ra SEC—chứa rất ít đề cập đến các giám đốc.6 Trong nhiều thập kỷ, chủ nghĩa tư bản quản lý phát triển mạnh mẽ với tương đối ít sự giám sát của hội đồng quản trị đối với các giám đốc điều hành cấp cao. Có một sự hiểu biết rằng quản trị doanh nghiệp là một chủ đề đáng nghiên cứu, nhưng các đội ngũ quản lý hoạt động mà không có sự kiểm tra và cân bằng từ các giám đốc mà chúng ta coi là đương nhiên ngày nay.7 Mãi đến những năm 1970, SEC và những người khác mới thực sự bắt đầu giải quyết các mối quan ngại về quản trị doanh nghiệp.</w:t>
      </w:r>
    </w:p>
    <w:p>
      <w:pPr>
        <w:pStyle w:val="Heading2"/>
      </w:pPr>
      <w:r>
        <w:rPr>
          <w:rFonts w:ascii="Calibri" w:hAnsi="Calibri"/>
          <w:b/>
          <w:i w:val="0"/>
          <w:sz w:val="32"/>
        </w:rPr>
        <w:t>Thập niên 1970 và '80: Làn sóng cải cách quản trị doanh nghiệp đầu tiên</w:t>
      </w:r>
    </w:p>
    <w:p>
      <w:pPr>
        <w:spacing w:after="80"/>
      </w:pPr>
      <w:r>
        <w:rPr>
          <w:b w:val="0"/>
          <w:i w:val="0"/>
        </w:rPr>
        <w:t>Một nghiên cứu năm 1968 về các giám đốc đã nhận ra rằng thật là khôn ngoan khi "không nên cho rằng mọi thứ đều ổn ở đỉnh cao của doanh nghiệp", chỉ ra tình trạng giám đốc vắng mặt và các cuộc họp hội đồng quản trị cực kỳ ngắn ngủi.8 Myles Mace của Trường Kinh doanh Harvard đã viết một bài báo mang tính bước ngoặt vào năm 1971, chỉ trích các hội đồng quản trị của các công ty đại chúng vì hiếm khi tham gia vào việc đánh giá nghiêm túc hiệu quả hoạt động của ban điều hành và chỉ cân nhắc việc sa thải CEO trong trường hợp xảy ra khủng hoảng.9</w:t>
      </w:r>
    </w:p>
    <w:p>
      <w:pPr>
        <w:spacing w:after="80"/>
      </w:pPr>
      <w:r>
        <w:rPr>
          <w:b w:val="0"/>
          <w:i w:val="0"/>
        </w:rPr>
        <w:t xml:space="preserve">Vào khoảng thời gian đó, các vấn đề quản trị doanh nghiệp bắt đầu xuất hiện trên màn hình radar của mọi người và trên các bản tin chưa từng có trước đây. Tờ </w:t>
      </w:r>
      <w:r>
        <w:rPr>
          <w:b w:val="0"/>
          <w:i/>
        </w:rPr>
        <w:t>New York Times</w:t>
      </w:r>
      <w:r>
        <w:rPr>
          <w:b w:val="0"/>
          <w:i w:val="0"/>
        </w:rPr>
        <w:t xml:space="preserve"> đưa tin về việc cựu Thẩm phán Tòa án Tối cao Arthur Goldberg từ chức khỏi ghế trong hội đồng quản trị của Trans World Airlines (TWA) vào năm 1972 sau khi không thành công trong việc thiết lập cơ chế giám sát nhiều hơn đối với các hành động của ban điều hành. Goldberg đã cố gắng "thiết lập một ủy ban độc lập gồm các giám đốc bên ngoài để xem xét các hành động và khuyến nghị của ban điều hành . . . [lập luận] rằng các thành viên không phải là quan chức trong Hội đồng quản trị nên được phép họp độc lập và có thẩm quyền thuê một đội ngũ chuyên gia kỹ thuật tự chủ."10 Có thông tin cho rằng Goldberg tin rằng điều này không chỉ nên áp dụng tại TWA mà còn ở mọi nơi.11</w:t>
      </w:r>
    </w:p>
    <w:p>
      <w:pPr>
        <w:spacing w:after="80"/>
      </w:pPr>
      <w:r>
        <w:rPr>
          <w:b w:val="0"/>
          <w:i w:val="0"/>
        </w:rPr>
        <w:t>"Khoản thù lao điều hành cắt cổ, thu nhập doanh nghiệp đáng thất vọng, và các thương vụ mua lại thiếu cân nhắc", như một tài liệu lịch sử mô tả, đã khiến SEC phải nắm quyền kiểm soát chặt chẽ hơn trong việc giám sát doanh nghiệp vào giữa thập niên 1970.12 Năm 1973, chủ tịch SEC, G. Bradford Cook, tuyên bố ý định thiết lập các hướng dẫn cho các giám đốc. Ông phát biểu trong một bài diễn văn: "Các giám đốc là những người được ủy thác và có trách nhiệm khẳng định phải hành động công bằng và trung thực để cố gắng đảm bảo rằng các công ty của họ cũng làm như vậy. Họ mang trách nhiệm này không chỉ đối với các cổ đông của chính họ mà còn đối với tất cả các nhà đầu tư công chúng, những người mua, bán hoặc nắm giữ chứng khoán của công ty họ."13 Đây là khởi đầu của quản trị doanh nghiệp như chúng ta đã biết ngày nay.</w:t>
      </w:r>
    </w:p>
    <w:p>
      <w:pPr>
        <w:spacing w:after="80"/>
      </w:pPr>
      <w:r>
        <w:rPr>
          <w:b w:val="0"/>
          <w:i w:val="0"/>
        </w:rPr>
        <w:t>Năm 1974, SEC điều tra một vụ việc trong đó ba giám đốc bên ngoài của một công ty đường sắt đã phá sản, Penn Central, được cho là đã không phát hiện ra hành vi sai trái của ban điều hành và do đó đã xuyên tạc tình hình tài chính của công ty.14 Kết quả của cuộc điều tra SEC là một báo cáo hứa hẹn các quy tắc mới cho các giám đốc. Báo cáo viết: "Ủy ban, khi nhìn về tương lai, đã ngày càng chú ý đến vai trò, trình độ, trách nhiệm và tính độc lập của các giám đốc doanh nghiệp, những điều dường như được yêu cầu. . . . Báo cáo của nhân viên nhấn mạnh tầm quan trọng cốt yếu của toàn bộ chủ đề về trách nhiệm của các giám đốc, việc sử dụng nhiều hơn các giám đốc công chúng và độc lập, tính chuyên nghiệp hóa chức năng của họ, cung cấp hỗ trợ nhân sự cho các giám đốc và đánh giá hiệu quả hoạt động của họ không dựa trên cái nhìn hậu kiến mà dựa trên tính hợp lý của các phán đoán của họ trong hoàn cảnh và tại thời điểm đưa ra phán đoán đó."15</w:t>
      </w:r>
    </w:p>
    <w:p>
      <w:pPr>
        <w:spacing w:after="80"/>
      </w:pPr>
      <w:r>
        <w:rPr>
          <w:b w:val="0"/>
          <w:i w:val="0"/>
        </w:rPr>
        <w:t>Vào khoảng thời gian đó, một số công ty Hoa Kỳ bị phát hiện đang hối lộ các quan chức nước ngoài—và các giám đốc bên ngoài của họ được phát hiện là hoàn toàn không hay biết, mặc dù các giám đốc điều hành cấp cao đều biết rõ.16 SEC đã buộc một số công ty liên quan phải thực hiện các thay đổi ở cấp hội đồng quản trị, chẳng hạn như bổ sung các giám đốc độc lập và thành lập ủy ban kiểm toán, sau đó thúc đẩy NYSE yêu cầu tất cả các công ty niêm yết trên sàn giao dịch của mình phải có một ủy ban kiểm toán độc lập, điều này bắt đầu được thực hiện từ năm 1976.17 Năm 1977, SEC tổ chức sáu tuần điều trần về quản trị doanh nghiệp nhằm cố gắng hiểu toàn bộ bối cảnh các vấn đề.18</w:t>
      </w:r>
    </w:p>
    <w:p>
      <w:pPr>
        <w:spacing w:after="80"/>
      </w:pPr>
      <w:r>
        <w:rPr>
          <w:b w:val="0"/>
          <w:i w:val="0"/>
        </w:rPr>
        <w:t>Nhưng các cải cách không tiến xa hơn nhiều vào thời điểm đó, mặc dù chủ tịch SEC vào cuối thập niên 1970, Harold Williams—người được Tổng thống Jimmy Carter bổ nhiệm—đã có những bài phát biểu nói chung rằng một hội đồng quản trị lý tưởng sẽ bao gồm hoàn toàn các giám đốc bên ngoài, ngoại trừ CEO, và sẽ có ủy ban kiểm toán, ủy ban đề cử và ủy ban thù lao. Đây là quan điểm của riêng ông, nhưng chúng không phải là luật, ngay cả khi Thượng nghị sĩ Howard Metzenbaum của Ohio đã đệ trình lên Quốc hội một dự luật về cơ bản sẽ hệ thống hóa các bước này trong Đạo luật Bảo vệ Quyền của Cổ đông năm 1980.19</w:t>
      </w:r>
    </w:p>
    <w:p>
      <w:pPr>
        <w:spacing w:after="80"/>
      </w:pPr>
      <w:r>
        <w:rPr>
          <w:b w:val="0"/>
          <w:i w:val="0"/>
        </w:rPr>
        <w:t>Thập niên 1970 và đầu thập niên 1980 thực sự là thời điểm mà quan điểm bắt đầu thay đổi, và cuối cùng người ta đã nhận ra rằng hội đồng quản trị có một vai trò độc đáo để đảm nhận và không nên chỉ đóng dấu cao su phê duyệt các mong muốn và quyết định của ban điều hành. Ngoài SEC, sự trỗi dậy của các nhà đầu tư hoạt động (activist investors) đã khuyến khích cải thiện quản trị. Làn sóng nhà đầu tư hoạt động đầu tiên thường tìm cách chia tách hoặc bán các công ty, sử dụng tiền của chính họ để mua các khối cổ phần nhằm tạo đòn bẩy để giành ghế trong hội đồng quản trị và gây ảnh hưởng đến kết quả. Họ tập trung đơn thuần vào việc thúc đẩy các công ty giảm bớt sự kém hiệu quả và tối đa hóa lợi nhuận.20</w:t>
      </w:r>
    </w:p>
    <w:p>
      <w:pPr>
        <w:spacing w:after="80"/>
      </w:pPr>
      <w:r>
        <w:rPr>
          <w:b w:val="0"/>
          <w:i w:val="0"/>
        </w:rPr>
        <w:t>Quản trị chú trọng hơn đang được khuyến khích trong bối cảnh có sự thúc đẩy từ xã hội chuyển từ chủ nghĩa tư bản các bên liên quan (stakeholder capitalism)—nơi các công ty trong nhiều trường hợp được thúc đẩy để tạo ra lợi nhuận vững chắc cho cổ đông nhưng đồng thời phải là những công dân doanh nghiệp tốt phục vụ nhân viên, khách hàng và cộng đồng—sang chủ nghĩa tư bản cổ đông (shareholder capitalism), nơi nhiều nhà đầu tư lo ngại rằng các công ty không làm mọi thứ cần thiết để tối đa hóa lợi nhuận cho cổ đông và muốn đưa doanh nghiệp đi theo hướng lợi nhuận kinh tế trên hết.</w:t>
      </w:r>
    </w:p>
    <w:p>
      <w:pPr>
        <w:spacing w:after="80"/>
      </w:pPr>
      <w:r>
        <w:rPr>
          <w:b w:val="0"/>
          <w:i w:val="0"/>
        </w:rPr>
        <w:t xml:space="preserve">Trường phái kinh tế thị trường tự do Chicago, được dẫn dắt về nhiều mặt bởi Milton Friedman, đã tìm cách định hình lại mục tiêu của doanh nghiệp chỉ là kiếm tiền cho cổ đông. Trong bài báo có ảnh hưởng năm 1970 trên </w:t>
      </w:r>
      <w:r>
        <w:rPr>
          <w:b w:val="0"/>
          <w:i/>
        </w:rPr>
        <w:t>New York Times</w:t>
      </w:r>
      <w:r>
        <w:rPr>
          <w:b w:val="0"/>
          <w:i w:val="0"/>
        </w:rPr>
        <w:t xml:space="preserve"> với tựa đề "The Social Responsibility of Business Is to Increase Its Profits" (Trách nhiệm xã hội của doanh nghiệp là tăng lợi nhuận), Friedman viết rằng các giám đốc điều hành doanh nghiệp đang thất bại trong nhiệm vụ của họ đối với cổ đông nếu họ theo đuổi bất kỳ mục tiêu nào không tối đa hóa lợi nhuận một cách tuyệt đối. Trích từ cuốn sách </w:t>
      </w:r>
      <w:r>
        <w:rPr>
          <w:b w:val="0"/>
          <w:i/>
        </w:rPr>
        <w:t>Capitalism and Freedom</w:t>
      </w:r>
      <w:r>
        <w:rPr>
          <w:b w:val="0"/>
          <w:i w:val="0"/>
        </w:rPr>
        <w:t xml:space="preserve"> của ông, ông viết: "Chỉ có một và duy nhất một trách nhiệm xã hội của doanh nghiệp—đó là sử dụng các nguồn lực của mình và tham gia vào các hoạt động được thiết kế để tăng lợi nhuận, miễn là nó tuân thủ các quy tắc của cuộc chơi, nghĩa là tham gia vào cạnh tranh mở và tự do mà không có sự lừa dối hay gian lận."21</w:t>
      </w:r>
    </w:p>
    <w:p>
      <w:pPr>
        <w:spacing w:after="80"/>
      </w:pPr>
      <w:r>
        <w:rPr>
          <w:b w:val="0"/>
          <w:i w:val="0"/>
        </w:rPr>
        <w:t>Động lực cho bài báo này là ông và những người khác cảm thấy rằng các giám đốc điều hành đang lãng phí nỗ lực—và tiền bạc—vào việc cố gắng kiểm soát ô nhiễm, chống lạm phát, đào tạo người thất nghiệp, v.v.22 Và thế là một nhóm nhà đầu tư hung hăng hơn đã trỗi dậy và gây áp lực lên nhiều hội đồng quản trị của các công ty được cho là quản lý kém và sử dụng tài sản chưa hiệu quả để tối đa hóa giá trị—đồng thời chắc chắn thu về một phần giá trị này cho chính họ.</w:t>
      </w:r>
    </w:p>
    <w:p>
      <w:pPr>
        <w:spacing w:after="80"/>
      </w:pPr>
      <w:r>
        <w:rPr>
          <w:b w:val="0"/>
          <w:i w:val="0"/>
        </w:rPr>
        <w:t>Đây là khởi đầu của sự bùng nổ trong hoạt động đầu tư hoạt động cũng như M&amp;A, bao gồm cả LBO—phần lớn được thúc đẩy bởi sự ra đời của tài trợ nợ lợi suất cao. Những kẻ săn mồi doanh nghiệp (corporate raiders) của thập niên 1970 và 1980, chẳng hạn như Carl Icahn (vẫn còn hoạt động cho đến ngày nay), tìm cách giành vị trí trong các công ty và sau đó cố gắng ép buộc họ thực hiện các hành động mà họ tin rằng sẽ tăng giá trị cổ đông (thường là ngắn hạn).23</w:t>
      </w:r>
    </w:p>
    <w:p>
      <w:pPr>
        <w:spacing w:after="80"/>
      </w:pPr>
      <w:r>
        <w:rPr>
          <w:b w:val="0"/>
          <w:i w:val="0"/>
        </w:rPr>
        <w:t>Thật vậy, gần một nửa trong số tất cả các tập đoàn lớn của Hoa Kỳ đã nhận được các đề nghị thâu tóm trong suốt thập niên 1980.24 Điều này đã thúc đẩy nhiều công ty áp dụng các chiến lược chống thâu tóm hoặc phòng thủ, bao gồm cái được gọi là "viên thuốc độc" (poison pill) do Marty Lipton, một đối tác sáng lập của công ty luật Wachtell Lipton, tiên phong, người vẫn tiếp tục là cố vấn quý giá cho các hội đồng quản trị và đội ngũ điều hành cho đến ngày nay. Nói chung, khi một bên không thân thiện nắm giữ một tỷ lệ sở hữu nhất định trong một công ty, viên thuốc độc cho phép các cổ đông hiện hữu khác mua một lượng lớn cổ phiếu của công ty với mức chiết khấu đáng kể so với giá thị trường, do đó khiến việc thâu tóm trở nên đắt đỏ hơn nhiều đối với kẻ tấn công.</w:t>
      </w:r>
    </w:p>
    <w:p>
      <w:pPr>
        <w:spacing w:after="80"/>
      </w:pPr>
      <w:r>
        <w:rPr>
          <w:b w:val="0"/>
          <w:i w:val="0"/>
        </w:rPr>
        <w:t>Michael Milken của công ty Drexel Burnham Lambert là người tiên phong của LBO bằng cách phát triển các trái phiếu lợi suất cao hoặc những trái phiếu có xếp hạng dưới mức đầu tư—đôi khi được gọi là "trái phiếu rác" (junk bonds)—để tài trợ cho các thương vụ thâu tóm doanh nghiệp. Milken có lẽ là nhà tài chính quan trọng nhất của thế hệ chúng ta. Ngày nay, thị trường lợi suất cao toàn cầu vượt 5 nghìn tỷ đô la. Trong ngoặc đơn, Milken cuối cùng đã bị kết án vi phạm luật chứng khoán và phải ngồi tù khoảng hai năm. Sau đó ông được Tổng thống Donald Trump ân xá.</w:t>
      </w:r>
    </w:p>
    <w:p>
      <w:pPr>
        <w:spacing w:after="80"/>
      </w:pPr>
      <w:r>
        <w:rPr>
          <w:b w:val="0"/>
          <w:i w:val="0"/>
        </w:rPr>
        <w:t>Các công ty cổ phần tư nhân (private equity) đã đóng một vai trò quan trọng trong việc khuyến khích và tạo điều kiện cho hiệu quả doanh nghiệp và tối đa hóa giá trị, bất chấp những chỉ trích về việc cắt giảm chi phí của họ và những tác động tiêu cực kéo theo đối với lực lượng lao động và cộng đồng. Họ thường huy động các quỹ cổ phần mà, kết hợp với việc vay nợ đáng kể, giúp họ mua lại các công ty với sự hợp tác của các giám đốc điều hành cấp cao của những công ty này, rồi sau đó tìm cách tăng giá trị và cuối cùng thoái vốn, thường là thông qua việc bán công ty hoặc phát hành cổ phiếu lần đầu ra công chúng (IPO). Ví dụ, ngày nay là một công ty quản lý tài sản hàng đầu với khoảng 600 tỷ đô la dưới quyền quản lý, KKR được thành lập vào năm 1976. Các công ty cổ phần tư nhân khác—bao gồm Wesray, Blackstone và Apollo—tiếp bước sau đó.</w:t>
      </w:r>
    </w:p>
    <w:p>
      <w:pPr>
        <w:spacing w:after="80"/>
      </w:pPr>
      <w:r>
        <w:rPr>
          <w:b w:val="0"/>
          <w:i w:val="0"/>
        </w:rPr>
        <w:t>Các nhà đầu tư tổ chức—trong một số trường hợp dưới tổ chức bao trùm là Hội đồng Nhà đầu tư Tổ chức (Council of Institutional Investors), được thành lập năm 1985—đã thúc đẩy các giám đốc độc lập hơn với ban điều hành và gắn kết lợi ích của họ với cổ đông, chứ không phải với các giám đốc điều hành công ty. Đồng thời, các tòa án—đặc biệt là ở Delaware, nơi phần lớn các công ty đại chúng lớn được đăng ký thành lập—trở nên tích cực hơn trong việc đảm bảo rằng các giám đốc hoàn thành hai nghĩa vụ cơ bản của họ: nghĩa vụ cẩn trọng (duty of care), tức yêu cầu các giám đốc phải tự trang bị thông tin đầy đủ trước khi đưa ra quyết định, và nghĩa vụ trung thành (duty of loyalty), tức yêu cầu các giám đốc không được có xung đột lợi ích trọng yếu.</w:t>
      </w:r>
    </w:p>
    <w:p>
      <w:pPr>
        <w:spacing w:after="80"/>
      </w:pPr>
      <w:r>
        <w:rPr>
          <w:b w:val="0"/>
          <w:i w:val="0"/>
        </w:rPr>
        <w:t>Các hội đồng quản trị trở nên thiết yếu trong việc giám sát ban điều hành một cách hiệu quả hơn nhằm thỏa mãn các cổ đông ngày càng khắt khe. Theo nhiều cách, đây là làn sóng đầu tiên của quản trị doanh nghiệp (corporate governance) với tư cách là một động lực trong kinh doanh, nỗ lực vượt qua sự tự mãn về kinh tế và đảm bảo rằng các công ty đang hành động theo những cách hiệu quả, chính đáng, được dẫn dắt bởi một hội đồng quản trị độc lập và tận tâm. Nhưng khi năm tháng trôi qua—và thị trường chứng khoán bùng nổ của thập niên 1990 và đầu thập niên 2000 đã che giấu một số thất bại trong phòng họp hội đồng quản trị—một lần nữa lại xuất hiện nhu cầu về hành động và cải cách.</w:t>
      </w:r>
    </w:p>
    <w:p>
      <w:pPr>
        <w:pStyle w:val="Heading2"/>
      </w:pPr>
      <w:r>
        <w:rPr>
          <w:rFonts w:ascii="Calibri" w:hAnsi="Calibri"/>
          <w:b/>
          <w:i w:val="0"/>
          <w:sz w:val="32"/>
        </w:rPr>
        <w:t>2008–Nay: Làn sóng thứ hai của cải cách quản trị doanh nghiệp</w:t>
      </w:r>
    </w:p>
    <w:p>
      <w:pPr>
        <w:spacing w:after="80"/>
      </w:pPr>
      <w:r>
        <w:rPr>
          <w:b w:val="0"/>
          <w:i w:val="0"/>
        </w:rPr>
        <w:t>Các vụ bê bối tại Enron, WorldCom và các công ty khác trong những năm đầu của thế kỷ này, cùng với cuộc khủng hoảng tài chính toàn cầu 2007–9, đã cho thấy rõ rằng cần phải có thêm thay đổi và có lẽ không hoàn toàn theo cùng hướng như làn sóng cải cách đầu tiên. Quản trị doanh nghiệp gần đây đã bao gồm sự gia tăng các yêu cầu về tính độc lập của giám đốc được nâng cao, việc tách vai trò chủ tịch hội đồng quản trị và CEO, cùng sự cân nhắc thực sự về các vấn đề ESG, những điều đã thay đổi bối cảnh cho các giám đốc và đội ngũ ban điều hành.</w:t>
      </w:r>
    </w:p>
    <w:p>
      <w:pPr>
        <w:spacing w:after="80"/>
      </w:pPr>
      <w:r>
        <w:rPr>
          <w:b w:val="0"/>
          <w:i w:val="0"/>
        </w:rPr>
        <w:t xml:space="preserve">Trong môi trường hiện tại của chúng ta, thành công của cổ đông </w:t>
      </w:r>
      <w:r>
        <w:rPr>
          <w:b w:val="0"/>
          <w:i/>
        </w:rPr>
        <w:t>dài hạn</w:t>
      </w:r>
      <w:r>
        <w:rPr>
          <w:b w:val="0"/>
          <w:i w:val="0"/>
        </w:rPr>
        <w:t xml:space="preserve"> giờ đây là sứ mệnh được tuyên bố của những tiếng nói có ảnh hưởng nhất trong thế giới kinh doanh, từ giới học thuật, đến các tòa án Delaware, đến Hiệp hội Giám đốc Doanh nghiệp Quốc gia (NACD), với hơn 24.000 thành viên. Tôi đã tham gia Ủy ban Đặc biệt năm 2015 của Hiệp hội Giám đốc Doanh nghiệp Quốc gia về Tạo giá trị dài hạn, ủy ban này đã lập luận chính xác cho cách tiếp cận này.</w:t>
      </w:r>
    </w:p>
    <w:p>
      <w:pPr>
        <w:spacing w:after="80"/>
      </w:pPr>
      <w:r>
        <w:rPr>
          <w:b w:val="0"/>
          <w:i w:val="0"/>
        </w:rPr>
        <w:t>Đô đốc Mike Mullen là một đô đốc Hải quân Hoa Kỳ đã nghỉ hưu, người đã phục vụ đất nước với tư cách là chủ tịch thứ 17 của Hội đồng Tham mưu trưởng Liên quân dưới thời Tổng thống George W. Bush và Barack Obama. Kể từ khi nghỉ hưu khỏi quân đội, ông đã phục vụ trong nhiều hội đồng quản trị khác nhau, bao gồm tại General Motors và Sprint. "Điều khiến tôi phát điên," ông nói với tôi, "là những đòi hỏi về tổng lợi nhuận cổ đông mỗi quý. Tác động của các nhà phân tích lên hành vi của CEO là phi thường, thậm chí có lẽ còn lớn hơn cả những gì các nhà phân tích nhận ra, nhằm tăng lợi nhuận [ngắn hạn]."</w:t>
      </w:r>
    </w:p>
    <w:p>
      <w:pPr>
        <w:spacing w:after="80"/>
      </w:pPr>
      <w:r>
        <w:rPr>
          <w:b w:val="0"/>
          <w:i w:val="0"/>
        </w:rPr>
        <w:t>Đúng là cách tiếp cận dài hạn—thường được đánh dấu bằng việc đầu tư vào các bên liên quan rộng hơn như cộng đồng của công ty—tiêu tốn những nguồn lực quý giá. Nhưng một công ty cam kết với nhiều bên liên quan khác nhau có thể tạo ra giá trị cho các cổ đông của mình, ngay cả trong ngắn hạn, bằng cách thực hiện những khoản đầu tư này—ví dụ, bằng cách thu hút nhân viên chất lượng cao hơn, những người hào hứng với vai trò của công ty trên thế giới và tạo ra dư luận tích cực có thể dẫn đến nhiều cơ hội kinh doanh hơn.</w:t>
      </w:r>
    </w:p>
    <w:p>
      <w:pPr>
        <w:spacing w:after="80"/>
      </w:pPr>
      <w:r>
        <w:rPr>
          <w:b w:val="0"/>
          <w:i w:val="0"/>
        </w:rPr>
        <w:t>Tất nhiên, thật khó để quyết định đâu là mức chi tiêu phù hợp, chẳng hạn, trong một dự án cộng đồng. Tôi đã tham gia vào một công ty mà các nhà lãnh đạo muốn đóng góp 5 triệu đô la để khôi phục một công viên địa phương. Đó là một khoản chi tiêu nhỏ đối với công ty lớn này. Tuy nhiên, tôi tự hỏi liệu chúng ta nên đóng góp có lẽ 2,5 triệu đô la, 5 triệu đô la, hay thậm chí nhiều hơn thế. Đây là những quyết định khó khăn; không giống như chi tiêu vốn cho các dự án mới của công ty, số tiền đầu tư hiệu quả nhưng không quá mức vào các dự án cộng đồng thường không thể được phân tích bằng những con số cứng nhắc.</w:t>
      </w:r>
    </w:p>
    <w:p>
      <w:pPr>
        <w:spacing w:after="80"/>
      </w:pPr>
      <w:r>
        <w:rPr>
          <w:b w:val="0"/>
          <w:i w:val="0"/>
        </w:rPr>
        <w:t>Theo kinh nghiệm của tôi, các mục tiêu của ban điều hành và lợi ích của cổ đông đã trở nên gắn kết hơn. Các nhà quản lý chắc chắn nên tiếp tục điều hành các hoạt động kinh doanh hàng ngày, và các giám đốc nên cung cấp sự giám sát có hiểu biết. Các cổ đông buộc hội đồng quản trị phải chịu trách nhiệm thông qua giám sát theo quy định, hoạt động vận động, bình luận của các công ty tư vấn quản trị, bỏ phiếu ủy quyền, kiện tụng và các nỗ lực khác. Có những ngoại lệ đối với quản trị tốt, và chúng ta sẽ thảo luận một số ví dụ về những thất bại quản trị lớn như tại nhà sản xuất máy bay mang tính biểu tượng của Hoa Kỳ là Boeing.</w:t>
      </w:r>
    </w:p>
    <w:p>
      <w:pPr>
        <w:spacing w:after="80"/>
      </w:pPr>
      <w:r>
        <w:rPr>
          <w:b w:val="0"/>
          <w:i w:val="0"/>
        </w:rPr>
        <w:t>Marty Lipton nói với tôi trong một cuộc phỏng vấn, "Những thay đổi lớn trong kỳ vọng đối với hội đồng quản trị và các giám đốc đã phản ánh các vấn đề kinh doanh, luật pháp và quy định. Những thay đổi đến chậm hơn từ luật pháp và quy định; chúng đến nhanh hơn nếu cần thiết để tạo điều kiện cho hoạt động của các công ty. Các giám đốc đã trở thành những người chăn dắt nghiêm túc đối với trách nhiệm của mình, chưa kể rằng đã có một lượng đáng kể các vụ kiện tụng trong 50 năm qua đã buộc các giám đốc phải chịu trách nhiệm về những vấn đề lẽ ra họ phải giải quyết."</w:t>
      </w:r>
    </w:p>
    <w:p>
      <w:pPr>
        <w:spacing w:after="80"/>
      </w:pPr>
      <w:r>
        <w:rPr>
          <w:b w:val="0"/>
          <w:i w:val="0"/>
        </w:rPr>
        <w:t>Tôi chia sẻ tổng quan lịch sử này để cho thấy rằng mặc dù quản trị doanh nghiệp đã được chuyển đổi trong khoảng 50 năm qua, vẫn tiếp tục có những sơ suất lớn, và vai trò của một giám đốc phức tạp và quan trọng hơn bao giờ hết. Trừ khi bạn biết lịch sử về cách chúng ta đi đến vị trí hiện tại, bạn sẽ không hiểu được những vấn đề chúng ta vẫn đang đối mặt. Nếu không trân trọng quá khứ, chúng ta có nguy cơ không tiếp tục cải thiện quản trị và thậm chí đảo ngược tiến bộ trong những thập kỷ gần đây—gây tổn hại cho doanh nghiệp, nền kinh tế và xã hội nói chung.</w:t>
      </w:r>
    </w:p>
    <w:p>
      <w:pPr>
        <w:pStyle w:val="Heading1"/>
      </w:pPr>
      <w:r>
        <w:rPr>
          <w:rFonts w:ascii="Calibri" w:hAnsi="Calibri"/>
          <w:b/>
          <w:i w:val="0"/>
          <w:sz w:val="40"/>
        </w:rPr>
        <w:t>Mục II</w:t>
      </w:r>
    </w:p>
    <w:p>
      <w:pPr>
        <w:pStyle w:val="Heading1"/>
      </w:pPr>
      <w:r>
        <w:rPr>
          <w:rFonts w:ascii="Calibri" w:hAnsi="Calibri"/>
          <w:b/>
          <w:i w:val="0"/>
          <w:sz w:val="40"/>
        </w:rPr>
        <w:t>Các giám đốc làm gì và các giám đốc làm điều đó như thế nào?</w:t>
      </w:r>
    </w:p>
    <w:p>
      <w:pPr>
        <w:pStyle w:val="Heading1"/>
      </w:pPr>
      <w:r>
        <w:rPr>
          <w:rFonts w:ascii="Calibri" w:hAnsi="Calibri"/>
          <w:b/>
          <w:i w:val="0"/>
          <w:sz w:val="40"/>
        </w:rPr>
        <w:t>Chương 3</w:t>
      </w:r>
    </w:p>
    <w:p>
      <w:pPr>
        <w:pStyle w:val="Heading1"/>
      </w:pPr>
      <w:r>
        <w:rPr>
          <w:rFonts w:ascii="Calibri" w:hAnsi="Calibri"/>
          <w:b/>
          <w:i w:val="0"/>
          <w:sz w:val="40"/>
        </w:rPr>
        <w:t>Cốt lõi vai trò của các giám đốc doanh nghiệp</w:t>
      </w:r>
    </w:p>
    <w:p>
      <w:pPr>
        <w:spacing w:after="80"/>
      </w:pPr>
      <w:r>
        <w:rPr>
          <w:b w:val="0"/>
          <w:i w:val="0"/>
        </w:rPr>
        <w:t xml:space="preserve">Vào ngày 20 tháng 5 năm 2011, Phó Chánh án Donald F. Parsons của Tòa án Chancery Delaware đã công bố một ý kiến có thể không gây được tiêu đề ngoài thế giới của các luật sư, chuyên gia ngân hàng đầu tư và giám đốc doanh nghiệp nhưng chắc chắn đã có tác động đáng kể đến những đối tượng này. Vấn đề trong phán quyết </w:t>
      </w:r>
      <w:r>
        <w:rPr>
          <w:b w:val="0"/>
          <w:i/>
        </w:rPr>
        <w:t>In re Smurfit-Stone Shareholder Litigation</w:t>
      </w:r>
      <w:r>
        <w:rPr>
          <w:b w:val="0"/>
          <w:i w:val="0"/>
        </w:rPr>
        <w:t xml:space="preserve"> là liệu hội đồng quản trị của Smurfit-Stone, một nhà sản xuất bìa giấy và bao bì giấy có trụ sở tại Fortune 500 được giao dịch công khai, đã hoàn thành nghĩa vụ ủy thác của mình trong việc phê duyệt việc bán cho Rock-Tenn, một đối thủ cạnh tranh trong ngành kinh doanh giấy và bao bì, hay chưa.</w:t>
      </w:r>
    </w:p>
    <w:p>
      <w:pPr>
        <w:spacing w:after="80"/>
      </w:pPr>
      <w:r>
        <w:rPr>
          <w:b w:val="0"/>
          <w:i w:val="0"/>
        </w:rPr>
        <w:t>Các nguyên đơn cho rằng hội đồng quản trị đã vội vàng thực hiện giao dịch mà không đảm bảo rằng nó đang tối đa hóa giá trị cổ đông, tham gia vào các cuộc đàm phán độc quyền với Rock-Tenn mà không khảo sát thị trường một cách đầy đủ, đồng ý với các biện pháp bảo vệ giao dịch hạn chế, cho phép các thành viên của đội ngũ ban điều hành có xung đột lợi ích tham gia vào các cuộc đàm phán, và dựa vào một cố vấn tài chính không có kinh nghiệm trong ngành.</w:t>
      </w:r>
    </w:p>
    <w:p>
      <w:pPr>
        <w:spacing w:after="80"/>
      </w:pPr>
      <w:r>
        <w:rPr>
          <w:b w:val="0"/>
          <w:i w:val="0"/>
        </w:rPr>
        <w:t>Smurfit-Stone vừa mới thoát khỏi quá trình tái cơ cấu phá sản theo Chương 11 với một hội đồng quản trị mới gồm 11 người, trong đó có 8 giám đốc độc lập, được lựa chọn qua một quy trình do các chủ nợ lớn trước đây của công ty – nay đã trở thành những cổ đông đáng kể – dẫn dắt. Các giám đốc này đã nỗ lực nhanh chóng làm quen với ban điều hành, các mảng kinh doanh, vị thế cạnh tranh, những thách thức chiến lược, tình hình tài chính, cách thị trường nhìn nhận công ty và nhiều vấn đề khác. Họ đã thuê Goldman Sachs tư vấn về một số chủ đề, trong đó có nghĩa vụ quỹ hưu trí bị thiếu hụt vốn nghiêm trọng. Công ty đang trong quá trình tìm kiếm một CEO mới và một CFO mới; công ty có chi phí quản lý chung lớn hơn nhiều so với đối thủ, một phần do có tới một tá nhà máy giấy, trong đó một số không thực sự cạnh tranh về chi phí, và có ba trụ sở riêng biệt do một thương vụ sáp nhập kinh doanh trước đó, cộng thêm việc mở một văn phòng ở Atlanta gần một đối thủ lớn là Georgia-Pacific – nơi công ty đã tuyển về một số lãnh đạo.</w:t>
      </w:r>
    </w:p>
    <w:p>
      <w:pPr>
        <w:spacing w:after="80"/>
      </w:pPr>
      <w:r>
        <w:rPr>
          <w:b w:val="0"/>
          <w:i w:val="0"/>
        </w:rPr>
        <w:t>Trước những vấn đề và bất định này, đặc biệt là việc CEO chỉ có hợp đồng ngắn hạn và ai cũng biết công ty đang tìm người thay thế ông, không có gì ngạc nhiên khi hội đồng quản trị nhận được một đề nghị thâu tóm không được mời – từ một công ty private equity lớn đã bắt tay với một lãnh đạo cấp cao, người sẽ trở thành CEO nếu đề nghị thành công. Hội đồng quản trị ngay lập tức thành lập một ủy ban đặc biệt gồm các giám đốc độc lập – vì CEO có xung đột lợi ích khi vừa là người bán cổ phần tiềm năng, vừa là người mua hoặc nhà đầu tư vào công ty mới nếu ông tiếp tục ở lại với vai trò nào đó – và thuê các cố vấn bên ngoài: Lazard làm ngân hàng đầu tư và Wachtell Lipton làm cố vấn pháp lý.</w:t>
      </w:r>
    </w:p>
    <w:p>
      <w:pPr>
        <w:spacing w:after="80"/>
      </w:pPr>
      <w:r>
        <w:rPr>
          <w:b w:val="0"/>
          <w:i w:val="0"/>
        </w:rPr>
        <w:t>Nhóm Lazard do Bill Lewis và Barry Ridings – người trầm lặng nhưng đầy quyền lực – dẫn dắt. Lewis là một chuyên gia ngân hàng M&amp;A kỳ cựu, từng điều hành mảng M&amp;A của Morgan Stanley rồi chuyển sang Lazard trước khi gia nhập Apollo; trong khi Ridings, cùng người bạn và hàng xóm ở Bermuda là Terry Savage, đã gây dựng một trong những mảng tư vấn tái cơ cấu hàng đầu Phố Wall và từng tư vấn cho Smurfit-Stone trong quá trình tái cơ cấu. Steve Rosenblum dẫn dắt nhóm Wachtell Lipton. Ông gắn bó với Wachtell Lipton – một trong những hãng luật hàng đầu về M&amp;A – từ cuối thập niên 1980, và với phong cách đặc trưng là bộ vest sẫm màu, áo sơ mi trắng và cà vạt đỏ, Steve nổi tiếng với những lời khuyên sâu sắc và giờ làm việc dài.</w:t>
      </w:r>
    </w:p>
    <w:p>
      <w:pPr>
        <w:spacing w:after="80"/>
      </w:pPr>
      <w:r>
        <w:rPr>
          <w:b w:val="0"/>
          <w:i w:val="0"/>
        </w:rPr>
        <w:t>Đề nghị không được mời từ công ty private equity đã bị từ chối vì mức giá quá thấp. Tuy nhiên, vào ngày 23 tháng 12 năm 2010, hội đồng quản trị lại nhận được một đề nghị không được mời khác, lần này từ Rock-Tenn và vị CEO đã được chứng minh năng lực, luôn nhắm đến việc thâu tóm, Jim Rubright. Vì mọi hội đồng quản trị đều có nghĩa vụ tối đa hóa giá trị cho cổ đông, nên về bản chất mọi công ty đại chúng đều có thể được bán ở một mức giá nào đó, và hội đồng quản trị sẵn sàng lắng nghe.</w:t>
      </w:r>
    </w:p>
    <w:p>
      <w:pPr>
        <w:spacing w:after="80"/>
      </w:pPr>
      <w:r>
        <w:rPr>
          <w:b w:val="0"/>
          <w:i w:val="0"/>
        </w:rPr>
        <w:t>Sự quan tâm của Rock-Tenn mang tính chiến lược và hợp lý. Công ty đã hoàn tất và tích hợp thành công hai thương vụ thâu tóm lớn. Điều quan trọng là sau này Rubright giải thích với tôi rằng ông đã xác định ngành công nghiệp bìa cứng (containerboard) đã được hợp lý hóa đến mức cung và cầu nhìn chung cân bằng, nhưng ông dự đoán nhu cầu sẽ tăng đáng kể khi nền kinh tế mạnh lên và thương mại điện tử bùng nổ. Ông nói tiếp rằng Smurfit-Stone đã thoát khỏi quá trình tái cơ cấu với cơ cấu chi phí được cải thiện và lợi nhuận mạnh mẽ trong quý đầu tiên với tư cách là một công ty đại chúng mới, và việc thâu tóm sẽ giúp mang lại kỷ luật giá tốt hơn cho thị trường. “Tôi rao giảng về giá, không phải về sản lượng,” ông nói với tôi.</w:t>
      </w:r>
    </w:p>
    <w:p>
      <w:pPr>
        <w:spacing w:after="80"/>
      </w:pPr>
      <w:r>
        <w:rPr>
          <w:b w:val="0"/>
          <w:i w:val="0"/>
        </w:rPr>
        <w:t>Rock-Tenn làm việc với một nhóm ngân hàng đầu tư do John Church của Wachovia, nay là Wells Fargo, dẫn dắt. Church, hiện là phó chủ tịch mảng ngân hàng đầu tư tại Morgan Stanley, đã theo dõi các công ty giấy và bao bì nhiều năm và được Rubright tin tưởng.</w:t>
      </w:r>
    </w:p>
    <w:p>
      <w:pPr>
        <w:spacing w:after="80"/>
      </w:pPr>
      <w:r>
        <w:rPr>
          <w:b w:val="0"/>
          <w:i w:val="0"/>
        </w:rPr>
        <w:t>Quá trình diễn ra nhanh chóng – 19 ngày từ lần tiếp cận đầu tiên đến khi công bố thương vụ trị giá 3,5 tỷ đô la – nhưng không hề thiếu sự cân nhắc kỹ lưỡng của cả hai bên. Smurfit-Stone lập một ủy ban giao dịch gồm ba giám đốc để có thể họp và phản ứng nhanh hơn so với toàn bộ hội đồng quản trị; tất nhiên, mọi giám đốc đều được thông tin đầy đủ và chịu trách nhiệm quyết định cuối cùng về việc có nên đề xuất thương vụ với cổ đông hay không. Rubright nói: “[Rock-Tenn] chưa bao giờ cảm thấy bị thúc ép. Chúng tôi đã làm hai thương vụ thành công tốt đẹp và có một đội ngũ điều hành mạnh cùng những cố vấn xuất sắc. Tôi luôn tập trung vào những vấn đề then chốt, còn những vấn đề khác không quan trọng đến thế.” Đã có vô số cuộc họp để thẩm định và đàm phán hợp đồng cũng như các cuộc họp hội đồng quản trị của cả hai công ty.</w:t>
      </w:r>
    </w:p>
    <w:p>
      <w:pPr>
        <w:spacing w:after="80"/>
      </w:pPr>
      <w:r>
        <w:rPr>
          <w:b w:val="0"/>
          <w:i w:val="0"/>
        </w:rPr>
        <w:t>Hội đồng quản trị Smurfit-Stone đã thảo luận về việc có nên liên hệ với các nhà mua tiềm năng là tổ chức tài chính và các công ty khác hay không, nhưng các giám đốc thấy rõ rằng số lượng người mua tiềm năng có hạn, và lẽ ra tất cả họ đều phải biết rõ về cơ hội này để bày tỏ sự quan tâm, nhất là sau vụ phá sản trước đó. Cuối cùng, hội đồng quản trị Smurfit-Stone, với tư vấn của Lazard và Wachtell Lipton, quyết định rằng mức giá cuối cùng mà Rock-Tenn đưa ra – 35 đô la mỗi cổ phần, trả 50 phần trăm bằng tiền mặt và 50 phần trăm bằng cổ phiếu phổ thông Rock-Tenn, cao hơn 27 phần trăm so với giá cổ phiếu Smurfit-Stone trước khi có tin đồn về khả năng bán công ty – là hấp dẫn, và phê duyệt việc ký kết một thỏa thuận chính thức cùng công bố ra công chúng.</w:t>
      </w:r>
    </w:p>
    <w:p>
      <w:pPr>
        <w:spacing w:after="80"/>
      </w:pPr>
      <w:r>
        <w:rPr>
          <w:b w:val="0"/>
          <w:i w:val="0"/>
        </w:rPr>
        <w:t xml:space="preserve">Rất nhanh sau đó, hội đồng quản trị Smurfit-Stone bị kiện tại Tòa án Chancery bang Delaware, và dù kết quả lẽ ra phải rõ ràng với bất kỳ ai biết sự thật, chẳng ai muốn bị kiện cả. Một vấn đề quan trọng trong vụ án là tiêu chuẩn mà hội đồng quản trị phải tuân theo. Hành động của hội đồng quản trị thường được đánh giá theo quy tắc phán đoán kinh doanh (business judgment rule): Quy trình có hợp lý không và các hành động có được thực hiện với thiện chí không? Tuy nhiên, trong vụ án mang tính bước ngoặt </w:t>
      </w:r>
      <w:r>
        <w:rPr>
          <w:b w:val="0"/>
          <w:i/>
        </w:rPr>
        <w:t>Revlon v. MacAndrews &amp; Forbes</w:t>
      </w:r>
      <w:r>
        <w:rPr>
          <w:b w:val="0"/>
          <w:i w:val="0"/>
        </w:rPr>
        <w:t xml:space="preserve"> (</w:t>
      </w:r>
      <w:r>
        <w:rPr>
          <w:b w:val="0"/>
          <w:i/>
        </w:rPr>
        <w:t>Revlon</w:t>
      </w:r>
      <w:r>
        <w:rPr>
          <w:b w:val="0"/>
          <w:i w:val="0"/>
        </w:rPr>
        <w:t>) liên quan đến tình huống một công ty bị bán hoàn toàn bằng tiền mặt và cổ đông không có “ngày mai” để tham gia vào thành công tương lai của công ty, tòa án phán quyết rằng tiêu chuẩn xem xét cao hơn, đòi hỏi hội đồng quản trị phải nỗ lực hợp lý để đạt được giá trị cao nhất có thể cho công ty.</w:t>
      </w:r>
    </w:p>
    <w:p>
      <w:pPr>
        <w:spacing w:after="80"/>
      </w:pPr>
      <w:r>
        <w:rPr>
          <w:b w:val="0"/>
          <w:i w:val="0"/>
        </w:rPr>
        <w:t xml:space="preserve">Chi tiết của </w:t>
      </w:r>
      <w:r>
        <w:rPr>
          <w:b w:val="0"/>
          <w:i/>
        </w:rPr>
        <w:t>Revlon</w:t>
      </w:r>
      <w:r>
        <w:rPr>
          <w:b w:val="0"/>
          <w:i w:val="0"/>
        </w:rPr>
        <w:t xml:space="preserve"> sẽ được tìm hiểu sau, nhưng vì khoản thanh toán cho Smurfit-Stone là hỗn hợp tiền mặt và cổ phiếu, nên có chút bất định về việc tiêu chuẩn nào là phù hợp. Cuối cùng, tiêu chuẩn đó không ảnh hưởng đến phán quyết.</w:t>
      </w:r>
    </w:p>
    <w:p>
      <w:pPr>
        <w:spacing w:after="80"/>
      </w:pPr>
      <w:r>
        <w:rPr>
          <w:b w:val="0"/>
          <w:i w:val="0"/>
        </w:rPr>
        <w:t>Phó Chánh án Parsons viết trong ý kiến của mình: “Nguyên đơn đã không chứng minh được khả năng thành công hợp lý cho cáo buộc rằng Hội đồng quản trị đã vi phạm nghĩa vụ tín thác khi phê duyệt thương vụ sáp nhập với Rock-Tenn. . . . [Bất kể tiêu chuẩn nào được áp dụng,] kết quả vẫn sẽ như nhau.”1 Ông nói tiếp: “Tôi bác bỏ lập luận của Nguyên đơn rằng Hội đồng quản trị và Ủy ban Đặc biệt đã không được cung cấp đầy đủ thông tin khi họ cho phép ký kết Thỏa thuận Sáp nhập.”2 Ông cũng viết: “Có nhiều thông tin để chứng minh rằng 35 đô la mỗi cổ phần là một mức giá công bằng.”3</w:t>
      </w:r>
    </w:p>
    <w:p>
      <w:pPr>
        <w:spacing w:after="80"/>
      </w:pPr>
      <w:r>
        <w:rPr>
          <w:b w:val="0"/>
          <w:i w:val="0"/>
        </w:rPr>
        <w:t>Thật vậy, mọi cáo buộc của nguyên đơn đều bị bác bỏ.</w:t>
      </w:r>
    </w:p>
    <w:p>
      <w:pPr>
        <w:spacing w:after="80"/>
      </w:pPr>
      <w:r>
        <w:rPr>
          <w:b w:val="0"/>
          <w:i w:val="0"/>
        </w:rPr>
        <w:t>Thương vụ sau đó được cổ đông phê duyệt áp đảo, với hơn 91 phần trăm số cổ phiếu Smurfit-Stone tham gia bỏ phiếu tại đại hội cổ đông của công ty bỏ phiếu thuận cho thương vụ.</w:t>
      </w:r>
    </w:p>
    <w:p>
      <w:pPr>
        <w:spacing w:after="80"/>
      </w:pPr>
      <w:r>
        <w:rPr>
          <w:b w:val="0"/>
          <w:i w:val="0"/>
        </w:rPr>
        <w:t>Để hoàn thiện câu chuyện, vào năm 2015, Rock-Tenn hợp nhất với một đối thủ khác là MeadWestvaco để thành lập WestRock. Rồi vào cuối năm 2023, WestRock hoàn tất thương vụ với Smurfit Kappa để tạo ra Smurfit WestRock, nhà sản xuất bìa cứng lớn nhất thế giới với doanh thu hằng năm khoảng 34 tỷ đô la.4 Thú vị là Smurfit Kappa chính là mảng kinh doanh quốc tế của Jefferson Smurfit Corporation ban đầu, trước khi hợp nhất với Stone Container vào năm 1998 và trở thành Smurfit-Stone.</w:t>
      </w:r>
    </w:p>
    <w:p>
      <w:pPr>
        <w:spacing w:after="80"/>
      </w:pPr>
      <w:r>
        <w:rPr>
          <w:b w:val="0"/>
          <w:i w:val="0"/>
        </w:rPr>
        <w:t>Ý kiến của Phó Chánh án Parsons đặc biệt khiến tôi chú ý vì tôi là một trong tám giám đốc độc lập được bổ nhiệm vào hội đồng quản trị Smurfit-Stone khi công ty thoát khỏi Chương 11. Tôi cũng là thành viên của ủy ban đặc biệt và ủy ban giao dịch, và đã bị lấy lời khai trước phiên tòa. Tôi tin chắc rằng hội đồng quản trị của chúng tôi không có xung đột lợi ích, được thông tin đầy đủ và được tư vấn tốt, và đã đưa ra quyết định tối đa hóa giá trị. Tôi hài lòng rằng hội đồng quản trị của chúng tôi quyết định không dàn xếp với một nguyên đơn có cáo buộc thiếu căn cứ và yếu ớt, mà để tòa án phán quyết – và chúng tôi đã thắng vang dội.</w:t>
      </w:r>
    </w:p>
    <w:p>
      <w:pPr>
        <w:spacing w:after="80"/>
      </w:pPr>
      <w:r>
        <w:rPr>
          <w:b w:val="0"/>
          <w:i w:val="0"/>
        </w:rPr>
        <w:t>Trải nghiệm này vẫn là một lời nhắc nhở rõ rệt với tôi rằng nghĩa vụ của một giám đốc là quan trọng. Ở đây có những cái giá thật bằng tiền, và trong một số trường hợp, bằng cả sinh mạng con người. Tôi đối chiếu trải nghiệm ở Smurfit-Stone với những tin tức xuất hiện trong những năm gần đây từ Boeing, công ty lớn của Mỹ đã sản xuất máy bay hơn một thế kỷ và xếp khoảng thứ 50 trong danh sách Fortune 500 mới nhất.5</w:t>
      </w:r>
    </w:p>
    <w:p>
      <w:pPr>
        <w:spacing w:after="80"/>
      </w:pPr>
      <w:r>
        <w:rPr>
          <w:b w:val="0"/>
          <w:i w:val="0"/>
        </w:rPr>
        <w:t>Ban giám đốc Boeing, dù quy tụ nhiều giám đốc thành công ở đủ loại vai trò và doanh nghiệp, đã bị kết luận là có lỗi trong các vụ tai nạn máy bay chết người vào năm 2018 và 2019. “Thay vì đặt ưu tiên lên hàng đầu là an toàn,” Phó Chánh án Morgan T. Zurn của Tòa án Chancery bang Delaware viết, các giám đốc “đã giao phó quyền giám sát của mình cho chương trình nghị sự sản xuất nhanh và tối đa hóa lợi nhuận của Boeing.”6 Thật vậy, Zurn viết tiếp, “không chỉ các Bị đơn là Giám đốc hành động không nhất quán với nghĩa vụ ủy thác của mình, mà họ còn biết rõ những thiếu sót của bản thân.”7 Ban giám đốc trong trường hợp này không thoát khỏi trách nhiệm pháp lý; cuối cùng họ đồng ý trả 237,5 triệu đô-la cho các cổ đông, dù cần lưu ý rằng số tiền này được chi trả bởi hợp đồng bảo hiểm trách nhiệm của giám đốc và cán bộ điều hành (D&amp;O) của công ty, chứ không phải do chính các giám đốc bỏ ra.8 Vào tháng 1 năm 2024, sau một sự cố khác khi một nắp cửa bung ra trên chiếc Boeing 737 MAX 9 của Alaska Airlines, ban giám đốc lại thấy mình bị soi xét.9</w:t>
      </w:r>
    </w:p>
    <w:p>
      <w:pPr>
        <w:spacing w:after="80"/>
      </w:pPr>
      <w:r>
        <w:rPr>
          <w:b w:val="0"/>
          <w:i w:val="0"/>
        </w:rPr>
        <w:t>Với hai ví dụ trái ngược này, đâu là những trách nhiệm chính của một giám đốc, và làm sao để một giám đốc thực hiện chúng một cách hiệu quả?</w:t>
      </w:r>
    </w:p>
    <w:p>
      <w:pPr>
        <w:pStyle w:val="Heading2"/>
      </w:pPr>
      <w:r>
        <w:rPr>
          <w:rFonts w:ascii="Calibri" w:hAnsi="Calibri"/>
          <w:b/>
          <w:i w:val="0"/>
          <w:sz w:val="32"/>
        </w:rPr>
        <w:t>Trách nhiệm của một Giám đốc</w:t>
      </w:r>
    </w:p>
    <w:p>
      <w:pPr>
        <w:spacing w:after="80"/>
      </w:pPr>
      <w:r>
        <w:rPr>
          <w:b w:val="0"/>
          <w:i w:val="0"/>
        </w:rPr>
        <w:t>Ban giám đốc được các cổ đông bầu ra để giám sát ban điều hành. Các thành viên ban giám đốc không điều hành công ty. CEO, các cấp dưới trực tiếp của CEO, và nhân viên trong toàn tổ chức mới là những người điều hành công ty hằng ngày. Trong vai trò giám sát của mình, nói chung các giám đốc chịu trách nhiệm tuyển dụng, đánh giá, trả thù lao, và đôi khi sa thải CEO; xem xét và cuối cùng phê duyệt chiến lược công ty; đánh giá và thông qua việc phân bổ vốn (đầu tư vào chi tiêu vốn, trả nợ, mua lại và hoàn trả vốn cho cổ đông thông qua cổ tức và/hoặc mua lại cổ phiếu); và rà soát các kiểm soát tài chính cùng báo cáo tài chính, cấu trúc vốn, và các vấn đề tuân thủ.</w:t>
      </w:r>
    </w:p>
    <w:p>
      <w:pPr>
        <w:spacing w:after="80"/>
      </w:pPr>
      <w:r>
        <w:rPr>
          <w:b w:val="0"/>
          <w:i w:val="0"/>
        </w:rPr>
        <w:t>Tôi đã trò chuyện với Jed York, chủ sở hữu chính và CEO của đội bóng bầu dục San Francisco 49ers, đội đã giành năm chiếc Super Bowl, đồng hạng nhì về số lần vô địch trong lịch sử NFL. York có một góc nhìn độc đáo với tư cách vừa là chủ sở hữu vừa là CEO. Quan điểm của ông là “vai trò của ban giám đốc rõ ràng là quản trị—nhưng hơn thế nữa, ban giám đốc cần giúp định hướng cho CEO và đội ngũ điều hành nhìn ra những điều mà họ có thể không thấy khi ngày ngày lao vào cuộc chiến.”</w:t>
      </w:r>
    </w:p>
    <w:p>
      <w:pPr>
        <w:spacing w:after="80"/>
      </w:pPr>
      <w:r>
        <w:rPr>
          <w:b w:val="0"/>
          <w:i w:val="0"/>
        </w:rPr>
        <w:t>Chiến lược công ty là điều then chốt, vì nó dẫn dắt công ty tiến về phía trước. Tôi hình dung chiến lược công ty như một kế hoạch dài hạn được cân nhắc kỹ lưỡng để đạt được các mục tiêu của công ty, mà nói chung thường là gia tăng vị thế thị trường, doanh thu, lợi nhuận, biên lợi nhuận, và dòng tiền. Nhưng chiến lược có thể được định nghĩa khác nhau tùy theo từng ngành kinh doanh.</w:t>
      </w:r>
    </w:p>
    <w:p>
      <w:pPr>
        <w:spacing w:after="80"/>
      </w:pPr>
      <w:r>
        <w:rPr>
          <w:b w:val="0"/>
          <w:i w:val="0"/>
        </w:rPr>
        <w:t xml:space="preserve">Vài năm trước, </w:t>
      </w:r>
      <w:r>
        <w:rPr>
          <w:b w:val="0"/>
          <w:i/>
        </w:rPr>
        <w:t>Vanity Fair</w:t>
      </w:r>
      <w:r>
        <w:rPr>
          <w:b w:val="0"/>
          <w:i w:val="0"/>
        </w:rPr>
        <w:t xml:space="preserve"> đăng một bài chuyên đề mang tựa đề “How Chef Mario Carbone Built the Most Celebrity-Studded Restaurant on Earth.”10 Mario cùng các đồng sáng lập của Major Food Group là Jeff Zalaznick và Rich Torrisi, trong chỉ hơn một thập kỷ, đã phát triển một trong những công ty khách sạn – nhà hàng hàng đầu, với hơn 40 nhà hàng, địa điểm tổ chức riêng tư, và khách sạn. Mario nói với tôi rằng, với anh, “[chiến lược] bắt đầu từ câu chuyện—nó bắt đầu từ việc chúng ta là ai và vì sao chúng ta quan trọng. Chúng tôi dựng nên một sân khấu, chúng tôi tạo nên câu chuyện của mình, và chúng tôi kể y hệt câu chuyện đó lặp đi lặp lại mỗi tối. Sau khi dùng bữa ở Carbone thì thật sự không còn gì mơ hồ nữa: ‘Tối qua tôi đã ăn tối trong một bối cảnh phim Martin Scorsese và ăn một miếng thịt bê parm to bằng cái chụp bánh xe.’”</w:t>
      </w:r>
    </w:p>
    <w:p>
      <w:pPr>
        <w:spacing w:after="80"/>
      </w:pPr>
      <w:r>
        <w:rPr>
          <w:b w:val="0"/>
          <w:i w:val="0"/>
        </w:rPr>
        <w:t>Ban điều hành nên xây dựng chiến lược, nhưng các giám đốc là đại diện của cổ đông, được trao quyền để chất vấn, thách thức, và cuối cùng phê duyệt chiến lược. Các giám đốc cũng cần đảm bảo rằng, trong khi thực thi chiến lược đó, các lãnh đạo cấp cao của công ty đang hành động vì lợi ích tốt nhất của cổ đông. Nói cách khác, một giám đốc là huấn luyện viên, chứ không phải cầu thủ.</w:t>
      </w:r>
    </w:p>
    <w:p>
      <w:pPr>
        <w:spacing w:after="80"/>
      </w:pPr>
      <w:r>
        <w:rPr>
          <w:b w:val="0"/>
          <w:i w:val="0"/>
        </w:rPr>
        <w:t>Len Elmore đồng tình. Ông từng là một cầu thủ bóng rổ All-American tại Đại học Maryland và chơi mười năm trong Hiệp hội Bóng rổ Quốc gia (NBA). Elmore cũng là một luật sư, từng làm công tố viên và hành nghề tư nhân; hiện ông giảng dạy tại Đại học Columbia. Ông giải thích rằng vai trò của huấn luyện viên “tương tự” vai trò của giám đốc, còn vai trò của cầu thủ “tương tự” vai trò của lãnh đạo điều hành: “Là huấn luyện viên, bạn không tự chạy các miếng đánh. Một giám đốc sẽ không đảm nhận các nhiệm vụ và trách nhiệm của ban điều hành. Tuy nhiên, giám đốc có thể đưa ra những hiểu biết sâu sắc và làm tấm gương phản chiếu cho các lãnh đạo điều hành.”</w:t>
      </w:r>
    </w:p>
    <w:p>
      <w:pPr>
        <w:spacing w:after="80"/>
      </w:pPr>
      <w:r>
        <w:rPr>
          <w:b w:val="0"/>
          <w:i w:val="0"/>
        </w:rPr>
        <w:t>“Ở cấp ban giám đốc, bạn lo về lợi nhuận trên vốn trong dài hạn,” Doug Oberhelman, cựu chủ tịch và CEO của Caterpillar, một công ty thuộc Fortune 100, cựu thành viên ban giám đốc của Exxon Mobil và hiện là giám đốc của Bombardier, nói thêm. “Bạn lo về dòng tiền theo thời gian. Bạn lo về mức nợ theo thời gian. Bạn lo về mức độ hài lòng của khách hàng theo thời gian, những điều cơ bản nhất ở tầm cao. Và đó thật sự là những câu hỏi bạn đào sâu.”</w:t>
      </w:r>
    </w:p>
    <w:p>
      <w:pPr>
        <w:spacing w:after="80"/>
      </w:pPr>
      <w:r>
        <w:rPr>
          <w:b w:val="0"/>
          <w:i w:val="0"/>
        </w:rPr>
        <w:t>Đồng thời, các giám đốc cũng không nên đi quá xa. Paula Sneed, cựu lãnh đạo cấp cao tại Kraft và là thành viên của nhiều ban giám đốc, trong đó có Charles Schwab, chia sẻ quan điểm tương tự: “Với tư cách thành viên ban giám đốc, chúng tôi ở đó để gia tăng giá trị cho những suy nghĩ mà ban điều hành đã làm sẵn.”</w:t>
      </w:r>
    </w:p>
    <w:p>
      <w:pPr>
        <w:spacing w:after="80"/>
      </w:pPr>
      <w:r>
        <w:rPr>
          <w:b w:val="0"/>
          <w:i w:val="0"/>
        </w:rPr>
        <w:t>Naren Gursahaney, cựu CEO và giám đốc doanh nghiệp, từng lãnh đạo ADT và ServiceMaster cũng như từng là giám đốc của nhiều công ty khác nhau, đồng tình: “Công việc của ban giám đốc là giám sát, đưa ra hiểu biết sâu sắc, và nhìn xa trông rộng. Bạn cần có sự tôn trọng lành mạnh với ranh giới và hiểu rằng khi đến lúc phải ra quyết định, đó chính là việc mà bạn đã thuê ban điều hành để làm. Nếu bạn cho rằng họ làm điều đó kém, thì công việc của bạn là thay đổi ban điều hành.”</w:t>
      </w:r>
    </w:p>
    <w:p>
      <w:pPr>
        <w:spacing w:after="80"/>
      </w:pPr>
      <w:r>
        <w:rPr>
          <w:b w:val="0"/>
          <w:i w:val="0"/>
        </w:rPr>
        <w:t>Đối với các tổ chức nói chung rộng ra, quản trị là điều then chốt. Chẳng hạn, Ron Klain đã có một sự nghiệp lừng lẫy ở cả khu vực công lẫn tư nhân, trong đó có việc giữ chức Chánh Văn phòng Nhà Trắng thứ 30 dưới thời Tổng thống Joe Biden từ tháng 1 năm 2021 đến tháng 2 năm 2023 và hiện là giám đốc pháp chế của Airbnb, công ty khách sạn – nhà hàng lớn nhất thế giới, với giá trị thị trường khoảng 100 tỷ đô-la.</w:t>
      </w:r>
    </w:p>
    <w:p>
      <w:pPr>
        <w:spacing w:after="80"/>
      </w:pPr>
      <w:r>
        <w:rPr>
          <w:b w:val="0"/>
          <w:i w:val="0"/>
        </w:rPr>
        <w:t>Nói về quản trị ở Nhà Trắng với vai trò Chánh Văn phòng, Klain giải thích: “Tôi cho rằng bạn là COO [giám đốc điều hành] của Nhà Trắng, và theo một nghĩa nào đó là COO của cả chính phủ liên bang. Tổng thống là chủ tịch hội đồng quản trị và theo một nghĩa nào đó chính là cả hội đồng quản trị. Điều bạn đang cố làm là huy động cả tổ chức để đạt được các mục tiêu và mục đích của ông ấy hoặc bà ấy.”</w:t>
      </w:r>
    </w:p>
    <w:p>
      <w:pPr>
        <w:spacing w:after="80"/>
      </w:pPr>
      <w:r>
        <w:rPr>
          <w:b w:val="0"/>
          <w:i w:val="0"/>
        </w:rPr>
        <w:t>Quản trị cũng rất quan trọng để mang lại sự chăm sóc an toàn, chất lượng cho bệnh nhân ốm. Ban đầu được thúc đẩy bởi một bi kịch gia đình, Beth Daley Ullem là chuyên gia quản trị được công nhận trên toàn quốc và là người đấu tranh cho an toàn và chất lượng trong chăm sóc sức khỏe. Bà nói với tôi: “Trong chăm sóc sức khỏe, mục đích của bạn là chăm sóc con người khi họ ở trạng thái dễ bị tổn thương và ốm yếu nhất. Tôi nghĩ điều đó thường bị lãng quên trong phòng họp hội đồng quản trị [của các tổ chức chăm sóc sức khỏe], và có một cơ hội thật sự để các ban giám đốc hiểu được cách việc giám sát của họ có thể thực hiện được lời hứa đó với bệnh nhân. Ban giám đốc có trách nhiệm với cộng đồng trong việc đảm bảo rằng mọi bệnh nhân đều an toàn, mọi bệnh nhân đều được chăm sóc tốt, và mọi bệnh nhân đều được đối xử tôn trọng.”</w:t>
      </w:r>
    </w:p>
    <w:p>
      <w:pPr>
        <w:spacing w:after="80"/>
      </w:pPr>
      <w:r>
        <w:rPr>
          <w:b w:val="0"/>
          <w:i w:val="0"/>
        </w:rPr>
        <w:t>Mario Carbone tin rằng quản trị là việc truyền đạt một tầm nhìn nhất quán xuyên suốt bất kỳ tổ chức nào: “Đó là việc trao cho nhân viên của chúng tôi mọi nguồn lực và công cụ để đảm bảo rằng họ hiểu chúng tôi là ai và vì sao chúng tôi đặc biệt, để đến khoảnh khắc mà tôi không có mặt và ai đó phải ra quyết định, họ sẽ hiểu được những rào chắn và nguyên tắc về điều chúng tôi đang hướng tới.”</w:t>
      </w:r>
    </w:p>
    <w:p>
      <w:pPr>
        <w:spacing w:after="80"/>
      </w:pPr>
      <w:r>
        <w:rPr>
          <w:b w:val="0"/>
          <w:i w:val="0"/>
        </w:rPr>
        <w:t>Tất nhiên, không phải ban quản trị nào cũng hoạt động hiệu quả. Sau vụ bê bối kế toán tại Enron được đưa ra ánh sáng vào năm 2001, Michael H. Sutton, cựu kế toán trưởng của SEC, đã làm chứng trước một tiểu ban của Thượng viện Hoa Kỳ, nói rằng: “Chúng tôi muốn tin rằng Enron là một trường hợp ngoại lệ, rằng những vấn đề quản trị được nêu ra chỉ giới hạn trong vụ việc này, nhưng không phải vậy. Trong khi Enron đã trở thành hình ảnh tiêu biểu cho một hệ thống mất kiểm soát, những lo ngại cốt lõi về sự tận tâm của các Ban Giám đốc và ủy ban kiểm toán còn vươn xa hơn nhiều trong văn hóa doanh nghiệp và thị trường vốn của chúng ta.”11</w:t>
      </w:r>
    </w:p>
    <w:p>
      <w:pPr>
        <w:spacing w:after="80"/>
      </w:pPr>
      <w:r>
        <w:rPr>
          <w:b w:val="0"/>
          <w:i w:val="0"/>
        </w:rPr>
        <w:t>Khi nói về những vấn đề mà các ban quản trị đang đối mặt ngày nay, Charles Elson, giám đốc sáng lập Trung tâm Quản trị Doanh nghiệp Weinberg; ghế Woolard về Quản trị Doanh nghiệp đã nghỉ hưu tại Đại học Delaware; và là một tiếng nói nổi tiếng về “quản trị tốt”, đã nói với tôi rằng: “Vấn đề vẫn là ở chỗ các ban quản trị được tạo nên từ những con người, mà con người thì không thích đối đầu trước mặt những người họ biết và quý mến. Các ban quản trị vẫn thấy khó đưa ra những quyết định khó khăn đó đôi khi, dựa trên chính phẩm chất con người rất cơ bản ấy.” Tất nhiên, mục tiêu—và kỳ vọng của chủ sở hữu hay cổ đông—là có được những giám đốc tận tụy, hành động với sự cẩn trọng và quan tâm. Nhưng con người đúng là con người, và không ai hoàn hảo; đó là lý do tại sao tòa án không kỳ vọng sự hoàn hảo, và các tiêu chuẩn của họ xoay quanh việc hành động thiện chí, áp dụng một quy trình hợp lý, và sử dụng phán đoán kinh doanh đúng đắn.</w:t>
      </w:r>
    </w:p>
    <w:p>
      <w:pPr>
        <w:spacing w:after="80"/>
      </w:pPr>
      <w:r>
        <w:rPr>
          <w:b w:val="0"/>
          <w:i w:val="0"/>
        </w:rPr>
        <w:t>Nói chung, từ góc độ pháp lý, chúng ta nói về hai nghĩa vụ cốt lõi của một giám đốc: nghĩa vụ cẩn trọng (duty of care) và nghĩa vụ trung thành (duty of loyalty). Cẩn trọng liên quan đến việc sử dụng sự siêng năng hợp lý, còn trung thành là đặt lợi ích tốt nhất của công ty lên trên mọi cân nhắc khác. Các học giả đã lập luận rằng không chỉ có hai nghĩa vụ mà có lẽ là ba, thêm thiện chí (good faith) vào hai nghĩa vụ thông thường, hoặc thậm chí có tới năm nghĩa vụ riêng biệt—cẩn trọng, trung thành, khách quan, thiện chí, và hợp lý—theo Julian Velasco, giáo sư luật tại Đại học Notre Dame.12 Tôi cũng từng nghe một số luật sư mô tả công bố thông tin (disclosure) như một nghĩa vụ.</w:t>
      </w:r>
    </w:p>
    <w:p>
      <w:pPr>
        <w:spacing w:after="80"/>
      </w:pPr>
      <w:r>
        <w:rPr>
          <w:b w:val="0"/>
          <w:i w:val="0"/>
        </w:rPr>
        <w:t>Tôi không thể tưởng tượng nổi có giám đốc nào lại phản đối sự cần thiết của tính khách quan, thiện chí, và tính hợp lý trong việc thực hiện vai trò của mình, nhưng tôi tin rằng thật hợp lý khi coi những nghĩa vụ được bổ sung này như những yếu tố của cẩn trọng và trung thành. Không có tính khách quan và hợp lý, thật khó để lập luận rằng bạn đã hoàn thành nghĩa vụ cẩn trọng, và thiện chí thì liên quan đến cả cẩn trọng lẫn trung thành. Tất nhiên, có nhiều yêu cầu công bố thông tin khác nhau đối với các công ty, và việc công bố thông tin của các giám đốc rất quan trọng để xác định liệu có bất kỳ xung đột tiềm ẩn nào hay không.</w:t>
      </w:r>
    </w:p>
    <w:p>
      <w:pPr>
        <w:spacing w:after="80"/>
      </w:pPr>
      <w:r>
        <w:rPr>
          <w:b w:val="0"/>
          <w:i w:val="0"/>
        </w:rPr>
        <w:t>Không có cuốn sách quy tắc nào về cách một giám đốc nên hoàn thành nghĩa vụ của mình. Tuy nhiên, có án lệ, cũng như “thực tiễn tốt nhất” và “thông lệ và tập quán”, về cách các giám đốc nên hoàn thành trách nhiệm của mình, và điều then chốt là hiểu rõ các nghĩa vụ cẩn trọng và trung thành.</w:t>
      </w:r>
    </w:p>
    <w:p>
      <w:pPr>
        <w:pStyle w:val="Heading2"/>
      </w:pPr>
      <w:r>
        <w:rPr>
          <w:rFonts w:ascii="Calibri" w:hAnsi="Calibri"/>
          <w:b/>
          <w:i w:val="0"/>
          <w:sz w:val="32"/>
        </w:rPr>
        <w:t>Nghĩa vụ cẩn trọng</w:t>
      </w:r>
    </w:p>
    <w:p>
      <w:pPr>
        <w:spacing w:after="80"/>
      </w:pPr>
      <w:r>
        <w:rPr>
          <w:b w:val="0"/>
          <w:i w:val="0"/>
        </w:rPr>
        <w:t xml:space="preserve">Nghĩa vụ cẩn trọng đã được Tòa án Tối cao Delaware trình bày rõ ràng vào năm 1985 trong vụ </w:t>
      </w:r>
      <w:r>
        <w:rPr>
          <w:b w:val="0"/>
          <w:i/>
        </w:rPr>
        <w:t>Smith v. Van Gorkom</w:t>
      </w:r>
      <w:r>
        <w:rPr>
          <w:b w:val="0"/>
          <w:i w:val="0"/>
        </w:rPr>
        <w:t xml:space="preserve"> (</w:t>
      </w:r>
      <w:r>
        <w:rPr>
          <w:b w:val="0"/>
          <w:i/>
        </w:rPr>
        <w:t>Van Gorkom</w:t>
      </w:r>
      <w:r>
        <w:rPr>
          <w:b w:val="0"/>
          <w:i w:val="0"/>
        </w:rPr>
        <w:t>), nơi các cổ đông của TransUnion Corporation tìm cách hủy bỏ một vụ sáp nhập, lập luận rằng sự chấp thuận của ban quản trị không phải là kết quả của một phán đoán kinh doanh được thông tin đầy đủ.13</w:t>
      </w:r>
    </w:p>
    <w:p>
      <w:pPr>
        <w:spacing w:after="80"/>
      </w:pPr>
      <w:r>
        <w:rPr>
          <w:b w:val="0"/>
          <w:i w:val="0"/>
        </w:rPr>
        <w:t>“Việc xác định liệu một phán đoán kinh doanh có được thông tin đầy đủ hay không phụ thuộc vào việc liệu các giám đốc đã tự trang bị kiến thức ‘trước khi đưa ra quyết định kinh doanh, về tất cả thông tin trọng yếu có sẵn một cách hợp lý cho họ’ hay chưa,” tòa án tuyên bố, một phần trích dẫn từ một vụ án năm 1971.14 “Việc hoàn thành chức năng ủy thác đòi hỏi nhiều hơn là chỉ đơn thuần không có sự bất thiện chí hay gian lận. Việc đại diện cho lợi ích tài chính của người khác áp đặt lên một giám đốc nghĩa vụ chủ động bảo vệ những lợi ích đó và tiến hành với con mắt phê phán khi đánh giá thông tin.”15</w:t>
      </w:r>
    </w:p>
    <w:p>
      <w:pPr>
        <w:spacing w:after="80"/>
      </w:pPr>
      <w:r>
        <w:rPr>
          <w:b w:val="0"/>
          <w:i w:val="0"/>
        </w:rPr>
        <w:t>Trong thực tế, điều này có nghĩa là phải chú ý. Các giám đốc, đặc biệt là của các công ty đại chúng lớn, thường có lý lịch ấn tượng. Tuy nhiên, bất kể sơ yếu lý lịch của bạn ra sao, việc phục vụ trong một ban quản trị là một trách nhiệm lớn lao đòi hỏi công việc chu đáo và sự cam kết đáng kể về thời gian, đồng thời phải nhớ rằng bạn giám sát nhưng không quản lý. Hoàn thành nghĩa vụ cẩn trọng có nghĩa là bạn đọc kỹ, tiêu hóa, và đặt câu hỏi về thông tin liên quan đến một chủ đề và quyết định, chứ không chỉ lướt qua nó trên chuyến bay đến cuộc họp. Tôi nhớ một buổi thuyết trình của một chuyên gia tư vấn cho một công ty đang gặp khó khăn, cho thấy lượng tiền mặt ở công ty mẹ—nơi khoản nợ nằm—ở mức thấp nghiêm trọng. Không có lời giải thích nào được đưa ra về việc bao nhiêu tiền mặt của các công ty con có thể được chuyển lên để thanh toán nợ. Vậy nên tôi đã hỏi.</w:t>
      </w:r>
    </w:p>
    <w:p>
      <w:pPr>
        <w:spacing w:after="80"/>
      </w:pPr>
      <w:r>
        <w:rPr>
          <w:b w:val="0"/>
          <w:i w:val="0"/>
        </w:rPr>
        <w:t>Như Peter McCausland, cựu chủ tịch và CEO của nhà phân phối khí công nghiệp Airgas và từng là thành viên của một số ban quản trị, đã nói với tôi: “Bạn phải có can đảm để lên tiếng và nói rằng, bạn biết đấy, tôi không chắc. Tôi muốn hoãn việc này lại và không thực hiện bước tiếp theo cho đến khi chúng ta có thêm thông tin.”</w:t>
      </w:r>
    </w:p>
    <w:p>
      <w:pPr>
        <w:spacing w:after="80"/>
      </w:pPr>
      <w:r>
        <w:rPr>
          <w:b w:val="0"/>
          <w:i w:val="0"/>
        </w:rPr>
        <w:t>Hoàn thành nghĩa vụ cẩn trọng có nghĩa là luôn nắm bắt những khía cạnh quan trọng trong hoạt động kinh doanh, chiến lược, hiệu quả tài chính, cấu trúc vốn, và các vấn đề pháp lý và tuân thủ của công ty, cũng như đặt câu hỏi và tiếp tục đào sâu cho đến khi có câu trả lời thỏa đáng. Đó là công việc. Đó là lý do ban quản trị tồn tại.</w:t>
      </w:r>
    </w:p>
    <w:p>
      <w:pPr>
        <w:pStyle w:val="Heading2"/>
      </w:pPr>
      <w:r>
        <w:rPr>
          <w:rFonts w:ascii="Calibri" w:hAnsi="Calibri"/>
          <w:b/>
          <w:i w:val="0"/>
          <w:sz w:val="32"/>
        </w:rPr>
        <w:t>Nghĩa vụ trung thành</w:t>
      </w:r>
    </w:p>
    <w:p>
      <w:pPr>
        <w:spacing w:after="80"/>
      </w:pPr>
      <w:r>
        <w:rPr>
          <w:b w:val="0"/>
          <w:i w:val="0"/>
        </w:rPr>
        <w:t xml:space="preserve">Nghĩa vụ trung thành là về việc hành động thiện chí vì lợi ích của công ty và các cổ đông, chứ không phải vì bản thân. Vụ án năm 1939 của Tòa án Tối cao Delaware </w:t>
      </w:r>
      <w:r>
        <w:rPr>
          <w:b w:val="0"/>
          <w:i/>
        </w:rPr>
        <w:t>Guth v. Loft</w:t>
      </w:r>
      <w:r>
        <w:rPr>
          <w:b w:val="0"/>
          <w:i w:val="0"/>
        </w:rPr>
        <w:t xml:space="preserve"> đã trình bày điều này khá rõ ràng.16 Charles G. Guth là chủ tịch của Loft, một công ty bánh kẹo. Trong khi đang đảm nhiệm vai trò tại Loft, Guth đã mua lại công thức và nhãn hiệu của Pepsi-Cola và thành lập Pepsi-Cola Corporation. Nhưng Guth đã không giữ hai liên doanh này tách biệt. Ông đã sử dụng “tiền bạc, tín dụng, cơ sở vật chất và nhân sự của Loft để thúc đẩy liên doanh Pepsi” vì lợi ích của riêng mình, chứ không phải để mang lại lợi ích cho công ty—một xung đột rõ ràng.17</w:t>
      </w:r>
    </w:p>
    <w:p>
      <w:pPr>
        <w:spacing w:after="80"/>
      </w:pPr>
      <w:r>
        <w:rPr>
          <w:b w:val="0"/>
          <w:i w:val="0"/>
        </w:rPr>
        <w:t>Như tòa án đã viết: “Các quan chức và giám đốc doanh nghiệp không được phép sử dụng vị trí tín nhiệm và tin cậy của mình để thúc đẩy lợi ích riêng. . . . Nếu một quan chức hay giám đốc của một công ty, vi phạm nghĩa vụ của mình với tư cách đó, thu được lợi ích hay lợi thế cho bản thân, luật pháp đặt lợi ích thu được đó vào một quỹ ủy thác vì lợi ích của công ty, theo lựa chọn của công ty, đồng thời từ chối kẻ phản bội mọi lợi ích và lợi nhuận. . . . [Quy tắc này] đòi hỏi ở một quan chức hay giám đốc sự thiện chí tối đa trong mối quan hệ của mình với công ty mà mình đại diện.”18</w:t>
      </w:r>
    </w:p>
    <w:p>
      <w:pPr>
        <w:spacing w:after="80"/>
      </w:pPr>
      <w:r>
        <w:rPr>
          <w:b w:val="0"/>
          <w:i w:val="0"/>
        </w:rPr>
        <w:t>Nghĩa vụ trung thành không đòi hỏi sự vắng mặt tuyệt đối của các xung đột lợi ích. Trong khi điều đó từng là trường hợp như vậy, luật pháp đã phát triển: “Các giám đốc được phép tham gia vào các giao dịch có lợi ích, miễn là các giao dịch đó được làm trong sạch (sanitized) bằng sự chấp thuận của các giám đốc hoặc cổ đông được thông tin đầy đủ trước (ex ante), hoặc của tòa án sau (ex post). Nếu một giao dịch được làm trong sạch bằng sự chấp thuận của giám đốc hoặc cổ đông, nó thường được xác định là không liên quan đến xung đột lợi ích và được xem xét theo quy tắc phán đoán kinh doanh (business judgment rule).”19</w:t>
      </w:r>
    </w:p>
    <w:p>
      <w:pPr>
        <w:spacing w:after="80"/>
      </w:pPr>
      <w:r>
        <w:rPr>
          <w:b w:val="0"/>
          <w:i w:val="0"/>
        </w:rPr>
        <w:t>Trong thực tế, việc thỏa mãn nghĩa vụ trung thành bao gồm việc tự hỏi bản thân một câu hỏi đơn giản và trả lời nó một cách trung thực: Liệu tôi có đang quan tâm đến lợi ích tốt nhất của công ty và các cổ đông không? Các giám đốc phải đảm bảo rằng họ không có bất kỳ xung đột nào mang tính loại trừ, không làm bất cứ điều gì vụ lợi hoặc có thể bị hiểu là vụ lợi, và hoàn toàn tập trung vào việc đưa ra quyết định vì lợi ích của tổ chức và các bên liên quan. Và các giám đốc phải xem xét liệu hoàn cảnh có thay đổi đến mức dù trước đây họ không bị xung đột, thì sau này họ có thể bị xung đột hay không.</w:t>
      </w:r>
    </w:p>
    <w:p>
      <w:pPr>
        <w:spacing w:after="80"/>
      </w:pPr>
      <w:r>
        <w:rPr>
          <w:b w:val="0"/>
          <w:i w:val="0"/>
        </w:rPr>
        <w:t>Theo Daniel Slifkin của Cravath,</w:t>
      </w:r>
    </w:p>
    <w:p>
      <w:pPr>
        <w:spacing w:after="80"/>
      </w:pPr>
      <w:r>
        <w:rPr>
          <w:b w:val="0"/>
          <w:i w:val="0"/>
        </w:rPr>
        <w:t>Xung đột thực sự là khi bạn không thể đưa ra phán đoán độc lập của mình, khi bạn cảm thấy bằng cách nào đó bị giằng xé giữa hai lập trường—chẳng hạn như liệu bạn sẽ chỉ làm điều mà CEO muốn vì ông ấy là bạn của bạn, thay vì làm điều đúng đắn vì công ty. Nhưng hình ảnh bên ngoài cũng quan trọng ở đây. Chúng quan trọng đối với tòa án. Chỉ vì bạn thân thiết với CEO không nên bị coi là xung đột. Nhưng bạn cần phải rất cởi mở về những mối quan hệ mà bạn có, và luôn tốt nhất là cởi mở và cho phép cổ đông bỏ phiếu nếu điều gì đó có thể bị nhìn nhận như một xung đột đáng kể.</w:t>
      </w:r>
    </w:p>
    <w:p>
      <w:pPr>
        <w:spacing w:after="80"/>
      </w:pPr>
      <w:r>
        <w:rPr>
          <w:b w:val="0"/>
          <w:i w:val="0"/>
        </w:rPr>
        <w:t>“Đó là lẽ thường rằng nếu một giám đốc có xung đột, và họ biết khi nào mình có, thì họ phải thông báo cho các giám đốc khác về sự thật đó để ít nhất mọi người được đặt vào tình trạng cảnh báo để xử lý vấn đề,” Andre Bouchard, đối tác trong bộ phận tranh tụng tại hãng luật Paul, Weiss và là cựu chưởng ấn (chancellor) của Tòa án Chancery Delaware, người đã chủ trì một số tranh chấp nổi bật khi ông lãnh đạo tòa án từ 2014 đến 2021, nói thêm.</w:t>
      </w:r>
    </w:p>
    <w:p>
      <w:pPr>
        <w:spacing w:after="80"/>
      </w:pPr>
      <w:r>
        <w:rPr>
          <w:b w:val="0"/>
          <w:i w:val="0"/>
        </w:rPr>
        <w:t>Leo E. Strine Jr. là chánh án (chief justice) của Tòa án Tối cao Delaware từ 2014 đến 2019, đồng thời là người tiền nhiệm của Bouchard với vai trò chưởng ấn Tòa án Chancery Delaware, và hiện ông là cố vấn (of counsel) tại Wachtell Lipton. Ông nói thêm, “Nhận diện các xung đột tiềm ẩn là một bài tập về tự nhận thức và đôi khi là một bài tập không thoải mái. Nhưng chính khi bạn không nhận diện được xung đột và không tìm ra cách giải quyết chúng để giảm bớt lo ngại thì bạn mới gặp rắc rối. Đó là lý do tôi luôn nói rằng 24 đến 96 giờ đầu tiên của, ví dụ, một quá trình giao dịch thường tạo ra hơn một nửa rủi ro tranh tụng.”</w:t>
      </w:r>
    </w:p>
    <w:p>
      <w:pPr>
        <w:spacing w:after="80"/>
      </w:pPr>
      <w:r>
        <w:rPr>
          <w:b w:val="0"/>
          <w:i w:val="0"/>
        </w:rPr>
        <w:t>Các tòa án Delaware đã khẳng định rằng trong khi giám đốc có thể được bồi hoàn (indemnify) cho các vi phạm nghĩa vụ cẩn trọng (duty of care), việc bồi hoàn không thể mở rộng cho các hành vi thiếu thiện chí (bad faith) như vi phạm nghĩa vụ trung thành (duty of loyalty).20 Theo logic trong một bài báo pháp lý năm 1988 của Deborah A. DeMott thuộc Trường Luật Duke, một mặt, nếu không có một mức độ bồi hoàn nào đó, giám đốc “đối mặt với rủi ro trách nhiệm bồi thường thiệt hại vượt xa lợi ích kinh tế mà họ nhận được từ việc phục vụ công ty,”21 mặt khác, bồi hoàn cho giám đốc khi họ không hành động thiện chí là đi quá xa. Tất nhiên, giám đốc cũng có thể là nhân viên điều hành (officer) của công ty. Ở Delaware, việc các công ty bồi hoàn cho nhân viên điều hành cả các vi phạm nghĩa vụ cẩn trọng đang trở thành tiêu chuẩn.</w:t>
      </w:r>
    </w:p>
    <w:p>
      <w:pPr>
        <w:spacing w:after="80"/>
      </w:pPr>
      <w:r>
        <w:rPr>
          <w:b w:val="0"/>
          <w:i w:val="0"/>
        </w:rPr>
        <w:t>Andy Rossman là đối tác quản lý (managing partner) của văn phòng New York thuộc hãng luật Quinn Emanuel và là chủ tịch mảng tranh tụng M&amp;A của hãng. Quinn Emanuel là hãng luật lớn nhất chỉ chuyên về tranh tụng thương mại và trọng tài. Rossman nói với tôi, “Tôi có rất ít trường hợp giám đốc thực sự phải chịu trách nhiệm cá nhân từ tiền túi của mình thay vì được bảo vệ bởi bồi hoàn và bảo hiểm. Tuy nhiên, cách bạn giảm thiểu rủi ro là tham gia tích cực—và có bằng chứng về điều đó. Thuê các chuyên gia mà bạn cần thuê để có được lời khuyên mà bạn cần, cả về pháp lý lẫn tài chính, và đảm bảo rằng biên bản họp hội đồng quản trị phản ánh điều đó. Tôi nghĩ quá thường xuyên xu hướng là làm biên bản thật sơ sài. Tòa án thích thấy giám đốc thực sự trình bày rõ công việc của mình.”</w:t>
      </w:r>
    </w:p>
    <w:p>
      <w:pPr>
        <w:spacing w:after="80"/>
      </w:pPr>
      <w:r>
        <w:rPr>
          <w:b w:val="0"/>
          <w:i w:val="0"/>
        </w:rPr>
        <w:t>Trên thực tế, không có yêu cầu nào về cách soạn biên bản họp hội đồng quản trị hay nội dung nào phải được đưa vào. Tôi nhận thấy rằng các tổng cố vấn (general counsel) và luật sư bên ngoài khác nhau có quan điểm khác nhau về mức độ chi tiết cần có. Nhưng điều Rossman nói phù hợp với quan điểm của tôi. Tôi tin rằng biên bản họp hội đồng quản trị nên đủ chi tiết để giải thích những gì đã được đề cập và hữu ích trong tranh tụng. Chúng nên phản ánh nội dung cốt lõi của các chủ đề khác nhau được thảo luận và ghi lại những câu hỏi và câu trả lời quan trọng. Các bài trình bày được cung cấp nên được đưa vào phần phụ lục. Bất kỳ vấn đề tiếp theo nào mà hội đồng quản trị yêu cầu ban điều hành giải quyết nên được ghi chú, và tất nhiên, thông tin bổ sung được yêu cầu nên được xem xét tại một cuộc họp trong tương lai với biên bản họp hội đồng quản trị sau đó phản ánh điều đó.</w:t>
      </w:r>
    </w:p>
    <w:p>
      <w:pPr>
        <w:pStyle w:val="Heading2"/>
      </w:pPr>
      <w:r>
        <w:rPr>
          <w:rFonts w:ascii="Calibri" w:hAnsi="Calibri"/>
          <w:b/>
          <w:i w:val="0"/>
          <w:sz w:val="32"/>
        </w:rPr>
        <w:t>Các Tòa án Delaware</w:t>
      </w:r>
    </w:p>
    <w:p>
      <w:pPr>
        <w:spacing w:after="80"/>
      </w:pPr>
      <w:r>
        <w:rPr>
          <w:b w:val="0"/>
          <w:i w:val="0"/>
        </w:rPr>
        <w:t xml:space="preserve">Các phán quyết mà tôi đã trích dẫn khi giải thích hai nghĩa vụ cốt lõi là cẩn trọng và trung thành—và tất nhiên là các ý kiến trong </w:t>
      </w:r>
      <w:r>
        <w:rPr>
          <w:b w:val="0"/>
          <w:i/>
        </w:rPr>
        <w:t>Smurfit-Stone</w:t>
      </w:r>
      <w:r>
        <w:rPr>
          <w:b w:val="0"/>
          <w:i w:val="0"/>
        </w:rPr>
        <w:t xml:space="preserve"> và </w:t>
      </w:r>
      <w:r>
        <w:rPr>
          <w:b w:val="0"/>
          <w:i/>
        </w:rPr>
        <w:t>Boeing</w:t>
      </w:r>
      <w:r>
        <w:rPr>
          <w:b w:val="0"/>
          <w:i w:val="0"/>
        </w:rPr>
        <w:t>—đều đến, cũng như Chưởng ấn Bouchard và Chánh án Strine, từ hệ thống tòa án Delaware, nơi đóng vai trò then chốt trong việc thiết lập các kỳ vọng về hành vi của giám đốc và xứng đáng được xem xét kỹ hơn. Delaware là nơi đặt trụ sở pháp lý của rất nhiều công ty—hơn 70 phần trăm trong Fortune 500,22 gần 80 phần trăm các công ty hoàn tất IPO trong năm 2022, và tổng cộng hơn một triệu công ty.23</w:t>
      </w:r>
    </w:p>
    <w:p>
      <w:pPr>
        <w:spacing w:after="80"/>
      </w:pPr>
      <w:r>
        <w:rPr>
          <w:b w:val="0"/>
          <w:i w:val="0"/>
        </w:rPr>
        <w:t>Tòa án Chancery của Delaware—một tòa án riêng cho luật công ty, với thẩm phán thay vì bồi thẩm đoàn và với các ý kiến bằng văn bản để giải thích các phán quyết của mình—có từ năm 1792, và trong khi lý do cho việc thành lập ban đầu đã bị lịch sử lãng quên, hiệu quả của nó là tạo ra một vòng tuần hoàn tích cực thúc đẩy ngày càng nhiều công ty đăng ký thành lập tại Delaware.24 Án lệ được phát triển kỹ lưỡng, kết hợp với một bộ quy định luật định linh hoạt giúp việc kinh doanh dễ dàng và thuận lợi hơn so với hầu hết các khu vực pháp lý khác, nhìn chung có nghĩa là các quy tắc rõ ràng, thẩm phán am hiểu, và doanh nghiệp có thể hành động với mức độ dự đoán được đáng kể để hạn chế rủi ro.</w:t>
      </w:r>
    </w:p>
    <w:p>
      <w:pPr>
        <w:spacing w:after="80"/>
      </w:pPr>
      <w:r>
        <w:rPr>
          <w:b w:val="0"/>
          <w:i w:val="0"/>
        </w:rPr>
        <w:t xml:space="preserve">Lewis S. Black là tác giả của một tập sách nhỏ năm 2007 cho Sở Ngoại vụ Delaware (Delaware Department of State) có tựa đề </w:t>
      </w:r>
      <w:r>
        <w:rPr>
          <w:b w:val="0"/>
          <w:i/>
        </w:rPr>
        <w:t>Why Corporations Choose Delaware</w:t>
      </w:r>
      <w:r>
        <w:rPr>
          <w:b w:val="0"/>
          <w:i w:val="0"/>
        </w:rPr>
        <w:t>. Trong đó, ông viết, “Hầu hết các công ty Delaware không bao giờ thấy mình dính vào các vụ kiện tại Tòa án Chancery. Mặt khác, một tổng cố vấn giàu kinh nghiệm mà tôi biết có cách tiếp cận thực tế. Ông ấy nói với tôi rằng, nếu công ty của ông ấy dù sao cũng sẽ bị kiện, ông ấy sẽ thích tranh tụng tại Tòa án Chancery hơn nhiều, nơi ông ấy được đảm bảo một sân chơi công bằng và một thẩm phán am hiểu.”25</w:t>
      </w:r>
    </w:p>
    <w:p>
      <w:pPr>
        <w:spacing w:after="80"/>
      </w:pPr>
      <w:r>
        <w:rPr>
          <w:b w:val="0"/>
          <w:i w:val="0"/>
        </w:rPr>
        <w:t xml:space="preserve">William T. Allen là chưởng ấn của Tòa án Chancery từ 1985 đến 1997. Allen, người qua đời năm 2019, đã viết những ý kiến có ảnh hưởng lớn đặt ra các tiêu chuẩn cho trách nhiệm của giám đốc trong các vụ sáp nhập, thâu tóm thù địch, và nhiều tình huống khác.26 Được biết đến như vị luật gia đã “cứu luật công ty” theo một bài báo viết ngay sau khi ông qua đời, Allen là tác giả của nhiều vụ án xuất hiện trong cuốn sách này, bao gồm </w:t>
      </w:r>
      <w:r>
        <w:rPr>
          <w:b w:val="0"/>
          <w:i/>
        </w:rPr>
        <w:t>In re Caremark Derivative Litigation</w:t>
      </w:r>
      <w:r>
        <w:rPr>
          <w:b w:val="0"/>
          <w:i w:val="0"/>
        </w:rPr>
        <w:t xml:space="preserve"> (</w:t>
      </w:r>
      <w:r>
        <w:rPr>
          <w:b w:val="0"/>
          <w:i/>
        </w:rPr>
        <w:t>Caremark</w:t>
      </w:r>
      <w:r>
        <w:rPr>
          <w:b w:val="0"/>
          <w:i w:val="0"/>
        </w:rPr>
        <w:t xml:space="preserve">), </w:t>
      </w:r>
      <w:r>
        <w:rPr>
          <w:b w:val="0"/>
          <w:i/>
        </w:rPr>
        <w:t xml:space="preserve">Unocal v. Mesa Petroleum </w:t>
      </w:r>
      <w:r>
        <w:rPr>
          <w:b w:val="0"/>
          <w:i w:val="0"/>
        </w:rPr>
        <w:t>(</w:t>
      </w:r>
      <w:r>
        <w:rPr>
          <w:b w:val="0"/>
          <w:i/>
        </w:rPr>
        <w:t>Unocal</w:t>
      </w:r>
      <w:r>
        <w:rPr>
          <w:b w:val="0"/>
          <w:i w:val="0"/>
        </w:rPr>
        <w:t xml:space="preserve">), và </w:t>
      </w:r>
      <w:r>
        <w:rPr>
          <w:b w:val="0"/>
          <w:i/>
        </w:rPr>
        <w:t>Revlon</w:t>
      </w:r>
      <w:r>
        <w:rPr>
          <w:b w:val="0"/>
          <w:i w:val="0"/>
        </w:rPr>
        <w:t>.27 Allen được cựu thẩm phán Tòa án Tối cao Delaware Jack B. Jacobs ghi nhận là người đã biến các tòa án Delaware thành “cơ quan giải thích luật công ty mang tính thể chế quốc gia . . . thông tin[g] cho vô số các nhóm liên quan—bao gồm giới học thuật pháp lý, đoàn luật sư công ty và các khách hàng hội đồng quản trị của họ, và các đồng nghiệp luật gia của ông—về tầm quan trọng thực sự và sự liên quan cũng như ứng dụng tiếp tục của các nguyên tắc công bằng cổ xưa.”28</w:t>
      </w:r>
    </w:p>
    <w:p>
      <w:pPr>
        <w:spacing w:after="80"/>
      </w:pPr>
      <w:r>
        <w:rPr>
          <w:b w:val="0"/>
          <w:i w:val="0"/>
        </w:rPr>
        <w:t>Lập luận ủng hộ Delaware đã được trình bày sâu sắc trong một bài báo pháp lý năm 2000 của Jill E. Fisch thuộc Trường Luật Đại học Pennsylvania. Bà lập luận rằng luật thương mại Delaware không tốt hơn hay khác biệt về mặt nội dung so với các bang khác—“các quy chế công ty của bang chứa tương đối ít sự khác biệt về nội dung . . . [và] các bộ luật công ty có xu hướng đồng nhất”—nhưng điểm khác biệt ở Delaware là mức độ nhanh nhạy của Tòa án Chancery và các thẩm phán của nó khi kinh doanh và các vấn đề liên quan phát triển và thay đổi.29</w:t>
      </w:r>
    </w:p>
    <w:p>
      <w:pPr>
        <w:spacing w:after="80"/>
      </w:pPr>
      <w:r>
        <w:rPr>
          <w:b w:val="0"/>
          <w:i w:val="0"/>
        </w:rPr>
        <w:t>“Các tòa án Delaware dự đoán trước tác động của các phát triển kinh doanh và cố gắng phát triển các nguyên tắc pháp lý đáp ứng,” bà khẳng định.30 Khi thế giới thay đổi, nhu cầu kinh doanh thay đổi nhanh chóng, và có một hệ thống tòa án có khả năng điều hướng các thay đổi kịp thời là một lợi ích to lớn.</w:t>
      </w:r>
    </w:p>
    <w:p>
      <w:pPr>
        <w:spacing w:after="80"/>
      </w:pPr>
      <w:r>
        <w:rPr>
          <w:b w:val="0"/>
          <w:i w:val="0"/>
        </w:rPr>
        <w:t>Vì tất cả những lý do này, Delaware thường tiếp tục là nơi mặc định để đăng ký thành lập và quản lý tranh chấp công ty. “Chắc chắn, những người thuộc thế hệ tôi đã được hưởng lợi từ các bậc tiền bối Delaware của chúng ta, những người đã đặt nền móng cho một môi trường thân thiện với kinh doanh, thu hút các công ty đến với bang,” Mike Allen (không có quan hệ họ hàng với William T. Allen), giám đốc (đối tác) tại Richards Layton &amp; Finger, hãng luật lớn nhất Delaware, nói. “Họ thiết lập Tòa án Chancery với sự đảm bảo rằng bạn sẽ có các thẩm phán chuyên môn, bạn sẽ không phải chịu xét xử bởi bồi thẩm đoàn, và bạn sẽ nhận được kết quả có thể dự đoán được mà những người làm giao dịch có thể lên kế hoạch dựa trên đó. Cùng với kho tàng án lệ đã phát triển trong 50 năm qua, tôi nghĩ đó thực sự là điều làm cho Delaware trở nên đặc biệt.”</w:t>
      </w:r>
    </w:p>
    <w:p>
      <w:pPr>
        <w:spacing w:after="80"/>
      </w:pPr>
      <w:r>
        <w:rPr>
          <w:b w:val="0"/>
          <w:i w:val="0"/>
        </w:rPr>
        <w:t>“Một số lợi thế khác mang tính cấu trúc,” Allen tiếp tục. “Tốc độ mà văn phòng Sở Ngoại vụ có thể xử lý các hồ sơ, rất nhiều thủ tục hành chính trở nên rất quan trọng nếu bạn đang cố gắng hoàn tất một thương vụ, sự nhanh nhẹn của Sở Ngoại vụ Delaware trong việc hỗ trợ, tất cả những điều đó đều hữu ích. Và những người ở Delaware nhận thức được tầm quan trọng của đặc quyền kinh doanh đối với bang, nên không có gì ngạc nhiên khi các thành viên của đoàn luật sư thực sự tập trung vào việc không ngừng cải thiện và tinh chỉnh các chế độ luật định của chúng ta để giải quyết các vấn đề phát sinh trong thực tiễn.”</w:t>
      </w:r>
    </w:p>
    <w:p>
      <w:pPr>
        <w:spacing w:after="80"/>
      </w:pPr>
      <w:r>
        <w:rPr>
          <w:b w:val="0"/>
          <w:i w:val="0"/>
        </w:rPr>
        <w:t>Daniel Slifkin của Cravath đồng ý. “Delaware có những hệ thống cực kỳ tinh vi để giải quyết tranh chấp. Tôi vừa mới kết thúc một vụ tranh chấp khẩn cấp,” ông nói với tôi. “Tòa án nói, ‘Tôi sẽ đưa ông ra xét xử trong vòng ba tháng,’ và họ đã làm đúng như vậy. Ở Delaware có những hệ thống được thiết lập giữa các thẩm phán, giữa các luật sư, giữa những người hành nghề ở đó, dù là cố vấn pháp lý của Delaware hay không, để giải quyết công việc một cách rất nhanh chóng trên nền tảng một hệ thống luật pháp đã được thiết lập vững chắc. Các khu vực tài phán khác không có được điều đó.”</w:t>
      </w:r>
    </w:p>
    <w:p>
      <w:pPr>
        <w:spacing w:after="80"/>
      </w:pPr>
      <w:r>
        <w:rPr>
          <w:b w:val="0"/>
          <w:i w:val="0"/>
        </w:rPr>
        <w:t>Allen dẫn tôi qua một ví dụ trong đó một vài khách hàng của ông trong nhiều năm là các công ty đại chúng cần thực hiện chia tách cổ phiếu ngược (reverse stock split) để giữ giá cổ phiếu đủ cao nhằm không bị hủy niêm yết khỏi sàn chứng khoán. “Kiểu chia tách ngược đó là một giao dịch trung tính,” ông giải thích, tức là một giao dịch mà giá trị không thay đổi—số cổ phiếu đang lưu hành bị giảm đi, và giá cổ phiếu điều chỉnh tăng lên. Ví dụ, nếu một công ty có giá cổ phiếu $1 và 100 cổ phiếu và số cổ phiếu được chia tách ngược hay giảm xuống còn 10 cổ phiếu, thì giá cổ phiếu ngay lúc đó sẽ phải là $10. “Nhưng theo luật Delaware, cũng như với hầu hết các sửa đổi đối với giấy chứng nhận thành lập (certificate of incorporation), cần phải có phiếu bầu của đa số cổ phiếu đang lưu hành.” Vấn đề là nhiều nhà đầu tư nhỏ lẻ thường không bỏ phiếu, nên việc đạt được số đại biểu hợp lệ (quorum) và đa số phiếu là rất khó khăn. Delaware nhận ra đây là một vấn đề và đã sửa đổi luật để yêu cầu 51 phần trăm số phiếu được bỏ thay vì 51 phần trăm số cổ phiếu đang lưu hành. “Đó là một ví dụ tuyệt vời về việc Delaware có thể giải quyết và nhanh chóng đi đến kết quả mà tôi cho là tốt và công bằng,” Allen giải thích.</w:t>
      </w:r>
    </w:p>
    <w:p>
      <w:pPr>
        <w:spacing w:after="80"/>
      </w:pPr>
      <w:r>
        <w:rPr>
          <w:b w:val="0"/>
          <w:i w:val="0"/>
        </w:rPr>
        <w:t>Dù đã nói tất cả những điều đó, gần đây đã có những thách thức đối với vị thế dẫn đầu của Delaware. Ngày càng có nhiều lo ngại được bày tỏ rằng một số phán quyết gần đây từ các tòa án Delaware, đặc biệt là đối với các công ty bị kiểm soát như Tesla trong vụ bồi thường của Elon Musk (được mô tả trong chương 4) và những vụ liên quan đến, trong số những người khác, ngân hàng đầu tư Moelis cũng như TripAdvisor và Match.com, đã thay đổi cái gọi là luật kiểm soát viên (controller law) vốn đã tồn tại qua nhiều thế hệ. Điều này, ở một mức độ nào đó, đã làm suy yếu niềm tin vào tính nhất quán của các tòa án Delaware và tính thực tiễn của Delaware như một mái nhà tốt cho các công ty.</w:t>
      </w:r>
    </w:p>
    <w:p>
      <w:pPr>
        <w:spacing w:after="80"/>
      </w:pPr>
      <w:r>
        <w:rPr>
          <w:b w:val="0"/>
          <w:i w:val="0"/>
        </w:rPr>
        <w:t>Trong một vụ án năm 2024 liên quan đến trang web hẹn hò Match.com, Tòa án Tối cao Delaware tiếp tục bày tỏ lo ngại về các cổ đông kiểm soát, phán quyết rằng tiêu chuẩn công bằng toàn diện (entire fairness standard) nên được áp dụng trong một loạt giao dịch rộng hơn liên quan đến các công ty bị kiểm soát.31 Mặc dù điều này có thể có lợi cho các nhà đầu tư thiểu số, nó cũng làm dấy lên lo ngại từ các doanh nhân nắm giữ cổ phần đáng kể trong một số công ty đại chúng đăng ký tại Delaware.</w:t>
      </w:r>
    </w:p>
    <w:p>
      <w:pPr>
        <w:spacing w:after="80"/>
      </w:pPr>
      <w:r>
        <w:rPr>
          <w:b w:val="0"/>
          <w:i w:val="0"/>
        </w:rPr>
        <w:t xml:space="preserve">Cũng trong năm 2024, Phó Chánh án J. Travis Laster đưa ra một phán quyết trong vụ </w:t>
      </w:r>
      <w:r>
        <w:rPr>
          <w:b w:val="0"/>
          <w:i/>
        </w:rPr>
        <w:t>West Palm Beach Firefighters’ Pension Fund v. Moelis &amp; Co.</w:t>
      </w:r>
      <w:r>
        <w:rPr>
          <w:b w:val="0"/>
          <w:i w:val="0"/>
        </w:rPr>
        <w:t xml:space="preserve"> (</w:t>
      </w:r>
      <w:r>
        <w:rPr>
          <w:b w:val="0"/>
          <w:i/>
        </w:rPr>
        <w:t>Moelis</w:t>
      </w:r>
      <w:r>
        <w:rPr>
          <w:b w:val="0"/>
          <w:i w:val="0"/>
        </w:rPr>
        <w:t>) cho rằng một thỏa thuận cổ đông trao cho người sáng lập, chủ tịch hội đồng quản trị và CEO của Moelis, Ken Moelis, các quyền quản trị đáng kể, bao gồm ảnh hưởng đối với việc đề cử giám đốc, đã vi phạm luật Delaware. Mặc dù những điều khoản này khá phổ biến và sẽ hợp lệ nếu là một phần của giấy chứng nhận thành lập công ty, Phó Chánh án Laster cho rằng chúng không hợp lệ theo luật Delaware. Điều này được hiểu là mang lại cho các cổ đông cơ hội lớn hơn để thách thức những điều khoản trao quyền đặc biệt cho các nhà đầu tư cụ thể.32</w:t>
      </w:r>
    </w:p>
    <w:p>
      <w:pPr>
        <w:spacing w:after="80"/>
      </w:pPr>
      <w:r>
        <w:rPr>
          <w:b w:val="0"/>
          <w:i w:val="0"/>
        </w:rPr>
        <w:t>Như Chánh án Strine nói với tôi, “Tôi không nghĩ rằng các công ty hiện hữu sẽ rời bỏ vì chuyện này, nhưng nhiều công ty đổi mới sáng tạo nhất khởi đầu là các công ty bị kiểm soát, nên tôi nghĩ đây là một vấn đề nghiêm trọng.”</w:t>
      </w:r>
    </w:p>
    <w:p>
      <w:pPr>
        <w:spacing w:after="80"/>
      </w:pPr>
      <w:r>
        <w:rPr>
          <w:b w:val="0"/>
          <w:i w:val="0"/>
        </w:rPr>
        <w:t xml:space="preserve">Để đáp lại, vào tháng 7 năm 2024, thống đốc Delaware John Carney đã ký ban hành một loạt sửa đổi luật nhằm đảo ngược hiệu lực của </w:t>
      </w:r>
      <w:r>
        <w:rPr>
          <w:b w:val="0"/>
          <w:i/>
        </w:rPr>
        <w:t>Moelis</w:t>
      </w:r>
      <w:r>
        <w:rPr>
          <w:b w:val="0"/>
          <w:i w:val="0"/>
        </w:rPr>
        <w:t xml:space="preserve">, quy định rằng các công ty có quyền ký kết những loại thỏa thuận cổ đông này mà không cần phải sửa đổi điều lệ hay giấy chứng nhận thành lập.33 Nhiều thành viên hội đồng quản trị và lãnh đạo đã thất vọng với phán quyết </w:t>
      </w:r>
      <w:r>
        <w:rPr>
          <w:b w:val="0"/>
          <w:i/>
        </w:rPr>
        <w:t>Moelis</w:t>
      </w:r>
      <w:r>
        <w:rPr>
          <w:b w:val="0"/>
          <w:i w:val="0"/>
        </w:rPr>
        <w:t>, vì nó đặt dấu hỏi về tính khả thi pháp lý của các thỏa thuận cổ đông đang tồn tại. Giờ đây, các thỏa thuận cổ đông được hội đồng quản trị phê duyệt nhìn chung có thể được thực thi miễn là chúng không vi phạm điều lệ công ty.34</w:t>
      </w:r>
    </w:p>
    <w:p>
      <w:pPr>
        <w:spacing w:after="80"/>
      </w:pPr>
      <w:r>
        <w:rPr>
          <w:b w:val="0"/>
          <w:i w:val="0"/>
        </w:rPr>
        <w:t xml:space="preserve">Tuy nhiên, một số người đã chỉ trích những sửa đổi này, cho rằng chúng được thực hiện vội vàng, vượt xa việc chỉ đảo ngược </w:t>
      </w:r>
      <w:r>
        <w:rPr>
          <w:b w:val="0"/>
          <w:i/>
        </w:rPr>
        <w:t>Moelis</w:t>
      </w:r>
      <w:r>
        <w:rPr>
          <w:b w:val="0"/>
          <w:i w:val="0"/>
        </w:rPr>
        <w:t>, và cho phép hội đồng quản trị từ bỏ các trách nhiệm then chốt mà không cần ý kiến hay sự ủng hộ của cổ đông.35 Quan trọng hơn, vào năm 2025, các sửa đổi luật đã được Thống đốc Matt Meyer ký ban hành nhằm cung cấp nơi trú ẩn an toàn (safe harbor) khỏi trách nhiệm pháp lý cho các giao dịch xung đột lợi ích, bao gồm với các cổ đông kiểm soát, khi được các giám đốc độc lập hoặc cổ đông không có lợi ích liên quan phê duyệt. Hơn nữa, các sửa đổi này thu hẹp phạm vi sổ sách và hồ sơ phải chịu sự kiểm tra của cổ đông.36</w:t>
      </w:r>
    </w:p>
    <w:p>
      <w:pPr>
        <w:spacing w:after="80"/>
      </w:pPr>
      <w:r>
        <w:rPr>
          <w:b w:val="0"/>
          <w:i w:val="0"/>
        </w:rPr>
        <w:t>Về phần mình, Nevada đã thông qua luật thân thiện với doanh nghiệp được thiết kế để thu hút các công ty với sự bảo vệ rộng rãi cho các lãnh đạo và giám đốc.37 Các cổ đông của TripAdvisor đã bỏ phiếu tái đăng ký thành lập tại Nevada, mặc dù 56 phần trăm số phiếu được kiểm soát bởi chủ tịch hội đồng quản trị và CEO của công ty. Trong khi TripAdvisor lập luận ngược lại,38 động thái này đã bị thách thức tại tòa án như một giao dịch vì lợi ích cá nhân mà có thể dẫn đến việc cổ đông kiểm soát phải bồi thường thiệt hại bằng tiền cho các cổ đông thiểu số do sự khác biệt về quyền giữa các chế độ pháp lý ở hai bang.39 Tuy nhiên, vào tháng 2 năm 2025, Tòa án Tối cao Delaware đã đảo ngược phán quyết của Tòa án Chancery và, trong một phán quyết với tỷ lệ 5–0, phán quyết rằng tiêu chuẩn phán đoán kinh doanh (business judgment standard), chứ không phải tiêu chuẩn công bằng toàn diện nặng nề hơn, được áp dụng khi đánh giá các cáo buộc vi phạm nghĩa vụ ủy thác tiềm tàng liên quan đến việc tái đăng ký thành lập công ty ở một bang khác.40</w:t>
      </w:r>
    </w:p>
    <w:p>
      <w:pPr>
        <w:spacing w:after="80"/>
      </w:pPr>
      <w:r>
        <w:rPr>
          <w:b w:val="0"/>
          <w:i w:val="0"/>
        </w:rPr>
        <w:t>Elon Musk đã chuyển việc đăng ký thành lập công ty tư nhân SpaceX của mình sang Texas vào đầu năm 2024, sau khi cay đắng thua trong một vụ tranh chấp tại Tòa án Chancery Delaware về gói bồi thường của ông tại Tesla.41 “Nếu công ty của bạn vẫn đăng ký thành lập tại Delaware,” ông viết, “tôi khuyên nên chuyển sang bang khác càng sớm càng tốt.”42</w:t>
      </w:r>
    </w:p>
    <w:p>
      <w:pPr>
        <w:spacing w:after="80"/>
      </w:pPr>
      <w:r>
        <w:rPr>
          <w:b w:val="0"/>
          <w:i w:val="0"/>
        </w:rPr>
        <w:t>Thực sự có những khác biệt đáng kể giữa luật Delaware và, ví dụ, luật Nevada. Nevada, không giống Delaware, không tuyên bố rằng tối đa hóa giá trị cổ đông là tiêu chuẩn. Các đạo luật của Nevada cũng không ngăn cấm các công ty giới hạn trách nhiệm của giám đốc đối với vi phạm nghĩa vụ trung thành trong các trường hợp giám đốc thu được lợi ích cá nhân, và không giống Delaware, không có tiêu chuẩn cao hơn phán đoán kinh doanh để đánh giá các tình huống thay đổi quyền kiểm soát.43 Nevada cũng cho phép xét xử có bồi thẩm đoàn trong các vụ án luật công ty.44</w:t>
      </w:r>
    </w:p>
    <w:p>
      <w:pPr>
        <w:spacing w:after="80"/>
      </w:pPr>
      <w:r>
        <w:rPr>
          <w:b w:val="0"/>
          <w:i w:val="0"/>
        </w:rPr>
        <w:t>Bất chấp một số chỉ trích có thể thấy nhưng còn hạn chế, với hệ thống tư pháp đã được thiết lập và tính dự đoán được của Delaware, Delaware nhìn chung vẫn là diễn đàn được lựa chọn cho các công ty ngày nay. “Tôi không nghĩ rằng bạn sẽ ở một nơi tốt hơn tại các khu vực tài phán khác, nơi có rất nhiều sự bất định,” Allen nói. “Họ không có khối lượng án lệ đó. Trong một số trường hợp, bạn có thể phải xét xử có bồi thẩm đoàn hoặc đứng trước một thẩm phán chưa từng thấy vụ án công ty nào trước đây. Tôi nghĩ Delaware vẫn là nơi tốt nhất để ở.”</w:t>
      </w:r>
    </w:p>
    <w:p>
      <w:pPr>
        <w:spacing w:after="80"/>
      </w:pPr>
      <w:r>
        <w:rPr>
          <w:b w:val="0"/>
          <w:i w:val="0"/>
        </w:rPr>
        <w:t>Rossman đồng ý:</w:t>
      </w:r>
    </w:p>
    <w:p>
      <w:pPr>
        <w:spacing w:after="80"/>
      </w:pPr>
      <w:r>
        <w:rPr>
          <w:b w:val="0"/>
          <w:i w:val="0"/>
        </w:rPr>
        <w:t>Tôi nghĩ Delaware là quan trọng, và điều đó sẽ tiếp tục. Tôi nghĩ đây là một thời điểm thú vị đối với Delaware vì có lẽ chưa bao giờ có nhiều sự tập trung đến vậy vào quyền lực và việc ra quyết định của tòa án đó, và nó đã bị soi xét trong một số vụ án nổi bật, nhưng điều làm cho Delaware nếu không phải là độc nhất thì ít nhất cũng đặc biệt là bạn có một hệ thống tư pháp chất lượng cực cao về sự sắc sảo, mức độ chú tâm, tốc độ đưa ra các quyết định kinh doanh quan trọng, và bạn có một khối lượng luật pháp cực kỳ phát triển. Nó phải là nơi dự đoán được nhất, vì nó đã có dịp đưa ra những phán quyết rất dài về những chủ đề rất quan trọng lặp đi lặp lại nhiều lần.</w:t>
      </w:r>
    </w:p>
    <w:p>
      <w:pPr>
        <w:spacing w:after="80"/>
      </w:pPr>
      <w:r>
        <w:rPr>
          <w:b w:val="0"/>
          <w:i w:val="0"/>
        </w:rPr>
        <w:t>Trong khi Nevada và Texas thường được nhắc đến như những bang tiềm năng để đăng ký thành lập, “Maryland có một hệ thống tư pháp tốt,” Chánh án Strine nói với tôi. “Mọi người đang nói về New York. Tôi có niềm tin lịch sử vào bang của mình và rằng nó sẽ tiếp tục thể hiện một trong những điểm mạnh lịch sử then chốt của mình: lắng nghe các cử tri của mình.”</w:t>
      </w:r>
    </w:p>
    <w:p>
      <w:pPr>
        <w:spacing w:after="80"/>
      </w:pPr>
      <w:r>
        <w:rPr>
          <w:b w:val="0"/>
          <w:i w:val="0"/>
        </w:rPr>
        <w:t>Cần lưu ý rằng một báo cáo năm 2024 của Trivariate Research phát hiện rằng bang đăng ký thành lập “không cho nhà đầu tư biết gì về lợi nhuận cổ phiếu tương lai của một công ty,” với không có sự khác biệt về hiệu suất trung bình đã điều chỉnh theo beta của cổ phiếu đối với các công ty đăng ký thành lập ở một bang rồi chuyển sang bang khác.45 CEO và người sáng lập của công ty, Adam Parker, trước đây là giám đốc Nghiên cứu Định lượng Toàn cầu tại Morgan Stanley.</w:t>
      </w:r>
    </w:p>
    <w:p>
      <w:pPr>
        <w:spacing w:after="80"/>
      </w:pPr>
      <w:r>
        <w:rPr>
          <w:b w:val="0"/>
          <w:i w:val="0"/>
        </w:rPr>
        <w:t>Có những khác biệt đáng kể trong luật doanh nghiệp ở các bang như Delaware và Nevada, những khác biệt này hoàn toàn có thể thay đổi hành vi của doanh nghiệp—rất có thể theo hướng tồi tệ hơn đối với lợi ích của cổ đông. “Tôi không muốn tách riêng một khu vực pháp lý nào,” Thẩm phán Bouchard lưu ý, “nhưng ý tưởng rằng các tổ chức—những cổ đông am hiểu—lại muốn ở trong một khu vực pháp lý không có những ranh giới hợp lý, đặc biệt là ranh giới dựa trên lòng trung thành, thì thật khó mà tưởng tượng nổi. Không có luật doanh nghiệp nếu không có nghĩa vụ trung thành.”</w:t>
      </w:r>
    </w:p>
    <w:p>
      <w:pPr>
        <w:pStyle w:val="Heading2"/>
      </w:pPr>
      <w:r>
        <w:rPr>
          <w:rFonts w:ascii="Calibri" w:hAnsi="Calibri"/>
          <w:b/>
          <w:i w:val="0"/>
          <w:sz w:val="32"/>
        </w:rPr>
        <w:t>Các Tiêu chuẩn cho Việc Ra Quyết định</w:t>
      </w:r>
    </w:p>
    <w:p>
      <w:pPr>
        <w:spacing w:after="80"/>
      </w:pPr>
      <w:r>
        <w:rPr>
          <w:b w:val="0"/>
          <w:i w:val="0"/>
        </w:rPr>
        <w:t>Tòa án thường sử dụng quy tắc phán đoán kinh doanh (business judgment rule) để đánh giá các quyết định của hội đồng quản trị. Nói chung, quy tắc này bảo vệ các giám đốc khỏi trách nhiệm cá nhân khi họ đã hành động thiện chí—ngay cả khi các quyết định của họ tỏ ra không hợp lý hoặc sai lầm khi bị xem xét lại sau đó.46 Cơ sở lý giải cho quy tắc này rất rõ ràng. Việc tòa án xác định liệu các giám đốc có đưa ra quyết định kinh doanh “đúng đắn” hay “tối ưu” hay không là điều vô cùng khó khăn.47 Đặt các giám đốc vào nguy cơ bị phán xét lại sẽ trừng phạt việc chấp nhận rủi ro, kìm hãm tiến bộ công nghệ, và làm tê liệt loại hoạt động kinh doanh có tiềm năng tạo ra lợi nhuận hấp dẫn cho cổ đông.48 Do đó, hệ thống đã phát triển để xem xét quy trình, chứ không phải kết quả, ít nhất là khi không có sự sơ suất nghiêm trọng.49</w:t>
      </w:r>
    </w:p>
    <w:p>
      <w:pPr>
        <w:spacing w:after="80"/>
      </w:pPr>
      <w:r>
        <w:rPr>
          <w:b w:val="0"/>
          <w:i w:val="0"/>
        </w:rPr>
        <w:t>Slifkin giải thích: “Phán đoán kinh doanh về cơ bản có nghĩa là các giám đốc sẽ được pháp luật cho không gian để mắc sai lầm. Bạn có thể làm điều bạn cho là tốt nhất cho công ty mà không cần lo lắng rằng nếu bạn mắc sai lầm và mọi chuyện không diễn ra suôn sẻ, thì bạn sẽ bị kiện [và bị kết luận là phải chịu trách nhiệm].” Rossman nói thêm: “Các giám đốc và ban điều hành có trình độ cao có vị thế tốt hơn để đánh giá điều đó so với thẩm phán. Đó chính là ý tưởng.”</w:t>
      </w:r>
    </w:p>
    <w:p>
      <w:pPr>
        <w:spacing w:after="80"/>
      </w:pPr>
      <w:r>
        <w:rPr>
          <w:b w:val="0"/>
          <w:i w:val="0"/>
        </w:rPr>
        <w:t xml:space="preserve">Sẽ hữu ích khi xem xét một vài tình huống gần đây mà quy tắc phán đoán kinh doanh đã bị vi phạm và nghĩa vụ của các giám đốc bị phát hiện là đã bị vi phạm. </w:t>
      </w:r>
      <w:r>
        <w:rPr>
          <w:b w:val="0"/>
          <w:i/>
        </w:rPr>
        <w:t>Marchand v. Barnhill</w:t>
      </w:r>
      <w:r>
        <w:rPr>
          <w:b w:val="0"/>
          <w:i w:val="0"/>
        </w:rPr>
        <w:t xml:space="preserve"> là một vụ án năm 2019 ở Delaware, trong đó các giám đốc của Blue Bell Creameries bị kiện vì vi phạm nghĩa vụ cẩn trọng và nghĩa vụ trung thành khi bị cáo buộc đã không ngăn chặn được đợt bùng phát vi khuẩn listeria khiến ba người tử vong.50 Đơn kiện trong vụ án lập luận rằng mặc dù trong nhiều năm các cơ sở của công ty đã thất bại trong việc tuân thủ và số lượng xét nghiệm dương tính với listeria ngày càng tăng, “hội đồng quản trị của Blue Bell không có ủy ban nào giám sát an toàn thực phẩm, không có quy trình ở cấp toàn hội đồng để giải quyết các vấn đề an toàn thực phẩm, và không có giao thức nào mà theo đó hội đồng quản trị được kỳ vọng sẽ được thông báo về các báo cáo và diễn biến liên quan đến an toàn thực phẩm.”51</w:t>
      </w:r>
    </w:p>
    <w:p>
      <w:pPr>
        <w:spacing w:after="80"/>
      </w:pPr>
      <w:r>
        <w:rPr>
          <w:b w:val="0"/>
          <w:i w:val="0"/>
        </w:rPr>
        <w:t>Thật vậy, khi tình hình trở nên tồi tệ hơn, “thay vì tổ chức các cuộc họp khẩn cấp của hội đồng quản trị thường xuyên hơn để liên tục cập nhật về sự thật đáng lo ngại rằng vi khuẩn đe dọa tính mạng đã được tìm thấy trong các sản phẩm của mình, hội đồng quản trị của Blue Bell đã giao phó việc ứng phó của công ty cho ban điều hành.”52</w:t>
      </w:r>
    </w:p>
    <w:p>
      <w:pPr>
        <w:spacing w:after="80"/>
      </w:pPr>
      <w:r>
        <w:rPr>
          <w:b w:val="0"/>
          <w:i w:val="0"/>
        </w:rPr>
        <w:t>Tòa án Tối cao Delaware—lật ngược phán quyết của Tòa án Chancery—kết luận rằng tiêu chuẩn thiện chí của quy tắc phán đoán kinh doanh đã không được đáp ứng, vì rằng “không có hệ thống tuân thủ và giao thức hợp lý nào được thiết lập đối với vấn đề an toàn người tiêu dùng và tuân thủ pháp luật rõ ràng là trọng tâm nhất mà công ty phải đối mặt . . . dẫn đến cái chết và thương tích của khách hàng công ty.”53</w:t>
      </w:r>
    </w:p>
    <w:p>
      <w:pPr>
        <w:spacing w:after="80"/>
      </w:pPr>
      <w:r>
        <w:rPr>
          <w:b w:val="0"/>
          <w:i w:val="0"/>
        </w:rPr>
        <w:t xml:space="preserve">Phán quyết trong vụ Blue Bell xuất phát từ một vụ án trước đó, phán quyết năm 1996 của Tòa án Chancery trong vụ </w:t>
      </w:r>
      <w:r>
        <w:rPr>
          <w:b w:val="0"/>
          <w:i/>
        </w:rPr>
        <w:t>Caremark</w:t>
      </w:r>
      <w:r>
        <w:rPr>
          <w:b w:val="0"/>
          <w:i w:val="0"/>
        </w:rPr>
        <w:t>,54 nơi tòa án kết luận rằng để buộc các giám đốc phải chịu trách nhiệm vì đã không giám sát một công ty, đòi hỏi rằng “(a) các giám đốc đã hoàn toàn thất bại trong việc triển khai bất kỳ hệ thống báo cáo hoặc thông tin hay biện pháp kiểm soát nào; hoặc (b) sau khi đã triển khai hệ thống hoặc biện pháp kiểm soát như vậy, đã cố ý không giám sát hoặc theo dõi hoạt động của nó, khiến bản thân không thể được thông báo về các rủi ro hoặc vấn đề cần sự chú ý của họ.”55</w:t>
      </w:r>
    </w:p>
    <w:p>
      <w:pPr>
        <w:spacing w:after="80"/>
      </w:pPr>
      <w:r>
        <w:rPr>
          <w:b w:val="0"/>
          <w:i w:val="0"/>
        </w:rPr>
        <w:t xml:space="preserve">Phán quyết của Tòa án Chancery trong vụ Blue Bell kết luận rằng hệ thống báo cáo hiện có đã đáp ứng tiêu chuẩn này—phán quyết rằng vì có một chút dấu hiệu của hệ thống giám sát được thiết lập, hội đồng quản trị không thể bị buộc trách nhiệm—nhưng Tòa án Tối cao Delaware đòi hỏi nhiều hơn. “Chúng tôi không xem xét tính hiệu quả của một hệ thống tuân thủ và báo cáo ở cấp hội đồng quản trị sau khi sự việc đã xảy ra,” tòa án phán quyết. “Thay vào đó, chúng tôi tập trung vào việc liệu đơn kiện có đưa ra các sự kiện hỗ trợ cho một suy luận hợp lý rằng hội đồng quản trị đã không nỗ lực thiện chí để thiết lập một hệ thống giám sát và báo cáo ở cấp hội đồng quản trị hay không.”56 Tòa án Tối cao kết luận rằng các sự kiện cụ thể ở đây cho thấy hội đồng quản trị Blue Bell đã không thực hiện nỗ lực mà </w:t>
      </w:r>
      <w:r>
        <w:rPr>
          <w:b w:val="0"/>
          <w:i/>
        </w:rPr>
        <w:t>Caremark</w:t>
      </w:r>
      <w:r>
        <w:rPr>
          <w:b w:val="0"/>
          <w:i w:val="0"/>
        </w:rPr>
        <w:t xml:space="preserve"> yêu cầu và rằng mặc dù ngưỡng để buộc trách nhiệm hội đồng quản trị là cao, hội đồng quản trị đã không đạt được ngưỡng đó: “Nếu </w:t>
      </w:r>
      <w:r>
        <w:rPr>
          <w:b w:val="0"/>
          <w:i/>
        </w:rPr>
        <w:t>Caremark</w:t>
      </w:r>
      <w:r>
        <w:rPr>
          <w:b w:val="0"/>
          <w:i w:val="0"/>
        </w:rPr>
        <w:t xml:space="preserve"> có ý nghĩa gì, thì đó là một hội đồng quản trị doanh nghiệp phải nỗ lực thiện chí để thực hiện nghĩa vụ cẩn trọng của mình. Việc không thực hiện nỗ lực đó cấu thành hành vi vi phạm nghĩa vụ trung thành.”57</w:t>
      </w:r>
    </w:p>
    <w:p>
      <w:pPr>
        <w:spacing w:after="80"/>
      </w:pPr>
      <w:r>
        <w:rPr>
          <w:b w:val="0"/>
          <w:i w:val="0"/>
        </w:rPr>
        <w:t xml:space="preserve">Một ví dụ khác mang tính thông tin là vụ </w:t>
      </w:r>
      <w:r>
        <w:rPr>
          <w:b w:val="0"/>
          <w:i/>
        </w:rPr>
        <w:t>Boeing</w:t>
      </w:r>
      <w:r>
        <w:rPr>
          <w:b w:val="0"/>
          <w:i w:val="0"/>
        </w:rPr>
        <w:t xml:space="preserve"> được đề cập ở đầu chương này. Sau các vụ tai nạn máy bay vào năm 2018 và 2019 khiến toàn bộ người trên khoang thiệt mạng, các cổ đông đã kiện các giám đốc của Boeing, cáo buộc “hoàn toàn thất bại trong việc thiết lập hệ thống báo cáo về an toàn máy bay . . . [và] làm ngơ trước một dấu hiệu cảnh báo đại diện cho các vấn đề an toàn máy bay.”58</w:t>
      </w:r>
    </w:p>
    <w:p>
      <w:pPr>
        <w:spacing w:after="80"/>
      </w:pPr>
      <w:r>
        <w:rPr>
          <w:b w:val="0"/>
          <w:i w:val="0"/>
        </w:rPr>
        <w:t xml:space="preserve">Tại Boeing, không có ủy ban nào của hội đồng quản trị được giao nhiệm vụ giám sát an toàn máy bay. Ngoài ra, ủy ban kiểm toán của công ty—vốn có rủi ro trong phạm vi giám sát—đã không giải quyết cụ thể an toàn như một rủi ro, vì nó chỉ giải quyết các rủi ro mang tính chất tài chính trực tiếp. An toàn không phải là một mục thường xuyên trong chương trình nghị sự của hội đồng quản trị hay được đưa vào các báo cáo của hội đồng quản trị. Ngay cả khi </w:t>
      </w:r>
      <w:r>
        <w:rPr>
          <w:b w:val="0"/>
          <w:i/>
        </w:rPr>
        <w:t>New York Times</w:t>
      </w:r>
      <w:r>
        <w:rPr>
          <w:b w:val="0"/>
          <w:i w:val="0"/>
        </w:rPr>
        <w:t xml:space="preserve"> và </w:t>
      </w:r>
      <w:r>
        <w:rPr>
          <w:b w:val="0"/>
          <w:i/>
        </w:rPr>
        <w:t>Wall Street Journal</w:t>
      </w:r>
      <w:r>
        <w:rPr>
          <w:b w:val="0"/>
          <w:i w:val="0"/>
        </w:rPr>
        <w:t xml:space="preserve"> đưa tin về những sai sót an toàn, hội đồng quản trị vẫn ít chú ý và không điều tra. Dựa nhiều vào vụ Blue Bell, Tòa án Chancery kết luận rằng “các giám đốc biết rằng hội đồng quản trị lẽ ra phải có các cơ cấu để tiếp nhận và xem xét thông tin an toàn” và cho phép vụ án tiếp tục.59 Cuối cùng, các giám đốc của Boeing đã đồng ý dàn xếp với số tiền 237,5 triệu đô la—được chi trả bởi bảo hiểm trách nhiệm D&amp;O.60 Các giám đốc hiện tại và trước đây không thừa nhận bất kỳ hành vi sai trái nào trong thỏa thuận dàn xếp.61</w:t>
      </w:r>
    </w:p>
    <w:p>
      <w:pPr>
        <w:spacing w:after="80"/>
      </w:pPr>
      <w:r>
        <w:rPr>
          <w:b w:val="0"/>
          <w:i w:val="0"/>
        </w:rPr>
        <w:t xml:space="preserve">“Bất kỳ công ty nào trong số này rơi vào các vấn đề giám sát thì nói chung đều có hội đồng quản trị tồi,” Charles Elson giải thích. “Nhưng khi bạn có một vụ bê bối và hội đồng quản trị bị thay thế, bạn thường có được một hội đồng quản trị tử tế. Vấn đề là khi bạn có một vụ bê bối mà hội đồng quản trị không bị thay thế. Đó là lúc bạn có những vấn đề thực sự.” Hội đồng quản trị của Boeing, theo chuyên gia quản trị Nell Minow, được trích dẫn trên </w:t>
      </w:r>
      <w:r>
        <w:rPr>
          <w:b w:val="0"/>
          <w:i/>
        </w:rPr>
        <w:t>Los Angeles Times</w:t>
      </w:r>
      <w:r>
        <w:rPr>
          <w:b w:val="0"/>
          <w:i w:val="0"/>
        </w:rPr>
        <w:t>, “đã không hành động gì sau vụ tai nạn đầu tiên [năm 2018].”62 Hội đồng quản trị của Boeing hiện đã thay đổi hơn 50 phần trăm số giám đốc kể từ những thất bại an toàn bi thảm và vụ tai nạn ban đầu, nhưng điều này bị nhiều người coi là quá ít, quá muộn.63</w:t>
      </w:r>
    </w:p>
    <w:p>
      <w:pPr>
        <w:spacing w:after="80"/>
      </w:pPr>
      <w:r>
        <w:rPr>
          <w:b w:val="0"/>
          <w:i w:val="0"/>
        </w:rPr>
        <w:t>Boeing đã thay thế CEO của mình sau các sự kiện năm 2018–19, mặc dù người thay thế là chủ tịch hội đồng quản trị lúc đó, Dave Calhoun. Như sẽ được thảo luận sau, ông cuối cùng đã từ chức CEO vào năm 2024 sau một loạt thách thức khác tại công ty, được thay thế vào cuối năm đó bởi Kelly Ortberg, một người được tuyển từ bên ngoài với kinh nghiệm sâu rộng trong ngành hàng không vũ trụ.64</w:t>
      </w:r>
    </w:p>
    <w:p>
      <w:pPr>
        <w:spacing w:after="80"/>
      </w:pPr>
      <w:r>
        <w:rPr>
          <w:b w:val="0"/>
          <w:i w:val="0"/>
        </w:rPr>
        <w:t xml:space="preserve">Quy tắc phán đoán kinh doanh không phải lúc nào cũng là tiêu chuẩn liên quan. Trong một số trường hợp, có những tiêu chuẩn khắt khe hơn được yêu cầu. Trong bối cảnh M&amp;A, chúng ta sẽ xem xét tiêu chuẩn </w:t>
      </w:r>
      <w:r>
        <w:rPr>
          <w:b w:val="0"/>
          <w:i/>
        </w:rPr>
        <w:t>Revlon</w:t>
      </w:r>
      <w:r>
        <w:rPr>
          <w:b w:val="0"/>
          <w:i w:val="0"/>
        </w:rPr>
        <w:t xml:space="preserve"> trong chương 6, theo đó, trong các tình huống đã có quyết định bán công ty và các cổ đông bán không còn lợi ích đáng kể, tiếp diễn nào trong công ty mới được hợp nhất, hội đồng quản trị phải nỗ lực hợp lý để đạt được giá trị tức thời cao nhất—trái ngược với khả năng xem xét giá trị dài hạn theo quy tắc phán đoán kinh doanh.</w:t>
      </w:r>
    </w:p>
    <w:p>
      <w:pPr>
        <w:spacing w:after="80"/>
      </w:pPr>
      <w:r>
        <w:rPr>
          <w:b w:val="0"/>
          <w:i w:val="0"/>
        </w:rPr>
        <w:t xml:space="preserve">Ngoài ra, trong trường hợp “một cổ đông kiểm soát hoặc chi phối đứng ở cả hai phía của một giao dịch”—một xung đột, như đã thảo luận trong phần nghĩa vụ trung thành—tòa án sẽ áp dụng bài kiểm tra công bằng toàn diện (entire fairness test), đây là một bài kiểm tra phức tạp hơn nhiều so với quy tắc phán đoán kinh doanh.65 Công bằng toàn diện bao gồm quy trình và giá cả. Như Tòa án Chancery Delaware đã giải thích trong </w:t>
      </w:r>
      <w:r>
        <w:rPr>
          <w:b w:val="0"/>
          <w:i/>
        </w:rPr>
        <w:t>Weinberger v. UOP</w:t>
      </w:r>
      <w:r>
        <w:rPr>
          <w:b w:val="0"/>
          <w:i w:val="0"/>
        </w:rPr>
        <w:t xml:space="preserve"> (</w:t>
      </w:r>
      <w:r>
        <w:rPr>
          <w:b w:val="0"/>
          <w:i/>
        </w:rPr>
        <w:t>Weinberger</w:t>
      </w:r>
      <w:r>
        <w:rPr>
          <w:b w:val="0"/>
          <w:i w:val="0"/>
        </w:rPr>
        <w:t>), liên quan đến một giao dịch giữa công ty mẹ và công ty con, “Khi các giám đốc của một công ty Delaware đứng ở cả hai phía của một giao dịch, họ được yêu cầu phải thể hiện thiện chí tối đa và sự công bằng nội tại tận tâm nhất của thỏa thuận.”66</w:t>
      </w:r>
    </w:p>
    <w:p>
      <w:pPr>
        <w:spacing w:after="80"/>
      </w:pPr>
      <w:r>
        <w:rPr>
          <w:b w:val="0"/>
          <w:i w:val="0"/>
        </w:rPr>
        <w:t>“Khái niệm công bằng,” tòa án tiếp tục giải thích, “có hai khía cạnh cơ bản: đối xử công bằng và giá cả công bằng. . . . Tất cả các khía cạnh của vấn đề phải được xem xét như một tổng thể vì câu hỏi là về sự công bằng toàn diện.”67 Tôi gọi các yêu cầu này là “quy trình và giá cả.”</w:t>
      </w:r>
    </w:p>
    <w:p>
      <w:pPr>
        <w:spacing w:after="80"/>
      </w:pPr>
      <w:r>
        <w:rPr>
          <w:b w:val="0"/>
          <w:i w:val="0"/>
        </w:rPr>
        <w:t>Đây là một cuộc điều tra dựa trên sự thật, vượt xa hơn hẳn quy tắc phán đoán kinh doanh (business judgment rule). Thông thường, khi có xung đột rõ ràng, nó được xử lý thông qua một ủy ban đặc biệt độc lập và/hoặc sự chấp thuận của cổ đông. Điều này thường cho phép giữ nguyên tiêu chuẩn phán đoán kinh doanh. Nếu tiêu chuẩn công bằng tuyệt đối (entire fairness) được áp dụng, thì cả quy trình mà hội đồng quản trị phê duyệt quyết định lẫn mức giá đạt được đều phải được coi là công bằng. Điều này có thể khó chứng minh, nên người ta thường nỗ lực để đảm bảo rằng tiêu chuẩn phán đoán kinh doanh, chứ không phải công bằng tuyệt đối, được áp dụng.</w:t>
      </w:r>
    </w:p>
    <w:p>
      <w:pPr>
        <w:spacing w:after="80"/>
      </w:pPr>
      <w:r>
        <w:rPr>
          <w:b w:val="0"/>
          <w:i w:val="0"/>
        </w:rPr>
        <w:t>Slifkin giải thích: "Công bằng tuyệt đối là tình huống mà bạn thực sự phải lo lắng rằng mọi việc bạn làm đều sẽ bị tòa án soi xét kỹ lưỡng. Công bằng tuyệt đối thực sự rất khó xử lý, nhưng không nên là không thể thắng, vì nếu vậy nó sẽ có tác dụng răn đe. Tôi thực sự nghĩ rằng có một không gian rộng lớn cho phán đoán kinh doanh. Nếu không, bạn có thể trở nên quá ngại rủi ro. Nếu bạn ở trong tình huống công bằng tuyệt đối, bạn có thể không dám chấp nhận những rủi ro thích đáng. Những người chấp nhận rủi ro mới là người thúc đẩy nền kinh tế. Doanh nghiệp sẽ chỉ quay đều tại chỗ trừ khi họ sẵn sàng chấp nhận rủi ro."</w:t>
      </w:r>
    </w:p>
    <w:p>
      <w:pPr>
        <w:spacing w:after="80"/>
      </w:pPr>
      <w:r>
        <w:rPr>
          <w:b w:val="0"/>
          <w:i w:val="0"/>
        </w:rPr>
        <w:t xml:space="preserve">Tôi là nhân chứng chuyên môn cho Larry Ellison và một đồng CEO, người cũng là một giám đốc khác của Oracle, trong một vụ án năm 2022 tại Tòa án Chancery bang Delaware, giúp minh họa ranh giới giữa phán đoán kinh doanh và công bằng tuyệt đối. Trong vụ </w:t>
      </w:r>
      <w:r>
        <w:rPr>
          <w:b w:val="0"/>
          <w:i/>
        </w:rPr>
        <w:t>In re Oracle Corporation Derivative Litigation</w:t>
      </w:r>
      <w:r>
        <w:rPr>
          <w:b w:val="0"/>
          <w:i w:val="0"/>
        </w:rPr>
        <w:t>, một số cổ đông của Oracle, một trong những công ty phần mềm máy tính lớn nhất thế giới, cáo buộc rằng công ty này, nơi nhà sáng lập Ellison sở hữu khoảng 28 phần trăm cổ phiếu, đã trả giá quá cao trong thương vụ mua lại NetSuite, nơi Ellison sở hữu khoảng 39 phần trăm cổ phiếu.68 "Ellison, một người có nghĩa vụ ủy thác với tư cách doanh nghiệp," tòa viết, "đã rút khỏi việc Oracle xem xét thương vụ mua lại NetSuite ngay trước buổi trình bày đầu tiên trước hội đồng quản trị Oracle, và . . . các giám đốc còn lại đã trao quyền cho một ủy ban đặc biệt tiến hành đàm phán cho bất kỳ thương vụ mua lại NetSuite nào. Điều này đủ để gột rửa xung đột của Ellison với tư cách là giám đốc và cán bộ điều hành đứng ở cả hai phía của giao dịch."69</w:t>
      </w:r>
    </w:p>
    <w:p>
      <w:pPr>
        <w:spacing w:after="80"/>
      </w:pPr>
      <w:r>
        <w:rPr>
          <w:b w:val="0"/>
          <w:i w:val="0"/>
        </w:rPr>
        <w:t>Nếu Ellison bị xác định là "người kiểm soát" (controller) công ty—tức là nắm giữ quyền lực đủ lớn đến mức các giám đốc còn lại bị ép buộc vượt quá khả năng thực hiện phán đoán kinh doanh của họ—thì giao dịch sẽ được phân tích theo tiêu chuẩn công bằng tuyệt đối. Trong trường hợp này, Ellison "không nắm quyền kiểm soát cứng đối với Oracle. Ông không thực hiện quyền kiểm soát nói chung đối với hoạt động của Oracle. Ông không cố gắng khẳng định quyền kiểm soát trong giao dịch mà Oracle mua lại NetSuite, và với tư cách là giám đốc và cán bộ điều hành, ông đã kiềm chế không tham gia vào giao dịch. Ông là . . . người nắm giữ quyền kiểm soát tiềm tàng đối với một giao dịch mà ông có lợi ích. . . . [Nhưng] Ellison không phải là người kiểm soát," tòa xác định, "và phán đoán kinh doanh được áp dụng."70 Tòa đã phán quyết có lợi cho Ellison và giám đốc kia về tất cả các cáo buộc.</w:t>
      </w:r>
    </w:p>
    <w:p>
      <w:pPr>
        <w:spacing w:after="80"/>
      </w:pPr>
      <w:r>
        <w:rPr>
          <w:b w:val="0"/>
          <w:i w:val="0"/>
        </w:rPr>
        <w:t>Phán quyết này làm nổi bật tầm quan trọng của việc giữ những bên có khả năng xung đột không tham gia vào các giao dịch và thành lập các ủy ban đặc biệt độc lập trong các tình huống xung đột.</w:t>
      </w:r>
    </w:p>
    <w:p>
      <w:pPr>
        <w:pStyle w:val="Heading2"/>
      </w:pPr>
      <w:r>
        <w:rPr>
          <w:rFonts w:ascii="Calibri" w:hAnsi="Calibri"/>
          <w:b/>
          <w:i w:val="0"/>
          <w:sz w:val="32"/>
        </w:rPr>
        <w:t>Làm Giám đốc, Trong Thực tế</w:t>
      </w:r>
    </w:p>
    <w:p>
      <w:pPr>
        <w:pStyle w:val="Heading3"/>
      </w:pPr>
      <w:r>
        <w:rPr>
          <w:rFonts w:ascii="Calibri" w:hAnsi="Calibri"/>
          <w:b/>
          <w:i w:val="0"/>
          <w:sz w:val="26"/>
        </w:rPr>
        <w:t>Một Nỗ Lực Thiện Chí</w:t>
      </w:r>
    </w:p>
    <w:p>
      <w:pPr>
        <w:spacing w:after="80"/>
      </w:pPr>
      <w:r>
        <w:rPr>
          <w:b w:val="0"/>
          <w:i w:val="0"/>
        </w:rPr>
        <w:t>Thực tế là không có yêu cầu pháp lý toàn diện cũng như không có cách tiếp cận được nhất trí đồng đều về những gì một giám đốc phải làm ngoài các nghĩa vụ cẩn trọng và trung thành cùng các tiêu chuẩn khác nhau đã giải thích trước đó. Về cơ bản, cốt lõi của vai trò này là hành động với thiện chí. Thường thì hành động với thiện chí có nghĩa là nhận ra những giới hạn của chính mình. Không có kỳ vọng rằng các giám đốc phải hành động một mình. Ngược lại, hoàn toàn thích hợp—và là thông lệ tốt—khi các giám đốc dựa vào thông tin do ban điều hành cung cấp miễn là nó có vẻ hợp lý và được xem xét cẩn thận. Ngoài ra, người ta cũng chấp nhận rộng rãi rằng các giám đốc có thể sử dụng các cố vấn bên ngoài mà họ tin tưởng một cách hợp lý là có thể dựa vào, chẳng hạn như ngân hàng đầu tư, luật sư, kế toán viên và những người khác. Ví dụ, trong việc bán tiềm năng một công ty, thông thường—và rất thường xảy ra—là các giám đốc dựa vào một ngân hàng đầu tư để định giá và hướng dẫn. Các thành viên hội đồng quản trị không cần phải có tất cả các kỹ năng cần thiết cho một quyết định nhất định để hành động thích đáng, nhưng họ phải có khả năng xác định các nhu cầu, thuê chuyên gia hỗ trợ, và xem xét cẩn thận các quyết định cần đưa ra.</w:t>
      </w:r>
    </w:p>
    <w:p>
      <w:pPr>
        <w:spacing w:after="80"/>
      </w:pPr>
      <w:r>
        <w:rPr>
          <w:b w:val="0"/>
          <w:i w:val="0"/>
        </w:rPr>
        <w:t>Việc tìm kiếm và sử dụng lời khuyên bên ngoài phải được thực hiện một cách chu đáo và với thiện chí. Chấp nhận lời khuyên của các cố vấn một cách mù quáng có thể nguy hiểm không kém gì việc không tìm kiếm lời khuyên. Như Slifkin lưu ý: "Một giám đốc không thể chỉ dựa vào danh tiếng của bất kỳ tổ chức nào. Họ nên đặt câu hỏi, những câu hỏi khó—Bạn làm công việc gì cho công ty? Bạn đã làm công việc gì cho CEO này? Bạn sẽ được trả thù lao cho việc này như thế nào?"</w:t>
      </w:r>
    </w:p>
    <w:p>
      <w:pPr>
        <w:spacing w:after="80"/>
      </w:pPr>
      <w:r>
        <w:rPr>
          <w:b w:val="0"/>
          <w:i w:val="0"/>
        </w:rPr>
        <w:t>Ron Lumbra, một đối tác tại công ty tìm kiếm nhân sự điều hành Heidrick &amp; Struggles, nói với tôi: "Những giám đốc giỏi nhất mang lại sự khôn ngoan, phán đoán và khả năng ra quyết định hạng nhất. Bên dưới đó, trong nhiều trường hợp, là chuyên môn về lĩnh vực cụ thể, nhưng khi bạn thực sự nhìn vào những giám đốc có ích, đó là khả năng ra quyết định vững vàng, chứ không nhất thiết là chuyên môn về lĩnh vực."</w:t>
      </w:r>
    </w:p>
    <w:p>
      <w:pPr>
        <w:spacing w:after="80"/>
      </w:pPr>
      <w:r>
        <w:rPr>
          <w:b w:val="0"/>
          <w:i w:val="0"/>
        </w:rPr>
        <w:t>Tôi đã thấy những tình huống có khoảng trống kỹ năng được nhận thấy trong hội đồng quản trị hoặc có chỗ trống cho một giám đốc mới, và CEO hoặc một giám đốc bên ngoài khăng khăng rằng hội đồng cần một chuyên gia trong một lĩnh vực cụ thể mà công ty đang gặp thách thức. Trong thế giới ngày nay, điều đó đôi khi có nghĩa là có áp lực tìm một chuyên gia an ninh mạng. Điều này có thể thực sự có giá trị, nhưng quay lại phép so sánh rằng các giám đốc là huấn luyện viên, không phải cầu thủ, thì điều quan trọng nhất là phải có chuyên gia an ninh mạng đó trong đội ngũ ban điều hành. Suy cho cùng, nếu bạn có những huấn luyện viên an ninh mạng tuyệt vời nhưng không có những cầu thủ an ninh mạng chất lượng cao, bạn sẽ thi đấu rất tệ trên sân. Ngoài ra, nếu các cá nhân không còn hoạt động hàng ngày trong một lĩnh vực cụ thể, chuyên môn có thể mai một nhanh chóng.</w:t>
      </w:r>
    </w:p>
    <w:p>
      <w:pPr>
        <w:spacing w:after="80"/>
      </w:pPr>
      <w:r>
        <w:rPr>
          <w:b w:val="0"/>
          <w:i w:val="0"/>
        </w:rPr>
        <w:t>Các thành viên hội đồng quản trị hiệu quả có thể có giá trị đặc biệt để đóng góp trong một lĩnh vực nhất định, nhưng họ phải có khả năng tham gia một cách chu đáo vào các cuộc thảo luận và được thông tin đầy đủ để bỏ phiếu về nhiều vấn đề khác nhau. Các giám đốc nên có hiểu biết, chứ không nhất thiết phải là chuyên gia, trong nhiều lĩnh vực, chẳng hạn như ngành, báo cáo tài chính, chuỗi cung ứng, công nghệ thông tin, an ninh mạng và các vấn đề pháp lý lớn. Tôi muốn nói thêm rằng đôi khi một chuyên gia trong ngành có thể chia rẽ hội đồng quản trị bằng cách có những cuộc trò chuyện chi tiết với cán bộ điều hành phụ trách lĩnh vực đó, và bạn có thể cảm nhận được các giám đốc khác đang lơ đãng. Điều quan trọng là giữ các cuộc thảo luận ở mức mà toàn bộ hội đồng có thể tham gia. Tất nhiên, tất cả các giám đốc đều có cùng nghĩa vụ và trách nhiệm pháp lý.</w:t>
      </w:r>
    </w:p>
    <w:p>
      <w:pPr>
        <w:pStyle w:val="Heading3"/>
      </w:pPr>
      <w:r>
        <w:rPr>
          <w:rFonts w:ascii="Calibri" w:hAnsi="Calibri"/>
          <w:b/>
          <w:i w:val="0"/>
          <w:sz w:val="26"/>
        </w:rPr>
        <w:t>Chương trình nghị sự, Câu hỏi và Cuộc họp</w:t>
      </w:r>
    </w:p>
    <w:p>
      <w:pPr>
        <w:spacing w:after="80"/>
      </w:pPr>
      <w:r>
        <w:rPr>
          <w:b w:val="0"/>
          <w:i w:val="0"/>
        </w:rPr>
        <w:t xml:space="preserve">Một yếu tố khác của một hội đồng quản trị hiệu quả là thúc đẩy một chương trình nghị sự mang lại giá trị gia tăng. Như vụ Blue Bell và </w:t>
      </w:r>
      <w:r>
        <w:rPr>
          <w:b w:val="0"/>
          <w:i/>
        </w:rPr>
        <w:t>Boeing</w:t>
      </w:r>
      <w:r>
        <w:rPr>
          <w:b w:val="0"/>
          <w:i w:val="0"/>
        </w:rPr>
        <w:t xml:space="preserve"> đáng buồn đã minh họa, các vấn đề kinh doanh quan trọng không phải lúc nào cũng được đưa vào chương trình nghị sự, và nếu ban điều hành không nêu ra những chủ đề mà hội đồng cho rằng nên được giải quyết, thì hội đồng có trách nhiệm phải khăng khăng rằng chúng được đưa ra và thảo luận kỹ lưỡng. Chủ tịch hoặc giám đốc độc lập chủ trì—tôi sẽ nói thêm ở chương 5 về vai trò lãnh đạo hội đồng quản trị—nên thiết lập chương trình nghị sự cùng với CEO. Tuy nhiên, bất kỳ giám đốc nào cũng nên đề xuất bất kỳ chủ đề nào mà họ cho rằng nên được thảo luận.</w:t>
      </w:r>
    </w:p>
    <w:p>
      <w:pPr>
        <w:spacing w:after="80"/>
      </w:pPr>
      <w:r>
        <w:rPr>
          <w:b w:val="0"/>
          <w:i w:val="0"/>
        </w:rPr>
        <w:t>Đô đốc Mullen nói với tôi: "Thật khó để tôi giữ im lặng khi tôi thấy những điều nhất định, vì tôi từng là người tương đương CEO hoặc từng nắm quyền chỉ huy. Tôi học được theo thời gian là không nên nói 'đây là cách nên làm' mà thay vào đó hãy đặt câu hỏi: 'Bạn nghĩ gì về điều này?' hoặc 'Bạn đang tiếp cận vấn đề cụ thể này như thế nào?'"</w:t>
      </w:r>
    </w:p>
    <w:p>
      <w:pPr>
        <w:spacing w:after="80"/>
      </w:pPr>
      <w:r>
        <w:rPr>
          <w:b w:val="0"/>
          <w:i w:val="0"/>
        </w:rPr>
        <w:t>Một hội đồng quản trị được thông tin đầy đủ và tận tâm biết những rủi ro lớn đối với công ty là gì, và hầu hết các hội đồng đều giám sát một quy trình đánh giá và giảm thiểu rủi ro chu đáo, năng động, dù thông qua một ủy ban rủi ro, ủy ban kiểm toán, báo cáo toàn hội đồng, hay các cơ chế khác. Không phải trách nhiệm của hội đồng là quản lý rủi ro, nhưng hoàn toàn là trách nhiệm của hội đồng trong việc giám sát việc quản lý rủi ro.</w:t>
      </w:r>
    </w:p>
    <w:p>
      <w:pPr>
        <w:spacing w:after="80"/>
      </w:pPr>
      <w:r>
        <w:rPr>
          <w:b w:val="0"/>
          <w:i w:val="0"/>
        </w:rPr>
        <w:t>Cũng không có quy định nào về việc điều gì phải hoặc thậm chí nên xảy ra trong hoặc giữa các cuộc họp hội đồng quản trị. Không có gì ngạc nhiên khi kỳ vọng có thể rất khác nhau giữa các CEO, ban điều hành rộng hơn và từng giám đốc riêng lẻ. Một hội đồng quản trị thường có bốn hoặc năm cuộc họp mỗi năm. Theo truyền thống là bốn, nhưng cuộc họp thứ năm—không có áp lực của các mối quan tâm kinh doanh ngắn hạn, thu nhập hàng quý, kết quả ước tính hàng năm, gánh nặng tuân thủ ngày càng tăng và các vấn đề ESG—có thể giúp hội đồng quản trị giải quyết các vấn đề lớn hơn, dài hạn hơn, mang tính chiến lược hơn như kế hoạch dài hạn.</w:t>
      </w:r>
    </w:p>
    <w:p>
      <w:pPr>
        <w:spacing w:after="80"/>
      </w:pPr>
      <w:r>
        <w:rPr>
          <w:b w:val="0"/>
          <w:i w:val="0"/>
        </w:rPr>
        <w:t>Một cuộc họp hàng quý điển hình kéo dài gần hai ngày—thường là các cuộc họp ủy ban vào ngày đầu tiên, bắt đầu có thể ngay sau bữa trưa tùy chọn của các giám đốc với ban điều hành, tiếp theo là bữa tối, có thể bao gồm một diễn giả bên ngoài (như chuyên gia tư vấn ngành, nhà phân tích hoặc nhân viên ngân hàng); một cuộc họp hội đồng quản trị chi tiết vào ngày hôm sau, với một phiên họp điều hành hoặc thời gian chỉ dành riêng cho các giám đốc; và thời gian để riêng các giám đốc độc lập hoặc không thuộc ban điều hành gặp nhau, tất cả kết thúc vào giữa buổi chiều.</w:t>
      </w:r>
    </w:p>
    <w:p>
      <w:pPr>
        <w:spacing w:after="80"/>
      </w:pPr>
      <w:r>
        <w:rPr>
          <w:b w:val="0"/>
          <w:i w:val="0"/>
        </w:rPr>
        <w:t>Một cuộc họp lập kế hoạch chiến lược thường hơi khác một chút. Nó có thể bao gồm các bài trình bày chi tiết của từng lãnh đạo đơn vị kinh doanh, phân tích SWOT (điểm mạnh/điểm yếu/cơ hội/thách thức) của công ty và một kế hoạch kinh doanh dài hạn toàn diện. "Cần có một nhịp điệu chiến lược đều đặn," Đô đốc Mullen nói với tôi, "một vị trí trong cơ cấu quản trị mỗi năm để thiết lập chiến lược. Tôi nghĩ đó là một phần nền tảng của một cấu trúc tổ chức tốt. Và bạn phải liên tục cập nhật nó. Bạn không nhất thiết có được chiến lược đúng ngay lần đầu. Thế giới thay đổi, hoặc cuộc sống thay đổi, nên bạn cập nhật nó. Nhưng bạn cần phải có nó ngay từ đầu."</w:t>
      </w:r>
    </w:p>
    <w:p>
      <w:pPr>
        <w:spacing w:after="80"/>
      </w:pPr>
      <w:r>
        <w:rPr>
          <w:b w:val="0"/>
          <w:i w:val="0"/>
        </w:rPr>
        <w:t>"Tôi không biết liệu hội đồng quản trị có chịu trách nhiệm phát triển chiến lược hay không," Gursahaney bổ sung, "nhưng chắc chắn công việc của chúng tôi với tư cách là giám đốc là phê bình và kiểm tra sức chịu đựng của chiến lược, để đảm bảo rằng chiến lược đó vững chắc, có cơ sở tốt và dựa trên dữ liệu."</w:t>
      </w:r>
    </w:p>
    <w:p>
      <w:pPr>
        <w:spacing w:after="80"/>
      </w:pPr>
      <w:r>
        <w:rPr>
          <w:b w:val="0"/>
          <w:i w:val="0"/>
        </w:rPr>
        <w:t>Dù là loại cuộc họp nào, một hội đồng quản trị được chuẩn bị kỹ lưỡng và chu đáo sẽ đã tiêu hóa các tài liệu trước khi phiên họp bắt đầu, đặt những câu hỏi sâu sắc và thách thức các giả định. Vào cuối cuộc họp, cần có sự chứng thực cho bất kỳ quyết định quan trọng nào được đề xuất hoặc—cũng là một kết quả tốt—một thỏa thuận tổ chức một cuộc họp khác để giải quyết các câu hỏi khác nhau và có thể phân tích các kịch bản khác trước khi hội đồng quản trị phê duyệt (các) chủ đề đang bàn.</w:t>
      </w:r>
    </w:p>
    <w:p>
      <w:pPr>
        <w:pStyle w:val="Heading3"/>
      </w:pPr>
      <w:r>
        <w:rPr>
          <w:rFonts w:ascii="Calibri" w:hAnsi="Calibri"/>
          <w:b/>
          <w:i w:val="0"/>
          <w:sz w:val="26"/>
        </w:rPr>
        <w:t>Tìm đủ thời gian</w:t>
      </w:r>
    </w:p>
    <w:p>
      <w:pPr>
        <w:spacing w:after="80"/>
      </w:pPr>
      <w:r>
        <w:rPr>
          <w:b w:val="0"/>
          <w:i w:val="0"/>
        </w:rPr>
        <w:t>Với những thách thức ngày càng tăng mà tất cả các công ty phải đối mặt—từ khả năng cạnh tranh toàn cầu, đến rủi ro gia tăng, đến gánh nặng tuân thủ ngày càng lớn, đến nhu cầu cao hơn từ nhiều nhóm liên quan từ nhân viên đến các nhà hoạt động môi trường—hầu như luôn dẫn đến nhu cầu cần thêm thời gian họp. Các cuộc họp cần tạo cơ hội để thảo luận về chiến lược và cách kể câu chuyện của công ty một cách hiệu quả cho các thị trường công chúng cũng như thời gian cho các phiên họp điều hành dài hơn, đầu tiên với bất kỳ giám đốc nào thuộc ban điều hành và sau đó chỉ với các giám đốc không thuộc ban điều hành.</w:t>
      </w:r>
    </w:p>
    <w:p>
      <w:pPr>
        <w:spacing w:after="80"/>
      </w:pPr>
      <w:r>
        <w:rPr>
          <w:b w:val="0"/>
          <w:i w:val="0"/>
        </w:rPr>
        <w:t>Một điều kỳ quặc mà tôi thấy trong một cuộc họp hội đồng quản trị hai ngày điển hình là chương trình nghị sự thường kết thúc vào đầu buổi chiều ngày thứ hai. Các giám đốc thường đã, và chắc chắn nên, dành trọn cả ngày cho cuộc họp, nên tôi muốn thấy lịch trình thông thường kéo dài đến cuối buổi chiều.</w:t>
      </w:r>
    </w:p>
    <w:p>
      <w:pPr>
        <w:spacing w:after="80"/>
      </w:pPr>
      <w:r>
        <w:rPr>
          <w:b w:val="0"/>
          <w:i w:val="0"/>
        </w:rPr>
        <w:t>Chánh án Strine lập luận rằng chúng ta có thể sử dụng thời gian của các giám đốc hiệu quả hơn. "Hiện tại chúng ta chỉ thêm ngày càng nhiều hơn. Chúng ta không bao giờ loại bỏ bất cứ thứ gì," ông nói với tôi.</w:t>
      </w:r>
    </w:p>
    <w:p>
      <w:pPr>
        <w:spacing w:after="80"/>
      </w:pPr>
      <w:r>
        <w:rPr>
          <w:b w:val="0"/>
          <w:i w:val="0"/>
        </w:rPr>
        <w:t>Chúng ta không bao giờ tái cấu trúc bất cứ thứ gì. Tôi không chắc nó hiệu quả như nó có thể, vì không ai lùi lại và hỏi liệu chúng ta có thể làm điều này theo cách khác không. Ví dụ, tôi nghĩ các giám đốc độc lập đặc biệt nên dành nhiều thời gian hơn cho nhau và thực sự định hình chương trình nghị sự cuộc họp. Tôi nghĩ họ thực sự nên gặp nhau vào đầu cuộc họp hội đồng quản trị [không chỉ ở cuối, điều thường thấy hơn]. Ngoài ra, với những thứ như Zoom, chúng ta có thể làm mọi thứ tốt hơn. Các giám đốc độc lập có thể gặp nhau trước và hoàn thành một số mục trong danh sách kiểm tra bằng điện tử để khi họ đến, họ hữu ích và được thông tin đầy đủ nhất có thể.</w:t>
      </w:r>
    </w:p>
    <w:p>
      <w:pPr>
        <w:pStyle w:val="Heading3"/>
      </w:pPr>
      <w:r>
        <w:rPr>
          <w:rFonts w:ascii="Calibri" w:hAnsi="Calibri"/>
          <w:b/>
          <w:i w:val="0"/>
          <w:sz w:val="26"/>
        </w:rPr>
        <w:t>Tương tác giữa giám đốc và ban điều hành</w:t>
      </w:r>
    </w:p>
    <w:p>
      <w:pPr>
        <w:spacing w:after="80"/>
      </w:pPr>
      <w:r>
        <w:rPr>
          <w:b w:val="0"/>
          <w:i w:val="0"/>
        </w:rPr>
        <w:t>Ngoài các cuộc họp hội đồng quản trị, thường có sự liên lạc giữa các giám đốc và CEO, nếu không phải với các lãnh đạo cấp cao khác. Tôi đã từng tham gia các hội đồng quản trị nơi các CEO chủ động liên hệ với từng giám đốc định kỳ để thảo luận các vấn đề quan trọng hoặc trao đổi ý tưởng mới, đặc biệt trong các lĩnh vực mà một số giám đốc có kinh nghiệm quý giá.</w:t>
      </w:r>
    </w:p>
    <w:p>
      <w:pPr>
        <w:spacing w:after="80"/>
      </w:pPr>
      <w:r>
        <w:rPr>
          <w:b w:val="0"/>
          <w:i w:val="0"/>
        </w:rPr>
        <w:t>Một số giám đốc tin rằng họ không nên nói chuyện với một thành viên của ban điều hành mà không hỏi CEO trước. Tôi chưa bao giờ nghe một CEO chất lượng cao mong đợi sự "phê duyệt trước" này. Mặc dù toàn bộ đội ngũ lãnh đạo cấp cao thường báo cáo cho CEO, hội đồng quản trị, được cổ đông giao nhiệm vụ giám sát ban điều hành, không thể làm tốt công việc của mình nếu không có quyền tiếp cận đội ngũ lãnh đạo cấp cao và mối quan hệ tốt với những nhà lãnh đạo này. Tôi luôn thảo luận với CEO về bất kỳ mối quan tâm, bài học quan trọng hoặc ý tưởng mới nào nảy sinh từ các cuộc trò chuyện với đội ngũ.</w:t>
      </w:r>
    </w:p>
    <w:p>
      <w:pPr>
        <w:spacing w:after="80"/>
      </w:pPr>
      <w:r>
        <w:rPr>
          <w:b w:val="0"/>
          <w:i w:val="0"/>
        </w:rPr>
        <w:t>Với tư cách là một giám đốc, tôi muốn tạo giá trị ở nơi tôi có thể nhưng không lãng phí thời gian của bất kỳ ai. Bạn có thể nghĩ rằng bạn là người thông minh nhất trong phòng. Bạn có thể đúng hoặc không. Nhưng bạn không thể là một giám đốc hiệu quả nếu bạn không thể đạt được sự đồng thuận với các đồng nghiệp về con đường phía trước mà bạn ủng hộ. Bạn cần bảo toàn vốn của mình để có thể có ảnh hưởng khi điều đó quan trọng và hy vọng đưa cả nhóm theo cách suy nghĩ của bạn.</w:t>
      </w:r>
    </w:p>
    <w:p>
      <w:pPr>
        <w:spacing w:after="80"/>
      </w:pPr>
      <w:r>
        <w:rPr>
          <w:b w:val="0"/>
          <w:i w:val="0"/>
        </w:rPr>
        <w:t>Giáo sư và tác giả Adam Grant của Trường Wharton thuộc Đại học Pennsylvania viết về việc bất đồng một cách hiệu quả—thể hiện sự quan tâm và đặt câu hỏi.71 Cụ thể, ông lập luận rằng tranh luận các ý tưởng với sự tôn trọng là cách để đạt được kết quả hiệu quả và xung đột không nhất thiết là điều xấu miễn là nó không trở nên cá nhân.72</w:t>
      </w:r>
    </w:p>
    <w:p>
      <w:pPr>
        <w:spacing w:after="80"/>
      </w:pPr>
      <w:r>
        <w:rPr>
          <w:b w:val="0"/>
          <w:i w:val="0"/>
        </w:rPr>
        <w:t>Theo quan điểm của tôi, việc các giám đốc có quan điểm khác nhau và ý kiến khác nhau là điều tốt. Nếu tất cả các giám đốc có cùng quan điểm, hội đồng quản trị sẽ tạo ít giá trị hơn nhiều; thậm chí có thể có lập luận rằng không có lý do gì để có một hội đồng quản trị. Điều quan trọng cần ghi nhớ là một giám đốc hiệu quả không cần nói quá nhiều, đặt những câu hỏi đã được trả lời trong tài liệu viết, đi sâu vào chi tiết hoạt động hàng ngày thay vì các vấn đề chiến lược, hoặc đặc biệt cố chấp.</w:t>
      </w:r>
    </w:p>
    <w:p>
      <w:pPr>
        <w:spacing w:after="80"/>
      </w:pPr>
      <w:r>
        <w:rPr>
          <w:b w:val="0"/>
          <w:i w:val="0"/>
        </w:rPr>
        <w:t>Klain giải thích rằng mối quan hệ giữa ban điều hành và hội đồng quản trị là cực kỳ quan trọng: “Hội đồng quản trị sẽ họp một hoặc hai ngày mỗi quý, rồi sau đó họ rời đi, nên câu hỏi đặt ra là ban điều hành phản ứng thế nào trước định hướng của hội đồng quản trị. Ở một số nơi, có sự tương tác rất năng động khiến hội đồng quản trị hoạt động rất hiệu quả. Nếu bạn không có sự tương tác tốt giữa hội đồng quản trị và ban điều hành, thì hội đồng quản trị sẽ không bao giờ hiệu quả được, bởi vì họ chẳng thể làm gì để luôn hiện diện cả.”</w:t>
      </w:r>
    </w:p>
    <w:p>
      <w:pPr>
        <w:spacing w:after="80"/>
      </w:pPr>
      <w:r>
        <w:rPr>
          <w:b w:val="0"/>
          <w:i w:val="0"/>
        </w:rPr>
        <w:t>Ken Freeman là một nhà lãnh đạo rất thành công, từng giữ nhiều vai trò như cựu CEO của Quest Diagnostics, cựu đối tác tại công ty đầu tư toàn cầu hàng đầu KKR, và cựu chủ tịch tạm quyền của Đại học Boston sau khi ông làm trưởng khoa kinh doanh; hiện ông vẫn là trưởng khoa danh dự và giáo sư tại trường kinh doanh đó. Tôi nhớ rõ như in một bữa tối của hội đồng quản trị hơn một thập kỷ trước, khi Freeman, lúc đó là chủ tịch, cảm thấy quá nhiều giám đốc đưa ra quá nhiều ý kiến khiến các cuộc thảo luận của hội đồng quản trị kéo dài sang quá nhiều chi tiết và làm chúng tôi lạc hướng, đã đề nghị các giám đốc độc lập (tất cả trừ CEO) ở lại sau bữa tối. Ông nói rất đơn giản: “Tôi chỉ muốn nhắc các bạn rằng các bạn không cần phải nói gì đó để cho mọi người thấy mình thông minh đến mức nào. Hẹn gặp lại ngày mai.” Đó từng và vẫn là một lời khuyên tuyệt vời.</w:t>
      </w:r>
    </w:p>
    <w:p>
      <w:pPr>
        <w:spacing w:after="80"/>
      </w:pPr>
      <w:r>
        <w:rPr>
          <w:b w:val="0"/>
          <w:i w:val="0"/>
        </w:rPr>
        <w:t>Tôi luôn nói điều mình nghĩ khi tôi tin rằng nó đóng góp thêm giá trị. Nhưng việc chỉ đưa ra một vài ý kiến sâu sắc trong suốt cả một cuộc họp hội đồng quản trị, thay vì một vài ý kiến quá nhiều, cũng không phải là điều tệ.</w:t>
      </w:r>
    </w:p>
    <w:p>
      <w:pPr>
        <w:pStyle w:val="Heading1"/>
      </w:pPr>
      <w:r>
        <w:rPr>
          <w:rFonts w:ascii="Calibri" w:hAnsi="Calibri"/>
          <w:b/>
          <w:i w:val="0"/>
          <w:sz w:val="40"/>
        </w:rPr>
        <w:t>Chương 4</w:t>
      </w:r>
    </w:p>
    <w:p>
      <w:pPr>
        <w:pStyle w:val="Heading1"/>
      </w:pPr>
      <w:r>
        <w:rPr>
          <w:rFonts w:ascii="Calibri" w:hAnsi="Calibri"/>
          <w:b/>
          <w:i w:val="0"/>
          <w:sz w:val="40"/>
        </w:rPr>
        <w:t>Ba Ủy ban Chính của Hội đồng Quản trị</w:t>
      </w:r>
    </w:p>
    <w:p>
      <w:pPr>
        <w:spacing w:after="80"/>
      </w:pPr>
      <w:r>
        <w:rPr>
          <w:b w:val="0"/>
          <w:i w:val="0"/>
        </w:rPr>
        <w:t>Sự tồn tại của các ủy ban thuộc hội đồng quản trị bắt nguồn từ những năm 1940, khi sau một vụ bê bối tại McKesson &amp; Robbins, một công ty dược phẩm hàng đầu, SEC bắt đầu khuyến nghị rằng mọi hội đồng quản trị nên có một ủy ban kiểm toán.1 Năm 1938, một trong những chủ nợ của McKesson &amp; Robbins nhận thấy một số điều kỳ lạ trong sổ sách của công ty và đặt câu hỏi về giá trị—hoặc thậm chí là sự tồn tại—của hàng tồn kho công ty. SEC điều tra và phát hiện rằng chủ tịch công ty, Philip Coster, là một kẻ phạm tội đã bị kết án đang dùng tên giả, và rằng hoạt động ở nước ngoài của công ty chỉ là một màn lừa đảo, tuồn gần 3 triệu đô la trong 12 năm cho Coster và ba anh em của ông ta (cũng làm việc tại công ty dưới tên giả), được che giấu bằng đủ loại hóa đơn và hợp đồng giả mạo cũng như các bản ghi nhớ bịa đặt để hỗ trợ cho những hành vi làm giả này.2</w:t>
      </w:r>
    </w:p>
    <w:p>
      <w:pPr>
        <w:spacing w:after="80"/>
      </w:pPr>
      <w:r>
        <w:rPr>
          <w:b w:val="0"/>
          <w:i w:val="0"/>
        </w:rPr>
        <w:t>Công ty kiểm toán của công ty, Price Waterhouse and Company (nay là PwC), khẳng định rằng họ đã tuân theo các chuẩn mực nghề nghiệp khi dựa vào các tài liệu được cung cấp. SEC cũng đi đến kết luận tương tự—điều này cho thấy khá rõ ràng rằng các chuẩn mực hiện hành còn lâu mới đủ. Suy cho cùng, trong trường hợp này, 9 triệu đô la các khoản phải thu hư cấu và 10 triệu đô la hàng tồn kho hư cấu—khoảng 20 phần trăm trong tổng số 87 triệu đô la tài sản trên bảng cân đối kế toán của công ty—đã bị che giấu và không bị phát hiện qua hơn một thập kỷ kiểm toán. SEC đã ban hành một báo cáo khuyến nghị kiểm toán nghiêm ngặt hơn nhiều, và ủy ban kiểm toán thời hiện đại ra đời từ đó.3</w:t>
      </w:r>
    </w:p>
    <w:p>
      <w:pPr>
        <w:spacing w:after="80"/>
      </w:pPr>
      <w:r>
        <w:rPr>
          <w:b w:val="0"/>
          <w:i w:val="0"/>
        </w:rPr>
        <w:t>Từ đó trở đi, các ủy ban ngày càng trở nên quan trọng, và khối lượng công việc của họ tăng lên đáng kể, đặc biệt là sau các vụ bê bối tài chính tại Enron và WorldCom vào đầu những năm 2000. Những thảm họa này dẫn đến việc thông qua Đạo luật Sarbanes-Oxley (Sarbanes-Oxley), đạo luật siết chặt các quy định đối với ủy ban kiểm toán và bổ sung các yêu cầu khác. Sau đó, cuộc khủng hoảng tài chính toàn cầu hay Đại Suy thoái năm 2007–9 dẫn đến việc thông qua Đạo luật Cải cách Phố Wall và Bảo vệ Người tiêu dùng Dodd-Frank (Dodd-Frank), đạo luật này, cùng nhiều điều khác, tạo ra các yêu cầu gia tăng đối với ủy ban lương thưởng. NYSE hiện yêu cầu các công ty niêm yết phải có một ủy ban kiểm toán, một ủy ban lương thưởng, và một ủy ban đề cử và quản trị, mỗi ủy ban đều gồm các giám đốc độc lập. Các yêu cầu của NASDAQ cũng tương tự nhưng cho phép trường hợp không có ủy ban đề cử và quản trị riêng biệt—dù điều này hiếm khi xảy ra.4</w:t>
      </w:r>
    </w:p>
    <w:p>
      <w:pPr>
        <w:spacing w:after="80"/>
      </w:pPr>
      <w:r>
        <w:rPr>
          <w:b w:val="0"/>
          <w:i w:val="0"/>
        </w:rPr>
        <w:t>Tuy nhiên, ngay cả khi không có các yêu cầu pháp lý, các ủy ban vẫn là một cách hợp lý và hiệu quả để hội đồng quản trị hoạt động hiệu quả, trao cho các giám đốc cơ hội tham gia vào những lĩnh vực phù hợp nhất với kỹ năng và mối quan tâm của họ, và giúp hội đồng quản trị đưa ra những quyết định kịp thời, được cân nhắc kỹ lưỡng. Mặc dù các chủ tịch ủy ban báo cáo thường xuyên với toàn thể hội đồng quản trị về công việc của ủy ban mình và toàn thể hội đồng quản trị phải biểu quyết để thông qua hầu hết các quyết định quan trọng, thì các ủy ban chính là nơi diễn ra phần lớn công việc chi tiết của hội đồng quản trị.</w:t>
      </w:r>
    </w:p>
    <w:p>
      <w:pPr>
        <w:spacing w:after="80"/>
      </w:pPr>
      <w:r>
        <w:rPr>
          <w:b w:val="0"/>
          <w:i w:val="0"/>
        </w:rPr>
        <w:t>Tôi nên dành một chút thời gian ở đây để thảo luận về định nghĩa “độc lập” đối với một giám đốc, vì điều quan trọng cần lưu ý là theo quy định của NYSE, ủy ban kiểm toán và ủy ban lương thưởng phải gồm toàn bộ các giám đốc độc lập, và một ủy ban đặc biệt phải có các giám đốc đều độc lập với người hoặc vấn đề có xung đột lợi ích dẫn đến việc thành lập ủy ban đó.</w:t>
      </w:r>
    </w:p>
    <w:p>
      <w:pPr>
        <w:spacing w:after="80"/>
      </w:pPr>
      <w:r>
        <w:rPr>
          <w:b w:val="0"/>
          <w:i w:val="0"/>
        </w:rPr>
        <w:t>Theo quy định của NYSE, một giám đốc độc lập là người được hội đồng quản trị “xác nhận một cách khẳng định” rằng không có “mối quan hệ trọng yếu” nào với công ty, dù trực tiếp hay thông qua một tổ chức khác có quan hệ với công ty. Có những quy tắc loại trừ rõ ràng, bao gồm trường hợp giám đốc là (hoặc đã từng là trong ba năm qua) nhân viên của công ty; nếu một thành viên gia đình trực hệ là cán bộ điều hành; nếu giám đốc hoặc thành viên gia đình trực hệ đã nhận hơn 120.000 đô la từ công ty trong bất kỳ khoảng thời gian 12 tháng nào trong vòng ba năm qua, không tính phí giám đốc, các khoản thanh toán lương hưu, và thù lao hoãn trả cho công việc trước đây; hoặc nếu giám đốc hoặc một thành viên gia đình trực hệ là đối tác hay nhân viên của công ty kiểm toán của công ty hoặc làm việc trong hoạt động kiểm toán của công ty.5 Có những quy tắc độc lập có phần nghiêm ngặt hơn đối với các thành viên của ủy ban kiểm toán và ủy ban lương thưởng.</w:t>
      </w:r>
    </w:p>
    <w:p>
      <w:pPr>
        <w:spacing w:after="80"/>
      </w:pPr>
      <w:r>
        <w:rPr>
          <w:b w:val="0"/>
          <w:i w:val="0"/>
        </w:rPr>
        <w:t>Tôi sẽ thảo luận về ba ủy ban bắt buộc trong chương này, nhưng cũng cần lưu ý rằng hội đồng quản trị có thể và thường có thêm các ủy ban khác, cả thường trực lẫn tạm thời, được thiết kế phù hợp với nhu cầu của công ty và các tình huống cụ thể. Thật vậy, ước tính khoảng 75 phần trăm các hội đồng quản trị của công ty thuộc S&amp;P 500 có ít nhất một ủy ban ngoài ba ủy ban cốt lõi, bao gồm các ủy ban về tài chính, rủi ro, tuân thủ, công nghệ, phát triển bền vững, chính sách công, khoa học và các ủy ban khác.6</w:t>
      </w:r>
    </w:p>
    <w:p>
      <w:pPr>
        <w:spacing w:after="80"/>
      </w:pPr>
      <w:r>
        <w:rPr>
          <w:b w:val="0"/>
          <w:i w:val="0"/>
        </w:rPr>
        <w:t>Gần một phần ba các công ty thuộc S&amp;P 500 có một ủy ban điều hành, thường bao gồm CEO và một vài thành viên hội đồng quản trị, và thường họp thường xuyên hơn so với toàn thể hội đồng quản trị để đưa ra ý kiến kịp thời về nhiều vấn đề và quyết định.7 Ngoài ra, như đã thảo luận, các ủy ban đặc biệt có thể được thành lập để giải quyết các giao dịch có xung đột lợi ích, và các ủy ban giao dịch có thể được thành lập để phản ứng kịp thời với một thương vụ lớn đang chờ xử lý.</w:t>
      </w:r>
    </w:p>
    <w:p>
      <w:pPr>
        <w:spacing w:after="80"/>
      </w:pPr>
      <w:r>
        <w:rPr>
          <w:b w:val="0"/>
          <w:i w:val="0"/>
        </w:rPr>
        <w:t>Tôi đã từng là thành viên, và cũng từng là chủ tịch, của cả ba ủy ban cốt lõi và là thành viên của nhiều ủy ban khác. Tôi không thể tưởng tượng nổi một hội đồng quản trị của công ty đại chúng quan trọng lại có thể hoạt động tốt mà không có các ủy ban hiệu quả. Từ ủy ban kiểm toán, nơi xem xét các báo cáo tài chính và phê duyệt các hồ sơ nộp SEC hàng quý và hàng năm, đến ủy ban lương thưởng, nơi dẫn dắt việc xác định thù lao cho CEO và các cán bộ điều hành cấp cao khác, cho đến ủy ban đề cử và quản trị, nơi dẫn dắt nỗ lực đề cử các giám đốc để cổ đông bầu chọn, các ủy ban này thực hiện phần lớn công việc quan trọng, dù đôi khi có vẻ máy móc, cần thiết cho một hội đồng quản trị hoạt động tốt và một công ty được quản trị tốt.</w:t>
      </w:r>
    </w:p>
    <w:p>
      <w:pPr>
        <w:pStyle w:val="Heading2"/>
      </w:pPr>
      <w:r>
        <w:rPr>
          <w:rFonts w:ascii="Calibri" w:hAnsi="Calibri"/>
          <w:b/>
          <w:i w:val="0"/>
          <w:sz w:val="32"/>
        </w:rPr>
        <w:t>Ủy ban Kiểm toán</w:t>
      </w:r>
    </w:p>
    <w:p>
      <w:pPr>
        <w:spacing w:after="80"/>
      </w:pPr>
      <w:r>
        <w:rPr>
          <w:b w:val="0"/>
          <w:i w:val="0"/>
        </w:rPr>
        <w:t>Trách nhiệm chính của ủy ban kiểm toán là giám sát các kiểm soát nội bộ của công ty, các báo cáo tài chính, các chức năng kiểm toán nội bộ và bên ngoài (hay độc lập), và thường là các chủ đề khác về kế toán, tài chính, cơ cấu vốn, tuân thủ và rủi ro. Sau vụ bê bối McKesson &amp; Robbins, các ủy ban kiểm toán ngày càng trở thành tiêu chuẩn đối với các công ty đại chúng. Năm 1972, SEC “tán thành” việc thành lập các ủy ban kiểm toán độc lập.8 Năm 1974, SEC yêu cầu bất kỳ công ty nào có ủy ban kiểm toán phải công bố tên các thành viên của ủy ban đó.9 Và năm 1978, NYSE đưa ủy ban kiểm toán thành yêu cầu bắt buộc đối với các công ty niêm yết của mình.10</w:t>
      </w:r>
    </w:p>
    <w:p>
      <w:pPr>
        <w:spacing w:after="80"/>
      </w:pPr>
      <w:r>
        <w:rPr>
          <w:b w:val="0"/>
          <w:i w:val="0"/>
        </w:rPr>
        <w:t>Năm 2002, đạo luật Sarbanes-Oxley được thông qua sau những vụ bê bối tài chính tại Enron – công ty đã trở thành vụ phá sản lớn nhất trong lịch sử nước Mỹ năm 2001 – và WorldCom, với vụ phá sản nhanh chóng vượt qua Enron vào năm 2002.11 Sarbanes-Oxley đã thiết lập các tiêu chuẩn về tính độc lập của kiểm toán viên, đưa ra yêu cầu buộc các giám đốc điều hành phải rút khỏi quy trình kiểm toán, bắt buộc ban điều hành phải có báo cáo thường niên về hiệu quả của hệ thống kiểm soát tài chính nội bộ trong công ty, yêu cầu các CEO và CFO phải xác nhận tính chính xác của báo cáo tài chính công ty, tăng mức hình phạt hình sự đối với các tội phạm tài chính, và thành lập một tổ chức mới – Ủy ban Giám sát Kế toán Công ty Đại chúng (Public Company Accounting Oversight Board – PCAOB) – để giám sát các công ty kế toán dưới quyền của SEC.12</w:t>
      </w:r>
    </w:p>
    <w:p>
      <w:pPr>
        <w:spacing w:after="80"/>
      </w:pPr>
      <w:r>
        <w:rPr>
          <w:b w:val="0"/>
          <w:i w:val="0"/>
        </w:rPr>
        <w:t>Sarbanes-Oxley cũng siết chặt các yêu cầu đối với ủy ban kiểm toán, buộc các công ty niêm yết phải có ủy ban này và, như đã đề cập trước đó, yêu cầu mỗi thành viên phải độc lập – và các thành viên của ủy ban này không được nhận bất kỳ khoản phí tư vấn, cố vấn hay phí nào khác từ công ty. Đạo luật này cũng quy định rằng công ty kiểm toán độc lập phải báo cáo cho ủy ban kiểm toán. Đạo luật bổ sung yêu cầu rằng ít nhất một thành viên của ủy ban kiểm toán phải là một “chuyên gia tài chính” (financial expert) theo định nghĩa của luật.13 Ngoài ra, theo quy định của NYSE, tất cả thành viên của ủy ban kiểm toán phải có hiểu biết về tài chính (financially literate) theo xác định của hội đồng quản trị, hoặc phải đạt được hiểu biết về tài chính trong một khoảng thời gian hợp lý sau khi được bổ nhiệm.14</w:t>
      </w:r>
    </w:p>
    <w:p>
      <w:pPr>
        <w:spacing w:after="80"/>
      </w:pPr>
      <w:r>
        <w:rPr>
          <w:b w:val="0"/>
          <w:i w:val="0"/>
        </w:rPr>
        <w:t>Định nghĩa “chuyên gia tài chính” của Sarbanes-Oxley khá chung chung, yêu cầu một người phải có “nền giáo dục và kinh nghiệm kỹ lưỡng với tư cách là kế toán viên công hoặc kiểm toán viên công, hoặc giám đốc tài chính chính, hoặc kế toán trưởng, hoặc giám đốc kế toán chính của một tổ chức phát hành, hoặc từ một vị trí liên quan đến việc thực hiện các chức năng tương tự”, có hiểu biết về các nguyên tắc kế toán được chấp nhận chung (generally accepted accounting principles) và báo cáo tài chính, có kinh nghiệm trong việc lập hoặc kiểm toán báo cáo tài chính (hoặc kinh nghiệm trực tiếp giám sát những người thực hiện các hoạt động đó), quen thuộc với các kiểm soát kế toán nội bộ, và hiểu rõ các chức năng của ủy ban kiểm toán.15 Các ứng viên tiềm năng cho ủy ban kiểm toán sẽ hoàn thành một bảng câu hỏi do ban điều hành chuẩn bị, thường có sự hỗ trợ của một công ty luật bên ngoài, để xác định liệu họ có các kỹ năng và kinh nghiệm cần thiết hay không; không có bài kiểm tra hay bất kỳ hình thức thẩm tra nào khác.</w:t>
      </w:r>
    </w:p>
    <w:p>
      <w:pPr>
        <w:spacing w:after="80"/>
      </w:pPr>
      <w:r>
        <w:rPr>
          <w:b w:val="0"/>
          <w:i w:val="0"/>
        </w:rPr>
        <w:t>Thường thì thành viên của ủy ban kiểm toán là những người có nền tảng về kế toán hoặc tài chính, chẳng hạn như các CFO đương nhiệm hoặc đã nghỉ hưu và các kế toán viên. Tôi cũng từng thấy những thành viên ủy ban kiểm toán hiệu quả với nền tảng khác như các giám đốc điều hành vận hành – những người thoải mái với kiểm soát, kế toán và báo cáo tài chính – cũng như các thủ quỹ và chuyên gia ngân hàng đầu tư. Giống như các ủy ban khác, chủ tịch thường đóng vai trò tích cực nhất. Tính đến năm 2021, dữ liệu từ Spencer Stuart cho thấy 62 phần trăm chủ tịch ủy ban kiểm toán có nền tảng tài chính, dù là CFO, một giám đốc điều hành tài chính doanh nghiệp khác, kế toán viên hay chuyên gia ngân hàng.16 Điều khiến tôi ngạc nhiên là chỉ 26 phần trăm tổng số giám đốc được coi là đủ tiêu chuẩn để trở thành chuyên gia tài chính.17</w:t>
      </w:r>
    </w:p>
    <w:p>
      <w:pPr>
        <w:spacing w:after="80"/>
      </w:pPr>
      <w:r>
        <w:rPr>
          <w:b w:val="0"/>
          <w:i w:val="0"/>
        </w:rPr>
        <w:t>Đô đốc Mike Mullen từng tham gia các ủy ban kiểm toán và nhấn mạnh tầm quan trọng then chốt của chúng: “Bạn muốn biết điều gì đang diễn ra trong công ty? Tất cả đều chảy qua đó. Và bạn muốn biết vấn đề nằm ở đâu? Tất cả cũng đều chảy qua đó.”</w:t>
      </w:r>
    </w:p>
    <w:p>
      <w:pPr>
        <w:spacing w:after="80"/>
      </w:pPr>
      <w:r>
        <w:rPr>
          <w:b w:val="0"/>
          <w:i w:val="0"/>
        </w:rPr>
        <w:t>Không thể phủ nhận rằng Sarbanes-Oxley đã có tác động to lớn đến quản trị doanh nghiệp. Viết cho Harvard Law School Forum on Corporate Governance năm 2022 và nhìn lại Sarbanes-Oxley sau 20 năm, Michael W. Peregrine, đối tác tại công ty luật McDermott Will &amp; Emery, và Charles Elson của Đại học Delaware đã nêu thành công của đạo luật trong việc tăng cường sự tập trung của xã hội vào trách nhiệm doanh nghiệp, tầm quan trọng của chức năng kiểm toán, sự cần thiết phải chú ý đến năng lực của giám đốc trong hội đồng quản trị, và nhu cầu cấp thiết về tính độc lập của giám đốc. “Có lẽ quan trọng hơn về mặt chủ đề,” họ viết, “là sự chuyển dịch [tiếp diễn] một cách nhẹ nhàng trong quyền kiểm soát doanh nghiệp từ CEO sang hội đồng quản trị.”18</w:t>
      </w:r>
    </w:p>
    <w:p>
      <w:pPr>
        <w:spacing w:after="80"/>
      </w:pPr>
      <w:r>
        <w:rPr>
          <w:b w:val="0"/>
          <w:i w:val="0"/>
        </w:rPr>
        <w:t>Hy vọng rằng kết luận cuối cùng của kiểm toán viên về báo cáo tài chính thường niên của khách hàng là ý kiến “không bảo lưu” (unqualified), theo các tiêu chuẩn do PCAOB ban hành, rằng “báo cáo tài chính, xét trên tổng thể, được trình bày trung thực, trên mọi khía cạnh trọng yếu, phù hợp với khuôn khổ báo cáo tài chính được áp dụng.”19 Bất chấp một số chỉ trích rằng Sarbanes-Oxley đã tạo ra cảm giác tin tưởng sai lầm rằng “ý kiến sạch” nghĩa là mọi rủi ro tài chính đều đã được xử lý thỏa đáng – điều này tất nhiên là không thực tế – và rằng các quy định của Sarbanes-Oxley đã thất bại trong việc nhận diện các vấn đề với những công cụ tài chính rủi ro dẫn đến cuộc khủng hoảng tài chính 2007–9, Peregrine và Elson vẫn mô tả “sự sụt giảm mạnh mẽ số lượng các vụ bê bối kế toán tài chính của công ty đại chúng kể từ khi đạo luật được ban hành.”20</w:t>
      </w:r>
    </w:p>
    <w:p>
      <w:pPr>
        <w:spacing w:after="80"/>
      </w:pPr>
      <w:r>
        <w:rPr>
          <w:b w:val="0"/>
          <w:i w:val="0"/>
        </w:rPr>
        <w:t>Cũng có những chỉ trích – không phải không công bằng – rằng Sarbanes-Oxley đã làm tăng đáng kể chi phí để trở thành một công ty đại chúng, vì các yêu cầu báo cáo không áp dụng cho các công ty tư nhân (mặc dù các hình phạt tăng cường – tiền phạt đáng kể và án tù vì sửa đổi hoặc hủy tài liệu tài chính – vẫn áp dụng bất kể công ty là đại chúng hay tư nhân).21 Một nghiên cứu của công ty tư vấn Protiviti phát hiện rằng công ty trung bình chi hơn 1,7 triệu đô la mỗi năm cho chi phí tuân thủ Sarbanes-Oxley – phần lớn là cho các tư vấn bên ngoài cùng với nhân viên nội bộ – và ngay cả những công ty nhỏ nhất được khảo sát (với doanh thu thường niên dưới 500 triệu đô la) cũng chi trung bình gần 1 triệu đô la.22</w:t>
      </w:r>
    </w:p>
    <w:p>
      <w:pPr>
        <w:spacing w:after="80"/>
      </w:pPr>
      <w:r>
        <w:rPr>
          <w:b w:val="0"/>
          <w:i w:val="0"/>
        </w:rPr>
        <w:t>Trách nhiệm của ủy ban kiểm toán được quy định rõ trong điều lệ của họ và thường bao gồm giám sát các kiểm soát nội bộ, báo cáo tài chính và các hồ sơ SEC liên quan cũng như các chủ đề khác như rủi ro. Thông thường, mỗi quý một lần, với bản nháp của Mẫu 10-Q (báo cáo tài chính hàng quý gửi SEC) hoặc Mẫu 10-K (hồ sơ hàng năm gửi SEC bao gồm báo cáo tài chính của công ty, phần thảo luận và phân tích của ban điều hành về kết quả tài chính, và thông tin liên quan), một bản đề xuất thông cáo báo chí về thu nhập, và bản nháp bài trình bày cùng kịch bản cho cuộc gọi hội nghị với nhà đầu tư, các thành viên ủy ban kiểm toán sẽ đọc và bình luận về thông tin này, đồng thời có cuộc họp với các nhân sự cấp cao về kế toán, thuế, tuân thủ, thủ quỹ, và kiểm toán nội bộ lẫn độc lập để xem xét và thảo luận các vấn đề trọng yếu trong quý hoặc năm cũng như các tài liệu này. Các cuộc trao đổi cũng có thể bao gồm thảo luận về các vấn đề kỹ thuật và quy định mới nổi có khả năng ảnh hưởng đến báo cáo tài chính trong tương lai. Cuối cùng, ủy ban thường sẽ phê duyệt các hồ sơ SEC và đôi khi cả thông cáo báo chí cùng tài liệu cho cuộc gọi hội nghị nhà đầu tư, tùy thuộc vào cách ủy ban làm việc với ban điều hành, trước khi các tài liệu SEC được nộp. Các chi tiết, vấn đề và tình huống phát sinh bất ngờ cần sự chú ý của ủy ban kiểm toán có thể bao gồm thất bại trong kiểm soát nội bộ, khả năng xóa sổ tài sản, cáo buộc quấy rối, và trộm cắp tài sản công ty.</w:t>
      </w:r>
    </w:p>
    <w:p>
      <w:pPr>
        <w:spacing w:after="80"/>
      </w:pPr>
      <w:r>
        <w:rPr>
          <w:b w:val="0"/>
          <w:i w:val="0"/>
        </w:rPr>
        <w:t>Trong khi công ty kiểm toán độc lập đưa ra ý kiến hàng năm về kiểm soát nội bộ và báo cáo tài chính của công ty, ban điều hành chịu trách nhiệm lập báo cáo tài chính. Công ty kiểm toán cũng có thể cung cấp một số dịch vụ tư vấn nhất định không vi phạm các quy tắc gây tổn hại đến tính độc lập; những dịch vụ này có thể bao gồm tư vấn thuế và thẩm định (due diligence) các thương vụ mua bán tiềm năng, cùng nhiều dịch vụ khác. Việc hội đồng quản trị và ban điều hành có mối quan hệ bền chặt với công ty kiểm toán bên ngoài là điều hữu ích. Sẽ có những vấn đề khó khăn cần giải quyết, và các thành viên cấp cao cùng đồng nghiệp của công ty kiểm toán có thể là những cố vấn và đối tác tư duy quan trọng.</w:t>
      </w:r>
    </w:p>
    <w:p>
      <w:pPr>
        <w:spacing w:after="80"/>
      </w:pPr>
      <w:r>
        <w:rPr>
          <w:b w:val="0"/>
          <w:i w:val="0"/>
        </w:rPr>
        <w:t>Trong khoảng thời gian tôi gọi là “kỳ nghỉ dài từ Phố Wall”, tôi là COO và CFO của ToysRUs.com, mảng kinh doanh trực tuyến khi đó còn mới của nhà bán lẻ đồ chơi mang tính biểu tượng. Khi tôi đến, hệ thống tài chính và báo cáo cũng như công nghệ thông tin đang gặp nhiều thách thức lớn. Bực bội vì có vô số tư vấn viên đang hỗ trợ chúng tôi nhưng tiến độ lại hạn chế, tôi hỏi một thành viên trong nhóm tại Ernst &amp; Young (EY), đơn vị kiểm toán, liệu có một người cấp cao nào có thể giúp tổ chức và đẩy nhanh các nỗ lực không. Vài ngày sau, Mark Manoff bước vào, và ngay lập tức trở thành một đối tác quý giá.</w:t>
      </w:r>
    </w:p>
    <w:p>
      <w:pPr>
        <w:spacing w:after="80"/>
      </w:pPr>
      <w:r>
        <w:rPr>
          <w:b w:val="0"/>
          <w:i w:val="0"/>
        </w:rPr>
        <w:t>Manoff đã làm việc 39 năm tại EY với nhiều vai trò lãnh đạo, cuối cùng là phó chủ tịch thị trường khu vực châu Mỹ và thành viên ban điều hành cùng ủy ban vận hành của EY, trước khi nghỉ hưu. Ông tin rằng mối quan hệ bền chặt giữa ủy ban kiểm toán và công ty kiểm toán độc lập “dựa trên năng lực, sự tin cậy và quan điểm độc lập.” Nó cần bao gồm “đối thoại thẳng thắn giữa các thành viên ủy ban kiểm toán, ban điều hành cấp cao, kiểm toán viên bên ngoài và kiểm toán viên nội bộ, và tất cả mọi người đều hiểu rõ rằng tất cả đều vì sự tốt đẹp hơn của tổ chức và cổ đông – nhưng cuộc đối thoại đó chỉ có thể diễn ra nếu các bên có đúng năng lực và phong cách.”</w:t>
      </w:r>
    </w:p>
    <w:p>
      <w:pPr>
        <w:spacing w:after="80"/>
      </w:pPr>
      <w:r>
        <w:rPr>
          <w:b w:val="0"/>
          <w:i w:val="0"/>
        </w:rPr>
        <w:t>Kiểm toán nội bộ, hay chức năng kiểm toán do nhân viên công ty đảm nhiệm, có phạm vi rộng hơn, đặc biệt là ngày nay. Manoff tóm tắt điều này rất hay: “Mục đích của chức năng kiểm toán nội bộ là giúp đảm bảo rằng hệ thống kiểm soát nội bộ của công ty đang vận hành hiệu quả. Điều đó có nghĩa là đưa ra quan điểm độc lập [với ban điều hành] về các hệ thống, quy trình vận hành và kiểm soát nội bộ, đồng thời giải quyết các vấn đề liên quan.” Kỳ vọng đối với kiểm toán nội bộ có thể khác nhau nhưng thường bao gồm đánh giá rủi ro hàng năm; xem xét, cải thiện và kiểm tra các kiểm soát tài chính; kiểm toán tại các địa điểm như nhà máy hay cửa hàng và các tài liệu như báo cáo chi phí; và điều tra bao gồm cả những cáo buộc về trộm cắp, quấy rối và các vấn đề liên quan.</w:t>
      </w:r>
    </w:p>
    <w:p>
      <w:pPr>
        <w:spacing w:after="80"/>
      </w:pPr>
      <w:r>
        <w:rPr>
          <w:b w:val="0"/>
          <w:i w:val="0"/>
        </w:rPr>
        <w:t>Manoff giải thích điều mà tôi ngày càng thấy rõ: “Vũ trụ rủi ro đang ngày càng rộng lớn và phức tạp hơn, dù là về trí tuệ nhân tạo, an ninh mạng, các công nghệ khác, chuỗi cung ứng hay rủi ro địa chính trị.” Do đó, kiểm toán nội bộ ngày càng có cái nhìn rộng hơn về cách công ty có thể phòng ngừa nhiều loại rủi ro đa dạng và đe dọa hơn.</w:t>
      </w:r>
    </w:p>
    <w:p>
      <w:pPr>
        <w:spacing w:after="80"/>
      </w:pPr>
      <w:r>
        <w:rPr>
          <w:b w:val="0"/>
          <w:i w:val="0"/>
        </w:rPr>
        <w:t>Như đã đề cập, công ty kiểm toán độc lập bắt buộc phải báo cáo cho ủy ban kiểm toán, và việc trưởng bộ phận kiểm toán nội bộ báo cáo cho ủy ban kiểm toán là một “thông lệ tốt nhất”. Tuy nhiên, ban điều hành, đặc biệt là CFO và giám đốc kế toán chính, làm việc chặt chẽ với kiểm toán viên bên ngoài và nội bộ. Ngoài ra, việc công ty kiểm toán được quản lý hành chính bởi CFO và trưởng bộ phận kiểm toán nội bộ được quản lý bởi CFO hoặc cố vấn pháp lý tổng quát là điều thực tế.</w:t>
      </w:r>
    </w:p>
    <w:p>
      <w:pPr>
        <w:spacing w:after="80"/>
      </w:pPr>
      <w:r>
        <w:rPr>
          <w:b w:val="0"/>
          <w:i w:val="0"/>
        </w:rPr>
        <w:t>Ngoài những trách nhiệm cốt lõi này, các ủy ban kiểm toán cũng đã mở rộng danh mục của mình. Một số ủy ban kiểm toán đã mở rộng tên gọi, chẳng hạn thành “kiểm toán và tài chính”, để phản ánh rằng ủy ban thường giám sát cơ cấu vốn, tài trợ, kế hoạch lương hưu, tuân thủ và rủi ro. Trên thực tế, ủy ban kiểm toán thường – đặc biệt trong trường hợp không có ủy ban riêng dành cho những vấn đề này – đảm nhận trách nhiệm về rủi ro một cách rộng rãi, bao gồm rủi ro ESG, an ninh mạng, các lo ngại liên quan đến trí tuệ nhân tạo và các vấn đề địa chính trị tiềm ẩn.23</w:t>
      </w:r>
    </w:p>
    <w:p>
      <w:pPr>
        <w:spacing w:after="80"/>
      </w:pPr>
      <w:r>
        <w:rPr>
          <w:b w:val="0"/>
          <w:i w:val="0"/>
        </w:rPr>
        <w:t>Tôi đã từng tham gia 18 ủy ban kiểm toán và chủ trì 10 ủy ban, trong đó có hai ủy ban kiểm toán của các công ty thuộc Fortune 500. Người ta thường cho rằng ủy ban kiểm toán chiếm nhiều thời gian nhất so với bất kỳ ủy ban nào khác, và dữ liệu cũng xác nhận điều này: vào năm 2021, các ủy ban kiểm toán họp thường xuyên hơn các ủy ban khác, trung bình 8,4 lần mỗi năm so với 6,2 lần mỗi năm của ủy ban thù lao và 4,7 lần mỗi năm của ủy ban đề cử và quản trị, theo nghiên cứu của Spencer Stuart.24</w:t>
      </w:r>
    </w:p>
    <w:p>
      <w:pPr>
        <w:spacing w:after="80"/>
      </w:pPr>
      <w:r>
        <w:rPr>
          <w:b w:val="0"/>
          <w:i w:val="0"/>
        </w:rPr>
        <w:t>Các ủy ban kiểm toán nên luôn cảnh giác trong việc giám sát các kiểm soát, báo cáo tài chính và thông tin liên quan, cũng như các kiểm toán viên độc lập và nội bộ. Tuy nhiên, giờ đây, hơn hai thập kỷ sau Sarbanes-Oxley, những kỳ vọng chung đối với ủy ban kiểm toán đã khá rõ ràng và đơn giản. Điều này trái ngược với hai ủy ban tiếp theo, nơi hiện đang có nhiều thay đổi và mở rộng hơn về trách nhiệm của họ.</w:t>
      </w:r>
    </w:p>
    <w:p>
      <w:pPr>
        <w:pStyle w:val="Heading2"/>
      </w:pPr>
      <w:r>
        <w:rPr>
          <w:rFonts w:ascii="Calibri" w:hAnsi="Calibri"/>
          <w:b/>
          <w:i w:val="0"/>
          <w:sz w:val="32"/>
        </w:rPr>
        <w:t>Ủy ban Thù lao</w:t>
      </w:r>
    </w:p>
    <w:p>
      <w:pPr>
        <w:spacing w:after="80"/>
      </w:pPr>
      <w:r>
        <w:rPr>
          <w:b w:val="0"/>
          <w:i w:val="0"/>
        </w:rPr>
        <w:t>Nói một cách rộng nhất, ủy ban thù lao chịu trách nhiệm về thù lao của các giám đốc điều hành cấp cao hay còn gọi là cấp C (C-level) (vì nhiều giám đốc điều hành cấp cao thường có chức danh bắt đầu bằng "chief" như "chief" financial officer, "chief" human resources officer, v.v.) tại công ty. SEC, NYSE và NASDAQ đều yêu cầu phải có một ủy ban thù lao. Như đã đề cập, theo quy định của NYSE, ủy ban này phải bao gồm hoàn toàn các giám đốc độc lập, với các yêu cầu độc lập bổ sung cho ủy ban này ngoài các quy tắc cơ bản đã giải thích trước đó, bao gồm việc hội đồng quản trị nên "xem xét liệu [giám đốc] đó có nhận thù lao từ bất kỳ cá nhân hay tổ chức nào gây tổn hại đến khả năng đưa ra phán đoán độc lập của họ về thù lao điều hành của [công ty] hay không."25</w:t>
      </w:r>
    </w:p>
    <w:p>
      <w:pPr>
        <w:spacing w:after="80"/>
      </w:pPr>
      <w:r>
        <w:rPr>
          <w:b w:val="0"/>
          <w:i w:val="0"/>
        </w:rPr>
        <w:t>Các quy định của NASDAQ rất tương tự, ngoại trừ việc ủy ban được phép chỉ có hai giám đốc độc lập, và các CEO bị cấm tham dự các cuộc họp nơi thù lao của họ đang được thảo luận.26</w:t>
      </w:r>
    </w:p>
    <w:p>
      <w:pPr>
        <w:spacing w:after="80"/>
      </w:pPr>
      <w:r>
        <w:rPr>
          <w:b w:val="0"/>
          <w:i w:val="0"/>
        </w:rPr>
        <w:t>Bất kể quy định của sàn giao dịch chứng khoán là gì, việc thù lao của ban điều hành cấp cao được phê duyệt bởi các giám đốc độc lập là hoàn toàn phù hợp, và các nhà đầu tư đánh giá cao việc những giám đốc này không bị ràng buộc bởi bất kỳ giám đốc điều hành cấp cao nào.</w:t>
      </w:r>
    </w:p>
    <w:p>
      <w:pPr>
        <w:spacing w:after="80"/>
      </w:pPr>
      <w:r>
        <w:rPr>
          <w:b w:val="0"/>
          <w:i w:val="0"/>
        </w:rPr>
        <w:t>Ủy ban thù lao thường được giao nhiệm vụ xem xét và phê duyệt các mục tiêu liên quan đến thù lao của CEO, đánh giá hiệu suất của CEO dựa trên các mục tiêu này, xác định thù lao của CEO, và phê duyệt thù lao cho các giám đốc điều hành không phải CEO.27 Ngoài ra, ủy ban phải xem xét các rủi ro của các kế hoạch thù lao của công ty.28 Các giám đốc điều hành thường được định nghĩa là CEO; chủ tịch; giám đốc tài chính chính; giám đốc kế toán chính hoặc kiểm soát viên; bất kỳ phó chủ tịch nào phụ trách một đơn vị kinh doanh, bộ phận hoặc chức năng quan trọng; và bất kỳ ai thực hiện các chức năng hoạch định chính sách tương đương.29</w:t>
      </w:r>
    </w:p>
    <w:p>
      <w:pPr>
        <w:spacing w:after="80"/>
      </w:pPr>
      <w:r>
        <w:rPr>
          <w:b w:val="0"/>
          <w:i w:val="0"/>
        </w:rPr>
        <w:t>Khi xem xét thù lao cấp C, cần tập trung vào lương trả theo hiệu suất (incentive-based pay). Các gói thù lao có thể phức tạp đối với các giám đốc điều hành cấp cao tại nhiều công ty, không chỉ bao gồm lương tiền mặt hàng năm mà thường còn có thưởng tiền mặt hàng năm dựa trên hiệu suất và khoản cấp cổ phần dài hạn có thể được xác định theo nhiều cách khác nhau. Tiền thưởng và cổ phần được coi là thù lao "có rủi ro" (at risk) hay "khuyến khích" (incentive) vì chúng không chỉ dựa trên việc "đi làm đầy đủ" mà dựa trên hiệu suất của công ty. Ở các công ty đại chúng lớn hơn, không có gì lạ khi 90 phần trăm hoặc hơn thù lao của CEO là có rủi ro.</w:t>
      </w:r>
    </w:p>
    <w:p>
      <w:pPr>
        <w:spacing w:after="80"/>
      </w:pPr>
      <w:r>
        <w:rPr>
          <w:b w:val="0"/>
          <w:i w:val="0"/>
        </w:rPr>
        <w:t>Tất nhiên, ý kiến có thể khác nhau về việc thù lao dựa trên hiệu suất là gì và không là gì. Lấy ví dụ đơn giản về một CEO của một công ty đại chúng lớn, có tính thanh khoản cao với thành tích và bảng cân đối mạnh mẽ được các nhà phân tích cổ phần theo dõi kỹ lưỡng. Giả sử rằng lương và thưởng tiền mặt hàng năm của giám đốc điều hành này lần lượt là 10 phần trăm và 20 phần trăm tổng thù lao trong một năm nhất định. Giả sử thêm rằng khoản cấp cổ phần dài hạn của CEO, khi được trao, chiếm 70 phần trăm giá trị tổng thù lao của năm đó. Giả định cuối cùng là 50 phần trăm khoản cấp cổ phần được trao đều đặn trong ba năm—cổ phần theo thời gian (time-vested shares)—và 50 phần trăm được trao và thực hiện vào cuối ba năm dựa trên hiệu suất của công ty so với hiệu suất của một nhóm các công ty tương đương. Liệu toàn bộ tiền thưởng hàng năm và khoản cấp cổ phần có phải là dựa trên khuyến khích và do đó tất cả trừ lương (nghĩa là 90 phần trăm thù lao của năm) đều có rủi ro? Hay, vì cổ phần theo thời gian chắc chắn sẽ tăng hoặc giảm giá trị nhưng có khả năng vẫn rất có giá trị, liệu chúng có phải là 100 phần trăm thù lao khuyến khích không?</w:t>
      </w:r>
    </w:p>
    <w:p>
      <w:pPr>
        <w:spacing w:after="80"/>
      </w:pPr>
      <w:r>
        <w:rPr>
          <w:b w:val="0"/>
          <w:i w:val="0"/>
        </w:rPr>
        <w:t>Bước đầu tiên trong quá trình xác định thù lao là quyết định một nhóm công ty tương đương (peer set) cho mục đích trả lương. Đây thường là 12 đến 20 công ty có thể chắc chắn thuộc cùng hoặc ngành tương tự, nhưng quan trọng nhất là những công ty mà công ty sẽ tìm cách tuyển dụng giám đốc điều hành cấp cao và có doanh thu hàng năm từ 0,5 đến 1,5 lần doanh thu hàng năm của công ty. Quy mô có liên quan, vì nghiên cứu cho thấy thù lao điều hành tương quan với quy mô công ty.30</w:t>
      </w:r>
    </w:p>
    <w:p>
      <w:pPr>
        <w:spacing w:after="80"/>
      </w:pPr>
      <w:r>
        <w:rPr>
          <w:b w:val="0"/>
          <w:i w:val="0"/>
        </w:rPr>
        <w:t>Khi bạn đã xác định được nhóm công ty tương đương, bạn xem xét mức lương, tiền thưởng mục tiêu và khoản cấp cổ phần cho các giám đốc điều hành. Ủy ban thù lao thường xem xét giá trị trung bình và trung vị cũng như các tứ phân vị khác nhau cho nhóm tương đương. Phần lớn các ủy ban thường tìm cách trả cho giám đốc điều hành ở mức trung vị. Đôi khi, chẳng hạn với một CEO lần đầu, bạn có thể bắt đầu người đó ở mức, ví dụ, bách phân vị thứ 25 và kỳ vọng sẽ nâng họ lên khi hiệu suất xứng đáng. Đôi khi, nếu giám đốc điều hành có thành tích thành công lâu dài, bạn có thể quyết định thay vào đó trả ở mức có lẽ là bách phân vị thứ 75.</w:t>
      </w:r>
    </w:p>
    <w:p>
      <w:pPr>
        <w:spacing w:after="80"/>
      </w:pPr>
      <w:r>
        <w:rPr>
          <w:b w:val="0"/>
          <w:i w:val="0"/>
        </w:rPr>
        <w:t>Công thức thưởng hàng năm nên được thiết lập vào đầu năm. Các chỉ số như cho tiền thưởng hàng năm nên gắn với các mục tiêu của công ty, đôi khi với một hệ số điều chỉnh (ví dụ, tăng hoặc giảm khoảng 10 phần trăm cho hiệu suất an toàn). Các khoản một lần cũng có thể được cộng lại hoặc trừ đi. Một số công thức thưởng đơn giản và có thể chỉ dựa trên, chẳng hạn, EBITDA. Những công thức khác có thể có nhiều chỉ số bao gồm tăng trưởng doanh thu, biên lợi nhuận hoạt động, dòng tiền tự do, và nhiều hơn nữa. Tiền thưởng thường sẽ có một "ngưỡng khởi điểm" (cut-in) hay ngưỡng mà tại đó một phần tiền thưởng được trả, một mức mục tiêu nơi 100 phần trăm tiền thưởng dự kiến được trả, và một điểm tối đa nơi 150 phần trăm đến 200 phần trăm tiền thưởng mục tiêu được trả. Ngưỡng khởi điểm thường khoảng 80 phần trăm chỉ số của năm trước.</w:t>
      </w:r>
    </w:p>
    <w:p>
      <w:pPr>
        <w:spacing w:after="80"/>
      </w:pPr>
      <w:r>
        <w:rPr>
          <w:b w:val="0"/>
          <w:i w:val="0"/>
        </w:rPr>
        <w:t>Tuy nhiên, tôi thường miễn cưỡng trả tiền thưởng khi các chỉ số của năm thưởng không vượt qua kết quả của năm trước. Suy cho cùng, tiền thưởng không phải là lương; tiền thưởng chỉ nên được trả cho hiệu suất tốt. Và nếu các chỉ số thưởng giảm so với năm trước, các cổ đông, những người mà hội đồng quản trị và ban điều hành làm việc vì họ, có thể đã thấy cổ phiếu của mình giảm giá trị, khiến việc trao thù lao khuyến khích có thể trở nên khó xử. Tất nhiên, điều này phải được cân nhắc với hiệu suất của các giám đốc điều hành khác nhau, mong muốn giữ chân họ, và thù lao được trả cho các giám đốc điều hành ở các vai trò tương tự tại các công ty trong nhóm tương đương. Dữ liệu cung cấp bối cảnh quan trọng cho việc xác định kế hoạch thưởng, nhưng ủy ban thù lao cuối cùng phải quyết định phải làm gì.</w:t>
      </w:r>
    </w:p>
    <w:p>
      <w:pPr>
        <w:spacing w:after="80"/>
      </w:pPr>
      <w:r>
        <w:rPr>
          <w:b w:val="0"/>
          <w:i w:val="0"/>
        </w:rPr>
        <w:t>Cổ phần thường là thành phần lớn nhất trong cơ hội thù lao của các giám đốc điều hành cấp cao. Doug Benham là cựu CEO của Arby's và đã phục vụ trong hơn một chục hội đồng quản trị công ty. Ông hiện là người được ủy thác (về cơ bản là một giám đốc) của AMH, một quỹ tín thác đầu tư bất động sản là chủ sở hữu, nhà điều hành và nhà phát triển hàng đầu các ngôi nhà cho thuê một gia đình với khoảng 60.000 bất động sản, nơi ông là chủ tịch ủy ban vốn nhân lực và thù lao. "Tất cả là về cách bạn khuyến khích hiệu suất dài hạn của đội ngũ quản lý và gắn kết họ càng chặt chẽ càng tốt để tạo ra giá trị cho cổ đông," ông nói với tôi.</w:t>
      </w:r>
    </w:p>
    <w:p>
      <w:pPr>
        <w:spacing w:after="80"/>
      </w:pPr>
      <w:r>
        <w:rPr>
          <w:b w:val="0"/>
          <w:i w:val="0"/>
        </w:rPr>
        <w:t>Trong khi các chỉ số thưởng hàng năm như EBITDA của một năm nhất định nên thúc đẩy hiệu suất hàng năm, các chỉ số cho cổ phần như tổng lợi nhuận cổ đông (TSR), hay sự thay đổi giá cổ phiếu bao gồm bất kỳ cổ tức nào được trả và được giả định là tái đầu tư vào cổ phiếu, nên thúc đẩy giá trị cổ đông dài hạn.</w:t>
      </w:r>
    </w:p>
    <w:p>
      <w:pPr>
        <w:spacing w:after="80"/>
      </w:pPr>
      <w:r>
        <w:rPr>
          <w:b w:val="0"/>
          <w:i w:val="0"/>
        </w:rPr>
        <w:t>Cổ phần có thể có nhiều hình thức khác nhau, như cổ phiếu, quyền chọn cổ phiếu (stock options), quyền tăng giá cổ phiếu (SARs), cổ phiếu hạn chế (restricted stock), đơn vị cổ phiếu hạn chế (RSUs), và đơn vị cổ phiếu theo hiệu suất (PSUs). Thường được phát hành hàng năm, các khoản cấp có thể bao gồm một hoặc nhiều hình thức cổ phần. Chúng thường được trao một phần dựa trên thời gian và một phần dựa trên hiệu suất.</w:t>
      </w:r>
    </w:p>
    <w:p>
      <w:pPr>
        <w:spacing w:after="80"/>
      </w:pPr>
      <w:r>
        <w:rPr>
          <w:b w:val="0"/>
          <w:i w:val="0"/>
        </w:rPr>
        <w:t>Cổ phiếu (stock) tất nhiên chỉ đơn giản là phần cổ phần trong công ty mà nhân viên sở hữu ngay lập tức. Thành phần này không được dùng thường xuyên lắm. Quyền chọn cổ phiếu (stock options) mang lại cơ hội mua cổ phần của công ty với mức giá cố định hay giá thực hiện (strike price) thường bằng giá đóng cửa của công ty vào ngày cấp phép (grant date) trong một khoảng thời gian, thường là 10 năm. Quyền chọn cổ phiếu ngày nay ít được sử dụng rộng rãi hơn nhiều so với trước đây, một phần vì người ta cho rằng chúng khuyến khích việc chấp nhận rủi ro quá mức. Nếu giá cổ phiếu không vượt qua giá thực hiện vào thời điểm quyền chọn không còn được thực hiện nữa hoặc hết hạn, thì chúng chẳng có giá trị gì. Do đó, có thể có động cơ để hành động theo cách khiến giá cổ phiếu đạt đỉnh ngắn hạn, tại thời điểm đó quyền chọn có thể được thực hiện và cổ phiếu được bán ra, mà không để lại hậu quả lâu dài nào cho giám đốc điều hành nếu giá sau đó giảm xuống. Điều này tất nhiên có thể không phục vụ lợi ích lâu dài của công ty và các cổ đông.</w:t>
      </w:r>
    </w:p>
    <w:p>
      <w:pPr>
        <w:spacing w:after="80"/>
      </w:pPr>
      <w:r>
        <w:rPr>
          <w:b w:val="0"/>
          <w:i w:val="0"/>
        </w:rPr>
        <w:t>SAR (quyền tăng giá cổ phiếu) cho nhân viên quyền nhận tiền mặt hoặc cổ phiếu tương đương với phần tăng, nếu có, trong giá cổ phiếu của công ty trong một khoảng thời gian xác định. Cổ phiếu hạn chế (restricted stock) là cổ phiếu công ty mà người được cấp chưa sở hữu. Lưu ý rằng, điều quan trọng là, người nắm giữ ở đây chịu cùng những thăng trầm như các cổ đông, giúp gắn kết động cơ một cách chặt chẽ.</w:t>
      </w:r>
    </w:p>
    <w:p>
      <w:pPr>
        <w:spacing w:after="80"/>
      </w:pPr>
      <w:r>
        <w:rPr>
          <w:b w:val="0"/>
          <w:i w:val="0"/>
        </w:rPr>
        <w:t>RSU (đơn vị cổ phiếu hạn chế) là phiên bản tương đương SAR của cổ phiếu hạn chế, với người nắm giữ được quyền nhận giá trị—bằng tiền mặt hoặc cổ phiếu—của cổ phiếu công ty tại một thời điểm cụ thể. Các động cơ tương tự như của cổ phiếu hạn chế.</w:t>
      </w:r>
    </w:p>
    <w:p>
      <w:pPr>
        <w:spacing w:after="80"/>
      </w:pPr>
      <w:r>
        <w:rPr>
          <w:b w:val="0"/>
          <w:i w:val="0"/>
        </w:rPr>
        <w:t>PSU (đơn vị cổ phiếu theo hiệu suất) tương tự như RSU, chỉ khác là loại cổ phần này được trao quyền (vest) vào một ngày trong tương lai xác định, thường dựa trên so sánh với một chỉ số hoặc nhóm công ty cùng ngành, và chúng có thể đáng giá nhiều hơn, ít hơn, hoặc bằng đúng mức tại ngày trao quyền so với ngày cấp phép, tùy thuộc vào hiệu suất.</w:t>
      </w:r>
    </w:p>
    <w:p>
      <w:pPr>
        <w:spacing w:after="80"/>
      </w:pPr>
      <w:r>
        <w:rPr>
          <w:b w:val="0"/>
          <w:i w:val="0"/>
        </w:rPr>
        <w:t>PSU ngày càng được sử dụng nhiều. Benham đã giải thích quan điểm của ông với tôi: "Nghe có vẻ đơn giản, nhưng suy cho cùng thì đó là việc phân tích TSR (tổng lợi nhuận cổ đông) so với nhóm công ty cùng ngành của bạn. Điều quan trọng là vị trí của CEO so với nhóm cùng ngành, bởi vì bạn có thể có lợi nhuận cổ đông thấp hoặc thậm chí âm, nhưng nó có thể tuyệt vời so với mọi người khác."</w:t>
      </w:r>
    </w:p>
    <w:p>
      <w:pPr>
        <w:spacing w:after="80"/>
      </w:pPr>
      <w:r>
        <w:rPr>
          <w:b w:val="0"/>
          <w:i w:val="0"/>
        </w:rPr>
        <w:t>Cảm giác rằng lợi nhuận cổ đông âm vẫn nên mang lại phần thưởng cho CEO và các giám đốc điều hành cấp cao khác không phải là quan điểm phổ biến. Howard Ungerleider mới nghỉ hưu sau sự nghiệp tại Dow, cuối cùng là chủ tịch kiêm CFO cũng như thành viên ủy ban điều hành cấp cao của công ty. Ông hiện là cố vấn điều hành tại công ty cổ phần tư nhân Clayton, Dubilier &amp; Rice (CD&amp;R) và lập luận: "Nếu bạn đang tạo ra lợi nhuận âm, theo định nghĩa là bạn đang hủy hoại giá trị. Tại sao bạn lại xứng đáng nhận được gì?" Đôi khi, người nắm giữ PSU bị giới hạn chỉ được hưởng tối đa mức mục tiêu nếu TSR trong giai đoạn đo lường là âm.</w:t>
      </w:r>
    </w:p>
    <w:p>
      <w:pPr>
        <w:spacing w:after="80"/>
      </w:pPr>
      <w:r>
        <w:rPr>
          <w:b w:val="0"/>
          <w:i w:val="0"/>
        </w:rPr>
        <w:t>Các thành phần cổ phần trong thù lao giám đốc điều hành hiện nay thường là sự kết hợp của RSU và PSU. Trong một khảo sát năm 2021, Deloitte và Hiệp hội Chuyên gia Kế hoạch Cổ phiếu Quốc gia phát hiện rằng 86 phần trăm các công ty đại chúng Mỹ cấp RSU, so với chỉ 3 phần trăm vào năm 2000,31 và các khoản cấp quyền chọn đã giảm xuống chỉ còn 5 phần trăm.32 Đồng thời, lương khuyến khích đã trở thành một tỷ lệ ngày càng tăng trong tổng thù lao giám đốc điều hành, đặc biệt là đối với CEO. Theo Viện Chính sách Kinh tế, các thành phần liên quan đến cổ phiếu trong thù lao CEO chiếm 73 phần trăm thù lao CEO vào năm 2016 nhưng đã tăng lên 82 phần trăm vào năm 2021, và sự gia tăng đó giải thích gần 95 phần trăm mức tăng trưởng thù lao CEO trong khoảng thời gian đó.33</w:t>
      </w:r>
    </w:p>
    <w:p>
      <w:pPr>
        <w:spacing w:after="80"/>
      </w:pPr>
      <w:r>
        <w:rPr>
          <w:b w:val="0"/>
          <w:i w:val="0"/>
        </w:rPr>
        <w:t>Từ trước đến nay có một trường phái tư tưởng phổ biến cho rằng chỉ các giám đốc điều hành cấp cao—có thể là cấp C nhưng trong mọi trường hợp không thấp hơn cấp phó chủ tịch trong tổ chức—mới hiểu và đánh giá đúng thù lao cổ phiếu. Việc phân bổ cổ phần sâu đến mức nào trong đội ngũ nhân viên như một phần của chương trình thù lao là quyết định dựa trên văn hóa công ty và CEO—với ý kiến đóng góp, nếu không phải là sự phê duyệt, từ ủy ban thù lao.</w:t>
      </w:r>
    </w:p>
    <w:p>
      <w:pPr>
        <w:spacing w:after="80"/>
      </w:pPr>
      <w:r>
        <w:rPr>
          <w:b w:val="0"/>
          <w:i w:val="0"/>
        </w:rPr>
        <w:t>Trước đó, tôi đã đề cập đến việc bán United Airlines cho công đoàn phi công. Ngay sau thương vụ đó, hợp đồng của công đoàn phi công sắp hết hạn, và nền kinh tế đã suy yếu. Tôi nhớ rằng các phi công đã không nhận ra giá trị tiềm năng của cổ phần mà họ nắm giữ và đã thúc ép rất mạnh để tăng lương lớn, bất kể ảnh hưởng đến giá trị cổ đông—điều mà lẽ ra sẽ ảnh hưởng đến họ một cách đáng kể. Trong số những trải nghiệm khác, điều này khiến tôi nói chung ủng hộ việc giới hạn mức độ phân bổ quyền sở hữu sâu đến đâu trong một tổ chức.</w:t>
      </w:r>
    </w:p>
    <w:p>
      <w:pPr>
        <w:spacing w:after="80"/>
      </w:pPr>
      <w:r>
        <w:rPr>
          <w:b w:val="0"/>
          <w:i w:val="0"/>
        </w:rPr>
        <w:t>Pete Stavros là đối tác và đồng trưởng bộ phận cổ phần tư nhân toàn cầu tại KKR cũng như là người sáng lập và chủ tịch của Ownership Works, một tổ chức phi lợi nhuận tìm cách "thiết lập quyền sở hữu của nhân viên như tiêu chuẩn mới của doanh nghiệp và đầu tư có trách nhiệm với xã hội" và thông qua quyền sở hữu của nhân viên tạo ra những nơi làm việc tốt hơn với nhân viên gắn bó hơn và cuối cùng là kết quả tài chính tốt hơn.34 Công việc của ông đã khiến nhiều người, bao gồm cả tôi, suy nghĩ lại quan điểm rằng cổ phần nên được giới hạn cho tầng quản lý cao nhất. Mô hình của Stavros là tất cả nhân viên đều trở thành chủ sở hữu công ty.</w:t>
      </w:r>
    </w:p>
    <w:p>
      <w:pPr>
        <w:spacing w:after="80"/>
      </w:pPr>
      <w:r>
        <w:rPr>
          <w:b w:val="0"/>
          <w:i w:val="0"/>
        </w:rPr>
        <w:t>Thật là một thách thức để khiến các công ty triển khai điều này, Stavros thừa nhận: "Các CEO đã chìm ngập trong các ưu tiên, từ cải thiện lợi nhuận và phát triển kinh doanh, đến M&amp;A và tích hợp, đến các chủ đề DEI [đa dạng, công bằng và hòa nhập], phát triển bền vững và khử cacbon—và rất nhiều vấn đề khác nữa. Rồi chúng ta lại chất thêm lên trên ý tưởng biến mọi người thành chủ sở hữu, mà về mặt hành chính tự nó đã không dễ dàng gì và liên quan đến việc dạy nhân viên về kinh doanh, dạy hiểu biết tài chính, thúc đẩy sự gắn bó của nhân viên, và đo lường tất cả theo cách ghi nhận những kết quả rất thực tế . . . điều đó rất thách thức."</w:t>
      </w:r>
    </w:p>
    <w:p>
      <w:pPr>
        <w:spacing w:after="80"/>
      </w:pPr>
      <w:r>
        <w:rPr>
          <w:b w:val="0"/>
          <w:i w:val="0"/>
        </w:rPr>
        <w:t>Nhưng phần thưởng có thể rất đáng kể. "Nếu bạn làm đúng việc sở hữu trên diện rộng, những thứ khác sẽ trở nên dễ dàng hơn," Stavros tiếp tục. "[Việc thiếu quyền sở hữu của nhân viên] không chỉ có hại cho các công ty; nó có hại cho con người. Ngày nay, phần lớn lực lượng lao động đang nhảy từ việc này sang việc khác. Họ không xây dựng kỹ năng hay tài sản, và các công ty phải liên tục tuyển dụng lại và đào tạo lực lượng lao động của mình. Thay vào đó, chúng ta có thể thay đổi văn hóa."</w:t>
      </w:r>
    </w:p>
    <w:p>
      <w:pPr>
        <w:spacing w:after="80"/>
      </w:pPr>
      <w:r>
        <w:rPr>
          <w:b w:val="0"/>
          <w:i w:val="0"/>
        </w:rPr>
        <w:t>Thật vậy, vào tháng 5 năm 2024, Blackstone thông báo rằng họ sẽ cung cấp cổ phần cho hầu hết nhân viên tại các công ty trong danh mục đầu tư của mình ở Mỹ, lặp lại cách tiếp cận mà KKR đã cam kết cho các khoản đầu tư mới vào năm 2022. Các công ty cổ phần tư nhân lớn khác, bao gồm Apollo, Ares, Silver Lake và TPG, cũng đã cam kết chia sẻ quyền sở hữu cho ít nhất một số công ty mà họ đầu tư.35</w:t>
      </w:r>
    </w:p>
    <w:p>
      <w:pPr>
        <w:spacing w:after="80"/>
      </w:pPr>
      <w:r>
        <w:rPr>
          <w:b w:val="0"/>
          <w:i w:val="0"/>
        </w:rPr>
        <w:t>Trong tình huống của United Airlines, Stavros tin rằng đã có những sai lầm: "Cổ phiếu cho người lao động—nhưng tất nhiên không phải cho các CEO—luôn nên là một phúc lợi miễn phí và tăng thêm, không phải là sự đánh đổi cho tiền lương hay lương hưu hay 401K hay bất cứ thứ gì tương tự. Đây là cổ phần, là rủi ro, không có gì đảm bảo—nhưng nó không tốn kém gì cho bạn, và cách chúng tôi được đền đáp là khiến bạn gắn bó hơn."</w:t>
      </w:r>
    </w:p>
    <w:p>
      <w:pPr>
        <w:spacing w:after="80"/>
      </w:pPr>
      <w:r>
        <w:rPr>
          <w:b w:val="0"/>
          <w:i w:val="0"/>
        </w:rPr>
        <w:t>Đôi khi, một hoặc nhiều chỉ số phi tài chính có thể được sử dụng để giúp xác định tiền thưởng khuyến khích và/hoặc thành phần cổ phần hoặc để điều chỉnh một hoặc cả hai kế hoạch khuyến khích, chẳng hạn bằng cách tăng hoặc giảm chúng khoảng 10 phần trăm, có thể dựa trên hiệu suất an toàn hoặc ESG—hoặc có thể dựa trên việc đạt được (hay không) các mục tiêu chiến lược nhất định như tăng lượng đơn hàng tồn đọng hoặc bán một hoặc nhiều tài sản không cốt lõi.</w:t>
      </w:r>
    </w:p>
    <w:p>
      <w:pPr>
        <w:spacing w:after="80"/>
      </w:pPr>
      <w:r>
        <w:rPr>
          <w:b w:val="0"/>
          <w:i w:val="0"/>
        </w:rPr>
        <w:t>Vào đầu năm 2024, Boeing đã tăng tỷ lệ các chỉ số trong kế hoạch thưởng tập trung vào an toàn và chất lượng lên chiếm 60 phần trăm thù lao khuyến khích thay vì mức 25 phần trăm như trước đây.36 Các chỉ số bao gồm an toàn của nhân viên, công việc được thực hiện sai trình tự trên dây chuyền lắp ráp, và việc làm lại cần thiết.37</w:t>
      </w:r>
    </w:p>
    <w:p>
      <w:pPr>
        <w:spacing w:after="80"/>
      </w:pPr>
      <w:r>
        <w:rPr>
          <w:b w:val="0"/>
          <w:i w:val="0"/>
        </w:rPr>
        <w:t>Matt Turner là chủ tịch của Pearl Meyer Executive Compensation và có hơn 30 năm kinh nghiệm làm việc về lương thưởng cho ban lãnh đạo cấp cao. "Tôi nghĩ đây có thể là một phản ứng thái quá," ông nói với tôi. "Về sau, họ có thể sẽ thấy khó quay lại mức trọng số bình thường. Hiếm khi thấy yếu tố an toàn chiếm hơn 25 phần trăm, với mức phổ biến nhất là 15 đến 20 phần trăm ở những nơi sử dụng các loại ưu đãi này. Tôi đã từng thấy các cơ chế điều chỉnh trong đó các yếu tố kết quả tài chính bị giới hạn nếu yếu tố an toàn xuống dưới một ngưỡng nào đó hoặc nếu xảy ra một sự cố nghiêm trọng."</w:t>
      </w:r>
    </w:p>
    <w:p>
      <w:pPr>
        <w:spacing w:after="80"/>
      </w:pPr>
      <w:r>
        <w:rPr>
          <w:b w:val="0"/>
          <w:i w:val="0"/>
        </w:rPr>
        <w:t>Việc xác định một gói lương thưởng vừa mang tính khuyến khích vừa gia tăng giá trị không phải là việc mà ủy ban phải tự làm một mình. Theo quan điểm của tôi, ủy ban nên luôn tìm đến sự hỗ trợ của một chuyên gia tư vấn lương thưởng. Theo các quy định của NYSE và NASDAQ, có hướng dẫn cho phép sử dụng các chuyên gia tư vấn lương thưởng.38 SEC có yêu cầu công bố thông tin hàng năm đối với các chuyên gia tư vấn này, bao gồm danh tính của họ và phạm vi nhiệm vụ của họ, và theo Dodd-Frank, các công ty cũng phải công bố bất kỳ xung đột lợi ích nào liên quan đến chuyên gia tư vấn lương thưởng.39</w:t>
      </w:r>
    </w:p>
    <w:p>
      <w:pPr>
        <w:spacing w:after="80"/>
      </w:pPr>
      <w:r>
        <w:rPr>
          <w:b w:val="0"/>
          <w:i w:val="0"/>
        </w:rPr>
        <w:t>Tôi nhận thấy rằng một chuyên gia tư vấn lương thưởng giỏi có thể cung cấp dữ liệu tuyệt vời, một phần là dữ liệu tổng hợp và một phần là dữ liệu độc quyền, để giúp thiết lập các chỉ số hiệu quả, và cùng với các đồng nghiệp, họ sẽ tích cực làm việc với một số lượng đáng kể các công ty và do đó có thể đưa ra góc nhìn giàu kinh nghiệm về nhiều vấn đề khác nhau. "Chúng tôi coi mình là người giúp ủy ban tìm ra các giải pháp cho phép đội ngũ lãnh đạo thực thi một chiến lược kinh doanh cụ thể một cách tốt nhất," Turner nói với tôi. "Lương là điều kiện tối thiểu. Chúng tôi cho rằng việc đạt được sự cân bằng đúng đắn giữa các ưu đãi ngắn hạn và dài hạn cũng quan trọng không kém, để các giám đốc điều hành được thúc đẩy đạt kết quả hàng năm cũng như định vị công ty cho sự phát triển bền vững và lành mạnh lâu dài." Ông nói thêm, "Cuối cùng thì bạn vẫn phải trả lời trước các nhà đầu tư."</w:t>
      </w:r>
    </w:p>
    <w:p>
      <w:pPr>
        <w:spacing w:after="80"/>
      </w:pPr>
      <w:r>
        <w:rPr>
          <w:b w:val="0"/>
          <w:i w:val="0"/>
        </w:rPr>
        <w:t>David Wise là phó chủ tịch phụ trách lương thưởng tại Korn Ferry, làm việc với các đội ngũ lãnh đạo và ủy ban lương thưởng về những vấn đề này. "Đối với tôi, các ưu đãi ngắn hạn là sự cân bằng giữa kết quả hôm nay và việc xây dựng nền tảng cho ngày mai, tất cả trong khung thời gian một năm," ông nói với tôi. "Ưu đãi dài hạn về cơ bản là khác biệt, vì đó là phần mà cuối cùng phải gắn kết với các nhà đầu tư, nhà tài trợ và lợi ích của các bên liên quan quan trọng khác. Vậy nên ưu đãi ngắn hạn thiên về việc thực thi chiến lược. Ưu đãi dài hạn thiên về việc gắn kết với các kết quả dành cho nhà đầu tư."</w:t>
      </w:r>
    </w:p>
    <w:p>
      <w:pPr>
        <w:spacing w:after="80"/>
      </w:pPr>
      <w:r>
        <w:rPr>
          <w:b w:val="0"/>
          <w:i w:val="0"/>
        </w:rPr>
        <w:t>Dù làm theo cách nào, các giám đốc phải sử dụng phán đoán của mình và điều chỉnh chương trình lương thưởng để tối đa hóa kết quả ngắn hạn và dài hạn đúng như Turner và Wise nói, với giá trị cổ đông dài hạn là điều tối quan trọng. Ví dụ, tôi tham gia hội đồng quản trị và ủy ban lương thưởng của Chemtura, một công ty hóa chất chuyên dụng, khi công ty này thoát khỏi thủ tục phá sản theo Chương 11 và bắt đầu giao dịch trên NYSE vào năm 2010. Trong số những việc khác, chúng tôi muốn khuyến khích ban lãnh đạo bán các mảng kinh doanh chất lượng thấp hơn nếu điều đó làm tăng giá trị cổ đông. Theo thời gian, một số mảng kinh doanh kém hấp dẫn hơn đã được bán đi, biên lợi nhuận tăng lên, và Chemtura trở thành một công ty tập trung hơn. Ủy ban lương thưởng và hội đồng quản trị đã không thêm các công ty nhỏ hơn vào nhóm so sánh của chúng tôi và loại bỏ các công ty lớn hơn khi các mảng kinh doanh được bán đi và doanh thu hàng năm giảm xuống. Năm 2017, Chemtura được bán cho một bên mua chiến lược, Lanxess, với giá 2,7 tỷ đô la. Tôi tin rằng cách tiếp cận của chúng tôi đối với lương thưởng đã hiệu quả, quan trọng là vì từ khi công ty thoát khỏi phá sản cho đến khi được bán, doanh thu hàng năm của công ty đã giảm từ khoảng 2,4 tỷ đô la xuống còn 1,7 tỷ đô la, nhưng giá cổ phiếu đã tăng khoảng gấp đôi.40</w:t>
      </w:r>
    </w:p>
    <w:p>
      <w:pPr>
        <w:spacing w:after="80"/>
      </w:pPr>
      <w:r>
        <w:rPr>
          <w:b w:val="0"/>
          <w:i w:val="0"/>
        </w:rPr>
        <w:t>SEC yêu cầu phải có phần thảo luận và phân tích về lương thưởng trong bản tuyên bố ủy quyền hàng năm, giải thích lý do đằng sau tất cả các yếu tố trọng yếu của lương thưởng cho giám đốc điều hành.41 Giả sử các giám đốc tuân theo một quy trình hợp lý, họ thường được bảo vệ khỏi mọi trách nhiệm pháp lý từ các quyết định về lương thưởng.</w:t>
      </w:r>
    </w:p>
    <w:p>
      <w:pPr>
        <w:spacing w:after="80"/>
      </w:pPr>
      <w:r>
        <w:rPr>
          <w:b w:val="0"/>
          <w:i w:val="0"/>
        </w:rPr>
        <w:t xml:space="preserve">Điều này không có nghĩa là có, hoặc nên có, sự tự do không giới hạn trong các lựa chọn lương thưởng. Vụ án năm 2006 tại Delaware </w:t>
      </w:r>
      <w:r>
        <w:rPr>
          <w:b w:val="0"/>
          <w:i/>
        </w:rPr>
        <w:t>In re Walt Disney Derivative Litigation</w:t>
      </w:r>
      <w:r>
        <w:rPr>
          <w:b w:val="0"/>
          <w:i w:val="0"/>
        </w:rPr>
        <w:t xml:space="preserve"> liên quan đến việc liệu hội đồng quản trị Disney có vi phạm nghĩa vụ của mình khi trao cho cựu chủ tịch Michael Ovitz một gói trợ cấp thôi việc trị giá 130 triệu đô la hay không. Tòa án đã phân biệt giữa "các thông lệ tốt nhất" và ngưỡng cho việc thực thi sự cẩn trọng cần thiết.42</w:t>
      </w:r>
    </w:p>
    <w:p>
      <w:pPr>
        <w:spacing w:after="80"/>
      </w:pPr>
      <w:r>
        <w:rPr>
          <w:b w:val="0"/>
          <w:i w:val="0"/>
        </w:rPr>
        <w:t>Trong một kịch bản "tốt nhất", tòa án phán quyết rằng chuyên gia tư vấn lương thưởng lẽ ra phải cung cấp cho các thành viên ủy ban thông tin về khoản lương thưởng mà Ovitz sẽ nhận được trong nhiều tình huống tiềm năng khác nhau. Điều này lẽ ra phải tạo cơ sở cho các cuộc thảo luận của họ. Thay vào đó, họ chỉ nhận được một bản tóm tắt điều khoản với ít chi tiết hơn nhiều—nhưng việc họ dựa vào chuyên gia tư vấn và được thông tin một cách hợp lý về độ lớn của khoản tiền tiềm năng đã được phán quyết là đủ để bảo vệ họ. Không có hành vi bất thiện nào bị phát hiện, và do đó quy tắc phán đoán kinh doanh đã được áp dụng.43 Tôi tự hỏi liệu ngày nay, khi lương thưởng của giám đốc và lãnh đạo cấp cao đang bị soi xét nhiều hơn một cách đúng đắn, tòa án có đưa ra cùng một phán quyết hay không. Tôi nghi ngờ điều đó.</w:t>
      </w:r>
    </w:p>
    <w:p>
      <w:pPr>
        <w:spacing w:after="80"/>
      </w:pPr>
      <w:r>
        <w:rPr>
          <w:b w:val="0"/>
          <w:i w:val="0"/>
        </w:rPr>
        <w:t>Tất nhiên, các hội đồng quản trị nên cố gắng đáp ứng các thông lệ tốt nhất chứ không chỉ làm mức tối thiểu để tránh trách nhiệm pháp lý. Thẩm phán William Chandler của Tòa án Chancery Delaware, dù đã phát hiện rằng hội đồng quản trị đã tuân thủ nghĩa vụ của mình, vẫn chỉ trích quy trình của họ:</w:t>
      </w:r>
    </w:p>
    <w:p>
      <w:pPr>
        <w:spacing w:after="80"/>
      </w:pPr>
      <w:r>
        <w:rPr>
          <w:b w:val="0"/>
          <w:i w:val="0"/>
        </w:rPr>
        <w:t>Hành động của [chủ tịch và CEO của Disney, Michael] Eisner liên quan đến việc tuyển dụng Ovitz không nên trở thành hình mẫu để các giám đốc điều hành và người có nghĩa vụ ủy thác noi theo. . . . Ông ấy đã mắc nhiều sai sót. Ông ấy đã không giữ cho hội đồng quản trị được thông tin đầy đủ như lẽ ra phải làm. Ông ấy đã vượt qua ranh giới ngoài cùng của thẩm quyền với tư cách CEO bằng cách hành động mà không có sự chỉ đạo hoặc tham gia cụ thể của hội đồng quản trị. Ông ấy đã sớm phát hành một thông cáo báo chí gây áp lực đáng kể lên hội đồng quản trị buộc phải chấp nhận Ovitz và phê duyệt gói lương thưởng của ông ấy theo đúng thông cáo báo chí đó. Theo tôi, những hành động này còn xa mới đáp ứng được những gì mà các cổ đông mong đợi và yêu cầu ở những người được giao phó vị trí ủy thác. Việc Eisner không lôi kéo hội đồng quản trị tham gia tốt hơn vào quá trình tuyển dụng Ovitz, mà chiếm đoạt vai trò đó cho bản thân, dù không vi phạm pháp luật, cũng không phù hợp với cách mà những người có nghĩa vụ ủy thác của các công ty Delaware được kỳ vọng hành xử.44</w:t>
      </w:r>
    </w:p>
    <w:p>
      <w:pPr>
        <w:spacing w:after="80"/>
      </w:pPr>
      <w:r>
        <w:rPr>
          <w:b w:val="0"/>
          <w:i w:val="0"/>
        </w:rPr>
        <w:t>Về phía Eisner, trọng tâm là kết quả, không phải những lời bình luận. Luật sư của Eisner, Gary Naftalis, nói rằng thân chủ của ông hài lòng: "Chúng tôi luôn tin rằng không có cơ sở cho vụ kiện này."45</w:t>
      </w:r>
    </w:p>
    <w:p>
      <w:pPr>
        <w:spacing w:after="80"/>
      </w:pPr>
      <w:r>
        <w:rPr>
          <w:b w:val="0"/>
          <w:i w:val="0"/>
        </w:rPr>
        <w:t>Tuy nhiên, Chandler cảm thấy rằng những lời của ông đã có tác động. Nhìn lại sự nghiệp của mình khi nghỉ hưu vào năm 2011, Chandler nói: "Vụ kiện phái sinh Walt Disney có lẽ sẽ được các chuyên gia luật doanh nghiệp ghi nhớ là vụ án có tác động lớn nhất đến quản trị phòng họp hội đồng quản trị. Vụ án đó đã thiết lập các tiêu chuẩn khắt khe hơn và kỳ vọng cao hơn đối với các ủy ban lương thưởng doanh nghiệp, cũng như đối với các chuyên gia tư vấn lương thưởng được hội đồng quản trị thuê."46</w:t>
      </w:r>
    </w:p>
    <w:p>
      <w:pPr>
        <w:spacing w:after="80"/>
      </w:pPr>
      <w:r>
        <w:rPr>
          <w:b w:val="0"/>
          <w:i w:val="0"/>
        </w:rPr>
        <w:t>Những vấn đề này tiếp tục gây chú ý trên báo chí. Vào tháng 1 năm 2024, Thẩm phán Kathaleen McCormick của Tòa án Chancery Delaware đã bác bỏ gói lương thưởng trị giá 55 tỷ đô la của Elon Musk cho vị trí CEO của Tesla.47 Các cổ đông đã kiện, cho rằng có xung đột lợi ích của các giám đốc, thiếu tính hợp lý và cơ sở lý giải, và công bố thông tin không đầy đủ.48 Thẩm phán phát hiện rằng nhiều giám đốc không thực sự độc lập với Musk, và do đó quyết định cần được đánh giá theo tiêu chuẩn công bằng toàn diện (entire fairness) khắt khe hơn, nơi cả quá trình ra quyết định lẫn việc định giá đều phải công bằng, thay vì quy tắc phán đoán kinh doanh nơi tòa án thường tôn trọng phán đoán được thông tin đầy đủ của ban lãnh đạo. Theo phân tích như vậy, tòa án phát hiện rằng khoản lương thưởng được trao đã không đạt yêu cầu và nên bị hủy bỏ.49</w:t>
      </w:r>
    </w:p>
    <w:p>
      <w:pPr>
        <w:spacing w:after="80"/>
      </w:pPr>
      <w:r>
        <w:rPr>
          <w:b w:val="0"/>
          <w:i w:val="0"/>
        </w:rPr>
        <w:t>Vào tháng 6 năm 2024, chỉ vài tháng sau phán quyết của tòa án, đã có một cuộc bỏ phiếu của cổ đông về vấn đề này, và 72 phần trăm số cổ phần có quyền biểu quyết—bao gồm các tổ chức lớn như Vanguard—thực tế đã bỏ phiếu ủng hộ việc khôi phục gói lương thưởng ban đầu của Musk, vào thời điểm đó được định giá 47 tỷ đô la do giá cổ phiếu Tesla giảm.50 Phản ứng của Musk trước những chỉ trích là trấn an các cổ đông, nhấn mạnh rằng ông không thể bán bất kỳ cổ phiếu nào trong năm năm. "Đây thực sự không phải là tiền mặt, và tôi không thể bỏ chạy, cũng không muốn làm vậy," ông nói tại cuộc họp thường niên của Tesla.51</w:t>
      </w:r>
    </w:p>
    <w:p>
      <w:pPr>
        <w:spacing w:after="80"/>
      </w:pPr>
      <w:r>
        <w:rPr>
          <w:b w:val="0"/>
          <w:i w:val="0"/>
        </w:rPr>
        <w:t>Tuy nhiên, vào tháng 12 năm 2024, thẩm phán đã giữ nguyên phán quyết trước đó của mình.52 Do đó, Musk không thể được trả thù lao theo kế hoạch này. Trong số các lựa chọn khác, một kế hoạch mới có thể được đưa ra, và phán quyết có thể được kháng cáo lên Tòa án Tối cao Delaware. Vẫn còn phải xem điều gì sẽ xảy ra tiếp theo.</w:t>
      </w:r>
    </w:p>
    <w:p>
      <w:pPr>
        <w:spacing w:after="80"/>
      </w:pPr>
      <w:r>
        <w:rPr>
          <w:b w:val="0"/>
          <w:i w:val="0"/>
        </w:rPr>
        <w:t>Một yếu tố quan trọng khác trong lương thưởng cho giám đốc điều hành của công ty đại chúng là một cuộc bỏ phiếu, được gọi là Say-on-Pay, được đưa ra trong luật Dodd-Frank. Điều này yêu cầu các công ty niêm yết đại chúng phải cho cổ đông của mình cơ hội bỏ phiếu về lương thưởng cho giám đốc điều hành ít nhất một lần mỗi ba năm, mặc dù cuộc bỏ phiếu này không mang tính ràng buộc.53 Dù ý tưởng rằng cổ đông nên có tiếng nói về lương thưởng cho giám đốc điều hành là hợp lý, trên thực tế không rõ liệu Say-on-Pay có tác động nhiều đến lương thưởng cho giám đốc điều hành hay không.</w:t>
      </w:r>
    </w:p>
    <w:p>
      <w:pPr>
        <w:spacing w:after="80"/>
      </w:pPr>
      <w:r>
        <w:rPr>
          <w:b w:val="0"/>
          <w:i w:val="0"/>
        </w:rPr>
        <w:t>Cuộc khủng hoảng tài chính 2007–9 ban đầu khiến Say-on-Pay trở thành một lựa chọn hấp dẫn trên chính trường, nhưng thực tế là chỉ có khoảng 2 phần trăm số phiếu bị từ chối,54 và trong những trường hợp phiếu thấp, không rõ liệu vấn đề nằm ở thù lao điều hành hay đơn thuần là dấu hiệu của kết quả giá cổ phiếu đáng thất vọng. Trong bài viết năm 2018 của mình, các Giáo sư Jill E. Fisch, Darius Palia và Steven Davidoff Solomon viết: “Mặc dù cổ đông tại một vài tổ chức phát hành đã bác bỏ các kế hoạch thù lao, cổ đông tại phần lớn áp đảo các tổ chức phát hành vẫn bỏ phiếu thông qua thù lao điều hành, và tỷ lệ phần trăm phiếu thuận trung bình vượt quá 90%. Mối liên hệ giữa say on pay và thù lao của Giám đốc điều hành (CEO) là không rõ ràng.”55</w:t>
      </w:r>
    </w:p>
    <w:p>
      <w:pPr>
        <w:spacing w:after="80"/>
      </w:pPr>
      <w:r>
        <w:rPr>
          <w:b w:val="0"/>
          <w:i w:val="0"/>
        </w:rPr>
        <w:t>“Cổ đông dường như rất quan tâm đến hiệu suất,” các tác giả tiếp tục, “và ở một mức độ nào đó, họ đang dùng say on pay để trừng phạt các giám đốc điều hành vì hiệu suất kém chứ không phải vì thù lao quá cao. Kết quả là, lá phiếu say on pay có thể phản tác dụng ở chỗ nó làm tăng động cơ của giám đốc điều hành để tập trung vào giá cổ phiếu ngắn hạn với cái giá tiềm tàng là không nỗ lực nâng cao giá trị công ty.”56</w:t>
      </w:r>
    </w:p>
    <w:p>
      <w:pPr>
        <w:spacing w:after="80"/>
      </w:pPr>
      <w:r>
        <w:rPr>
          <w:b w:val="0"/>
          <w:i w:val="0"/>
        </w:rPr>
        <w:t>Đã có một số thất bại Say-on-Pay được chú ý nhiều. Ví dụ, vào năm 2023, cổ đông của Netflix đã bỏ phiếu không thông qua Say-on-Pay năm thứ hai liên tiếp.57 Sau lá phiếu thất bại năm 2022, công ty đã chuyển phần lớn thù lao điều hành sang cổ phiếu và thưởng theo hiệu suất, nhưng lá phiếu năm 2023 vẫn tiêu cực.58 Thật vậy, phần lớn các công ty có cổ đông bỏ phiếu tiêu cực đều thực hiện những thay đổi tương tự, chuyển nhiều thù lao điều hành hơn sang cổ phiếu hoặc thù lao biến đổi.59</w:t>
      </w:r>
    </w:p>
    <w:p>
      <w:pPr>
        <w:spacing w:after="80"/>
      </w:pPr>
      <w:r>
        <w:rPr>
          <w:b w:val="0"/>
          <w:i w:val="0"/>
        </w:rPr>
        <w:t>Dữ liệu ủng hộ quan điểm rằng các lá phiếu thất bại thực sự thay đổi thực tiễn thù lao. Do đó, Say-on-Pay đang có một số tác động.60 Nhưng xét đến việc có quá ít công ty có phiếu thấp hoặc thất bại, Say-on-Pay dường như không tạo ra nhiều ảnh hưởng đến thù lao điều hành một cách rộng rãi hơn.</w:t>
      </w:r>
    </w:p>
    <w:p>
      <w:pPr>
        <w:spacing w:after="80"/>
      </w:pPr>
      <w:r>
        <w:rPr>
          <w:b w:val="0"/>
          <w:i w:val="0"/>
        </w:rPr>
        <w:t>Turner tin rằng Say-on-Pay đã có một số tác động tích cực: “Tôi nghĩ đã có sự cải thiện trong mối quan hệ giữa cách các giám đốc điều hành cấp cao ở Mỹ được trả lương và giá trị được tạo ra cho cổ đông, và chắc chắn là có nhiều trách nhiệm giải trình hơn đối với các mục tiêu được đặt ra. Say-on-Pay buộc các thành viên hội đồng quản trị phải chủ động lắng nghe những gì cổ đông đang nói. Nếu có mặt trái, ngoài thời gian và sự chú ý bổ sung mà các công ty cần dành cho việc công bố thông tin và các yêu cầu pháp lý, có lẽ điều này có thể phần nào kìm hãm sự sáng tạo.”</w:t>
      </w:r>
    </w:p>
    <w:p>
      <w:pPr>
        <w:spacing w:after="80"/>
      </w:pPr>
      <w:r>
        <w:rPr>
          <w:b w:val="0"/>
          <w:i w:val="0"/>
        </w:rPr>
        <w:t>Wise có phần hoài nghi hơn: “Con người lạc quan trong tôi nói rằng Say-on-Pay đã giúp soi rọi ánh sáng vào thực tiễn trả lương của các công ty niêm yết và vào những tín hiệu ẩn chứa trong một chương trình thù lao điều hành. Con người bi quan trong tôi nói rằng nó đã trở thành một mục đích tự thân là không được thất bại trong lá phiếu Say-on-Pay của mình, và điều đó đã chuyển trọng tâm từ một chương trình thù lao có thể phù hợp với doanh nghiệp sang một chương trình thù lao mà các nhà đầu tư tổ chức thấy không có vấn đề gì. Nhưng bạn phải có đủ sự kiên cường để đôi khi đi ngược lại thực tiễn thị trường.”</w:t>
      </w:r>
    </w:p>
    <w:p>
      <w:pPr>
        <w:spacing w:after="80"/>
      </w:pPr>
      <w:r>
        <w:rPr>
          <w:b w:val="0"/>
          <w:i w:val="0"/>
        </w:rPr>
        <w:t>Cần lưu ý rằng năm 2023 chứng kiến thù lao của CEO Apple Tim Cook giảm 40 phần trăm, với lý do “phản hồi cân bằng từ cổ đông,” một ví dụ cho thấy Say-on-Pay có lẽ đã có tác động cụ thể.61</w:t>
      </w:r>
    </w:p>
    <w:p>
      <w:pPr>
        <w:spacing w:after="80"/>
      </w:pPr>
      <w:r>
        <w:rPr>
          <w:b w:val="0"/>
          <w:i w:val="0"/>
        </w:rPr>
        <w:t>Một rào chắn dự kiến khác đối với thù lao CEO là yêu cầu bổ sung của Dodd-Frank rằng các công ty phải công bố tỷ lệ thù lao của CEO so với thù lao trung vị của tất cả nhân viên trong công ty.62 Việc tính toán này rất phức tạp, và rất khó để so sánh tỷ lệ này một cách công bằng giữa nhiều ngành khác nhau.</w:t>
      </w:r>
    </w:p>
    <w:p>
      <w:pPr>
        <w:spacing w:after="80"/>
      </w:pPr>
      <w:r>
        <w:rPr>
          <w:b w:val="0"/>
          <w:i w:val="0"/>
        </w:rPr>
        <w:t>Tôi tin rằng tỷ lệ thù lao CEO phần lớn là kết quả của chính trị chứ không phải sự suy xét thấu đáo về thù lao điều hành. Chúng ta có thể xem một ví dụ: lấy hai CEO—A và B—cả hai đều là những người có hiệu suất hàng đầu và nhận tổng thù lao rất giống nhau. Giả sử CEO A điều hành một công ty sản xuất nơi phần lớn áp đảo nhân viên ở các quốc gia có chi phí thấp, trong khi CEO B lãnh đạo một công ty công nghệ với chủ yếu là lao động có tay nghề cao, đặt tại Mỹ. Lực lượng lao động và do đó các tỷ lệ của hai công ty này không thể so sánh được—vậy mà các công bố bắt buộc sẽ cho thấy tỷ lệ thù lao của CEO A cao hơn nhiều so với CEO B, khiến có vẻ như có nhiều bất bình đẳng thù lao hơn ở Công ty A so với Công ty B.</w:t>
      </w:r>
    </w:p>
    <w:p>
      <w:pPr>
        <w:spacing w:after="80"/>
      </w:pPr>
      <w:r>
        <w:rPr>
          <w:b w:val="0"/>
          <w:i w:val="0"/>
        </w:rPr>
        <w:t>Một số người sẽ lập luận rằng bạn có thể so sánh tỷ lệ thù lao CEO của các nhà lãnh đạo trong các ngành tương tự, nhưng rất khó tìm được sự tương đồng thực sự mạnh mẽ giữa các lực lượng lao động. Và sự khác biệt giữa “tốt” và “xấu” không phải lúc nào cũng rõ ràng. Liệu tỷ lệ 50:1 có tốt khi các đối thủ ở mức 300:1? Hay cả hai tỷ lệ đều cao? Khoảng tỷ lệ thù lao mong muốn là gì?</w:t>
      </w:r>
    </w:p>
    <w:p>
      <w:pPr>
        <w:spacing w:after="80"/>
      </w:pPr>
      <w:r>
        <w:rPr>
          <w:b w:val="0"/>
          <w:i w:val="0"/>
        </w:rPr>
        <w:t>Cũng đúng là tác động của một CEO hàng đầu và các giám đốc điều hành khác có thể rất đáng kể, và ngay cả ở mức thù lao cao nhất, thù lao, dù có thể gây choáng váng về mặt con số danh nghĩa, có thể chỉ là một phần rất nhỏ của giá trị được tạo ra nếu các kế hoạch thù lao được xây dựng tốt.</w:t>
      </w:r>
    </w:p>
    <w:p>
      <w:pPr>
        <w:spacing w:after="80"/>
      </w:pPr>
      <w:r>
        <w:rPr>
          <w:b w:val="0"/>
          <w:i w:val="0"/>
        </w:rPr>
        <w:t>Dù thế nào đi nữa, thù lao CEO đã tăng vọt theo thời gian, cũng như tỷ lệ thù lao CEO, leo từ 21:1 năm 1965, lên 61:1 năm 1989, lên 307:1 năm 2019, lên 351:1 năm 2020.63</w:t>
      </w:r>
    </w:p>
    <w:p>
      <w:pPr>
        <w:spacing w:after="80"/>
      </w:pPr>
      <w:r>
        <w:rPr>
          <w:b w:val="0"/>
          <w:i w:val="0"/>
        </w:rPr>
        <w:t>Ngày càng nhiều, các ủy ban thù lao đang mở rộng danh mục trách nhiệm của mình và thậm chí thay đổi tên gọi. Tính đến năm 2022, 84 phần trăm các ủy ban thù lao của các công ty trong S&amp;P 500 đã bổ sung ít nhất một trách nhiệm phi truyền thống vào điều lệ của mình, và 49 phần trăm đã thay đổi tên.64 Các tên ủy ban như “ủy ban phát triển và thù lao” hay “ủy ban vốn nhân lực/nhân tài và thù lao” phản ánh những nhiệm vụ bổ sung này, có thể bao gồm các nhiệm vụ như hoạch định kế nhiệm, công bằng thù lao (trả lương bình đẳng cho các vai trò tương tự bất kể xuất thân), đào tạo và phát triển, DEI, gắn kết nhân viên, và văn hóa và đạo đức doanh nghiệp.65</w:t>
      </w:r>
    </w:p>
    <w:p>
      <w:pPr>
        <w:spacing w:after="80"/>
      </w:pPr>
      <w:r>
        <w:rPr>
          <w:b w:val="0"/>
          <w:i w:val="0"/>
        </w:rPr>
        <w:t>Quản lý vốn nhân lực, chứ không chỉ thù lao, là một lĩnh vực cực kỳ quan trọng mà các hội đồng quản trị nên tập trung vào. Như Đô đốc Mullen đã nói với tôi, khi nói về thời gian phục vụ trong quân đội và kinh nghiệm trong thế giới doanh nghiệp: “Tôi thành công nhờ con người. Tôi cảm thấy rất mạnh mẽ rằng nhà lãnh đạo nhân sự tại một công ty cần phải có mặt tại bàn, có tầm ảnh hưởng như CEO.” Hiểu cách phát triển sự kết hợp hiệu quả nhất của con người để thúc đẩy thành công luôn là một thách thức, và nó vượt ra ngoài thù lao.</w:t>
      </w:r>
    </w:p>
    <w:p>
      <w:pPr>
        <w:spacing w:after="80"/>
      </w:pPr>
      <w:r>
        <w:rPr>
          <w:b w:val="0"/>
          <w:i w:val="0"/>
        </w:rPr>
        <w:t>Mối quan tâm rộng hơn này ngày càng được phản ánh trong các điều lệ ủy ban. Một vai trò đôi khi bị bỏ qua của các thành viên hội đồng quản trị là làm thế nào để giúp phát triển các giám đốc điều hành của công ty. Nhưng không chỉ các giám đốc điều hành cấp cao. Ví dụ, điều lệ của ủy ban thù lao và vốn nhân lực của Levi Strauss liệt kê trách nhiệm sau: “Xem xét hàng năm việc phát triển, triển khai và hiệu quả của các chính sách và chiến lược của Công ty liên quan đến chức năng quản lý vốn nhân lực của mình, bao gồm nhưng không giới hạn ở các chính sách và chiến lược liên quan đến văn hóa, tuyển dụng, giữ chân, phát triển và thăng tiến nghề nghiệp, hoạch định nhân tài, và đa dạng và hòa nhập. Ủy ban sẽ xem xét định kỳ các báo cáo về thù lao, lực lượng lao động và các chương trình quản lý và đào tạo nơi làm việc của Công ty khi họ có thể yêu cầu theo từng thời điểm.”66</w:t>
      </w:r>
    </w:p>
    <w:p>
      <w:pPr>
        <w:spacing w:after="80"/>
      </w:pPr>
      <w:r>
        <w:rPr>
          <w:b w:val="0"/>
          <w:i w:val="0"/>
        </w:rPr>
        <w:t>Đây là điển hình cho hướng mà các ủy ban thù lao đang hướng tới. Trong bài viết “Vai trò mở rộng của Ủy ban Thù lao,” Ani Huang và Richard R. Floersch của Hiệp hội Chính sách Nhân sự viết về một “cơn bão hoàn hảo” gồm các yếu tố thúc đẩy vai trò mở rộng này của ủy ban thù lao: sự tập trung ngày càng tăng vào nhân tài của các nhà đầu tư tổ chức, các công ty được kỳ vọng giải quyết các vấn đề xã hội mà trước đây để cho chính phủ, áp lực pháp lý từ SEC liên quan đến công bố thông tin vốn nhân lực, và phong trào công bằng xã hội đẩy DEI lên hàng đầu.67</w:t>
      </w:r>
    </w:p>
    <w:p>
      <w:pPr>
        <w:spacing w:after="80"/>
      </w:pPr>
      <w:r>
        <w:rPr>
          <w:b w:val="0"/>
          <w:i w:val="0"/>
        </w:rPr>
        <w:t>Wise đồng tình: “Nhiệm vụ của ủy ban đền bù thực sự đã mở rộng để trở thành ủy ban vốn nhân lực (human capital committee), với đền bù là một phần trong giá trị mà một con người cần có để thành công, hạnh phúc và hài lòng trong công việc.” Wise chỉ ra cách các chỉ số đền bù đã mở rộng—bao gồm những yếu tố như các ưu đãi an toàn được nhiều công ty thêm vào, trong đó có Boeing, và các chỉ số về khí hậu—như bằng chứng cho thấy cách suy nghĩ về những vấn đề này đã phát triển:</w:t>
      </w:r>
    </w:p>
    <w:p>
      <w:pPr>
        <w:spacing w:after="80"/>
      </w:pPr>
      <w:r>
        <w:rPr>
          <w:b w:val="0"/>
          <w:i w:val="0"/>
        </w:rPr>
        <w:t>Năm năm trước, bạn không thấy những chỉ số này trong các chương trình đền bù. Trong vài năm gần đây, bạn thấy sự hiện diện của chúng tăng vọt trong thiết kế các chương trình trả lương của công ty đại chúng. Trong nhiều trường hợp, điều đó được làm để đánh bóng hình ảnh (virtue signaling): đây là thời điểm mà các công ty muốn thể hiện cam kết của mình với nó, muốn đạt được tiến bộ về nó, và do đó giống như nhiều sáng kiến quan trọng, họ đưa nó vào ưu đãi trong một khoảng thời gian. Và rồi phỏng đoán của tôi là một số công ty sẽ chuyển sang những ưu tiên khác vì họ đã đạt được nhiều thành tựu và nó đã trở thành thường lệ, hoặc vì những thứ khác trở nên nổi bật và quan trọng hơn. Vẻ đẹp của các chương trình ưu đãi là nếu chúng ta gọi tên nó, đo lường nó và đặt ra mục tiêu xung quanh nó, thì nó có thể sẽ được hoàn thành vì đó là cách con người được lập trình.</w:t>
      </w:r>
    </w:p>
    <w:p>
      <w:pPr>
        <w:spacing w:after="80"/>
      </w:pPr>
      <w:r>
        <w:rPr>
          <w:b w:val="0"/>
          <w:i w:val="0"/>
        </w:rPr>
        <w:t>Tóm lại, Wise đã chia sẻ với tôi điều ông cảm thấy là những chìa khóa cho một ủy ban đền bù thành công: “Thứ nhất, hiểu biết nền tảng về cách công ty kiếm tiền và sự trân trọng vai trò của con người cũng như cách họ được thưởng trong việc tạo điều kiện cho chiến lược đó. Thứ hai, một cách tiếp cận cân bằng giữa hình ảnh trước nhà đầu tư và công chúng với điều thực sự đúng đắn cho doanh nghiệp. Và thứ ba, một mối quan hệ hiệu quả với đội ngũ quản lý, tìm được sự cân bằng giữa việc hiểu rằng họ là những con người với nhu cầu và mong muốn, và cam kết nền tảng của hội đồng quản trị đối với nhà đầu tư.” Tôi hoàn toàn đồng ý.</w:t>
      </w:r>
    </w:p>
    <w:p>
      <w:pPr>
        <w:pStyle w:val="Heading2"/>
      </w:pPr>
      <w:r>
        <w:rPr>
          <w:rFonts w:ascii="Calibri" w:hAnsi="Calibri"/>
          <w:b/>
          <w:i w:val="0"/>
          <w:sz w:val="32"/>
        </w:rPr>
        <w:t>Ủy ban Đề cử và Quản trị</w:t>
      </w:r>
    </w:p>
    <w:p>
      <w:pPr>
        <w:spacing w:after="80"/>
      </w:pPr>
      <w:r>
        <w:rPr>
          <w:b w:val="0"/>
          <w:i w:val="0"/>
        </w:rPr>
        <w:t>Nhiều người theo truyền thống nghĩ về ủy ban đề cử và quản trị là ủy ban ít đòi hỏi nhất trong ba ủy ban chính—nhưng dù điều này có thể đúng trong quá khứ, thì ngày nay nó ngày càng không còn như vậy. Những yêu cầu lớn hơn đối với các giám đốc có nghĩa là cần chăm chút hơn vào việc tuyển dụng, hội nhập và đánh giá các giám đốc mới, và các vấn đề ESG cũng ngày càng thuộc về ủy ban này.</w:t>
      </w:r>
    </w:p>
    <w:p>
      <w:pPr>
        <w:spacing w:after="80"/>
      </w:pPr>
      <w:r>
        <w:rPr>
          <w:b w:val="0"/>
          <w:i w:val="0"/>
        </w:rPr>
        <w:t>Dưới mỗi thuật ngữ chung—đề cử và quản trị—là một tập hợp trách nhiệm quan trọng. Về phía đề cử, dù tôi tin rằng việc lựa chọn một giám đốc mới nên là quyết định của toàn bộ hội đồng quản trị chứ không chỉ các thành viên của ủy ban này, thì việc để ủy ban này điều hành quá trình tuyển dụng, thường có sự hỗ trợ của một công ty săn đầu người (executive search firm), là hiệu quả. Việc tìm một giám đốc mới nên bao gồm việc đánh giá các kỹ năng và tài năng của các giám đốc đương nhiệm và những chuyên môn nào có thể còn thiếu hoặc cần được tăng cường. Sự đa dạng trên nhiều khía cạnh, bao gồm kinh nghiệm, quan điểm, giới tính, chủng tộc và sắc tộc, cũng là một cân nhắc quan trọng.</w:t>
      </w:r>
    </w:p>
    <w:p>
      <w:pPr>
        <w:spacing w:after="80"/>
      </w:pPr>
      <w:r>
        <w:rPr>
          <w:b w:val="0"/>
          <w:i w:val="0"/>
        </w:rPr>
        <w:t>Không thể phủ nhận rằng sự đa dạng đã trở thành tâm điểm trong các cuộc thảo luận về thành phần hội đồng quản trị trong suốt một thế hệ qua. Vicki L. Bogan, Ekaterina Potemkina và Scott E. Yonker của Đại học Cornell viết: “Lý lẽ kinh doanh cho sự đa dạng của hội đồng quản trị tập trung vào thực tế rằng các hội đồng quản trị đồng nhất về nhân khẩu học có nguy cơ bị khép kín và có thể không được đặt đúng vị trí để hoạt động trong một môi trường toàn cầu ngày càng năng động với một lực lượng lao động toàn cầu đa dạng. Trên thực tế, có bằng chứng học thuật rằng các hội đồng quản trị gồm những cá nhân có xuất thân không đồng nhất dẫn đến kết quả doanh nghiệp tốt hơn.”68</w:t>
      </w:r>
    </w:p>
    <w:p>
      <w:pPr>
        <w:spacing w:after="80"/>
      </w:pPr>
      <w:r>
        <w:rPr>
          <w:b w:val="0"/>
          <w:i/>
        </w:rPr>
        <w:t>New York Times</w:t>
      </w:r>
      <w:r>
        <w:rPr>
          <w:b w:val="0"/>
          <w:i w:val="0"/>
        </w:rPr>
        <w:t xml:space="preserve"> lưu ý vào đầu năm 2022 rằng cái chết của George Floyd vào năm 2020 đã thúc đẩy sự thay đổi thực sự khá nhanh chóng: “Dòng thác giận dữ và thất vọng sau [cái chết của Floyd] . . . đã thúc đẩy nhiều công ty cam kết thực hiện thay đổi để giải quyết bất công và bất bình đẳng chủng tộc. . . . Các giám đốc là người Da đen, châu Á, gốc Tây Ban Nha, Trung Đông hoặc từ một nhóm sắc tộc không phải da trắng khác chiếm 4.500 ghế hội đồng quản trị trong các công ty thuộc chỉ số chứng khoán Russell 3000, nhiều hơn 25 phần trăm so với cuối năm 2020 và gần 50 phần trăm so với cuối năm 2019.”69 Mức độ thay đổi đó từ năm 2019 đến năm 2024 là đáng kể, và cũng đã có tiến bộ ở phía ban quản lý. Năm 2024, trong số 671 công ty riêng biệt thuộc Fortune 500 và S&amp;P 500, 13,5 phần trăm CEO và 13,8 phần trăm CFO là người không phải da trắng, tăng từ 4,3 phần trăm và 2,9 phần trăm, tương ứng, vào năm 2004.70 Phụ nữ chiếm 9,4 phần trăm trong số các CEO đương nhiệm và 17,8 phần trăm trong số các CFO của cùng những công ty đó vào năm 2024, tăng từ chỉ 1,3 phần trăm và 5,2 phần trăm, tương ứng, vào năm 2004.71 Tất nhiên, những tỷ lệ phần trăm này vẫn còn rất thấp.</w:t>
      </w:r>
    </w:p>
    <w:p>
      <w:pPr>
        <w:spacing w:after="80"/>
      </w:pPr>
      <w:r>
        <w:rPr>
          <w:b w:val="0"/>
          <w:i w:val="0"/>
        </w:rPr>
        <w:t>California đã thông qua một luật vào năm 2018 yêu cầu các hội đồng quản trị phải có ít nhất hai hoặc ba giám đốc nữ vào năm 2022 tùy theo quy mô hội đồng quản trị; luật đó đã bị bãi bỏ vào năm 2022 vì vi hiến.72 Tuy nhiên, một số nhà đầu tư tổ chức lớn, bao gồm BlackRock và State Street, đã công bố kỳ vọng rằng các hội đồng quản trị nên đủ đa dạng, với State Street nói rằng họ sẽ bỏ phiếu chống lại các chủ tịch ủy ban đề cử và quản trị của các công ty không có ít nhất một thành viên hội đồng quản trị là người thiểu số.73 Trên bình diện quốc tế, một số quốc gia đã thông qua luật liên quan đến sự đa dạng của hội đồng quản trị; ví dụ ở Pháp, có yêu cầu rằng các hội đồng quản trị phải có một tỷ lệ phần trăm phụ nữ nhất định, tăng lên 40 phần trăm vào năm 2030.74</w:t>
      </w:r>
    </w:p>
    <w:p>
      <w:pPr>
        <w:spacing w:after="80"/>
      </w:pPr>
      <w:r>
        <w:rPr>
          <w:b w:val="0"/>
          <w:i w:val="0"/>
        </w:rPr>
        <w:t>Tuy nhiên, phần lớn các chính trị gia Đảng Cộng hòa và các nhóm bảo thủ đã phản đối nhiều sáng kiến đa dạng khác nhau trong một thời gian. Với việc Tổng thống Trump đã ban hành nhiều sắc lệnh hành pháp để, trong số những việc khác, giảm bớt các nỗ lực đa dạng, và với việc Đảng Cộng hòa kiểm soát cả hai viện Quốc hội, dự kiến sẽ có thêm nhiều sắc lệnh hành pháp và bản ghi nhớ; luật, quy định và kiện tụng mới; cũng như sự hoạt động tích cực gia tăng, các đề xuất của cổ đông và áp lực chung được dự đoán sẽ tiếp tục thúc đẩy sự sụt giảm. Ví dụ, hướng dẫn bỏ phiếu ủy quyền năm 2025 của BlackRock không có yêu cầu nào về sự đa dạng của hội đồng quản trị. Trước đây, họ chỉ ra rằng các hội đồng quản trị nên có 30 phần trăm thành viên đa dạng, bao gồm ít nhất hai phụ nữ và một giám đốc từ một nhóm ít được đại diện.75</w:t>
      </w:r>
    </w:p>
    <w:p>
      <w:pPr>
        <w:spacing w:after="80"/>
      </w:pPr>
      <w:r>
        <w:rPr>
          <w:b w:val="0"/>
          <w:i w:val="0"/>
        </w:rPr>
        <w:t>Thật hợp lý khi một hội đồng quản trị phản ánh một cách đáng kể lực lượng lao động và khách hàng của mình. Tôi từng là giám đốc của một công ty về sức khỏe phụ nữ. Chúng tôi có cả phụ nữ và nam giới trong hội đồng quản trị. Khi cần tìm một giám đốc mới trong nhiệm kỳ của tôi, chúng tôi quyết định chỉ xem xét phụ nữ.</w:t>
      </w:r>
    </w:p>
    <w:p>
      <w:pPr>
        <w:spacing w:after="80"/>
      </w:pPr>
      <w:r>
        <w:rPr>
          <w:b w:val="0"/>
          <w:i w:val="0"/>
        </w:rPr>
        <w:t>Tôi tin rằng sự đa dạng là then chốt đối với uy tín của hội đồng quản trị và việc ra quyết định hiệu quả. Đồng thời, bất kỳ giám đốc nào cũng phải hoàn toàn đủ tiêu chuẩn. Ngoài ra, sự đa dạng trong hội đồng quản trị không nên biện minh cho việc thiếu đa dạng trong ban điều hành cấp cao (C-suite) hoặc trong toàn bộ ban quản lý. Nhiều nhà lãnh đạo doanh nghiệp đang ăn mừng rằng phụ nữ hiện điều hành hơn 10 phần trăm các công ty trong Fortune 500,76 và JetBlue đã gây chú ý vào năm 2024 khi bổ nhiệm Joanna Geraghty làm nữ CEO đầu tiên của một hãng hàng không lớn của Mỹ,77 nhưng những nỗ lực này vẫn chưa đủ.</w:t>
      </w:r>
    </w:p>
    <w:p>
      <w:pPr>
        <w:spacing w:after="80"/>
      </w:pPr>
      <w:r>
        <w:rPr>
          <w:b w:val="0"/>
          <w:i w:val="0"/>
        </w:rPr>
        <w:t>Tất nhiên, các nỗ lực đa dạng ở phía hội đồng quản trị cũng cần được cân bằng với những ưu tiên khác. Tôi nhớ một tình huống khi tôi là chủ tịch ủy ban đề cử và quản trị và đã có một cuộc tranh luận tôn trọng nhưng khá gay gắt với một CEO mà tôi vô cùng kính trọng về các yêu cầu tìm kiếm cho một ghế hội đồng quản trị trên một hội đồng quản trị vốn đã khá đa dạng, nơi chúng tôi đang thiếu một bộ kỹ năng cụ thể, quan trọng trong số các giám đốc: một người am hiểu về công nghệ và có thể đóng góp cho hội đồng quản trị của một công ty toàn cầu. Tôi tin chắc rằng việc tìm một người có kiến thức và kinh nghiệm cần thiết, cũng như sự ăn ý tốt với các giám đốc đương nhiệm của chúng tôi, nên là ưu tiên—với sự đa dạng là một cân nhắc quan trọng nhưng không phải là cân nhắc chính. Vị CEO, mà tất cả các nhân viên báo cáo trực tiếp vào thời điểm đó đều là nam giới da trắng, nghĩ rằng việc tìm một ứng viên đa dạng nên là một yêu cầu. Tôi thúc giục rằng chúng tôi cần nhìn nhận một cách tổng thể mọi ứng viên có thể có và đồng thời, biến việc đa dạng hóa ban điều hành cấp cao thành một ưu tiên nữa.</w:t>
      </w:r>
    </w:p>
    <w:p>
      <w:pPr>
        <w:spacing w:after="80"/>
      </w:pPr>
      <w:r>
        <w:rPr>
          <w:b w:val="0"/>
          <w:i w:val="0"/>
        </w:rPr>
        <w:t>Cuối cùng, chúng tôi đã tìm được một giám đốc đa dạng với bộ kỹ năng công nghệ mà chúng tôi tìm kiếm, và theo thời gian, sự đa dạng cũng đến với ban điều hành. Chúng tôi đã hoàn thành cuộc tìm kiếm này thành công, một phần, bằng cách mở rộng việc tuyển dụng từ đặc tả ứng viên thường thấy cho một giám đốc công nghệ (chief technology officer) sang một cuộc tìm kiếm nơi chúng tôi xác định các công ty công nghệ mục tiêu và xem xét những giám đốc điều hành thành công trong các tổ chức này, bao gồm cả những người ở vài cấp dưới những người báo cáo trực tiếp cho CEO.</w:t>
      </w:r>
    </w:p>
    <w:p>
      <w:pPr>
        <w:spacing w:after="80"/>
      </w:pPr>
      <w:r>
        <w:rPr>
          <w:b w:val="0"/>
          <w:i w:val="0"/>
        </w:rPr>
        <w:t>Các nhà lãnh đạo nên khai thác những mạng lưới đa dạng và nhìn xa hơn những kiểu người thường đảm nhận các vai trò cấp cao. Đồng thời, có thể sẽ cần một thế hệ hoặc hơn nữa để tạo ra một nguồn ứng viên giám đốc và quản lý cấp cao đa dạng, đủ tiêu chuẩn, đủ lớn để mang lại khả năng cho tất cả các hội đồng quản trị và ban điều hành cấp cao thực sự đa dạng.</w:t>
      </w:r>
    </w:p>
    <w:p>
      <w:pPr>
        <w:spacing w:after="80"/>
      </w:pPr>
      <w:r>
        <w:rPr>
          <w:b w:val="0"/>
          <w:i w:val="0"/>
        </w:rPr>
        <w:t>Ngoài kỹ năng, kinh nghiệm và sự đa dạng, việc cân nhắc kỹ lưỡng cách các giám đốc mới tiềm năng có thể sẽ làm việc với phần còn lại của hội đồng quản trị và đội ngũ quản lý cũng rất quan trọng. Sự ăn ý là then chốt dù khó đánh giá. Một bước đơn giản nhưng đôi khi bị bỏ qua là bất kỳ “ứng viên vào chung kết” nào cho một ghế hội đồng quản trị cũng nên gặp gỡ từng giám đốc đương nhiệm. Dù tất cả họ đều sẽ là những người thành đạt, người giới thiệu cũng nên được kiểm tra cẩn thận.</w:t>
      </w:r>
    </w:p>
    <w:p>
      <w:pPr>
        <w:spacing w:after="80"/>
      </w:pPr>
      <w:r>
        <w:rPr>
          <w:b w:val="0"/>
          <w:i w:val="0"/>
        </w:rPr>
        <w:t>Theo tôi, điều quan trọng cần nhớ là CEO báo cáo lên hội đồng quản trị, và do đó chính các giám đốc độc lập trong ủy ban—chứ không phải CEO—mới là người cần dẫn dắt quá trình tuyển chọn giám đốc. Tất nhiên, vẫn nên thu thập ý kiến đóng góp của CEO về các bộ kỹ năng mong muốn và những ứng viên giám đốc tiềm năng, và CEO nên gặp gỡ bất kỳ ứng viên giám đốc nào mà ủy ban và các giám đốc khác cho là "ứng viên cuối cùng" (finalist) để bổ sung quan điểm của mình về những ứng viên này.</w:t>
      </w:r>
    </w:p>
    <w:p>
      <w:pPr>
        <w:spacing w:after="80"/>
      </w:pPr>
      <w:r>
        <w:rPr>
          <w:b w:val="0"/>
          <w:i w:val="0"/>
        </w:rPr>
        <w:t>Về khía cạnh quản trị, có nhiều chủ đề khác nhau để ủy ban đề cử và quản trị xem xét. Ví dụ, ủy ban này nên xem xét các biện pháp phòng vệ tiềm năng của công ty trong trường hợp có đề nghị mua lại không được mời mà định giá thấp công ty; những biện pháp này có thể bao gồm kế hoạch quyền cổ đông (shareholder rights plan), hay còn gọi là "viên thuốc độc" (poison pill), cũng như có thể hạn chế khả năng cổ đông hành động bằng văn bản đồng thuận và triệu tập một cuộc họp cổ đông bất thường. Ngoài ra, ủy ban này thường xem xét các báo cáo và khuyến nghị của các công ty tư vấn quản trị, bao gồm các chủ đề như nên bỏ phiếu thuận hay chống lại từng giám đốc, vấn đề Say-on-Pay (biểu quyết về thù lao), và nhiều vấn đề khác tại các cuộc họp thường niên. Ở những nơi có thể có thách thức, chẳng hạn như một giám đốc được tái bổ nhiệm nhưng với tỷ lệ sát nút hoặc tỷ lệ phiếu thuận cho Say-on-Pay thấp hơn khoảng 90 phần trăm, ủy ban nên xây dựng một chiến lược để giải quyết mọi thiếu sót.</w:t>
      </w:r>
    </w:p>
    <w:p>
      <w:pPr>
        <w:spacing w:after="80"/>
      </w:pPr>
      <w:r>
        <w:rPr>
          <w:b w:val="0"/>
          <w:i w:val="0"/>
        </w:rPr>
        <w:t>Tương tự như ủy ban thù lao, trách nhiệm và tên gọi của ủy ban đề cử và quản trị đang thay đổi tại nhiều công ty. Ví dụ, hơn một phần ba số công ty trong một khảo sát năm 2022 với 300 lãnh đạo tại các công ty đại chúng có doanh thu hàng năm lớn hơn 500 triệu đô la cho biết họ đã giao một số trách nhiệm giám sát liên quan đến ESG cho ủy ban đề cử và quản trị.78</w:t>
      </w:r>
    </w:p>
    <w:p>
      <w:pPr>
        <w:spacing w:after="80"/>
      </w:pPr>
      <w:r>
        <w:rPr>
          <w:b w:val="0"/>
          <w:i w:val="0"/>
        </w:rPr>
        <w:t>Dù có hay không có thêm trách nhiệm giám sát ESG, có rất nhiều vấn đề quan trọng để ủy ban đề cử và quản trị xem xét, khiến công việc của ủy ban này trở nên rất quan trọng, ngay cả khi nó không phải lúc nào cũng nhận được sự chú ý xứng đáng.</w:t>
      </w:r>
    </w:p>
    <w:p>
      <w:pPr>
        <w:pStyle w:val="Heading1"/>
      </w:pPr>
      <w:r>
        <w:rPr>
          <w:rFonts w:ascii="Calibri" w:hAnsi="Calibri"/>
          <w:b/>
          <w:i w:val="0"/>
          <w:sz w:val="40"/>
        </w:rPr>
        <w:t>Chương 5</w:t>
      </w:r>
    </w:p>
    <w:p>
      <w:pPr>
        <w:pStyle w:val="Heading1"/>
      </w:pPr>
      <w:r>
        <w:rPr>
          <w:rFonts w:ascii="Calibri" w:hAnsi="Calibri"/>
          <w:b/>
          <w:i w:val="0"/>
          <w:sz w:val="40"/>
        </w:rPr>
        <w:t>Lãnh đạo hội đồng quản trị</w:t>
      </w:r>
    </w:p>
    <w:p>
      <w:pPr>
        <w:spacing w:after="80"/>
      </w:pPr>
      <w:r>
        <w:rPr>
          <w:b w:val="0"/>
          <w:i w:val="0"/>
        </w:rPr>
        <w:t>Từng thành viên hội đồng quản trị, và tất nhiên là các ủy ban của hội đồng, đều quan trọng cho sự thành công của hội đồng. Nhưng tôi tin rằng người lãnh đạo hội đồng cũng là một yếu tố then chốt cho sự thành công của hội đồng. Trong chương này, tôi sẽ mô tả vai trò của người lãnh đạo hội đồng và thảo luận về các vị trí lãnh đạo bao gồm chủ tịch hội đồng (chair), vốn có thể được tổ chức theo nhiều cách khác nhau, và giám đốc độc lập chủ trì (lead independent director). Tôi cũng sẽ thảo luận về vấn đề liệu CEO của công ty có nên kiêm nhiệm chức chủ tịch hội đồng hay không; câu hỏi này khơi dậy những cuộc tranh luận sôi nổi từ những người ủng hộ ở cả hai phía.</w:t>
      </w:r>
    </w:p>
    <w:p>
      <w:pPr>
        <w:pStyle w:val="Heading2"/>
      </w:pPr>
      <w:r>
        <w:rPr>
          <w:rFonts w:ascii="Calibri" w:hAnsi="Calibri"/>
          <w:b/>
          <w:i w:val="0"/>
          <w:sz w:val="32"/>
        </w:rPr>
        <w:t>Tầm quan trọng của lãnh đạo hội đồng quản trị</w:t>
      </w:r>
    </w:p>
    <w:p>
      <w:pPr>
        <w:spacing w:after="80"/>
      </w:pPr>
      <w:r>
        <w:rPr>
          <w:b w:val="0"/>
          <w:i w:val="0"/>
        </w:rPr>
        <w:t>Cũng giống như vai trò của các giám đốc và các ủy ban hội đồng đã trở nên phức tạp và quan trọng hơn qua nhiều thế hệ vừa qua, tầm quan trọng của sự lãnh đạo mạnh mẽ trong các hội đồng quản trị doanh nghiệp cũng đã tăng lên đáng kể. Số lượng các bên liên quan đặt ra yêu cầu đối với hầu hết các hội đồng—như nhà đầu tư tổ chức, nhà hoạt động, nhân viên và công chúng—là rất lớn, và những yêu cầu của họ không phải lúc nào cũng có thể dung hòa được với nhau. Những quyết định quan trọng, khó khăn phải được đưa ra, và các công ty ngày càng phụ thuộc vào việc không chỉ có một CEO hiệu quả và các giám đốc tận tâm mà còn có một người lãnh đạo hội đồng hiệu quả.</w:t>
      </w:r>
    </w:p>
    <w:p>
      <w:pPr>
        <w:spacing w:after="80"/>
      </w:pPr>
      <w:r>
        <w:rPr>
          <w:b w:val="0"/>
          <w:i w:val="0"/>
        </w:rPr>
        <w:t>Người lãnh đạo hội đồng thiết lập chương trình nghị sự (cùng với CEO), đưa ra hướng dẫn và hỗ trợ cho ban điều hành, và tìm cách đảm bảo quản trị tốt, nỗ lực tạo điều kiện cho một hội đồng hiệu quả, tương tác tốt với ban điều hành và giám sát ban điều hành một cách thích đáng. Điều quan trọng là người lãnh đạo hội đồng nên lôi cuốn tất cả các giám đốc vào cuộc đối thoại và khuyến khích những người có chuyên môn đặc biệt phát huy hữu ích nhất trong các lĩnh vực này. Người lãnh đạo hội đồng ngày càng tương tác trực tiếp với cổ đông, thường là về vấn đề quản trị và thường cùng với CEO và CFO.</w:t>
      </w:r>
    </w:p>
    <w:p>
      <w:pPr>
        <w:spacing w:after="80"/>
      </w:pPr>
      <w:r>
        <w:rPr>
          <w:b w:val="0"/>
          <w:i w:val="0"/>
        </w:rPr>
        <w:t>Mặt khác, CEO là người lãnh đạo vận hành của tổ chức, dẫn dắt chiến lược và việc thực thi kế hoạch kinh doanh. CEO chịu trách nhiệm cuối cùng về kết quả tài chính của công ty và việc thỏa mãn các yêu cầu của các bên liên quan. Các giám đốc điều hành báo cáo lên CEO bao gồm những người lãnh đạo đơn vị kinh doanh, những người lãnh đạo bộ phận (như CFO và tổng cố vấn pháp lý), và thường cả những người khác, chẳng hạn như trưởng bộ phận đa dạng.</w:t>
      </w:r>
    </w:p>
    <w:p>
      <w:pPr>
        <w:spacing w:after="80"/>
      </w:pPr>
      <w:r>
        <w:rPr>
          <w:b w:val="0"/>
          <w:i w:val="0"/>
        </w:rPr>
        <w:t xml:space="preserve">"Người chủ tịch hiệu quả," theo giáo sư Stanislav Shekshnia của INSEAD, viết trên </w:t>
      </w:r>
      <w:r>
        <w:rPr>
          <w:b w:val="0"/>
          <w:i/>
        </w:rPr>
        <w:t>Harvard Business Review</w:t>
      </w:r>
      <w:r>
        <w:rPr>
          <w:b w:val="0"/>
          <w:i w:val="0"/>
        </w:rPr>
        <w:t>, "không lãnh đạo công ty mà lãnh đạo hội đồng quản trị, giúp hội đồng hoạt động như cơ quan ra quyết định cao nhất trong tổ chức." Điều này khác với cách chúng ta thường nghĩ về lãnh đạo nói chung. "Để hiệu quả," Shekshnia kết luận, "các chủ tịch phải nhận ra rằng họ không phải là người chỉ huy mà là người điều phối. Những chủ tịch giỏi nhận ra rằng họ không phải là người đứng đầu trong số những người ngang hàng. Họ chỉ là những người chịu trách nhiệm làm cho mọi người trong hội đồng của mình trở thành một giám đốc giỏi."1</w:t>
      </w:r>
    </w:p>
    <w:p>
      <w:pPr>
        <w:spacing w:after="80"/>
      </w:pPr>
      <w:r>
        <w:rPr>
          <w:b w:val="0"/>
          <w:i w:val="0"/>
        </w:rPr>
        <w:t>Dù vậy, mối quan hệ của chủ tịch hội đồng với CEO cũng rất then chốt. Jim Citrin là một chuyên gia tuyển dụng CEO nổi tiếng. Ông lãnh đạo mảng CEO của Spencer Stuart, đồng lãnh đạo mảng hội đồng quản trị, và là thành viên hội đồng của công ty; ông đã thực hiện hơn 850 cuộc tìm kiếm nhân sự điều hành và các nhiệm vụ kế nhiệm. Là một chuyên gia về lãnh đạo và thành công nghề nghiệp, Citrin đã viết bảy cuốn sách và có gần một triệu người theo dõi trên LinkedIn, nơi ông đề cập đến các vấn đề lãnh đạo và chiến lược nghề nghiệp. "Mối quan hệ của chủ tịch hội đồng hay người lãnh đạo với CEO là điều thực sự đáng để tập trung," ông nói với tôi, "bởi vì làm đúng điều này mang lại rất nhiều giá trị cho công ty, và làm sai sẽ tạo ra sự độc hại thực sự."</w:t>
      </w:r>
    </w:p>
    <w:p>
      <w:pPr>
        <w:pStyle w:val="Heading2"/>
      </w:pPr>
      <w:r>
        <w:rPr>
          <w:rFonts w:ascii="Calibri" w:hAnsi="Calibri"/>
          <w:b/>
          <w:i w:val="0"/>
          <w:sz w:val="32"/>
        </w:rPr>
        <w:t>Các mô hình lãnh đạo hội đồng quản trị khác nhau</w:t>
      </w:r>
    </w:p>
    <w:p>
      <w:pPr>
        <w:spacing w:after="80"/>
      </w:pPr>
      <w:r>
        <w:rPr>
          <w:b w:val="0"/>
          <w:i w:val="0"/>
        </w:rPr>
        <w:t>Có bốn mô hình lãnh đạo hội đồng quản trị nói chung—chủ tịch độc lập; chủ tịch kiêm CEO; chủ tịch điều hành; và chủ tịch không điều hành, không độc lập (thường là cựu CEO của công ty hoặc một chuyên gia cấp cao tại một nhà đầu tư lớn). Trong những trường hợp không có chủ tịch độc lập, hầu như luôn có một giám đốc độc lập chủ trì.</w:t>
      </w:r>
    </w:p>
    <w:p>
      <w:pPr>
        <w:spacing w:after="80"/>
      </w:pPr>
      <w:r>
        <w:rPr>
          <w:b w:val="0"/>
          <w:i w:val="0"/>
        </w:rPr>
        <w:t>Đối với S&amp;P 500 tính đến năm 2022, sự phân bổ như sau:</w:t>
      </w:r>
    </w:p>
    <w:p>
      <w:pPr>
        <w:spacing w:after="80"/>
      </w:pPr>
      <w:r>
        <w:rPr>
          <w:b w:val="0"/>
          <w:i w:val="0"/>
        </w:rPr>
        <w:t>Chủ tịch độc lập: 36 phần trăm</w:t>
      </w:r>
    </w:p>
    <w:p>
      <w:pPr>
        <w:spacing w:after="80"/>
      </w:pPr>
      <w:r>
        <w:rPr>
          <w:b w:val="0"/>
          <w:i w:val="0"/>
        </w:rPr>
        <w:t>Chủ tịch kiêm CEO: 43 phần trăm</w:t>
      </w:r>
    </w:p>
    <w:p>
      <w:pPr>
        <w:spacing w:after="80"/>
      </w:pPr>
      <w:r>
        <w:rPr>
          <w:b w:val="0"/>
          <w:i w:val="0"/>
        </w:rPr>
        <w:t>Chủ tịch điều hành: 15 phần trăm</w:t>
      </w:r>
    </w:p>
    <w:p>
      <w:pPr>
        <w:spacing w:after="80"/>
      </w:pPr>
      <w:r>
        <w:rPr>
          <w:b w:val="0"/>
          <w:i w:val="0"/>
        </w:rPr>
        <w:t>Chủ tịch không điều hành, không độc lập: 7 phần trăm</w:t>
      </w:r>
    </w:p>
    <w:p>
      <w:pPr>
        <w:spacing w:after="80"/>
      </w:pPr>
      <w:r>
        <w:rPr>
          <w:b w:val="0"/>
          <w:i/>
        </w:rPr>
        <w:t>Ghi chú:</w:t>
      </w:r>
      <w:r>
        <w:rPr>
          <w:b w:val="0"/>
          <w:i w:val="0"/>
        </w:rPr>
        <w:t xml:space="preserve"> Tổng các phần trăm là 101 do làm tròn2</w:t>
      </w:r>
    </w:p>
    <w:p>
      <w:pPr>
        <w:spacing w:after="80"/>
      </w:pPr>
      <w:r>
        <w:rPr>
          <w:b w:val="0"/>
          <w:i w:val="0"/>
        </w:rPr>
        <w:t>Hai mô hình đầu tiên là những vị trí lãnh đạo hội đồng quản trị phổ biến nhất và có vai trò rõ ràng nhất. Chủ tịch độc lập là người lãnh đạo hội đồng và không giữ vai trò quản lý nào trong công ty. Như Bob Byrne, giám đốc của nhiều công ty, trong đó có cựu chủ tịch hội đồng độc lập của Masonite, hãng sản xuất cửa nơi tôi cũng từng là giám đốc, đã giải thích với tôi,</w:t>
      </w:r>
    </w:p>
    <w:p>
      <w:pPr>
        <w:spacing w:after="80"/>
      </w:pPr>
      <w:r>
        <w:rPr>
          <w:b w:val="0"/>
          <w:i w:val="0"/>
        </w:rPr>
        <w:t>Với vai trò chủ tịch, tôi chú tâm nhất đến việc cố gắng đảm bảo rằng hội đồng quản trị được thông tin đầy đủ. Điều tôi lo nhất là hội đồng chỉ được thấy những gì ban điều hành muốn cho họ thấy. Nên tôi luôn cố gắng hiểu đủ về công ty và trò chuyện đủ nhiều với CEO cùng các cấp dưới trực tiếp của anh ấy để nắm được tình hình, từ đó có thể nhận ra liệu có điều gì đang diễn ra trong công ty mà các giám đốc nên biết hay không. Tôi muốn chương trình nghị sự của chúng tôi phải thật sự liên quan, với những thông tin chúng tôi muốn thấy, chứ không chỉ là những gì ban điều hành nghĩ rằng nên có.</w:t>
      </w:r>
    </w:p>
    <w:p>
      <w:pPr>
        <w:spacing w:after="80"/>
      </w:pPr>
      <w:r>
        <w:rPr>
          <w:b w:val="0"/>
          <w:i w:val="0"/>
        </w:rPr>
        <w:t>Sẽ có nhiều thảo luận hơn về chủ tịch độc lập so với vai trò chủ tịch kiêm CEO ở phần sau của chương này. Nhưng trước tiên, đáng để xem xét một vai trò khó định nghĩa hơn: chủ tịch điều hành. Một công ty có chủ tịch điều hành—nghĩa là vai trò chủ tịch do một người không phải CEO nhưng được coi là lãnh đạo cấp cao nhất của công ty nắm giữ—có thể là một mô hình phức tạp. Vào tháng 5 năm 2023, ngân hàng đầu tư Lazard thông báo rằng Peter Orszag sẽ đảm nhận vai trò CEO, còn Ken Jacobs, người giữ chức chủ tịch kiêm CEO lâu năm trước đó, sẽ được bổ nhiệm làm chủ tịch điều hành. Tôi đã trò chuyện với Jacobs, người tôi quen biết nhiều năm kể từ khi anh ấy đến Lazard với tư cách phó chủ tịch từ Goldman Sachs và tôi là một nhân viên trẻ tại Lazard, về vai trò mới của anh và cách phân chia trách nhiệm: “CEO nắm toàn bộ trách nhiệm điều hành. Anh ấy cần thời gian để điều hành công ty, nên vai trò chủ tịch điều hành của tôi tập trung 100 phần trăm vào khách hàng, trừ khi CEO cần giúp đỡ về các vấn đề của công ty. Chức danh chủ tịch điều hành có ích cho hiệu quả làm việc với khách hàng, và vai trò này được định nghĩa rõ ràng, với các giới hạn được mọi bên hiểu rõ. Tất cả là ở chỗ xác định vai trò và định nghĩa chúng cho tốt.”</w:t>
      </w:r>
    </w:p>
    <w:p>
      <w:pPr>
        <w:spacing w:after="80"/>
      </w:pPr>
      <w:r>
        <w:rPr>
          <w:b w:val="0"/>
          <w:i w:val="0"/>
        </w:rPr>
        <w:t>Vào tháng 11 năm 2024, Lazard thông báo rằng Jacobs sẽ trở thành chủ tịch cấp cao và cố vấn cấp cao cho hội đồng quản trị, đồng thời từ bỏ ghế trong hội đồng. Orszag bổ sung vai trò chủ tịch vào vị trí CEO của mình, và Dan Schulman, thành viên hội đồng quản trị Lazard kiêm cựu CEO của PayPal, thay thế Richard Parsons làm giám đốc độc lập chính của Lazard.</w:t>
      </w:r>
    </w:p>
    <w:p>
      <w:pPr>
        <w:spacing w:after="80"/>
      </w:pPr>
      <w:r>
        <w:rPr>
          <w:b w:val="0"/>
          <w:i w:val="0"/>
        </w:rPr>
        <w:t>Dave Brandon, cựu chủ tịch kiêm CEO của Domino’s Pizza, giám đốc thể thao tại Đại học Michigan, rồi sau đó là CEO của Toys“R”Us, đã giải thích với tôi quan điểm của ông rằng quyết định có chủ tịch điều hành có thể xuất phát từ những vấn đề liên quan đến CEO của công ty:</w:t>
      </w:r>
    </w:p>
    <w:p>
      <w:pPr>
        <w:spacing w:after="80"/>
      </w:pPr>
      <w:r>
        <w:rPr>
          <w:b w:val="0"/>
          <w:i w:val="0"/>
        </w:rPr>
        <w:t>Khi tôi rời vị trí CEO của Domino’s, tôi đã thỏa thuận ở lại làm chủ tịch không điều hành của hội đồng quản trị, và vai trò đó đòi hỏi một mức độ tham gia nhất định. Nhưng mọi thứ rất khác khi chúng tôi thay đổi CEO, và vì CEO mới chưa có kinh nghiệm làm CEO công ty đại chúng, chúng tôi quyết định định vị lại vai trò của tôi thành chủ tịch điều hành. Trước đây tôi không có văn phòng tại công ty, nhưng giờ tôi có văn phòng. Tôi trở lại công ty với tư cách nhân viên, tôi tham gia kế hoạch thưởng, và tôi tham gia tích cực hơn. Tôi họp với CEO thường xuyên hơn nhiều, và tôi tham gia nhiều hoạt động hơn, đặc biệt là quanh việc truyền thông kết quả kinh doanh hàng quý và các ngày hội nhà đầu tư. Mục tiêu của tôi là đặt CEO mới của chúng tôi vào vị trí mà tôi có thể tạo đà thành công cho anh ấy bằng cách truyền lại kinh nghiệm mình có.</w:t>
      </w:r>
    </w:p>
    <w:p>
      <w:pPr>
        <w:spacing w:after="80"/>
      </w:pPr>
      <w:r>
        <w:rPr>
          <w:b w:val="0"/>
          <w:i w:val="0"/>
        </w:rPr>
        <w:t>Ngày càng nhiều hội đồng quản trị sử dụng vai trò chủ tịch điều hành để hỗ trợ quá trình chuyển giao sang một CEO mới. Theo một báo cáo năm 2023 của Spencer Stuart, “Trong vài năm qua, chúng tôi đã thấy tỷ lệ hội đồng quản trị bổ nhiệm chủ tịch điều hành tăng lên nhằm làm mượt quá trình chuyển giao từ một CEO thành công lâu năm sang một ứng viên nội bộ, hoặc để đảm bảo tính liên tục sau khi bổ nhiệm CEO từ bên ngoài. Gần một nửa số CEO mới của S&amp;P 1500—43 phần trăm—được bổ nhiệm cùng với một chủ tịch điều hành.”3</w:t>
      </w:r>
    </w:p>
    <w:p>
      <w:pPr>
        <w:spacing w:after="80"/>
      </w:pPr>
      <w:r>
        <w:rPr>
          <w:b w:val="0"/>
          <w:i w:val="0"/>
        </w:rPr>
        <w:t>Trong nhiều trường hợp, nhiệm kỳ của chủ tịch điều hành chỉ là tạm thời, chỉ vài năm. Lý thuyết là sự hỗ trợ và cố vấn từ chủ tịch điều hành dành cho CEO và các bên liên quan khác là có giá trị. Tuy nhiên, nghiên cứu của Spencer Stuart cho thấy mô hình chủ tịch điều hành không dẫn đến hiệu quả hoạt động công ty được cải thiện. Trong 54 phần trăm trường hợp có chủ tịch điều hành, công ty thực tế hoạt động kém hơn so với các công ty cùng ngành.4 Tuy nhiên, nguyên nhân của sự kém hiệu quả này—trung bình 14 phần trăm—vẫn chưa rõ ràng.</w:t>
      </w:r>
    </w:p>
    <w:p>
      <w:pPr>
        <w:spacing w:after="80"/>
      </w:pPr>
      <w:r>
        <w:rPr>
          <w:b w:val="0"/>
          <w:i w:val="0"/>
        </w:rPr>
        <w:t>Giống như Jacobs và Brandon, chủ tịch điều hành thường là các cựu CEO—dù không phải lúc nào cũng vậy. Một cựu CEO vẫn ở lại hội đồng quản trị, đặc biệt là với vai trò chủ tịch điều hành, có thể gây ra những thách thức. NACD cảnh báo không nên để một cựu CEO giữ chức chủ tịch trong bất kỳ khoảng thời gian đáng kể nào. “Cựu CEO có thể thấy khó chuyển từ vai trò quản lý trực tiếp, sát sao hàng ngày sang một vai trò quản trị cao hơn,” NACD viết. “Nếu chủ tịch điều hành là một cựu CEO gần đây đã thành công và tiếp tục gây ảnh hưởng trong việc điều hành công ty, thì CEO đương nhiệm có thể thiếu thẩm quyền điều hành rõ ràng cần thiết để làm việc hiệu quả.”5</w:t>
      </w:r>
    </w:p>
    <w:p>
      <w:pPr>
        <w:spacing w:after="80"/>
      </w:pPr>
      <w:r>
        <w:rPr>
          <w:b w:val="0"/>
          <w:i w:val="0"/>
        </w:rPr>
        <w:t>Larry Berg, đồng sở hữu Los Angeles Football Club (một đội bóng thuộc Major League Soccer) đồng thời là đối tác cấp cao tại công ty cổ phần tư nhân 26North và cựu đối tác cấp cao tại Apollo, đã nói với tôi về vai trò chủ tịch điều hành: “Nếu CEO còn mới, họ dễ chấp nhận điều đó hơn. Tôi thực sự nghĩ rằng trong những tình huống mà chủ tịch có nhiều kinh nghiệm và uy tín hơn CEO, tôi thích có một chủ tịch điều hành.”</w:t>
      </w:r>
    </w:p>
    <w:p>
      <w:pPr>
        <w:spacing w:after="80"/>
      </w:pPr>
      <w:r>
        <w:rPr>
          <w:b w:val="0"/>
          <w:i w:val="0"/>
        </w:rPr>
        <w:t>Steve Sterrett là người gốc Indiana, sinh ra, lớn lên và học tập tại Indiana, nơi ông từng là quản lý cấp cao tại hãng kế toán “Big Four” PwC và là CFO của Simon Property Group, chủ sở hữu trung tâm thương mại lớn nhất cả nước. Sterrett từng là giám đốc chính và hiện là chủ tịch không điều hành của Berry Global, một công ty bao bì lớn đã thông báo vào tháng 11 năm 2024 rằng họ đã đồng ý hợp nhất với Amcor trong một giao dịch hoàn toàn bằng cổ phiếu, tạo ra một công ty dẫn đầu toàn cầu về các giải pháp bao bì cho ngành chăm sóc sức khỏe và tiêu dùng với tổng giá trị doanh nghiệp khoảng 35 tỷ đô la.6 Tôi là giám đốc lâu năm của Berry và là chủ tịch ủy ban kiểm toán. Tôi sẽ tham gia hội đồng quản trị Amcor khi giao dịch hoàn tất. Sterrett cũng là người được ủy thác chính (giám đốc) cho Equity Residential, đơn vị sở hữu hoặc có đầu tư vào hơn 300 bất động sản với khoảng 80.000 căn hộ trên khắp nước Mỹ. Với tất cả những điều đó, ông có một góc nhìn rất am hiểu về lãnh đạo hội đồng quản trị và thấy cấu trúc chủ tịch điều hành đáng lo ngại. “Tôi không thích nó,” ông nói với tôi. “Nó khiến tôi cảm giác như ai đó muốn nhúng một ngón chân vào cuộc sống sau khi làm CEO, nhưng họ chưa thật sự sẵn sàng. Tôi sợ nó đặt CEO đương nhiệm vào thế thất bại. Nếu chỉ trong sáu tháng hoặc chín tháng rồi sau đó bạn rời khỏi hội đồng, tôi có thể chấp nhận được. Nhưng tôi nghĩ bạn có thể lập kế hoạch chuyển giao theo cách không cần trao cho ai đó chức danh chủ tịch điều hành. Suy cho cùng, quyền hạn của người đó bắt đầu và kết thúc ở đâu?”</w:t>
      </w:r>
    </w:p>
    <w:p>
      <w:pPr>
        <w:spacing w:after="80"/>
      </w:pPr>
      <w:r>
        <w:rPr>
          <w:b w:val="0"/>
          <w:i w:val="0"/>
        </w:rPr>
        <w:t>Đôi khi nó hoạt động tốt, chẳng hạn như ở Morgan Stanley, khi vào tháng 1 năm 2024, công ty đã bổ nhiệm Ted Pick làm CEO, thay thế vị CEO lâu năm và cực kỳ thành công James Gorman — người đã trở thành chủ tịch điều hành để hỗ trợ quá trình chuyển giao, tuyên bố sẽ từ chức và nghỉ hưu khỏi công ty trước cuối năm 2024, và ông đã làm đúng như vậy.7</w:t>
      </w:r>
    </w:p>
    <w:p>
      <w:pPr>
        <w:spacing w:after="80"/>
      </w:pPr>
      <w:r>
        <w:rPr>
          <w:b w:val="0"/>
          <w:i w:val="0"/>
        </w:rPr>
        <w:t>Hãy đối chiếu điều này với tình hình ở Starbucks, nơi nhà sáng lập Howard Schultz từng giữ chức CEO ba lần khác nhau cũng như chủ tịch và chủ tịch điều hành vào nhiều thời điểm. Ông "nghỉ hưu" vào năm 2023 với danh hiệu "chủ tịch danh dự trọn đời." "Tôi sẽ không bao giờ quay lại nữa vì chúng tôi đã tìm được đúng người," Schultz nói sau lần thứ ba làm CEO của công ty.8 Và dù Starbucks có một thương hiệu đáng kinh ngạc, thật khó để thấy những người kế nhiệm Schultz có thể cảm thấy tự do khỏi ảnh hưởng của ông như thế nào.</w:t>
      </w:r>
    </w:p>
    <w:p>
      <w:pPr>
        <w:spacing w:after="80"/>
      </w:pPr>
      <w:r>
        <w:rPr>
          <w:b w:val="0"/>
          <w:i w:val="0"/>
        </w:rPr>
        <w:t xml:space="preserve">Vai trò chủ tịch danh dự của Schultz có thể không tránh hoàn toàn được những vấn đề này. Dù vai trò này nói chung chỉ mang tính danh dự và không có quyền biểu quyết, một chủ tịch danh dự vẫn có thể được tìm đến để xin lời khuyên và có ảnh hưởng. Trong trường hợp của Schultz, có vẻ như ông rất khó rời xa. Đầu năm 2024, ông gây chú ý với tiêu đề trên </w:t>
      </w:r>
      <w:r>
        <w:rPr>
          <w:b w:val="0"/>
          <w:i/>
        </w:rPr>
        <w:t>Wall Street Journal</w:t>
      </w:r>
      <w:r>
        <w:rPr>
          <w:b w:val="0"/>
          <w:i w:val="0"/>
        </w:rPr>
        <w:t xml:space="preserve"> rằng: "Howard Schultz đang lái xe từ ghế sau cho Starbucks. Đó là một vấn đề cho người kế nhiệm ông ấy."9 Bài báo tiếp tục đưa tin: "Schultz đã viết một bài đăng trên LinkedIn, đọc như một lá thư ngỏ gửi cổ đông chỉ trích cách [tân CEO lúc đó là Laxman] Narasimhan và các lãnh đạo cấp cao của ông đang điều hành hoạt động kinh doanh. Ngay sau báo cáo thu nhập yếu kém của công ty, người đàn ông 70 tuổi tuyên bố rằng Starbucks phải cải thiện dịch vụ cho khách hàng tại Mỹ. Ông thách thức các lãnh đạo hãy đeo một trong những chiếc tạp dề xanh đặc trưng của chuỗi và gắn bó hơn với lịch sử và văn hóa của gã khổng lồ cà phê này."10</w:t>
      </w:r>
    </w:p>
    <w:p>
      <w:pPr>
        <w:spacing w:after="80"/>
      </w:pPr>
      <w:r>
        <w:rPr>
          <w:b w:val="0"/>
          <w:i w:val="0"/>
        </w:rPr>
        <w:t xml:space="preserve">Than ôi, chỉ sau 18 tháng và với cổ phiếu công ty đã giảm khoảng 20 phần trăm, Narasimhan đã bị hội đồng quản trị thay thế bằng Brian Niccol, cựu CEO của Chipotle. Giá trị thị trường của Starbucks tăng thêm 20 tỷ đô la khi công bố thông tin này. Theo </w:t>
      </w:r>
      <w:r>
        <w:rPr>
          <w:b w:val="0"/>
          <w:i/>
        </w:rPr>
        <w:t>New York Times</w:t>
      </w:r>
      <w:r>
        <w:rPr>
          <w:b w:val="0"/>
          <w:i w:val="0"/>
        </w:rPr>
        <w:t>, Schultz "đã được tham vấn" về việc tuyển dụng Niccol.11</w:t>
      </w:r>
    </w:p>
    <w:p>
      <w:pPr>
        <w:spacing w:after="80"/>
      </w:pPr>
      <w:r>
        <w:rPr>
          <w:b w:val="0"/>
          <w:i w:val="0"/>
        </w:rPr>
        <w:t>Có thể rất khó khăn cho một tân CEO khi có một chủ tịch điều hành từng giữ vai trò CEO trước đây. Về điểm này, một lãnh đạo và giám đốc rất giàu kinh nghiệm đã nói với tôi rằng chủ tịch điều hành của công ty ông — người là cựu CEO — và CEO hiện tại đều xuất sắc, nhưng thật ngượng ngùng khi các giám đốc hỏi những câu hỏi về vận hành với chủ tịch điều hành trước tiên, chứ không phải với CEO.</w:t>
      </w:r>
    </w:p>
    <w:p>
      <w:pPr>
        <w:spacing w:after="80"/>
      </w:pPr>
      <w:r>
        <w:rPr>
          <w:b w:val="0"/>
          <w:i w:val="0"/>
        </w:rPr>
        <w:t>Peter Crist có gần 50 năm kinh nghiệm tuyển dụng lãnh đạo. Ông bắt đầu vào năm 1977 với Russell Reynolds Associates; sau đó thành lập Crist Partners, công ty được Korn/Ferry mua lại, nơi ông là phó chủ tịch và chủ tịch mảng Dịch vụ Hội đồng Quản trị Toàn cầu; và tiếp theo khởi lập Crist Kolder Associates, nơi ông vẫn còn hoạt động. Ông cũng là giám đốc và cựu chủ tịch của Wintrust Financial. Crist tin rằng trong hầu hết mọi trường hợp, CEO sắp rời đi không nên tiếp tục tham gia với vai trò chủ tịch điều hành chính vì những lý do này.</w:t>
      </w:r>
    </w:p>
    <w:p>
      <w:pPr>
        <w:spacing w:after="80"/>
      </w:pPr>
      <w:r>
        <w:rPr>
          <w:b w:val="0"/>
          <w:i w:val="0"/>
        </w:rPr>
        <w:t>Crist chỉ thấy có một tình huống mà cấu trúc này hoạt động tốt: "Nếu bạn thực sự có một chú ngựa non cần và muốn CEO sắp nghỉ hưu ở lại trong hội đồng để hỗ trợ về mặt chiến lược cho các thương vụ mua lại hoặc điều gì đó mang tính chiến lược, thì tôi thấy ổn với điều đó. Nhưng chỉ khi CEO mới chấp nhận nó. Thông thường, khi bạn có một CEO mới, hãy để CEO cũ ra đi. Hãy tử tế, nhưng đừng để người ta lảng vảng mãi."</w:t>
      </w:r>
    </w:p>
    <w:p>
      <w:pPr>
        <w:spacing w:after="80"/>
      </w:pPr>
      <w:r>
        <w:rPr>
          <w:b w:val="0"/>
          <w:i w:val="0"/>
        </w:rPr>
        <w:t>Có thể xảy ra trường hợp chủ tịch là cựu CEO hoặc đại diện của một cổ đông lớn: cái gọi là chủ tịch không độc lập, không điều hành. Dù chủ tịch không điều hành không phải là lãnh đạo vận hành cấp cao nhất, một cựu CEO hoặc cổ đông lớn ở vị trí này có thể gây ra những thách thức tương tự như đã bàn về chủ tịch điều hành.</w:t>
      </w:r>
    </w:p>
    <w:p>
      <w:pPr>
        <w:spacing w:after="80"/>
      </w:pPr>
      <w:r>
        <w:rPr>
          <w:b w:val="0"/>
          <w:i w:val="0"/>
        </w:rPr>
        <w:t>Một chủ tịch độc lập và một người vừa làm CEO vừa làm chủ tịch là những lựa chọn rất khác nhau và theo nhiều cách có thể định hình mối quan hệ của ban lãnh đạo với hội đồng quản trị. Việc có một chủ tịch độc lập được xem là thông lệ tốt nhất trong quản trị doanh nghiệp; nó cũng được các công ty tư vấn quản trị lớn khuyến nghị. Tuy nhiên, như đã chỉ ra trước đó, vào năm 2022, 43 phần trăm các công ty trong S&amp;P 500 có một người vừa làm chủ tịch vừa làm CEO.</w:t>
      </w:r>
    </w:p>
    <w:p>
      <w:pPr>
        <w:spacing w:after="80"/>
      </w:pPr>
      <w:r>
        <w:rPr>
          <w:b w:val="0"/>
          <w:i w:val="0"/>
        </w:rPr>
        <w:t>Trong hầu như mọi trường hợp chủ tịch không độc lập, có một vai trò bổ sung quan trọng: giám đốc độc lập chủ trì. Trên thực tế, giám đốc độc lập chủ trì thường điều hành các cuộc họp của các giám đốc không điều hành hoặc độc lập và thường là người đại diện chính của các giám đốc độc lập khi làm việc với CEO, dù tất nhiên mọi giám đốc đều nên có mối quan hệ chặt chẽ và quyền tiếp cận đầy đủ với CEO. Giám đốc chủ trì cũng thường trao đổi với chủ tịch về chương trình nghị sự của hội đồng và làm việc sát sao nhất với chủ tịch về những chủ đề lớn như các vấn đề nhân sự cấp cao và các thương vụ lớn tiềm năng.</w:t>
      </w:r>
    </w:p>
    <w:p>
      <w:pPr>
        <w:spacing w:after="80"/>
      </w:pPr>
      <w:r>
        <w:rPr>
          <w:b w:val="0"/>
          <w:i w:val="0"/>
        </w:rPr>
        <w:t>Marty Lipton đã phát triển khái niệm giám đốc độc lập chủ trì cùng giáo sư Trường Kinh doanh Harvard Jay Lorsch vào năm 1992, nhằm kết hợp lợi thế của việc có một nhà lãnh đạo doanh nghiệp tổng thể với lợi thế của sự lãnh đạo độc lập hơn trong hội đồng quản trị.12</w:t>
      </w:r>
    </w:p>
    <w:p>
      <w:pPr>
        <w:spacing w:after="80"/>
      </w:pPr>
      <w:r>
        <w:rPr>
          <w:b w:val="0"/>
          <w:i w:val="0"/>
        </w:rPr>
        <w:t>"Tôi nghĩ điều đó khá tinh tế," Jim McCann của 1-800-FLOWERS nói với tôi. "Đôi khi tôi nghĩ người ta có thể tưởng tượng quá mức về vai trò của chủ tịch, và tôi nghĩ nó giống vai trò giám đốc độc lập chủ trì hơn nhiều."</w:t>
      </w:r>
    </w:p>
    <w:p>
      <w:pPr>
        <w:spacing w:after="80"/>
      </w:pPr>
      <w:r>
        <w:rPr>
          <w:b w:val="0"/>
          <w:i w:val="0"/>
        </w:rPr>
        <w:t>Tài liệu của NACD chỉ ra rằng chủ tịch có quyền triệu tập các cuộc họp giám đốc, nhưng giám đốc chủ trì chỉ có thể đề nghị chủ tịch triệu tập một cuộc họp. Ngoài ra, chủ tịch thiết lập chương trình nghị sự cuộc họp, trong khi giám đốc chủ trì tư vấn về việc chương trình nghị sự nên gồm những gì. Và chủ tịch đại diện công ty trước các bên liên quan bên ngoài, trong khi giám đốc chủ trì thường không làm điều đó.13</w:t>
      </w:r>
    </w:p>
    <w:p>
      <w:pPr>
        <w:spacing w:after="80"/>
      </w:pPr>
      <w:r>
        <w:rPr>
          <w:b w:val="0"/>
          <w:i w:val="0"/>
        </w:rPr>
        <w:t>Thực tế có tranh luận đáng kể về việc liệu một giám đốc chủ trì — so với một chủ tịch hội đồng độc lập — có đủ quyền lực và ảnh hưởng khi chủ tịch và CEO là cùng một người hay không.14 Với tôi, những khác biệt chính giữa hai vị trí này rơi vào ba phạm trù: quyền định hình chương trình nghị sự của hội đồng, sự hiện diện trước cổ đông, và cảm giác về sự lãnh đạo hội đồng đích thực.</w:t>
      </w:r>
    </w:p>
    <w:p>
      <w:pPr>
        <w:spacing w:after="80"/>
      </w:pPr>
      <w:r>
        <w:rPr>
          <w:b w:val="0"/>
          <w:i w:val="0"/>
        </w:rPr>
        <w:t xml:space="preserve">Trung tâm Ira M. Millstein về Thị trường Toàn cầu và Quyền sở hữu Doanh nghiệp tại Đại học Columbia (Millstein Center) tồn tại để kết nối với các nhà lãnh đạo doanh nghiệp và giúp củng cố quản trị.15 Trung tâm được đặt tên theo Ira Millstein, người từng là đối tác cấp cao tại hãng luật Weil và vẫn còn hoạt động khi đã gần 100 tuổi trước khi qua đời vào đầu năm 2024. Millstein là cố vấn cho nhiều hội đồng quản trị trong suốt sự nghiệp của mình, bao gồm General Motors, Westinghouse, Walt Disney và nhiều nơi khác, và được </w:t>
      </w:r>
      <w:r>
        <w:rPr>
          <w:b w:val="0"/>
          <w:i/>
        </w:rPr>
        <w:t>New York Times</w:t>
      </w:r>
      <w:r>
        <w:rPr>
          <w:b w:val="0"/>
          <w:i w:val="0"/>
        </w:rPr>
        <w:t xml:space="preserve"> gọi là "một luật sư đáng kính đã đấu tranh cho sự độc lập lớn hơn của các hội đồng quản trị doanh nghiệp."16</w:t>
      </w:r>
    </w:p>
    <w:p>
      <w:pPr>
        <w:spacing w:after="80"/>
      </w:pPr>
      <w:r>
        <w:rPr>
          <w:b w:val="0"/>
          <w:i w:val="0"/>
        </w:rPr>
        <w:t>Về chủ đề giám đốc chủ trì, một báo cáo của Millstein Center lập luận: "Giám đốc chủ trì còn hơn là không có gì. Nhưng trên thang điểm từ 1 đến 10, có một chủ tịch [không điều hành] là 10, còn có một giám đốc chủ trì chỉ khoảng 4."17 Theo báo cáo này, một giám đốc chủ trì "không có tác động tương tự [như một chủ tịch] về mặt định hình đối thoại và thúc đẩy chiến lược tiến lên."18</w:t>
      </w:r>
    </w:p>
    <w:p>
      <w:pPr>
        <w:spacing w:after="80"/>
      </w:pPr>
      <w:r>
        <w:rPr>
          <w:b w:val="0"/>
          <w:i w:val="0"/>
        </w:rPr>
        <w:t>Doug Oberhelman, cựu CEO của Caterpillar, từng làm việc trong nhiều mô hình lãnh đạo hội đồng quản trị khác nhau và đồng ý rằng vị trí giám đốc độc lập chủ trì (lead independent director) không có nhiều quyền lực: "Tôi là giám đốc chủ trì tại Bombardier. Và tất cả những gì vai trò đó thực sự làm chỉ là điều hành các phiên họp riêng của các giám đốc. Hầu như không có vai trò quản lý [hội đồng] nào cả."</w:t>
      </w:r>
    </w:p>
    <w:p>
      <w:pPr>
        <w:spacing w:after="80"/>
      </w:pPr>
      <w:r>
        <w:rPr>
          <w:b w:val="0"/>
          <w:i w:val="0"/>
        </w:rPr>
        <w:t>Sterrett đồng tình: "Với tư cách là giám đốc độc lập chủ trì, bạn có thể lên tiếng một chút, nhưng với tư cách là chủ tịch hội đồng quản trị, bạn thực sự muốn đảm bảo rằng mọi tiếng nói và mọi quan điểm đều được lắng nghe. Bạn cần có ảnh hưởng để làm được điều đó."</w:t>
      </w:r>
    </w:p>
    <w:p>
      <w:pPr>
        <w:spacing w:after="80"/>
      </w:pPr>
      <w:r>
        <w:rPr>
          <w:b w:val="0"/>
          <w:i w:val="0"/>
        </w:rPr>
        <w:t>Tuy nhiên, một số người lại nhìn nhận theo cách khác. Naren Gursahaney, cựu CEO của ADT và ServiceMaster, đồng thời là một giám đốc giàu kinh nghiệm, từng trải qua cả hai cấu trúc này. Ông nói với tôi: "Với tôi, đó chỉ là hình thức hơn là thực chất. Từng là chủ tịch không điều hành (nonexecutive chair), từng phục vụ dưới một chủ tịch không điều hành, rồi lại ở một công ty khác nơi chúng tôi có giám đốc chủ trì, tôi không chắc rằng giám đốc chủ trì có hành xử khác gì so với chủ tịch không điều hành."</w:t>
      </w:r>
    </w:p>
    <w:p>
      <w:pPr>
        <w:spacing w:after="80"/>
      </w:pPr>
      <w:r>
        <w:rPr>
          <w:b w:val="0"/>
          <w:i w:val="0"/>
        </w:rPr>
        <w:t>Việc có một giám đốc độc lập chủ trì, dù phổ biến ở các hội đồng không có chủ tịch độc lập, không phải là yêu cầu của NYSE hay NASDAQ. Với NYSE, một giám đốc không thuộc ban điều hành được yêu cầu chủ trì các phiên họp điều hành, nhưng NASDAQ không có quy định tương ứng.19 Vì vậy, dù việc có một giám đốc độc lập chủ trì trong trường hợp chủ tịch không độc lập là một "thông lệ tốt nhất" (best practice), không có luật hay quy định nào bắt buộc điều này.</w:t>
      </w:r>
    </w:p>
    <w:p>
      <w:pPr>
        <w:spacing w:after="80"/>
      </w:pPr>
      <w:r>
        <w:rPr>
          <w:b w:val="0"/>
          <w:i w:val="0"/>
        </w:rPr>
        <w:t>Mối lo ngại của nhiều người, trong đó có tôi, là giám đốc độc lập chủ trì thường thiếu ảnh hưởng đáng kể, dẫn đến câu hỏi xuyên suốt phần còn lại của chương này và phần lớn các cuộc thảo luận về lãnh đạo hội đồng quản trị: Liệu CEO có nên đồng thời là chủ tịch hội đồng quản trị, hay nên có một chủ tịch độc lập?</w:t>
      </w:r>
    </w:p>
    <w:p>
      <w:pPr>
        <w:pStyle w:val="Heading2"/>
      </w:pPr>
      <w:r>
        <w:rPr>
          <w:rFonts w:ascii="Calibri" w:hAnsi="Calibri"/>
          <w:b/>
          <w:i w:val="0"/>
          <w:sz w:val="32"/>
        </w:rPr>
        <w:t>Xu hướng chuyển dịch sang—và lập luận ủng hộ—các chủ tịch độc lập</w:t>
      </w:r>
    </w:p>
    <w:p>
      <w:pPr>
        <w:spacing w:after="80"/>
      </w:pPr>
      <w:r>
        <w:rPr>
          <w:b w:val="0"/>
          <w:i w:val="0"/>
        </w:rPr>
        <w:t>Trong hơn 30 năm qua, xu hướng đã rõ ràng: ngày càng nhiều công ty có chủ tịch hội đồng quản trị độc lập và tách vai trò chủ tịch và CEO. Dù 43 phần trăm công ty vẫn có chủ tịch kiêm CEO vào năm 2022, đây là mức giảm rất lớn so với một thế hệ trước. Năm 1989, một khảo sát trên 661 công ty lớn của Mỹ cho thấy hơn 80 phần trăm có một người nắm giữ cả hai chức danh CEO và chủ tịch.20</w:t>
      </w:r>
    </w:p>
    <w:p>
      <w:pPr>
        <w:spacing w:after="80"/>
      </w:pPr>
      <w:r>
        <w:rPr>
          <w:b w:val="0"/>
          <w:i w:val="0"/>
        </w:rPr>
        <w:t>Các cổ đông tổ chức và cổ đông hoạt động (activist shareholder) đã dẫn dắt một phần áp lực theo hướng này. Năm 2022, cổ đông của Meta (trước đây là Facebook) tìm cách loại đồng sáng lập kiêm CEO Mark Zuckerberg khỏi vai trò chủ tịch nhưng vẫn giữ ông làm CEO và chỉ định một chủ tịch hội đồng quản trị độc lập mới.21 Đây là năm thứ tư liên tiếp nỗ lực như vậy được thực hiện và là lần thứ năm trong sáu năm, với các đề xuất này được hậu thuẫn bởi các cổ đông tổ chức lớn, bao gồm AllianceBernstein, Goldman Sachs, JPMorganChase và Vanguard. Thật vậy, vào tháng 5 năm 2019, đa số 68 phần trăm số cổ đông đã bỏ phiếu ủng hộ việc tách các vai trò.</w:t>
      </w:r>
    </w:p>
    <w:p>
      <w:pPr>
        <w:spacing w:after="80"/>
      </w:pPr>
      <w:r>
        <w:rPr>
          <w:b w:val="0"/>
          <w:i w:val="0"/>
        </w:rPr>
        <w:t xml:space="preserve">Những người ủng hộ chỉ ra các vụ bê bối quyền riêng tư của công ty, sự lan tràn của ngôn từ thù địch, và điều mà họ cho là thiếu quản trị hiệu quả.22 Michael Frerichs, thủ quỹ bang Illinois, nói với </w:t>
      </w:r>
      <w:r>
        <w:rPr>
          <w:b w:val="0"/>
          <w:i/>
        </w:rPr>
        <w:t>Wall Street Journal</w:t>
      </w:r>
      <w:r>
        <w:rPr>
          <w:b w:val="0"/>
          <w:i w:val="0"/>
        </w:rPr>
        <w:t xml:space="preserve"> vào năm 2021: "Facebook sẵn sàng cho phép một mức độ ngôn từ thù địch, thông tin sai lệch chính trị và ngôn từ gây chia rẽ nhất định để có thể kiếm nhiều tiền hơn. Đó chính xác là lý do tại sao cấu trúc quản trị của hội đồng phải thay đổi."23 Với những bình luận này, tôi nhớ lại rằng dù tôi đã thảo luận rằng một cuộc bỏ phiếu Say-on-Pay thấp có thể phản ánh sự thất vọng với hiệu quả tài chính và/hoặc giá cổ phiếu của công ty, chứ không phải sự phản đối các quyết định thù lao điều hành, đôi khi mong muốn tước bỏ vị trí chủ tịch của một chủ tịch kiêm CEO có thể xuất phát từ hiệu quả kém hoặc những sai sót khác—chứ không phải lo ngại về quản trị.</w:t>
      </w:r>
    </w:p>
    <w:p>
      <w:pPr>
        <w:spacing w:after="80"/>
      </w:pPr>
      <w:r>
        <w:rPr>
          <w:b w:val="0"/>
          <w:i w:val="0"/>
        </w:rPr>
        <w:t>Natasha Lamb của công ty đầu tư bền vững Arjuna Capital nói với S&amp;P Global Market Intelligence trong các nỗ lực tước bỏ vai trò lãnh đạo hội đồng (nhưng không phải công ty) của Zuckerberg: "Tách chủ tịch khỏi CEO là Quản trị Doanh nghiệp 101."24</w:t>
      </w:r>
    </w:p>
    <w:p>
      <w:pPr>
        <w:spacing w:after="80"/>
      </w:pPr>
      <w:r>
        <w:rPr>
          <w:b w:val="0"/>
          <w:i w:val="0"/>
        </w:rPr>
        <w:t>Tuy nhiên, các đề xuất loại bỏ Zuckerberg đều thất bại mỗi lần do cấu trúc cổ phần hai lớp của Meta. Zuckerberg kiểm soát 58 phần trăm số phiếu thông qua cổ phiếu Class B của mình—mỗi cổ phiếu có mười phiếu bầu, trong khi cổ phiếu Class A được nắm giữ rộng rãi chỉ có một phiếu mỗi cổ phiếu.25 Được bảo vệ khỏi áp lực cổ đông, Zuckerberg vẫn giữ cả hai vai trò.</w:t>
      </w:r>
    </w:p>
    <w:p>
      <w:pPr>
        <w:spacing w:after="80"/>
      </w:pPr>
      <w:r>
        <w:rPr>
          <w:b w:val="0"/>
          <w:i w:val="0"/>
        </w:rPr>
        <w:t>Ngay cả khi không có một nhà sáng lập nổi bật nào vừa là chủ tịch vừa là CEO, việc thông qua một đề xuất tách vai trò chủ tịch và CEO vẫn rất khó khăn. Trên thực tế, chỉ có ba đề xuất loại này được thông qua kể từ năm 2016 trong số khoảng 50 đề xuất mỗi năm, và mức ủng hộ trung bình chưa đến một phần ba số phiếu bầu.26 Một số người cho rằng vai trò giám đốc độc lập chủ trì đã làm giảm bớt mong muốn tách vai trò chủ tịch và CEO.</w:t>
      </w:r>
    </w:p>
    <w:p>
      <w:pPr>
        <w:spacing w:after="80"/>
      </w:pPr>
      <w:r>
        <w:rPr>
          <w:b w:val="0"/>
          <w:i w:val="0"/>
        </w:rPr>
        <w:t>Tuy nhiên, hầu hết các nhà đầu tư tổ chức đều ủng hộ việc tách các vị trí chủ tịch và CEO.27 Các nhà hoạt động cũng thường lập luận rằng điều này tăng cường tính độc lập của hội đồng và tăng trách nhiệm giải trình đối với CEO. Nói đơn giản, lãnh đạo hội đồng và lãnh đạo công ty là hai công việc riêng biệt, dù có liên quan. Steve Girsky, CEO của Nikola và là người kỳ cựu trong các hội đồng công khai, chỉ ra những thách thức khi một người cố gắng làm tốt cả hai công việc: "Tôi không nghĩ có bất kỳ lợi ích nào khi gộp chúng lại. Đó chỉ là thêm việc cho CEO, và tôi thà thấy họ tập trung vào hoạt động kinh doanh."</w:t>
      </w:r>
    </w:p>
    <w:p>
      <w:pPr>
        <w:spacing w:after="80"/>
      </w:pPr>
      <w:r>
        <w:rPr>
          <w:b w:val="0"/>
          <w:i w:val="0"/>
        </w:rPr>
        <w:t xml:space="preserve">Bằng cách tách hai vị trí, một công ty có thể phân biệt rõ ràng giữa quản lý hội đồng và quản lý công ty. Trong một bài viết trên </w:t>
      </w:r>
      <w:r>
        <w:rPr>
          <w:b w:val="0"/>
          <w:i/>
        </w:rPr>
        <w:t>Harvard Business Review</w:t>
      </w:r>
      <w:r>
        <w:rPr>
          <w:b w:val="0"/>
          <w:i w:val="0"/>
        </w:rPr>
        <w:t>, Joseph Mandato và William Devine viết: "Chủ tịch hội đồng dẫn dắt nỗ lực của hội đồng để xuất sắc trong việc tư vấn về chiến lược, giám sát hiệu quả, giám sát tài chính và kiểm soát, và đánh giá ban điều hành. CEO thiết lập trong công ty một bộ giá trị, thông lệ và mục tiêu chung giúp công ty thực thi kế hoạch chiến lược và xây dựng một tương lai ý nghĩa. Để phát triển, một công ty cần cả hai vai trò này được thực hiện một cách triệt để và tốt đẹp."28</w:t>
      </w:r>
    </w:p>
    <w:p>
      <w:pPr>
        <w:spacing w:after="80"/>
      </w:pPr>
      <w:r>
        <w:rPr>
          <w:b w:val="0"/>
          <w:i w:val="0"/>
        </w:rPr>
        <w:t>Ngoài ra, một CEO đồng thời là chủ tịch tạo ra một cấu trúc báo cáo gượng gạo: CEO thường báo cáo lên hội đồng, và chủ tịch, tất nhiên, lãnh đạo hội đồng; vậy nên nếu chủ tịch và CEO là cùng một người, về mặt kỹ thuật CEO báo cáo cho chính mình. Như Charles Elson nói với CNBC: "Thật không hợp lý khi để người bị hội đồng giám sát lại chủ trì nhóm đang giám sát họ."29</w:t>
      </w:r>
    </w:p>
    <w:p>
      <w:pPr>
        <w:spacing w:after="80"/>
      </w:pPr>
      <w:r>
        <w:rPr>
          <w:b w:val="0"/>
          <w:i w:val="0"/>
        </w:rPr>
        <w:t>Sterrett đồng tình: "Trong một thế giới hoàn hảo, có lẽ tách họ ra là quản trị tốt hơn. Chúng ta đều đã thấy những tổ chức có một cá tính rất mạnh ở vị trí lãnh đạo cao nhất, và tôi nghĩ dù một giám đốc độc lập chủ trì có thể gây ảnh hưởng—và tôi nghĩ thực ra trong tình huống đó, việc giám đốc độc lập chủ trì gây ảnh hưởng là điều bắt buộc—tôi nghĩ khả năng thành công cuối cùng sẽ cao hơn nếu giám đốc độc lập chủ trì có chức danh chủ tịch."</w:t>
      </w:r>
    </w:p>
    <w:p>
      <w:pPr>
        <w:spacing w:after="80"/>
      </w:pPr>
      <w:r>
        <w:rPr>
          <w:b w:val="0"/>
          <w:i w:val="0"/>
        </w:rPr>
        <w:t>Fred Lynch là chủ tịch kiêm CEO của Masonite trong 12 năm, nơi Bob Byrne và tôi ngồi trong hội đồng quản trị. Hiện ông là đối tác điều hành tại công ty cổ phần tư nhân AEA và đã tham gia nhiều hội đồng quản trị. "Tôi đã đảm nhận vai trò CEO hai lần rồi," Lynch nói với tôi. "Bạn thực sự muốn chắc chắn rằng các thành viên hội đồng quản trị đang mang đến cho bạn những suy nghĩ độc lập. Và nếu có những thành viên hội đồng khó xử, việc có một chủ tịch độc lập nghĩa là CEO có thể đến gặp chủ tịch và nói rằng họ cần giải quyết vấn đề đó. CEO không cần phải đốt cầu nếu họ không đồng thời là chủ tịch hội đồng quản trị."</w:t>
      </w:r>
    </w:p>
    <w:p>
      <w:pPr>
        <w:spacing w:after="80"/>
      </w:pPr>
      <w:r>
        <w:rPr>
          <w:b w:val="0"/>
          <w:i w:val="0"/>
        </w:rPr>
        <w:t xml:space="preserve">Thật vậy, thảm họa an toàn của Boeing, mà tôi đã thảo luận trong chương 3 trong bối cảnh các giám đốc và nghĩa vụ cẩn trọng, minh họa những rủi ro khi giữ hai vai trò trong tay một người. Joseph Mandato và William Devine viết về Boeing trong bài báo trên </w:t>
      </w:r>
      <w:r>
        <w:rPr>
          <w:b w:val="0"/>
          <w:i/>
        </w:rPr>
        <w:t>Harvard Business Review</w:t>
      </w:r>
      <w:r>
        <w:rPr>
          <w:b w:val="0"/>
          <w:i w:val="0"/>
        </w:rPr>
        <w:t xml:space="preserve"> của họ, lập luận rằng chủ tịch hội đồng quản trị nên độc lập: "Bên dưới tất cả các báo cáo về thiết kế máy bay có lỗi chết người . . . có một sự thật về lãnh đạo tổ chức. . . . Hãy cẩn thận khi giao cả công việc CEO và công việc chủ tịch hội đồng quản trị cho một người."30</w:t>
      </w:r>
    </w:p>
    <w:p>
      <w:pPr>
        <w:spacing w:after="80"/>
      </w:pPr>
      <w:r>
        <w:rPr>
          <w:b w:val="0"/>
          <w:i w:val="0"/>
        </w:rPr>
        <w:t>Việc Boeing dường như thất bại trong việc thực hiện các biện pháp phòng ngừa an toàn đầy đủ "có thể đã được hưởng lợi từ một chủ tịch hội đồng quản trị khởi xướng một phiên họp điều hành kín để xem xét sự tập trung của [chủ tịch kiêm CEO Dennis] Muilenburg vào các khát vọng toàn cầu và liên hành tinh [thay vì an toàn]," Mandato và Devine viết.31 Thật vậy, trong trường hợp của Boeing, kết quả cuối cùng của những sai sót được cho là như vậy cho đến nay là vào tháng 3 năm 2024, hội đồng quản trị thấy mình tiếp tục bị giám sát sau một sự cố trong đó bốn bu-lông bị thiếu từ một nút cửa khiến một tấm ốp khoang hành khách bị bung ra khỏi máy bay trong một chuyến bay. Công ty đã công bố những thay đổi đáng kể trong ban lãnh đạo cấp cao, bao gồm việc CEO Dave Calhoun sẽ nghỉ hưu vào cuối năm 2024, một cuộc tìm kiếm CEO mới sẽ được thực hiện, và người đứng đầu bộ phận máy bay thương mại của công ty sẽ được thay thế.32</w:t>
      </w:r>
    </w:p>
    <w:p>
      <w:pPr>
        <w:spacing w:after="80"/>
      </w:pPr>
      <w:r>
        <w:rPr>
          <w:b w:val="0"/>
          <w:i w:val="0"/>
        </w:rPr>
        <w:t>Rộng hơn, trích dẫn CEO công nghệ năm lần Sam Gerace, bài báo giải thích rằng "về mặt tổ chức, chủ tịch hội đồng quản trị không nên là CEO, đơn giản vì các tổ chức di chuyển theo hướng của những câu hỏi mà họ đặt ra. Nếu bạn có một chủ tịch và một CEO là cùng một người, có những câu hỏi có thể sẽ không được đặt ra."33</w:t>
      </w:r>
    </w:p>
    <w:p>
      <w:pPr>
        <w:spacing w:after="80"/>
      </w:pPr>
      <w:r>
        <w:rPr>
          <w:b w:val="0"/>
          <w:i w:val="0"/>
        </w:rPr>
        <w:t>Cũng có một vấn đề tiềm ẩn, và ít nhất là sự khó xử, khi nói đến việc đánh giá hiệu suất CEO và lập kế hoạch kế nhiệm. Mặc dù ủy ban lương thưởng thường giám sát quá trình đánh giá CEO với sự đóng góp từ toàn bộ hội đồng quản trị và ủy ban đề cử và quản trị thường quản lý việc kế nhiệm CEO, cũng với sự tham gia của toàn bộ hội đồng quản trị, những quá trình này có thể trở nên khó xử khi CEO là người đứng đầu hội đồng quản trị. Trong tình huống này, CEO cũng đang được đánh giá và người kế nhiệm được hội đồng quản trị mà chính họ lãnh đạo cân nhắc.</w:t>
      </w:r>
    </w:p>
    <w:p>
      <w:pPr>
        <w:spacing w:after="80"/>
      </w:pPr>
      <w:r>
        <w:rPr>
          <w:b w:val="0"/>
          <w:i w:val="0"/>
        </w:rPr>
        <w:t>Cả hai công ty tư vấn quản trị lớn đều đứng về phía tách biệt hai vai trò, cũng như các nhà đầu tư tổ chức lớn như BlackRock. Tuy nhiên, họ không đi xa đến mức khăng khăng rằng cổ đông nên bỏ phiếu chống lại các cấu trúc hợp nhất.34 Institutional Shareholder Services (ISS), công ty tư vấn quản trị lớn nhất, tuyên bố trong hướng dẫn bỏ phiếu ủy quyền cho năm 2025 rằng cổ đông nên "nói chung bỏ phiếu ủng hộ các đề xuất của cổ đông yêu cầu rằng vị trí chủ tịch hội đồng quản trị phải do một giám đốc độc lập đảm nhiệm."35 Glass Lewis, một công ty tư vấn ủy quyền quan trọng khác, đã nhấn mạnh khó khăn trong việc thay thế một CEO kém hiệu quả khi CEO đó cũng là chủ tịch. "Chúng tôi tin rằng sự hiện diện của một chủ tịch độc lập thúc đẩy việc tạo ra một hội đồng quản trị chu đáo và năng động," công ty nói thêm, "không bị chi phối bởi quan điểm của ban lãnh đạo cấp cao."36</w:t>
      </w:r>
    </w:p>
    <w:p>
      <w:pPr>
        <w:spacing w:after="80"/>
      </w:pPr>
      <w:r>
        <w:rPr>
          <w:b w:val="0"/>
          <w:i w:val="0"/>
        </w:rPr>
        <w:t>SEC chưa đưa ra quan điểm. Cơ quan này yêu cầu công bố thông tin về cấu trúc lãnh đạo hội đồng quản trị và vai trò của một giám đốc độc lập chủ chốt, nếu có, nhưng không yêu cầu công bố về lý do tại sao các vai trò chủ tịch và CEO đã hoặc chưa được tách biệt.</w:t>
      </w:r>
    </w:p>
    <w:p>
      <w:pPr>
        <w:spacing w:after="80"/>
      </w:pPr>
      <w:r>
        <w:rPr>
          <w:b w:val="0"/>
          <w:i w:val="0"/>
        </w:rPr>
        <w:t>Hoa Kỳ đang ở một vị trí khác so với hầu hết phần còn lại của thế giới về vấn đề này. Câu hỏi liệu có nên tách biệt chủ tịch và CEO hầu như không phải là vấn đề ở nhiều quốc gia, nơi các quy định thường yêu cầu sự độc lập. Bộ Quy tắc Quản trị Công ty của Vương quốc Anh quy định rằng các vai trò chủ tịch và CEO không được do cùng một người đảm nhiệm và cần có sự phân chia trách nhiệm rõ ràng giữa người điều hành hội đồng quản trị và người điều hành doanh nghiệp.37</w:t>
      </w:r>
    </w:p>
    <w:p>
      <w:pPr>
        <w:spacing w:after="80"/>
      </w:pPr>
      <w:r>
        <w:rPr>
          <w:b w:val="0"/>
          <w:i w:val="0"/>
        </w:rPr>
        <w:t>Cách tiếp cận này của Vương quốc Anh xuất hiện vào đầu những năm 1990, khi Ủy ban Cadbury được thành lập để xem xét các thực tiễn tốt nhất sau một loạt các vụ sụp đổ doanh nghiệp bị đổ lỗi cho việc thiếu giám sát của hội đồng quản trị.38 Báo cáo của ủy ban này đề xuất tách biệt chủ tịch và CEO, và vào năm 1993, Sở Giao dịch Chứng khoán London yêu cầu các công ty phải làm điều này hoặc công bố lý do tại sao họ không làm. Hiện nay gần như tất cả các công ty Vương quốc Anh đều có chủ tịch và CEO riêng biệt.39 Điều này nói chung cũng đúng ở Canada, Đức, Hà Lan, Úc, Bỉ, Singapore và Nam Phi, trong số nhiều quốc gia khác.40 Trên thực tế, tính đến năm 2021, 76 phần trăm các khu vực pháp lý trên thế giới hoặc yêu cầu hoặc khuyến khích tách biệt vai trò CEO và chủ tịch hội đồng quản trị so với 36 phần trăm vào năm 2015.41 Hoa Kỳ đã chậm hơn trong việc thực hiện sự thay đổi này.</w:t>
      </w:r>
    </w:p>
    <w:p>
      <w:pPr>
        <w:spacing w:after="80"/>
      </w:pPr>
      <w:r>
        <w:rPr>
          <w:b w:val="0"/>
          <w:i w:val="0"/>
        </w:rPr>
        <w:t>Tuy nhiên, không phải ai cũng thấy những lập luận này thuyết phục, và trên thực tế, một nhóm tiếng nói đáng kể có quan điểm ngược lại, khăng khăng rằng một công ty và cổ đông của nó được phục vụ hiệu quả hơn khi có một chủ tịch kiêm CEO hợp nhất.</w:t>
      </w:r>
    </w:p>
    <w:p>
      <w:pPr>
        <w:pStyle w:val="Heading2"/>
      </w:pPr>
      <w:r>
        <w:rPr>
          <w:rFonts w:ascii="Calibri" w:hAnsi="Calibri"/>
          <w:b/>
          <w:i w:val="0"/>
          <w:sz w:val="32"/>
        </w:rPr>
        <w:t>Những lập luận chống lại việc tách biệt</w:t>
      </w:r>
    </w:p>
    <w:p>
      <w:pPr>
        <w:spacing w:after="80"/>
      </w:pPr>
      <w:r>
        <w:rPr>
          <w:b w:val="0"/>
          <w:i w:val="0"/>
        </w:rPr>
        <w:t>Những lập luận chống lại việc tách biệt tập trung vào ý tưởng rằng việc kết hợp các vai trò chủ tịch và CEO dẫn đến trách nhiệm giải trình rõ ràng, lãnh đạo phối hợp, và khả năng hành động nhanh chóng và dứt khoát. Điều này, theo lập luận, dẫn đến kết quả doanh nghiệp tốt hơn.</w:t>
      </w:r>
    </w:p>
    <w:p>
      <w:pPr>
        <w:spacing w:after="80"/>
      </w:pPr>
      <w:r>
        <w:rPr>
          <w:b w:val="0"/>
          <w:i w:val="0"/>
        </w:rPr>
        <w:t>Thật vậy, lập luận chính chống lại việc tách biệt là không có bằng chứng—bất chấp một số nghiên cứu—rằng việc tách biệt thực sự dẫn đến kết quả được cải thiện. "Việc thiếu mối quan hệ rõ ràng giữa cấu trúc lãnh đạo hội đồng quản trị và hiệu suất công ty thể hiện một 'mức độ nhất quán . . . bất thường trong bất kỳ tài liệu nào,'" Ryan Krause và Matthew Semadeni viết trong bài báo năm 2013 của họ xem xét lợi nhuận giá cổ phiếu và xếp hạng của nhà phân tích, và nghiên cứu kể từ đó cũng không thuyết phục hơn.42</w:t>
      </w:r>
    </w:p>
    <w:p>
      <w:pPr>
        <w:spacing w:after="80"/>
      </w:pPr>
      <w:r>
        <w:rPr>
          <w:b w:val="0"/>
          <w:i w:val="0"/>
        </w:rPr>
        <w:t>Như Jamie Dimon đã viết trong Báo cáo Thường niên JPMorganChase năm 2023, "[Có một] cuộc chiến liên tục của một số cố vấn ủy quyền cố gắng tách vai trò chủ tịch và CEO khi không có bằng chứng rằng điều này làm cho công ty tốt hơn—trên thực tế, ngày nay, các giám đốc chủ chốt thường nắm giữ hầu hết các quyền hạn trước đây được giao cho chủ tịch."43</w:t>
      </w:r>
    </w:p>
    <w:p>
      <w:pPr>
        <w:spacing w:after="80"/>
      </w:pPr>
      <w:r>
        <w:rPr>
          <w:b w:val="0"/>
          <w:i w:val="0"/>
        </w:rPr>
        <w:t>David F. Larcker và Brian Tayan của Trường Kinh doanh Sau đại học Stanford giải thích thêm: "Việc tách biệt có thể dẫn đến sự trùng lặp lãnh đạo, làm suy yếu việc ra quyết định, và tạo ra sự nhầm lẫn nội bộ, đặc biệt trong thời kỳ khủng hoảng. Nó cũng có thể khiến việc tuyển dụng một CEO mới trở nên khó khăn nếu các ứng viên đủ điều kiện mong đợi nắm giữ cả hai chức danh. Điều này đặc biệt đúng khi CEO mới là người được thuê từ bên ngoài. . . . Hầu hết các nghiên cứu phát hiện rằng tình trạng độc lập của chủ tịch không phải là một chỉ báo quan trọng về hiệu suất công ty hay chất lượng quản trị. . . . [và sau khi một công ty thay đổi cấu trúc của mình, không có] bằng chứng rằng quyết định này ảnh hưởng đến hiệu suất tiếp theo."44</w:t>
      </w:r>
    </w:p>
    <w:p>
      <w:pPr>
        <w:spacing w:after="80"/>
      </w:pPr>
      <w:r>
        <w:rPr>
          <w:b w:val="0"/>
          <w:i w:val="0"/>
        </w:rPr>
        <w:t>Oberhelman đồng ý: "Nếu bạn thực sự đang gặp xung đột và mọi thứ tồi tệ, có lẽ bạn nên tách ra. Nhưng khi công ty đang hoạt động tốt, điều xảy ra tại Caterpillar khi chúng tôi tách ra là mọi người đều bối rối. Trong một năm, khách hàng không biết ai là ông chủ, và nhân viên không biết ai là ông chủ. Chủ tịch và CEO là hai công việc khác nhau. Nhưng nếu bạn có một hội đồng quản trị gắn kết và một giám đốc chủ tọa hoặc giám đốc chủ chốt, nó hoạt động tốt. Giám đốc chủ chốt sẽ điều hành các phiên họp kín, và ông ấy sẽ giúp về việc kế nhiệm hội đồng quản trị. Nhưng tôi tin vào một người chịu trách nhiệm."</w:t>
      </w:r>
    </w:p>
    <w:p>
      <w:pPr>
        <w:spacing w:after="80"/>
      </w:pPr>
      <w:r>
        <w:rPr>
          <w:b w:val="0"/>
          <w:i w:val="0"/>
        </w:rPr>
        <w:t>Tôi cũng đã nói chuyện với Tiến sĩ Jonathan Rich, một người gốc Iowa với nhiều bằng sáng chế và thành tựu điều hành đáng nể, từng giữ nhiều vai trò như cựu chủ tịch và CEO của Berry Global, cựu chủ tịch của Pactiv Evergreen, và cựu giám đốc, rồi CEO, và sau đó (sau khi rời vai trò CEO) là chủ tịch của Lumileds. Ông khẳng định rằng một CEO có thể cảm thấy mình như một “thành viên hội đồng quản trị hạng hai” khi không phải là chủ tịch. “Nếu CEO không giỏi dẫn dắt hội đồng quản trị,” ông nói với tôi, “thì có lẽ anh ta là CEO sai người.” Rich giải thích rằng các vai trò này khác nhau—“CEO chịu trách nhiệm thực thi và gia tăng giá trị, còn chủ tịch chịu trách nhiệm thiết lập chiến lược cùng hội đồng quản trị và quyết định việc phân bổ vốn”—nhưng chúng lại bổ trợ cho nhau khi được cùng một người nắm giữ: “Không ai hiểu rõ về chiến lược và phân bổ vốn hơn CEO, nên anh ta ở vị thế tốt để đảm nhận cả hai vai trò nếu đó là đúng người với đúng phong thái.”</w:t>
      </w:r>
    </w:p>
    <w:p>
      <w:pPr>
        <w:spacing w:after="80"/>
      </w:pPr>
      <w:r>
        <w:rPr>
          <w:b w:val="0"/>
          <w:i w:val="0"/>
        </w:rPr>
        <w:t>Chánh án Strine đồng tình: “Tôi nghĩ chừng nào bạn có một giám đốc độc lập chủ chốt mạnh mẽ, tôi không thấy lý do gì mà CEO không thể làm chủ tịch.” Ông nói thêm, “Nếu bạn là một nhà lãnh đạo mạnh mẽ, bạn nên sẵn sàng lắng nghe những tiếng nói đa dạng. Bạn nên sẵn sàng để đội ngũ quản lý của mình có những cuộc tranh luận thực sự và lắng nghe hội đồng quản trị của mình chứ không phải đến với mọi thứ đã được dàn dựng sẵn.” Tất nhiên, không phải nhà lãnh đạo nào cũng mạnh mẽ, và không phải nhà lãnh đạo nào cũng muốn lắng nghe và cân nhắc kỹ lưỡng các quan điểm khác.</w:t>
      </w:r>
    </w:p>
    <w:p>
      <w:pPr>
        <w:pStyle w:val="Heading2"/>
      </w:pPr>
      <w:r>
        <w:rPr>
          <w:rFonts w:ascii="Calibri" w:hAnsi="Calibri"/>
          <w:b/>
          <w:i w:val="0"/>
          <w:sz w:val="32"/>
        </w:rPr>
        <w:t>Tìm điểm chung</w:t>
      </w:r>
    </w:p>
    <w:p>
      <w:pPr>
        <w:spacing w:after="80"/>
      </w:pPr>
      <w:r>
        <w:rPr>
          <w:b w:val="0"/>
          <w:i w:val="0"/>
        </w:rPr>
        <w:t>Thực tế là có lẽ không có một câu trả lời tối ưu duy nhất cho mọi tình huống. Mọi công ty đều khác nhau và trải qua những giai đoạn khác nhau. Mọi cá nhân đều độc đáo và có những năng lực cùng phong thái khác nhau. Ngay cả khi là người tin rằng việc tách vai trò nói chung là thích hợp hơn, phần lớn vì điều hành hội đồng quản trị và điều hành công ty là hai vị trí khác nhau, và có những rủi ro khi CEO là người đứng đầu nhóm (hội đồng quản trị) mà mình báo cáo cho, tôi tin rằng sẽ là quá áp đặt nếu buộc mọi công ty phải tách các vai trò này.</w:t>
      </w:r>
    </w:p>
    <w:p>
      <w:pPr>
        <w:spacing w:after="80"/>
      </w:pPr>
      <w:r>
        <w:rPr>
          <w:b w:val="0"/>
          <w:i w:val="0"/>
        </w:rPr>
        <w:t>Matteo Tonello của The Conference Board đã viết về ba chỉ số quan trọng nhất của hiệu quả hội đồng quản trị, được xác định qua quan sát và phỏng vấn các giám đốc, trong đó có trường hợp vai trò chủ tịch và CEO được kết hợp và những trường hợp khác thì tách riêng.45 Ba chỉ số này là khả năng quản lý sự bất đồng, tạo ra một cuộc thảo luận nhóm hiệu quả, và thúc đẩy một văn hóa hội đồng quản trị tích cực (đặc biệt là giữa hội đồng quản trị và ban quản lý).46</w:t>
      </w:r>
    </w:p>
    <w:p>
      <w:pPr>
        <w:spacing w:after="80"/>
      </w:pPr>
      <w:r>
        <w:rPr>
          <w:b w:val="0"/>
          <w:i w:val="0"/>
        </w:rPr>
        <w:t>Những phẩm chất này có thể tồn tại khi có sự kiêm nhiệm—khi vai trò chủ tịch và CEO được kết hợp—và chúng cũng có thể tồn tại khi các vai trò hàng đầu được tách riêng; việc có hay không có chúng phụ thuộc vào bản chất của các cá nhân và động lực của hội đồng quản trị. Nhưng cũng đúng rằng đây không hẳn là những phẩm chất được đánh giá trong quá trình tìm kiếm một CEO; nếu CEO cũng sẽ là chủ tịch hội đồng quản trị, thì cần chú ý xem liệu bộ kỹ năng cần thiết có hiện diện hay không.</w:t>
      </w:r>
    </w:p>
    <w:p>
      <w:pPr>
        <w:spacing w:after="80"/>
      </w:pPr>
      <w:r>
        <w:rPr>
          <w:b w:val="0"/>
          <w:i w:val="0"/>
        </w:rPr>
        <w:t>“Điều đó còn tùy hoàn cảnh,” Jim McCann nói với tôi. “Bạn phải nhìn xem CEO đang ở đâu trong nhiệm kỳ của họ. Họ mới vào vị trí hay mới với công ty hay mới với ngành, đến mức họ sẽ được lợi khi có một người quản lý hội đồng quản trị dày dạn kinh nghiệm hơn?”</w:t>
      </w:r>
    </w:p>
    <w:p>
      <w:pPr>
        <w:spacing w:after="80"/>
      </w:pPr>
      <w:r>
        <w:rPr>
          <w:b w:val="0"/>
          <w:i w:val="0"/>
        </w:rPr>
        <w:t>Có thể hiểu được rằng người ta lập luận rằng nếu CEO không phải là chủ tịch hội đồng quản trị, thì chủ tịch phải hiểu những áp lực mà CEO đang đối mặt và sự phức tạp của vai trò này. Michael Useem và các đồng nghiệp tại Wharton School thuộc Đại học Pennsylvania lập luận rằng những người ở vị thế tốt nhất để hiểu những đòi hỏi đặt lên một CEO chính là các CEO. “Khi số lượng các CEO đương nhiệm hoặc cựu CEO được chọn vào ghế hội đồng quản trị tiếp tục giảm mạnh,” họ giải thích, “chúng tôi tin rằng kinh nghiệm CEO là một tài sản ngày càng quan trọng [cho vai trò lãnh đạo hội đồng quản trị].”47</w:t>
      </w:r>
    </w:p>
    <w:p>
      <w:pPr>
        <w:spacing w:after="80"/>
      </w:pPr>
      <w:r>
        <w:rPr>
          <w:b w:val="0"/>
          <w:i w:val="0"/>
        </w:rPr>
        <w:t>Tôi thừa nhận rằng việc hiểu những thách thức mà các CEO đối mặt là rất quan trọng, nhưng tôi không đồng ý rằng bạn phải từng là CEO mới có thể thấu hiểu chúng. Tôi thích so sánh điều này với ý tưởng rằng bạn không cần phải từng là một cầu thủ ngôi sao mới trở thành một huấn luyện viên tuyệt vời, và thực tế, nhiều vận động viên xuất sắc lại không phải là những huấn luyện viên giỏi. Michael Jordan là một trong những cầu thủ bóng rổ phi thường nhất từng bước lên sàn gỗ và đã cực kỳ thành công trong kinh doanh, bao gồm cả vai trò chủ sở hữu đội bóng và người quảng bá cho nhiều sản phẩm tiêu dùng khác nhau—nhưng nhiệm kỳ ngắn ngủi của ông với vai trò huấn luyện viên trưởng ở NBA lại không thành công. Ở thái cực ngược lại, Gregg Popovich, huấn luyện viên trưởng của San Antonio Spurs từ năm 1996, huấn luyện viên trưởng có thâm niên lâu nhất ở NBA (dù hiện đang phải nghỉ vì vấn đề sức khỏe), và là nhà vô địch NBA năm lần trên cương vị huấn luyện viên trưởng, từng chơi bóng rổ đại học nhưng chưa bao giờ chơi ở NBA. Có nhiều cách để hiểu rõ những áp lực mà một CEO đối mặt, chẳng hạn như bằng việc trở thành một giám đốc điều hành cấp cao dày dạn kinh nghiệm hoặc một chuyên gia ngân hàng đầu tư hay luật sư đã được chứng minh, cũng giống như nhiều huấn luyện viên từng thắng đã hiểu được cách các vận động viên “vận hành” và cách truyền động lực cho họ dù bản thân chưa từng là cầu thủ hàng đầu.</w:t>
      </w:r>
    </w:p>
    <w:p>
      <w:pPr>
        <w:spacing w:after="80"/>
      </w:pPr>
      <w:r>
        <w:rPr>
          <w:b w:val="0"/>
          <w:i w:val="0"/>
        </w:rPr>
        <w:t>Thật thú vị khi lưu ý rằng có sự linh hoạt trong các quyết định của một số công ty về vị trí chủ tịch, và điều đó có thể phụ thuộc vào năng lực cùng kinh nghiệm của CEO cụ thể. Các công ty đôi khi tách các vai trò này khi một CEO mới gia nhập rồi sau đó kết hợp lại khi CEO đã tích lũy kinh nghiệm và chứng tỏ hiệu quả. Trong báo cáo Stanford năm 2016 của Larcker và Tayan, người ta phát hiện rằng 78 phần trăm các vụ tách vai trò gắn liền với một sự kiện kế nhiệm, nhưng 34 phần trăm các công ty trong mẫu của họ đã kết hợp lại vai trò chủ tịch và CEO sau khi đã “vĩnh viễn” tách chúng trong giai đoạn khảo sát 20 năm.48</w:t>
      </w:r>
    </w:p>
    <w:p>
      <w:pPr>
        <w:spacing w:after="80"/>
      </w:pPr>
      <w:r>
        <w:rPr>
          <w:b w:val="0"/>
          <w:i w:val="0"/>
        </w:rPr>
        <w:t>Như một ví dụ từ báo cáo Stanford, nhà bán lẻ điện tử Best Buy đã tách các vai trò này trong hơn một chục năm sau khi nhà sáng lập kiêm chủ tịch Richard Schulze rời vai trò CEO vào năm 2002 nhưng vẫn giữ chức chủ tịch cho đến năm 2012. Khi người kế nhiệm Schulze ở vị trí chủ tịch, người không phải là CEO, nghỉ hưu, công ty đã trao vị trí chủ tịch hội đồng quản trị cho CEO lúc đó là Hubert Joly, kết hợp lại các vai trò đã bị tách ra.49 Giá cổ phiếu Best Buy cũng tăng gần gấp đôi trong ba năm từ khi Joly được bổ nhiệm làm CEO năm 2012 đến khi ông nhận vai trò chủ tịch vào năm 2015. Từ năm 2015 cho đến khi ông rời vai trò CEO và trở thành chủ tịch điều hành năm 2019, cổ phiếu gần như tăng gấp ba. Sau đó ông phục vụ một năm với vai trò chủ tịch điều hành trước khi rời công ty.</w:t>
      </w:r>
    </w:p>
    <w:p>
      <w:pPr>
        <w:spacing w:after="80"/>
      </w:pPr>
      <w:r>
        <w:rPr>
          <w:b w:val="0"/>
          <w:i w:val="0"/>
        </w:rPr>
        <w:t>Không giống nhiều nhà bán lẻ mang tính biểu tượng như Toys“R”Us và Bed Bath &amp; Beyond, Best Buy là một trong số ít câu chuyện thành công lớn trong những năm gần đây đối với các công ty trong lĩnh vực bán lẻ vật lý hoặc bán lẻ dựa trên cửa hàng. Joly tập trung vào việc xây dựng mối quan hệ nhân viên bền chặt và thúc đẩy dịch vụ khách hàng xuất sắc cũng như bổ sung những chức năng mới như Geek Squad để cung cấp hỗ trợ và giúp đỡ kỹ thuật—dẫn đến sự tăng trưởng vượt bậc của giá cổ phiếu.50 Best Buy lại tách vai trò chủ tịch và CEO sau khi ông ra đi và ngày nay có một chủ tịch hội đồng quản trị độc lập.</w:t>
      </w:r>
    </w:p>
    <w:p>
      <w:pPr>
        <w:spacing w:after="80"/>
      </w:pPr>
      <w:r>
        <w:rPr>
          <w:b w:val="0"/>
          <w:i w:val="0"/>
        </w:rPr>
        <w:t>Kiểu qua lại như thế này không phải là điều bất thường. Các cấu trúc lãnh đạo hội đồng quản trị trong nghiên cứu Stanford không được xem là ổn định lắm, với chỉ một phần ba số công ty không có thay đổi nào trong giai đoạn 20 năm khảo sát và những công ty không có thay đổi này được chia khá đều giữa nhóm kết hợp các vai trò và nhóm duy trì chúng tách riêng.51</w:t>
      </w:r>
    </w:p>
    <w:p>
      <w:pPr>
        <w:spacing w:after="80"/>
      </w:pPr>
      <w:r>
        <w:rPr>
          <w:b w:val="0"/>
          <w:i w:val="0"/>
        </w:rPr>
        <w:t>Cũng có những cân nhắc thực tế với các quyết định này. Việc tách các chức danh hoặc lấy vai trò chủ tịch khỏi CEO có thể bị coi là một sự xúc phạm. “Từ góc độ kế nhiệm, điều đó trở nên khó khăn,” Gursahaney nói với tôi, mô tả một tình huống ông từng trải qua trong một hội đồng quản trị. “Chúng tôi không muốn người kế nhiệm cảm thấy mình nhận được ít hơn trong công việc so với người tiền nhiệm, nên trong những trường hợp như vậy, thật khó để bỏ đi vị trí chủ tịch.”</w:t>
      </w:r>
    </w:p>
    <w:p>
      <w:pPr>
        <w:spacing w:after="80"/>
      </w:pPr>
      <w:r>
        <w:rPr>
          <w:b w:val="0"/>
          <w:i w:val="0"/>
        </w:rPr>
        <w:t>Hãy xem xét vị trí chủ tịch và CEO liên tục của Dimon tại JPMorganChase. Một số cổ đông của công ty đã lập luận về lý do tại sao Dimon nên bị tước bỏ trách nhiệm chủ tịch vào năm 2012 và 2013. Tuy nhiên, các cổ đông cuối cùng đã chọn sự an toàn của nguyên trạng, lo ngại rằng Dimon sẽ từ chức nếu vai trò chủ tịch của ông bị lấy đi, để lại công ty mà không có nhà lãnh đạo đã được chứng minh của mình. Năm 2012, Tổng thống lúc đó là Barack Obama thậm chí còn bảo vệ thành tích của Dimon trong lúc ông đang đấu tranh để giữ vị trí chủ tịch. Tổng thống Obama gọi JPMorganChase là “một trong những ngân hàng được quản lý tốt nhất hiện có . . . [và] Jamie Dimon, người đứng đầu nó, là một trong những chuyên gia ngân hàng thông minh nhất mà chúng ta có.”52 Người đồng sáng lập Home Depot là Kenneth Langone cũng lên tiếng bảo vệ Dimon vào năm 2013: “‘Ông ấy nên giữ cả hai,’ Langone . . . nói trong một cuộc phỏng vấn, gọi việc cân nhắc tách các chức danh của Dimon là ‘điên rồ.’ ‘Ông ấy có lẽ là CEO giỏi nhất trong bất kỳ ngành kinh doanh nào ở Mỹ.’”53 Dimon là một ví dụ về một giám đốc điều hành đã được chứng minh một cách độc nhất, người có thể là lựa chọn hợp lý để nắm giữ cả hai vai trò cùng lúc.</w:t>
      </w:r>
    </w:p>
    <w:p>
      <w:pPr>
        <w:spacing w:after="80"/>
      </w:pPr>
      <w:r>
        <w:rPr>
          <w:b w:val="0"/>
          <w:i w:val="0"/>
        </w:rPr>
        <w:t>Đôi khi, vấn đề chủ tịch và CEO có thể mang tính đặc thù theo ngành. Trong một thời gian dài, hầu hết các CEO trong lĩnh vực dịch vụ tài chính cũng là chủ tịch. Do đó, các ứng viên CEO chất lượng cao thường mong đợi được làm chủ tịch, và các hội đồng quản trị thường đồng ý trong khi thiết lập một giám đốc độc lập chủ chốt mạnh mẽ. Tất nhiên, mọi thứ thay đổi, như việc Morgan Stanley quyết định giữ Gorman làm chủ tịch điều hành trong một khoảng thời gian khi ông nghỉ hưu.</w:t>
      </w:r>
    </w:p>
    <w:p>
      <w:pPr>
        <w:spacing w:after="80"/>
      </w:pPr>
      <w:r>
        <w:rPr>
          <w:b w:val="0"/>
          <w:i w:val="0"/>
        </w:rPr>
        <w:t>Việc lựa chọn duy trì hay tái kết hợp các vai trò chủ tịch hội đồng quản trị và CEO có thể bắt nguồn từ môi trường kinh tế. Trong cuộc suy thoái năm 2008, tỷ lệ các công ty thuộc S&amp;P có vị trí kiêm nhiệm tạm thời chững lại ở mức khoảng 60 phần trăm thay vì tiếp tục xu hướng giảm. Các hội đồng quản trị có lẽ lo ngại rằng việc tách hai vai trò này có thể gây ra sự thay đổi gây xao nhãng trong một môi trường vô cùng khó khăn.</w:t>
      </w:r>
    </w:p>
    <w:p>
      <w:pPr>
        <w:spacing w:after="80"/>
      </w:pPr>
      <w:r>
        <w:rPr>
          <w:b w:val="0"/>
          <w:i w:val="0"/>
        </w:rPr>
        <w:t>Thú vị thay, tôi từng tham gia vào một cuộc tìm kiếm CEO mà vị CEO sắp nghỉ hưu cũng là chủ tịch hội đồng quản trị. Ứng viên mà cuối cùng chúng tôi ưu tiên chọn, người đã nhận vị trí này, nói rằng ông không muốn vai trò chủ tịch hội đồng quản trị mà thích dành 100 phần trăm thời gian của mình để điều hành công ty.</w:t>
      </w:r>
    </w:p>
    <w:p>
      <w:pPr>
        <w:spacing w:after="80"/>
      </w:pPr>
      <w:r>
        <w:rPr>
          <w:b w:val="0"/>
          <w:i w:val="0"/>
        </w:rPr>
        <w:t>Khi hội đồng quản trị chọn kiêm nhiệm các vai trò chủ tịch hội đồng quản trị và CEO, vai trò giám đốc độc lập chủ chốt (lead independent director) là cực kỳ quan trọng. Tôi đã thấy những tình huống vận hành tốt khi chủ tịch hội đồng quản trị độc lập và những tình huống khác khi chủ tịch không độc lập. Không có cơ cấu nào luôn hoàn hảo. Nhưng việc hiểu rõ nhu cầu của công ty và đảm bảo chúng được đáp ứng bởi ban lãnh đạo hội đồng quản trị luôn là điều thiết yếu.</w:t>
      </w:r>
    </w:p>
    <w:p>
      <w:pPr>
        <w:pStyle w:val="Heading1"/>
      </w:pPr>
      <w:r>
        <w:rPr>
          <w:rFonts w:ascii="Calibri" w:hAnsi="Calibri"/>
          <w:b/>
          <w:i w:val="0"/>
          <w:sz w:val="40"/>
        </w:rPr>
        <w:t>Mục III</w:t>
      </w:r>
    </w:p>
    <w:p>
      <w:pPr>
        <w:pStyle w:val="Heading1"/>
      </w:pPr>
      <w:r>
        <w:rPr>
          <w:rFonts w:ascii="Calibri" w:hAnsi="Calibri"/>
          <w:b/>
          <w:i w:val="0"/>
          <w:sz w:val="40"/>
        </w:rPr>
        <w:t>Các giám đốc phải làm việc trong bối cảnh nào?</w:t>
      </w:r>
    </w:p>
    <w:p>
      <w:pPr>
        <w:pStyle w:val="Heading1"/>
      </w:pPr>
      <w:r>
        <w:rPr>
          <w:rFonts w:ascii="Calibri" w:hAnsi="Calibri"/>
          <w:b/>
          <w:i w:val="0"/>
          <w:sz w:val="40"/>
        </w:rPr>
        <w:t>Chương 6</w:t>
      </w:r>
    </w:p>
    <w:p>
      <w:pPr>
        <w:pStyle w:val="Heading1"/>
      </w:pPr>
      <w:r>
        <w:rPr>
          <w:rFonts w:ascii="Calibri" w:hAnsi="Calibri"/>
          <w:b/>
          <w:i w:val="0"/>
          <w:sz w:val="40"/>
        </w:rPr>
        <w:t>Sáp nhập, thâu tóm và bán công ty</w:t>
      </w:r>
    </w:p>
    <w:p>
      <w:pPr>
        <w:spacing w:after="80"/>
      </w:pPr>
      <w:r>
        <w:rPr>
          <w:b w:val="0"/>
          <w:i w:val="0"/>
        </w:rPr>
        <w:t>Có lẽ không có thời điểm nào quan trọng hơn đối với các thành viên hội đồng quản trị so với khi công ty mà họ phục vụ trong hội đồng quản trị đang cân nhắc một vụ sáp nhập, thâu tóm lớn, bán một đơn vị kinh doanh đáng kể, hoặc tất nhiên, bán toàn bộ công ty. Các nghĩa vụ cẩn trọng và trung thành đã thảo luận trước đó là tối quan trọng, vì các giám đốc phải xác định liệu giao dịch có vì lợi ích tốt nhất của cổ đông và tối đa hóa giá trị hay không. Đây thường là một quyết định phức tạp với nhiều vấn đề, khách quan lẫn chủ quan, phải được cân nhắc kỹ lưỡng và cuối cùng đưa ra quyết định.</w:t>
      </w:r>
    </w:p>
    <w:p>
      <w:pPr>
        <w:spacing w:after="80"/>
      </w:pPr>
      <w:r>
        <w:rPr>
          <w:b w:val="0"/>
          <w:i w:val="0"/>
        </w:rPr>
        <w:t xml:space="preserve">Trong số các công ty đại chúng mà tôi từng ngồi trong hội đồng quản trị, trong mọi trường hợp công ty bị bán, các giám đốc đều bị kiện hoặc bị đe dọa kiện tụng. Thực tế, có một câu nói dường như khá chính xác, hoặc ít nhất là đúng cho đến gần đây: "Bất cứ khi nào bạn bán một công ty đại chúng, sẽ có một vụ kiện." Thật vậy, 82 phần trăm các thương vụ M&amp;A liên quan đến công ty đại chúng có giá trị trên 100 triệu đô la đã dẫn đến các vụ kiện của cổ đông vào năm 2018—tổng cộng hơn 400 vụ kiện, với 142 thương vụ bị thách thức và trung bình 3,1 vụ kiện được nộp mỗi thương vụ—và con số đó đã giảm so với mức trung bình 90 phần trăm và 4,7 vụ kiện mỗi thương vụ bị thách thức trong giai đoạn 2009-2015.1 Các con số đã giảm kể từ đó nhờ phán quyết năm 2016 của Tòa án Đại pháp Delaware (Delaware Court of Chancery) trong vụ </w:t>
      </w:r>
      <w:r>
        <w:rPr>
          <w:b w:val="0"/>
          <w:i/>
        </w:rPr>
        <w:t>In re Trulia Stockholder Litigation</w:t>
      </w:r>
      <w:r>
        <w:rPr>
          <w:b w:val="0"/>
          <w:i w:val="0"/>
        </w:rPr>
        <w:t xml:space="preserve"> nhằm hạn chế các vụ kiện gây phiền hà. Như Mike Allen đã giải thích với tôi, Tòa án Đại pháp nhận ra rằng đây thực chất là một loại thuế sáp nhập và không phải là điều mà các tòa án Delaware muốn tạo điều kiện, nên họ đã nỗ lực cắt giảm các vụ kiện gây phiền hà và giới hạn nguyên đơn vào những vấn đề chính đáng.</w:t>
      </w:r>
    </w:p>
    <w:p>
      <w:pPr>
        <w:spacing w:after="80"/>
      </w:pPr>
      <w:r>
        <w:rPr>
          <w:b w:val="0"/>
          <w:i w:val="0"/>
        </w:rPr>
        <w:t>Ban đầu, tranh tụng chỉ chuyển sang các tòa án liên bang, nhưng các phán quyết sau đó đã giúp hạn chế các vụ kiện ở đó, và vào năm 2022, các vụ kiện cổ đông thách thức các thương vụ M&amp;A đã giảm 92 phần trăm so với mức trung bình năm năm—với xu hướng tiếp tục vào năm 2023, chỉ có bốn hồ sơ liên quan trong nửa đầu năm.2</w:t>
      </w:r>
    </w:p>
    <w:p>
      <w:pPr>
        <w:spacing w:after="80"/>
      </w:pPr>
      <w:r>
        <w:rPr>
          <w:b w:val="0"/>
          <w:i w:val="0"/>
        </w:rPr>
        <w:t>Cổ đông đôi khi cảm thấy một thương vụ không tối đa hóa giá trị, và có lẽ giới luật sư nguyên đơn nhìn thấy cơ hội cho một thỏa thuận dàn xếp sinh lợi. Ngay cả khi các tòa án tìm cách hạn chế các vụ kiện gây phiền hà loại này, vẫn có trường hợp các khiếu nại chính đáng—nơi các tiêu chuẩn phù hợp cùng thông lệ và tập quán có thể đã không được tuân thủ hoặc chỉ đơn giản là nơi các bên được thông tin đầy đủ có quan điểm rất khác nhau—có thể tạo ra rủi ro thực sự. Một quy trình được cân nhắc kỹ lưỡng bởi một hội đồng quản trị được thông tin đầy đủ, được tư vấn tốt, nhận thức rõ về tiêu chuẩn phù hợp cho quyết định, cùng với sự bồi hoàn từ công ty cho các hành động của giám đốc và bảo hiểm D&amp;O, sẽ giúp hội đồng quản trị được bảo vệ tốt.</w:t>
      </w:r>
    </w:p>
    <w:p>
      <w:pPr>
        <w:spacing w:after="80"/>
      </w:pPr>
      <w:r>
        <w:rPr>
          <w:b w:val="0"/>
          <w:i w:val="0"/>
        </w:rPr>
        <w:t>Với kinh nghiệm của mình trong lĩnh vực này với tư cách là chuyên gia ngân hàng đầu tư, giám đốc doanh nghiệp và nhân chứng chuyên môn trong các vụ tranh tụng doanh nghiệp, bao gồm các vụ tại Tòa án Đại pháp Delaware liên quan đến các quan chức và giám đốc của Tesla và Oracle về các thương vụ thâu tóm lớn với cáo buộc xung đột lợi ích, tôi đã phát triển một phương pháp bảy bước để hội đồng quản trị tuân theo khi cân nhắc và phê duyệt việc bán công ty hoặc thâu tóm lớn, phù hợp với thông lệ và tập quán. Tôi sẽ chia sẻ điều này ở phần sau của chương, nhưng để hiểu đầy đủ các hàm ý đối với giám đốc trong các giao dịch lớn, trước tiên cần xem xét ngắn gọn lịch sử của M&amp;A và việc phần lớn luật liên quan đến nghĩa vụ và trách nhiệm của giám đốc thực tế đã hình thành như thế nào qua các thương vụ M&amp;A và các hành động pháp lý sau đó, buộc các tòa án phải nêu rõ và định nghĩa các nguyên tắc và tiêu chuẩn chưa từng tồn tại trước đây.</w:t>
      </w:r>
    </w:p>
    <w:p>
      <w:pPr>
        <w:pStyle w:val="Heading2"/>
      </w:pPr>
      <w:r>
        <w:rPr>
          <w:rFonts w:ascii="Calibri" w:hAnsi="Calibri"/>
          <w:b/>
          <w:i w:val="0"/>
          <w:sz w:val="32"/>
        </w:rPr>
        <w:t>Lịch sử tóm tắt của M&amp;A</w:t>
      </w:r>
    </w:p>
    <w:p>
      <w:pPr>
        <w:spacing w:after="80"/>
      </w:pPr>
      <w:r>
        <w:rPr>
          <w:b w:val="0"/>
          <w:i w:val="0"/>
        </w:rPr>
        <w:t>M&amp;A theo nghĩa hiện đại đã tồn tại khoảng 130 năm, bắt đầu từ sự mở rộng kinh tế cuối thập niên 1890. Đó là thời kỳ tăng trưởng công nghệ và đổi mới quy trình thúc đẩy lợi thế kinh tế theo quy mô phát triển trong các ngành công nghiệp lớn như thép, dầu mỏ, khai khoáng và đường sắt.3 Có những lợi ích khi trở nên lớn hơn, và kết hợp với luật pháp mới của các bang về việc thành lập công ty và sự khởi đầu giao dịch cổ phiếu công nghiệp trên NYSE, việc hợp nhất theo chiều ngang ("sáp nhập để tạo thành độc quyền," như George Stigler của Đại học Columbia mô tả ba phần tư thế kỷ trước) đã dẫn đến việc tạo ra những gã khổng lồ, bao gồm Standard Oil Company of New Jersey và United States Steel Corporation.4</w:t>
      </w:r>
    </w:p>
    <w:p>
      <w:pPr>
        <w:spacing w:after="80"/>
      </w:pPr>
      <w:r>
        <w:rPr>
          <w:b w:val="0"/>
          <w:i w:val="0"/>
        </w:rPr>
        <w:t>Nhìn chung có hai loại thương vụ M&amp;A: chiến lược và tài chính. Một giao dịch chiến lược, hay doanh nghiệp, là khi một bên mua doanh nghiệp tìm kiếm các lợi thế như tăng doanh thu, cải thiện thị phần, thêm sản phẩm mới, thâm nhập thị trường mới và đạt được tiết kiệm chi phí bằng cách loại bỏ các nỗ lực trùng lặp và hiệp lực doanh thu từ việc thúc đẩy nhiều doanh số hơn qua các cơ hội mà sự kết hợp kinh doanh mang lại.5 Một thương vụ tài chính được dẫn dắt bởi các nhà đầu tư như các công ty cổ phần tư nhân (private equity). Những bên mua này thường tìm cách đầu tư vào các công ty mà họ có thể cải thiện theo một hoặc nhiều cách—đầu tư thêm vốn để thúc đẩy tăng trưởng hữu cơ, thực hiện các thương vụ thâu tóm bổ sung, giảm chi phí vận hành, v.v.—và bán để thu lợi trong tương lai.6 Tất nhiên, một thương vụ thâu tóm ban đầu hoặc nền tảng của một công ty đầu tư thường dẫn đến các thương vụ thâu tóm bổ sung có thể được coi là giao dịch chiến lược, và cũng đúng là các bên thâu tóm doanh nghiệp hoặc chiến lược chắc chắn cũng có động cơ tài chính cho các thương vụ.</w:t>
      </w:r>
    </w:p>
    <w:p>
      <w:pPr>
        <w:spacing w:after="80"/>
      </w:pPr>
      <w:r>
        <w:rPr>
          <w:b w:val="0"/>
          <w:i w:val="0"/>
        </w:rPr>
        <w:t>Có lẽ trái với trực giác, đôi khi một bên mua tài chính trả giá cao hơn một bên mua doanh nghiệp. Suy cho cùng, một bên mua doanh nghiệp nên có chi phí vốn nợ và vốn chủ sở hữu thấp hơn cũng như tiết kiệm và hiệp lực để hiện thực hóa. Tuy nhiên, thị trường đại chúng thường không khuyến khích các công ty đại chúng sử dụng đòn bẩy cao như các công ty thuộc sở hữu cổ phần tư nhân, và có những lợi thế thuế đáng kể với nợ (lãi được khấu trừ thuế tùy theo một số giới hạn nhất định) giúp giảm chi phí trung bình của các thương vụ có nợ đáng kể.</w:t>
      </w:r>
    </w:p>
    <w:p>
      <w:pPr>
        <w:spacing w:after="80"/>
      </w:pPr>
      <w:r>
        <w:rPr>
          <w:b w:val="0"/>
          <w:i w:val="0"/>
        </w:rPr>
        <w:t>Nhìn chung, nguồn vốn cho các thương vụ chiến lược là tiền mặt và/hoặc cổ phiếu, còn với các thương vụ tài chính thì đó là nợ mới huy động từ các bên cho vay và vốn góp từ nhà đầu tư hoặc các đối tác hữu hạn (limited partners) trong các quỹ đầu tư.</w:t>
      </w:r>
    </w:p>
    <w:p>
      <w:pPr>
        <w:spacing w:after="80"/>
      </w:pPr>
      <w:r>
        <w:rPr>
          <w:b w:val="0"/>
          <w:i w:val="0"/>
        </w:rPr>
        <w:t>Lịch sử sơ khai của M&amp;A hoàn toàn là các thương vụ chiến lược, chẳng hạn như những thương vụ dầu mỏ và thép đã nhắc đến ở trên. Vào thập niên 1920, làn sóng M&amp;A tiếp theo tập trung vào việc hợp nhất các công ty tiện ích khí đốt và điện, nổi bật là thương vụ Consolidated Gas mua lại Brooklyn Edison vào năm 1928. Các thương vụ mua lại trong lĩnh vực năng lượng theo chiều ngang đã tạo điều kiện cho lợi thế kinh tế theo quy mô, dù điều này dẫn đến một số thế độc quyền khiến chính phủ Mỹ phải can thiệp và cấm các hành vi chống cạnh tranh, trao sức mạnh thực sự cho Đạo luật Chống độc quyền Sherman (Sherman Antitrust Act) vốn được ban hành từ năm 1890.</w:t>
      </w:r>
    </w:p>
    <w:p>
      <w:pPr>
        <w:spacing w:after="80"/>
      </w:pPr>
      <w:r>
        <w:rPr>
          <w:b w:val="0"/>
          <w:i w:val="0"/>
        </w:rPr>
        <w:t>Cuộc Đại Suy thoái đã làm chậm hoạt động sáp nhập trong nhiều năm, và chúng ta có thể nhảy đến thập niên 1980—được mệnh danh là "Thập kỷ Giao dịch" (Deal Decade)—với sự xuất hiện của những kẻ săn công ty (corporate raiders), các thương vụ thâu tóm thù địch (hostile takeovers) và các thương vụ tài chính như những bước phát triển quan trọng tiếp theo của M&amp;A. Nguồn tài trợ bằng trái phiếu lợi suất cao hay "trái phiếu rác" (junk bond) trở nên dễ tiếp cận, và các thương vụ LBO—sẽ bàn kỹ hơn ở phần sau—bùng nổ. Trong khi trước đây các thương vụ mua lại chỉ liên quan đến những công ty mà hội đồng quản trị và ban điều hành sẵn lòng thực hiện giao dịch, thì những kẻ săn công ty như Carl Icahn lại chuyển sang dàn dựng các thương vụ thâu tóm thù địch, ít nhất là ban đầu không có sự đồng ý của hội đồng quản trị bên bán, thông qua các đề nghị mua công khai (tender offers), các cuộc chiến giành quyền biểu quyết (proxy fights) và những nỗ lực khác.</w:t>
      </w:r>
    </w:p>
    <w:p>
      <w:pPr>
        <w:spacing w:after="80"/>
      </w:pPr>
      <w:r>
        <w:rPr>
          <w:b w:val="0"/>
          <w:i w:val="0"/>
        </w:rPr>
        <w:t>Các thương vụ M&amp;A đã tăng trưởng mạnh mẽ về tần suất và giá trị đô-la trong bốn thập kỷ qua, không chỉ nhờ nguồn tài trợ và các thương vụ LBO dồi dào hơn mà còn nhờ các công ty lớn hơn coi M&amp;A là một cách tăng trưởng đáng mong muốn, cũng như nhờ các công ty vươn ra ngoài biên giới địa phương, đưa M&amp;A trở thành toàn cầu.7 Vào thập niên 1970, chỉ có bốn thương vụ M&amp;A được định giá trên 1 tỷ đô-la; kể từ năm 2000, đã có hơn 200 thương vụ mỗi thương vụ trị giá trên 20 tỷ đô-la. Ngày nay, một thương vụ M&amp;A trị giá 1 tỷ đô-la không còn đặc biệt đáng chú ý nữa. Năm 1985, có 2,309 thương vụ M&amp;A tại Mỹ với tổng giá trị chỉ hơn 300 tỷ đô-la.8 Đến năm 2021, có 25,170 thương vụ với tổng giá trị gần 3.5 nghìn tỷ đô-la, tức tăng hơn mười lần.9</w:t>
      </w:r>
    </w:p>
    <w:p>
      <w:pPr>
        <w:spacing w:after="80"/>
      </w:pPr>
      <w:r>
        <w:rPr>
          <w:b w:val="0"/>
          <w:i w:val="0"/>
        </w:rPr>
        <w:t>Trong một trong những thương vụ lớn nhất từ trước đến nay, AOL mua lại Time Warner vào năm 2000, một thương vụ trị giá 182 tỷ đô-la được xem là có lẽ là thương vụ tồi tệ nhất trong lịch sử M&amp;A. Khi thế giới chuyển từ internet quay số sang băng thông rộng tốc độ cao, AOL bị bỏ lại phía sau. Time Warner "mới" chịu tổn thất từ sự sụp đổ của bong bóng dot-com ngay sau thương vụ và sự sụp đổ của thị trường quảng cáo trực tuyến. Văn hóa của hai công ty không bao giờ có thể hòa hợp hiệu quả, và AOL bị tách ra vào năm 2009.10</w:t>
      </w:r>
    </w:p>
    <w:p>
      <w:pPr>
        <w:spacing w:after="80"/>
      </w:pPr>
      <w:r>
        <w:rPr>
          <w:b w:val="0"/>
          <w:i w:val="0"/>
        </w:rPr>
        <w:t>Với các thương vụ lớn giờ đây đã trở nên phổ biến, ngành tư vấn M&amp;A, bao gồm việc đưa ra ý tưởng và thực thi giao dịch do các ngân hàng toàn cầu và các công ty boutique cung cấp, đã trở thành một ngành công nghiệp trị giá hàng tỷ đô-la. Nhưng những người chơi lớn nhất lại ít được biết đến hơn so với những "người tạo mưa" (rainmakers) trong những thập kỷ cuối của thế kỷ trước. Vào thập niên 1980 và '90, dường như hầu hết các CEO trong Fortune 500 và gần như tất cả mọi người trong ngành dịch vụ tài chính đều biết những chuyên gia ngân hàng M&amp;A nổi bật nhất, chẳng hạn như Felix Rohatyn tại Lazard, Bob Greenhill tại Morgan Stanley và Geoff Boisi tại Goldman Sachs.</w:t>
      </w:r>
    </w:p>
    <w:p>
      <w:pPr>
        <w:spacing w:after="80"/>
      </w:pPr>
      <w:r>
        <w:rPr>
          <w:b w:val="0"/>
          <w:i w:val="0"/>
        </w:rPr>
        <w:t>Tôi từng làm việc cho Rohatyn vào giai đoạn đầu sự nghiệp của mình. Ông là một câu chuyện thành công đáng chú ý của một người nhập cư, từng trốn khỏi nước Pháp bị Đức Quốc xã chiếm đóng khi còn nhỏ và cuối cùng vươn lên trở thành chuyên gia ngân hàng đầu tư xuất sắc nhất Phố Wall. "Tôi không hề biết một ngân hàng đầu tư làm gì," Rohatyn viết trong cuốn tự truyện của mình về khởi đầu sự nghiệp. "Nhưng tôi thì cần một tấm séc lương."11</w:t>
      </w:r>
    </w:p>
    <w:p>
      <w:pPr>
        <w:spacing w:after="80"/>
      </w:pPr>
      <w:r>
        <w:rPr>
          <w:b w:val="0"/>
          <w:i w:val="0"/>
        </w:rPr>
        <w:t>Với vai trò cố vấn, Rohatyn là nhân vật chủ chốt trong nhiều thương vụ phức tạp, bao gồm việc sáp nhập Loews Corporation với Lorillard Tobacco, thương vụ Lockheed Martin mua lại Loral (nơi tôi thuộc nhóm Lazard và lại một lần nữa bị hủy kỳ nghỉ khi công ty được thuê vào tháng 12 để tư vấn cho Loral), và thương vụ Viacom mua lại Paramount Communications. Rohatyn so sánh công việc của mình với công việc của một bác sĩ phẫu thuật: "Tôi được gọi đến khi có thứ gì đó bị hỏng. Tôi phải mổ, sửa chữa và để lại càng ít máu trên sàn càng tốt."12</w:t>
      </w:r>
    </w:p>
    <w:p>
      <w:pPr>
        <w:spacing w:after="80"/>
      </w:pPr>
      <w:r>
        <w:rPr>
          <w:b w:val="0"/>
          <w:i w:val="0"/>
        </w:rPr>
        <w:t>Tôi vẫn còn nhớ những chiếc áo sơ mi cài khuy đặc trưng của ông, hai cánh cửa gỗ nặng nề mà ông ngồi sau đó trước khi bạn bước vào văn phòng khá giản dị của ông, chiếc thước trượt (slide rule) mà ông dùng để kiểm tra các con số của bạn, và cách ông rời đi vào cuối ngày với một tập hồ sơ bằng bìa cứng kẹp dưới cánh tay để đi bộ chục dãy phố về nhà.</w:t>
      </w:r>
    </w:p>
    <w:p>
      <w:pPr>
        <w:spacing w:after="80"/>
      </w:pPr>
      <w:r>
        <w:rPr>
          <w:b w:val="0"/>
          <w:i w:val="0"/>
        </w:rPr>
        <w:t>Đồng thời, trong vài thập kỷ qua, số lượng và quy mô của các bộ phận M&amp;A nội bộ trong công ty đã tăng lên đáng kể. Ngày nay, mọi công ty đại chúng mà tôi biết đều có ít nhất một người phụ trách M&amp;A nội bộ, và nhiều công ty lớn có hơn 10 người trong chức năng này. M&amp;A đã trở nên ít giống một "hộp đen" chỉ được một nhóm rất hạn chế các chuyên gia ngân hàng cấp cao biết rõ, và những thông tin trước đây khó tìm nguồn nay đã được dân chủ hóa nhờ công nghệ và các cơ sở dữ liệu. Những vấn đề then chốt như liệu mục tiêu có phù hợp với chiến lược của công ty hay không và những khoản tiết kiệm cùng hiệu ứng cộng hưởng (synergies) mà bên mua lẽ ra có thể mang lại thường có thể được nhân sự trong công ty giải quyết hiệu quả hơn so với các cố vấn bên ngoài.</w:t>
      </w:r>
    </w:p>
    <w:p>
      <w:pPr>
        <w:spacing w:after="80"/>
      </w:pPr>
      <w:r>
        <w:rPr>
          <w:b w:val="0"/>
          <w:i w:val="0"/>
        </w:rPr>
        <w:t>Gary Matt và tôi gặp nhau khi còn là những chuyên gia ngân hàng trẻ vào giữa thập niên 1980. Ông tiếp tục trở thành giám đốc điều hành (managing director) phụ trách M&amp;A tại Lehman Brothers rồi Barclays; hiện ông là phó chủ tịch phát triển doanh nghiệp tại Thermo Fisher Scientific, công ty dẫn đầu thế giới trong lĩnh vực phục vụ khoa học, với vốn hóa thị trường khoảng 200 tỷ đô-la. Trong ba năm kết thúc vào tháng 6 năm 2024, Thermo Fisher Scientific đã mua lại các công ty với tổng giá trị doanh nghiệp hơn 25 tỷ đô-la.</w:t>
      </w:r>
    </w:p>
    <w:p>
      <w:pPr>
        <w:spacing w:after="80"/>
      </w:pPr>
      <w:r>
        <w:rPr>
          <w:b w:val="0"/>
          <w:i w:val="0"/>
        </w:rPr>
        <w:t>Matt giải thích với tôi: "Nhiệm vụ của bất kỳ công ty nào là phải làm công việc để có được niềm tin vững chắc về ý nghĩa của một thương vụ mua lại hoặc thoái vốn đối với công ty của họ. Điều này đòi hỏi một sự đánh giá kỹ lưỡng và chu đáo trên cả phương diện vận hành lẫn tài chính. Nó cũng có nghĩa là phải xem xét tác động đối với tất cả các bên liên quan của công ty: cổ đông, khách hàng, nhân viên, cơ quan quản lý, v.v. Dựa trên phán đoán đó, có thể đưa ra một quyết định tốt về giá trị và việc có nên giao dịch hay không."</w:t>
      </w:r>
    </w:p>
    <w:p>
      <w:pPr>
        <w:spacing w:after="80"/>
      </w:pPr>
      <w:r>
        <w:rPr>
          <w:b w:val="0"/>
          <w:i w:val="0"/>
        </w:rPr>
        <w:t>Các nhóm M&amp;A nội bộ có thể đặc biệt có giá trị trong các cân nhắc về chiến lược và thực thi sau giao dịch. Các cố vấn có thể rất hữu ích nhờ kiến thức thị trường, kinh nghiệm trong các thương vụ tương tự và khả năng tiếp cận ý kiến của những người tham gia thị trường khác. Trên thực tế, một phần lý do các ngân hàng đầu tư tổ chức các nỗ lực M&amp;A của mình thành các nhóm theo ngành vào giữa thập niên 1990 là để cung cấp cho khách hàng quan điểm và thông tin về ngành, chứ không chỉ là chuyên môn kỹ thuật vững mạnh. Trong một môi trường M&amp;A ngày càng tinh vi và cạnh tranh, các công ty chắc chắn có thể hưởng lợi từ cả một đội ngũ M&amp;A nội bộ lẫn các chuyên gia ngân hàng đầu tư, cố vấn pháp lý bên ngoài và các nhà tư vấn.</w:t>
      </w:r>
    </w:p>
    <w:p>
      <w:pPr>
        <w:pStyle w:val="Heading2"/>
      </w:pPr>
      <w:r>
        <w:rPr>
          <w:rFonts w:ascii="Calibri" w:hAnsi="Calibri"/>
          <w:b/>
          <w:i/>
          <w:sz w:val="32"/>
        </w:rPr>
        <w:t>Van Gorkom</w:t>
      </w:r>
      <w:r>
        <w:rPr>
          <w:rFonts w:ascii="Calibri" w:hAnsi="Calibri"/>
          <w:b/>
          <w:i w:val="0"/>
          <w:sz w:val="32"/>
        </w:rPr>
        <w:t xml:space="preserve"> và Nghĩa vụ Cẩn trọng</w:t>
      </w:r>
    </w:p>
    <w:p>
      <w:pPr>
        <w:spacing w:after="80"/>
      </w:pPr>
      <w:r>
        <w:rPr>
          <w:b w:val="0"/>
          <w:i w:val="0"/>
        </w:rPr>
        <w:t xml:space="preserve">Trong hầu hết các trường hợp, như đã thảo luận ở chương 3, các hành động của hội đồng quản trị được đánh giá theo quy tắc phán đoán kinh doanh (business judgment rule): Quy trình có hợp lý không và các hành động có được thực hiện một cách thiện chí bởi các giám đốc độc lập không? Tuy nhiên, phán đoán kinh doanh—việc trao quyền quyết định cho hội đồng quản trị miễn là họ hành động thiện chí—không phải lúc nào cũng là tiêu chuẩn khi một công ty tham gia vào một thương vụ M&amp;A. Những thương vụ M&amp;A có vấn đề đã trở thành động lực để vượt ra ngoài phán đoán kinh doanh trong một số tình huống nhất định. Ở chương 3, chúng ta đã xem xét nghĩa vụ cẩn trọng (duty of care), được đề cập trong vụ án năm 1985 của Tòa án Tối cao Delaware </w:t>
      </w:r>
      <w:r>
        <w:rPr>
          <w:b w:val="0"/>
          <w:i/>
        </w:rPr>
        <w:t xml:space="preserve">Smith v. Van Gorkom </w:t>
      </w:r>
      <w:r>
        <w:rPr>
          <w:b w:val="0"/>
          <w:i w:val="0"/>
        </w:rPr>
        <w:t>(</w:t>
      </w:r>
      <w:r>
        <w:rPr>
          <w:b w:val="0"/>
          <w:i/>
        </w:rPr>
        <w:t>Van Gorkom</w:t>
      </w:r>
      <w:r>
        <w:rPr>
          <w:b w:val="0"/>
          <w:i w:val="0"/>
        </w:rPr>
        <w:t>), nơi các cổ đông tìm cách hủy bỏ một thương vụ M&amp;A. Đáng để xem xét kỹ hơn thương vụ và vụ án này ở đây để hiểu rõ điều gì đã khơi mào cho nghĩa vụ cẩn trọng và cách phán quyết của tòa án buộc hội đồng quản trị phải chịu trách nhiệm về hành động của mình đã định hình nên những kỳ vọng về hành vi của giám đốc trong tương lai như thế nào.</w:t>
      </w:r>
    </w:p>
    <w:p>
      <w:pPr>
        <w:spacing w:after="80"/>
      </w:pPr>
      <w:r>
        <w:rPr>
          <w:b w:val="0"/>
          <w:i w:val="0"/>
        </w:rPr>
        <w:t xml:space="preserve">Trong vụ </w:t>
      </w:r>
      <w:r>
        <w:rPr>
          <w:b w:val="0"/>
          <w:i/>
        </w:rPr>
        <w:t>Van Gorkom</w:t>
      </w:r>
      <w:r>
        <w:rPr>
          <w:b w:val="0"/>
          <w:i w:val="0"/>
        </w:rPr>
        <w:t>, các cổ đông của Trans Union, một công ty holding mà dòng tiền phần lớn được tạo ra từ hoạt động cho thuê toa xe lửa, lập luận rằng việc hội đồng quản trị phê duyệt thương vụ bán cho Marmon Group không phải là kết quả của một phán đoán kinh doanh được thông tin đầy đủ.</w:t>
      </w:r>
    </w:p>
    <w:p>
      <w:pPr>
        <w:spacing w:after="80"/>
      </w:pPr>
      <w:r>
        <w:rPr>
          <w:b w:val="0"/>
          <w:i w:val="0"/>
        </w:rPr>
        <w:t xml:space="preserve">Năm 1980, Jerome Van Gorkom, bị đơn trong vụ </w:t>
      </w:r>
      <w:r>
        <w:rPr>
          <w:b w:val="0"/>
          <w:i/>
        </w:rPr>
        <w:t>Van Gorkom</w:t>
      </w:r>
      <w:r>
        <w:rPr>
          <w:b w:val="0"/>
          <w:i w:val="0"/>
        </w:rPr>
        <w:t>, đã làm CEO của Trans Union gần 18 năm và đang dành phần lớn thời gian để cố gắng giải quyết một vấn đề mà với ông dường như không thể giải quyết nổi. Công ty được hưởng số tín dụng thuế đầu tư ngày càng tăng nhưng lại không có đủ thu nhập chịu thuế để tận dụng hết chúng.13 Để tạo ra thu nhập cần thiết, công ty đã hoàn tất nhiều thương vụ mua lại và vận động hành lang Quốc hội cho phép hoàn lại tiền mặt cho công ty đối với các khoản tín dụng thuế chưa dùng. Ông đã không thành công và tìm cách giải quyết khác.14</w:t>
      </w:r>
    </w:p>
    <w:p>
      <w:pPr>
        <w:spacing w:after="80"/>
      </w:pPr>
      <w:r>
        <w:rPr>
          <w:b w:val="0"/>
          <w:i w:val="0"/>
        </w:rPr>
        <w:t>Donald Romans, CFO của Trans Union, đã đọc một bài báo trên báo nói về các thương vụ LBO (mua lại bằng vốn vay) đang bùng nổ, tức những thương vụ mua lại thường do các công ty đầu tư thực hiện với chút ít vốn chủ sở hữu và rất nhiều nợ. Theo tòa án, Romans "đã tính toán các con số . . . để xác định dòng tiền cần thiết nhằm trả nợ mà một thương vụ mua lại bằng vốn vay 'có lẽ' sẽ phát sinh, dựa trên những 'tính toán sơ bộ' mà không có 'bất kỳ sự hỗ trợ nào từ chuyên gia.'"15</w:t>
      </w:r>
    </w:p>
    <w:p>
      <w:pPr>
        <w:spacing w:after="80"/>
      </w:pPr>
      <w:r>
        <w:rPr>
          <w:b w:val="0"/>
          <w:i w:val="0"/>
        </w:rPr>
        <w:t>Tại cuộc họp mà Romans trình bày những phát hiện ban đầu của mình, Van Gorkom bày tỏ rằng ông — đang gần 65 tuổi và sắp đến tuổi nghỉ hưu bắt buộc — sẵn sàng chấp nhận mức 55 đô la mỗi cổ phần cho 75.000 cổ phần ông sở hữu (chỉ khoảng 0,5 phần trăm số cổ phần đang lưu hành của công ty). Gần đến tuổi nghỉ hưu, ông chỉ đơn giản muốn chốt một thương vụ. Và dù 55 đô la mỗi cổ phần là mức cao hơn đáng kể so với khoảng giá 29,50 đến 38,25 đô la mà công ty đã giao dịch trong suốt năm đó, người ta đã không nỗ lực đưa các cố vấn vào để giúp xác định giá trị thực sự của Trans Union — và đây cuối cùng chính là vấn đề dẫn đến vụ kiện và dẫn đến việc hình thành nghĩa vụ cẩn trọng (duty of care). Như Tòa án Tối cao Delaware đã viết: "Ngoài giá cổ phiếu lịch sử trên thị trường của Công ty, và mối liên hệ lâu dài của Van Gorkom với Trans Union, hồ sơ không có bất kỳ bằng chứng đủ thẩm quyền nào cho thấy 55 đô la đại diện cho giá trị nội tại trên mỗi cổ phần của Công ty."16</w:t>
      </w:r>
    </w:p>
    <w:p>
      <w:pPr>
        <w:spacing w:after="80"/>
      </w:pPr>
      <w:r>
        <w:rPr>
          <w:b w:val="0"/>
          <w:i w:val="0"/>
        </w:rPr>
        <w:t>Van Gorkom tiếp cận một người quen, Jay Pritzker, đồng sáng lập Hyatt Hotels và sau này là tỷ phú, người đã mua lại hàng trăm công ty trong suốt sự nghiệp của mình. Van Gorkom hỏi Pritzker liệu ông có hứng thú mua toàn bộ công ty với giá 55 đô la mỗi cổ phần không. Ba ngày sau, Pritzker đưa ra đề nghị trả tiền mặt 55 đô la thông qua công ty holding Marmon Group của mình, và Van Gorkom triệu tập một cuộc họp hội đồng quản trị khẩn cấp.</w:t>
      </w:r>
    </w:p>
    <w:p>
      <w:pPr>
        <w:spacing w:after="80"/>
      </w:pPr>
      <w:r>
        <w:rPr>
          <w:b w:val="0"/>
          <w:i w:val="0"/>
        </w:rPr>
        <w:t>Phản ứng ban đầu của các thành viên còn lại trong hội đồng quản trị là tiêu cực. CFO của Trans Union là Romans tin rằng mức giá quá thấp và sẽ có "những hậu quả thuế bất lợi của một thương vụ toàn tiền mặt đối với các cổ đông có cơ sở thuế thấp."17 Ông cũng lo ngại rằng việc cho phép Pritzker mua quá nhiều cổ phần ở mức giá thị trường (một phần của thương vụ được đề xuất là cho phép Pritzker mua ngay một triệu cổ phần ở mức giá thị trường) sẽ thực chất đóng vai trò như một biện pháp "khóa chặt" (lock-up) ngăn cản các đề nghị khác.18</w:t>
      </w:r>
    </w:p>
    <w:p>
      <w:pPr>
        <w:spacing w:after="80"/>
      </w:pPr>
      <w:r>
        <w:rPr>
          <w:b w:val="0"/>
          <w:i w:val="0"/>
        </w:rPr>
        <w:t>Trong một bài trình bày 20 phút của Van Gorkom trước hội đồng quản trị, ông giải thích rằng một giai đoạn chờ đợi 90 ngày, trong đó Trans Union được tự do tiếp nhận các đề nghị khác (nhưng không chủ động chào bán công ty), sẽ đủ để xác lập rằng 55 đô la là mức giá công bằng. Hội đồng quản trị gạt bỏ những phản đối và bỏ phiếu thông qua thương vụ. Ngay sau khi công bố thương vụ bán, phản ứng của ban lãnh đạo cấp cao rất tiêu cực, với các cán bộ chủ chốt đe dọa từ chức. Thật vậy, theo tòa án, đã có một cuộc nổi dậy "'đồng loạt' . . . [với] người đứng đầu mảng kinh doanh toa xe bồn của Trans Union (bộ phận sinh lời nhất của công ty) [thông báo] với Van Gorkom rằng trừ khi thương vụ sáp nhập bị hủy bỏ, mười lăm nhân sự chủ chốt sẽ từ chức."19</w:t>
      </w:r>
    </w:p>
    <w:p>
      <w:pPr>
        <w:spacing w:after="80"/>
      </w:pPr>
      <w:r>
        <w:rPr>
          <w:b w:val="0"/>
          <w:i w:val="0"/>
        </w:rPr>
        <w:t>Dù chưa bao giờ được công bố, người ta nói rằng đã có một đề nghị nghiêm túc khác cho Trans Union nhưng nó không bao giờ tiến triển được vì nhiều yếu tố khác nhau. Thương vụ bán cho Marmon cuối cùng đã được các cổ đông nắm giữ 70 phần trăm số cổ phần đang lưu hành thông qua, nhưng một vụ kiện đã được đưa ra. Trong khi Tòa án Chancery Delaware áp dụng quy tắc phán đoán kinh doanh (business judgment rule) — tôn trọng hội đồng quản trị và cho rằng họ đã hành động thỏa đáng — thì khi kháng cáo, Tòa án Tối cao Delaware không đồng tình và xác định một nghĩa vụ "cẩn trọng và thận trọng đúng mức" mà các giám đốc phải tuân theo.20</w:t>
      </w:r>
    </w:p>
    <w:p>
      <w:pPr>
        <w:spacing w:after="80"/>
      </w:pPr>
      <w:r>
        <w:rPr>
          <w:b w:val="0"/>
          <w:i w:val="0"/>
        </w:rPr>
        <w:t xml:space="preserve">Như đã nêu trong chương 3, Tòa án Tối cao Delaware trong vụ </w:t>
      </w:r>
      <w:r>
        <w:rPr>
          <w:b w:val="0"/>
          <w:i/>
        </w:rPr>
        <w:t>Van Gorkom</w:t>
      </w:r>
      <w:r>
        <w:rPr>
          <w:b w:val="0"/>
          <w:i w:val="0"/>
        </w:rPr>
        <w:t xml:space="preserve"> giải thích rằng "nghĩa vụ của một giám đốc là đưa ra phán đoán kinh doanh được thông tin đầy đủ mang bản chất của một nghĩa vụ cẩn trọng," định nghĩa nghĩa vụ này là "một nghĩa vụ chủ động bảo vệ [các lợi ích tài chính của cổ đông] và tiến hành đánh giá thông tin bằng con mắt phê phán."21</w:t>
      </w:r>
    </w:p>
    <w:p>
      <w:pPr>
        <w:spacing w:after="80"/>
      </w:pPr>
      <w:r>
        <w:rPr>
          <w:b w:val="0"/>
          <w:i w:val="0"/>
        </w:rPr>
        <w:t>"Dựa trên hồ sơ trước mắt," tòa án tiếp tục nói, "chúng tôi phải kết luận rằng Hội đồng Quản trị đã không đưa ra một phán đoán kinh doanh được thông tin đầy đủ . . . [và] ít nhất, đã cẩu thả nghiêm trọng khi thông qua việc 'bán' Công ty chỉ sau hai giờ cân nhắc, không có thông báo trước, và không có tình huống khủng hoảng hay cấp bách nào."22</w:t>
      </w:r>
    </w:p>
    <w:p>
      <w:pPr>
        <w:spacing w:after="80"/>
      </w:pPr>
      <w:r>
        <w:rPr>
          <w:b w:val="0"/>
          <w:i w:val="0"/>
        </w:rPr>
        <w:t>Thiếu phân tích định giá hoặc một phép thử thị trường hợp pháp, hội đồng quản trị bị phát hiện đã vi phạm nghĩa vụ ủy thác cẩn trọng đối với cổ đông, và vụ án giờ đây đứng như bản tuyên bố về nghĩa vụ cẩn trọng này mà các giám đốc phải hoàn thành.23 Hơn nữa, tòa án buộc các giám đốc phải chịu trách nhiệm về khoản chênh lệch giữa giá trị công bằng của giá cổ phần và giá của thương vụ — những thiệt hại bằng tiền này được đánh vào các giám đốc có lẽ là di sản quan trọng nhất của vụ án. Cuối cùng, vụ án được gửi trả lại cho Tòa án Chancery, và các giám đốc đã dàn xếp trước khi tòa án đưa ra phán quyết, đồng ý trả 23,5 triệu đô la, trong đó 10 triệu đô la được bảo hiểm chi trả và phần còn lại Pritzker đồng ý trả dù ông không liên quan đến vụ kiện.</w:t>
      </w:r>
    </w:p>
    <w:p>
      <w:pPr>
        <w:spacing w:after="80"/>
      </w:pPr>
      <w:r>
        <w:rPr>
          <w:b w:val="0"/>
          <w:i w:val="0"/>
        </w:rPr>
        <w:t xml:space="preserve">Tác động của vụ </w:t>
      </w:r>
      <w:r>
        <w:rPr>
          <w:b w:val="0"/>
          <w:i/>
        </w:rPr>
        <w:t>Van Gorkom</w:t>
      </w:r>
      <w:r>
        <w:rPr>
          <w:b w:val="0"/>
          <w:i w:val="0"/>
        </w:rPr>
        <w:t xml:space="preserve"> thực sự rất sâu sắc. Ba năm sau, Stephen Radin thuộc hãng luật Weil viết rằng phán quyết này "gây sốc cho giới doanh nghiệp," trích dẫn một bài báo trên </w:t>
      </w:r>
      <w:r>
        <w:rPr>
          <w:b w:val="0"/>
          <w:i/>
        </w:rPr>
        <w:t>New York Law Journal</w:t>
      </w:r>
      <w:r>
        <w:rPr>
          <w:b w:val="0"/>
          <w:i w:val="0"/>
        </w:rPr>
        <w:t xml:space="preserve"> gọi đó là "'mối đe dọa rõ rệt đối với khả năng các công ty thu hút được những giám đốc có trách nhiệm.'"24 "Điều đặc biệt gây sửng sốt với nhiều người," Radin tiếp tục, "là việc kịch tính hóa rằng các cá nhân phục vụ trong hội đồng quản trị công ty có thể phải chịu trách nhiệm về thiệt hại bằng tiền cho hành vi được thực hiện với thiện chí."25</w:t>
      </w:r>
    </w:p>
    <w:p>
      <w:pPr>
        <w:spacing w:after="80"/>
      </w:pPr>
      <w:r>
        <w:rPr>
          <w:b w:val="0"/>
          <w:i w:val="0"/>
        </w:rPr>
        <w:t xml:space="preserve">Những người khác lại lạc quan hơn, lập luận rằng các tình tiết trong vụ </w:t>
      </w:r>
      <w:r>
        <w:rPr>
          <w:b w:val="0"/>
          <w:i/>
        </w:rPr>
        <w:t>Van Gorkom</w:t>
      </w:r>
      <w:r>
        <w:rPr>
          <w:b w:val="0"/>
          <w:i w:val="0"/>
        </w:rPr>
        <w:t xml:space="preserve"> quá nghiêm trọng đến mức khiến vụ án đứng riêng một mình; đây không hẳn là một sự thay đổi trong luật mà là việc áp dụng luật hiện hành vào một tình huống ngoại lệ. Radin trích dẫn một cựu thẩm phán Tòa án Tối cao Delaware nói rằng "'một hội đồng quản trị, không có bất kỳ nghiên cứu nội bộ hay bên ngoài chuyên sâu, cụ thể và đáng kể nào, và không có thông báo chương trình nghị sự trước, không thể dựa vào sự bảo vệ của quy tắc phán đoán kinh doanh khi thông qua việc bán 100% công ty với giá 700 triệu đô la trong một cuộc họp hai giờ.'"26</w:t>
      </w:r>
    </w:p>
    <w:p>
      <w:pPr>
        <w:spacing w:after="80"/>
      </w:pPr>
      <w:r>
        <w:rPr>
          <w:b w:val="0"/>
          <w:i w:val="0"/>
        </w:rPr>
        <w:t xml:space="preserve">Các vụ án tiếp theo sau </w:t>
      </w:r>
      <w:r>
        <w:rPr>
          <w:b w:val="0"/>
          <w:i/>
        </w:rPr>
        <w:t>Van Gorkom</w:t>
      </w:r>
      <w:r>
        <w:rPr>
          <w:b w:val="0"/>
          <w:i w:val="0"/>
        </w:rPr>
        <w:t xml:space="preserve"> phần lớn ủng hộ những người nói rằng điều này trên thực tế sẽ không cách mạng hóa trách nhiệm của giám đốc. Radin phát hiện rằng trong 18 trong số 24 vụ án phát sinh trong ba năm sau </w:t>
      </w:r>
      <w:r>
        <w:rPr>
          <w:b w:val="0"/>
          <w:i/>
        </w:rPr>
        <w:t>Van Gorkom</w:t>
      </w:r>
      <w:r>
        <w:rPr>
          <w:b w:val="0"/>
          <w:i w:val="0"/>
        </w:rPr>
        <w:t xml:space="preserve"> cáo buộc vi phạm nghĩa vụ cẩn trọng, tòa án không tìm thấy lỗi trong hành động của các thành viên hội đồng quản trị, và trong sáu vụ mà họ có tìm thấy, biện pháp khắc phục là lệnh cấm (injunctive relief), chứ không phải trách nhiệm bằng tiền đối với các giám đốc.</w:t>
      </w:r>
    </w:p>
    <w:p>
      <w:pPr>
        <w:spacing w:after="80"/>
      </w:pPr>
      <w:r>
        <w:rPr>
          <w:b w:val="0"/>
          <w:i w:val="0"/>
        </w:rPr>
        <w:t>Điều thực sự xảy ra như một kết quả của vụ án là 33 tiểu bang, bao gồm Delaware, đã rất nhanh chóng thông qua các đạo luật để phần lớn ngăn chặn việc thiệt hại bằng tiền bị đánh vào các giám đốc. Ở Delaware, Đại hội đồng đã ban hành một điều khoản bảo vệ các giám đốc khỏi trách nhiệm bằng tiền đối với bất kỳ hành vi nào phát sinh từ việc vi phạm nghĩa vụ cẩn trọng của họ, miễn là các cổ đông của công ty đã thông qua việc đưa điều khoản đó vào giấy chứng nhận thành lập. "Về bản chất," Bernard Sharfman viết trong một bài báo năm 1988, "các nhà lập pháp Delaware đã cho các cổ đông của các công ty Delaware cơ hội phủ quyết phán quyết [</w:t>
      </w:r>
      <w:r>
        <w:rPr>
          <w:b w:val="0"/>
          <w:i/>
        </w:rPr>
        <w:t>Smith v.</w:t>
      </w:r>
      <w:r>
        <w:rPr>
          <w:b w:val="0"/>
          <w:i w:val="0"/>
        </w:rPr>
        <w:t xml:space="preserve">] </w:t>
      </w:r>
      <w:r>
        <w:rPr>
          <w:b w:val="0"/>
          <w:i/>
        </w:rPr>
        <w:t>Van Gorkom</w:t>
      </w:r>
      <w:r>
        <w:rPr>
          <w:b w:val="0"/>
          <w:i w:val="0"/>
        </w:rPr>
        <w:t xml:space="preserve"> nếu họ thấy nó không vì lợi ích tốt nhất của mình."27</w:t>
      </w:r>
    </w:p>
    <w:p>
      <w:pPr>
        <w:spacing w:after="80"/>
      </w:pPr>
      <w:r>
        <w:rPr>
          <w:b w:val="0"/>
          <w:i w:val="0"/>
        </w:rPr>
        <w:t>"Và họ đã phủ quyết," Sharfman tiếp tục viết. "Trong một mẫu gồm một trăm công ty Fortune 500, chín mươi tám . . . đã thông qua một điều khoản miễn trừ trách nhiệm."28 Nhiều tiểu bang đã noi theo Delaware và hoặc nâng cao tiêu chuẩn về mức độ có lỗi theo luật hoặc cho phép cổ đông quy định trong giấy chứng nhận thành lập của công ty rằng các giám đốc sẽ không phải chịu trách nhiệm về thiệt hại bằng tiền trong các tình huống vi phạm nghĩa vụ cẩn trọng, trừ những trường hợp rất hạn chế (chẳng hạn như hành động với ác ý).29</w:t>
      </w:r>
    </w:p>
    <w:p>
      <w:pPr>
        <w:spacing w:after="80"/>
      </w:pPr>
      <w:r>
        <w:rPr>
          <w:b w:val="0"/>
          <w:i w:val="0"/>
        </w:rPr>
        <w:t xml:space="preserve">Điều này có vẻ ngụ ý rằng chúng ta có thể bỏ qua </w:t>
      </w:r>
      <w:r>
        <w:rPr>
          <w:b w:val="0"/>
          <w:i/>
        </w:rPr>
        <w:t>Van Gorkom</w:t>
      </w:r>
      <w:r>
        <w:rPr>
          <w:b w:val="0"/>
          <w:i w:val="0"/>
        </w:rPr>
        <w:t xml:space="preserve">, nhưng tất nhiên, đó không phải là thông điệp. Đúng là các giám đốc thường sẽ không phải chịu trách nhiệm cá nhân về các vi phạm nghĩa vụ cẩn trọng. Nhưng những vi phạm nghĩa vụ cẩn trọng nghiêm trọng chắc chắn có thể là những vi phạm về thiện chí. Liệu các giám đốc có hành động với thiện chí không nếu họ đưa ra những quyết định vội vàng, thiếu cân nhắc và không xem xét toàn bộ phạm vi thông tin sẵn có cho mình? Giáo sư luật John A. Humbach đã viết trên </w:t>
      </w:r>
      <w:r>
        <w:rPr>
          <w:b w:val="0"/>
          <w:i/>
        </w:rPr>
        <w:t>New York Law School Law Review</w:t>
      </w:r>
      <w:r>
        <w:rPr>
          <w:b w:val="0"/>
          <w:i w:val="0"/>
        </w:rPr>
        <w:t xml:space="preserve"> về việc bảo vệ các giám đốc khỏi trách nhiệm khi đưa ra các phán đoán với thiện chí là cần thiết để tuyển dụng giám đốc nhưng không bảo vệ họ trong mọi tình huống: "Một chuyện là buộc những kẻ lừa đảo và những kẻ tư lợi phải trả lại những khoản thu bất chính của mình; lại là chuyện khác khi buộc những người mắc sai lầm trong phán đoán với thiện chí phải moi vào tài sản cá nhân của mình để bồi thường cho những người khác mà họ chỉ đang cố gắng phục vụ."30</w:t>
      </w:r>
    </w:p>
    <w:p>
      <w:pPr>
        <w:spacing w:after="80"/>
      </w:pPr>
      <w:r>
        <w:rPr>
          <w:b w:val="0"/>
          <w:i w:val="0"/>
        </w:rPr>
        <w:t xml:space="preserve">Thật là nói quá khi cho rằng Jerome Van Gorkom đã trở nên tai tiếng vì hành động của mình trong vụ án này; có khả năng là rất ít người quan sát từng dành chút suy nghĩ nào cho ông. Nhưng phần lớn là nhờ </w:t>
      </w:r>
      <w:r>
        <w:rPr>
          <w:b w:val="0"/>
          <w:i/>
        </w:rPr>
        <w:t>Van Gorkom</w:t>
      </w:r>
      <w:r>
        <w:rPr>
          <w:b w:val="0"/>
          <w:i w:val="0"/>
        </w:rPr>
        <w:t xml:space="preserve"> mà các tòa án đã định hình và các thành viên hội đồng quản trị giờ đây hiểu được nghĩa vụ cẩn trọng (duty of care).</w:t>
      </w:r>
    </w:p>
    <w:p>
      <w:pPr>
        <w:pStyle w:val="Heading2"/>
      </w:pPr>
      <w:r>
        <w:rPr>
          <w:rFonts w:ascii="Calibri" w:hAnsi="Calibri"/>
          <w:b/>
          <w:i/>
          <w:sz w:val="32"/>
        </w:rPr>
        <w:t>Revlon</w:t>
      </w:r>
      <w:r>
        <w:rPr>
          <w:rFonts w:ascii="Calibri" w:hAnsi="Calibri"/>
          <w:b/>
          <w:i w:val="0"/>
          <w:sz w:val="32"/>
        </w:rPr>
        <w:t xml:space="preserve"> và "Sự giám sát tăng cường" (Enhanced Scrutiny)</w:t>
      </w:r>
    </w:p>
    <w:p>
      <w:pPr>
        <w:spacing w:after="80"/>
      </w:pPr>
      <w:r>
        <w:rPr>
          <w:b w:val="0"/>
          <w:i w:val="0"/>
        </w:rPr>
        <w:t xml:space="preserve">Không phải chỉ có phán đoán kinh doanh (business judgment) và sự công bằng toàn diện (entire fairness) là những tiêu chuẩn duy nhất được áp dụng trong các giao dịch M&amp;A. Vụ án </w:t>
      </w:r>
      <w:r>
        <w:rPr>
          <w:b w:val="0"/>
          <w:i/>
        </w:rPr>
        <w:t>Revlon</w:t>
      </w:r>
      <w:r>
        <w:rPr>
          <w:b w:val="0"/>
          <w:i w:val="0"/>
        </w:rPr>
        <w:t xml:space="preserve"> năm 1986, từ Tòa án Tối cao Delaware, đã thiết lập một tiêu chuẩn cao hơn, được gọi là "sự giám sát tăng cường" (enhanced scrutiny), khi việc bán một công ty gần như là điều không thể tránh khỏi. Trong vụ án này, tòa án phán quyết rằng hội đồng quản trị có một nghĩa vụ ủy thác (fiduciary obligation) cụ thể: tối đa hóa giá trị cho các cổ đông.</w:t>
      </w:r>
    </w:p>
    <w:p>
      <w:pPr>
        <w:spacing w:after="80"/>
      </w:pPr>
      <w:r>
        <w:rPr>
          <w:b w:val="0"/>
          <w:i w:val="0"/>
        </w:rPr>
        <w:t>Tiêu chuẩn này xuất hiện trong bối cảnh việc Ronald Perelman, khi đó là CEO của Pantry Pride và là một nhà hoạt động đang lên, mua lại Revlon. Hội đồng quản trị Revlon không muốn Perelman—người cuối cùng đã kết hôn năm lần và là một tỷ phú, nhưng trớ trêu thay ông được cho là đang thanh lý tài sản vào năm 2022 sau khi Revlon tái cơ cấu phá sản, nơi ông mất phần lớn cổ phần trong công ty31—trở thành chủ sở hữu mới của Revlon, vì lo ngại kế hoạch chia tách công ty của ông, và đã từ chối đề nghị ban đầu của ông vào giữa năm 1985 với mức cao nhất là $45 mỗi cổ phiếu (xấp xỉ giá cổ phiếu vào thời điểm đó).</w:t>
      </w:r>
    </w:p>
    <w:p>
      <w:pPr>
        <w:spacing w:after="80"/>
      </w:pPr>
      <w:r>
        <w:rPr>
          <w:b w:val="0"/>
          <w:i w:val="0"/>
        </w:rPr>
        <w:t xml:space="preserve">Ban đầu Perelman đã cố gắng kết thân với CEO của Revlon là Michel Bergerac, tìm cách quyến rũ ông để ủng hộ và thậm chí tham gia vào nỗ lực thâu tóm của mình. Nhưng Bergerac đã từ chối Perelman—và Perelman quyết định vẫn sẽ thâu tóm công ty, sau đó nói xấu Bergerac là người sống "cuộc đời vĩ đại nhất trong số mọi C.E.O. ở Mỹ."32 Như tờ </w:t>
      </w:r>
      <w:r>
        <w:rPr>
          <w:b w:val="0"/>
          <w:i/>
        </w:rPr>
        <w:t>New York Times</w:t>
      </w:r>
      <w:r>
        <w:rPr>
          <w:b w:val="0"/>
          <w:i w:val="0"/>
        </w:rPr>
        <w:t xml:space="preserve"> viết năm 2022, "Người từ nhóm của ông Perelman sẽ nói với bạn rằng ông là một trong những người hào phóng nhất mà họ từng gặp. Người từ phe đối lập sẽ nói với bạn rằng ông thật độc ác. . . . Những chiếc đồng hồ đắt tiền được tặng cho nhân viên, cây được trồng trong công viên để tưởng nhớ người thân đã khuất của bạn bè, và những cuộc chiến nổ ra với những ai chống lại ông."33</w:t>
      </w:r>
    </w:p>
    <w:p>
      <w:pPr>
        <w:spacing w:after="80"/>
      </w:pPr>
      <w:r>
        <w:rPr>
          <w:b w:val="0"/>
          <w:i w:val="0"/>
        </w:rPr>
        <w:t>Perelman và công ty của ông, Pantry Pride, đã đưa ra đề nghị thâu tóm thù địch bằng tiền mặt cho Revlon ở mức $47.50 mỗi cổ phiếu, một mức phụ trội khiêm tốn so với giá cổ phiếu $45 vào thời điểm đó, và khi hội đồng quản trị Revlon khuyên các cổ đông không nên chấp nhận đề nghị này hay bất kỳ đề nghị nào sau đó, Perelman đã nâng giá thầu của mình trong vài tuần tiếp theo lên $53 mỗi cổ phiếu.</w:t>
      </w:r>
    </w:p>
    <w:p>
      <w:pPr>
        <w:spacing w:after="80"/>
      </w:pPr>
      <w:r>
        <w:rPr>
          <w:b w:val="0"/>
          <w:i w:val="0"/>
        </w:rPr>
        <w:t>Đến lúc này, hội đồng quản trị Revlon đang chịu áp lực và bắt đầu tìm kiếm một người mua thân thiện. Họ bắt đầu đàm phán với công ty cổ phần tư nhân Forstmann Little cho một thương vụ ở mức $56 mỗi cổ phiếu, và với sự tư vấn của có lẽ là luật sư M&amp;A nổi tiếng nhất kể từ khi các thương vụ đương đại ra đời, Marty Lipton, Revlon đã áp dụng hai biện pháp chống thâu tóm để cố gắng ngăn chặn những nỗ lực không mong muốn của Perelman: họ dự định mua lại 5 triệu cổ phiếu (trong số gần 30 triệu cổ phiếu đang lưu hành), và họ thiết lập một "viên thuốc độc" (poison pill) cho phép các cổ đông đổi mỗi cổ phiếu Revlon lấy một trái phiếu có mệnh giá gốc $65 với lãi suất 12 phần trăm và kỳ hạn một năm nếu bất kỳ ai sở hữu 20 phần trăm hoặc hơn số cổ phiếu của Revlon.34</w:t>
      </w:r>
    </w:p>
    <w:p>
      <w:pPr>
        <w:spacing w:after="80"/>
      </w:pPr>
      <w:r>
        <w:rPr>
          <w:b w:val="0"/>
          <w:i w:val="0"/>
        </w:rPr>
        <w:t>"Viên thuốc độc" được cho là do Lipton phát minh vào đầu những năm 1980 như một biện pháp phòng vệ chống lại vấn đề ngày càng gia tăng về các cuộc thâu tóm thù địch của những người ngoài không mong muốn. Với nó, nếu một bên thầu thù địch sở hữu một tỷ lệ cổ phiếu được chỉ định của một công ty, các cổ đông có quyền đổi cổ phiếu của mình lấy một khoản phụ trội, mua cổ phiếu với giá chiết khấu, hoặc làm điều gì đó tương tự để đẩy giá lên cao đối với một người mua không thân thiện.</w:t>
      </w:r>
    </w:p>
    <w:p>
      <w:pPr>
        <w:spacing w:after="80"/>
      </w:pPr>
      <w:r>
        <w:rPr>
          <w:b w:val="0"/>
          <w:i w:val="0"/>
        </w:rPr>
        <w:t>Về mặt giả thuyết, viên thuốc độc khiến các công ty không thể bị thâu tóm ở một mức giá hợp lý về mặt kinh tế. Do đó, người ta lập luận rằng điều này có hại cho các cổ đông, vì nó khóa chặt ban lãnh đạo hiện tại và có thể ngăn cản các cổ đông bán cổ phiếu của mình với giá phụ trội.35 Thực tế là viên thuốc độc thường có hiệu quả như những mối đe dọa để ngăn chặn các hành động sớm, và ngay cả ở thời kỳ đỉnh cao sử dụng, chúng hiếm khi được kích hoạt; thông thường, các cuộc thâu tóm ở mức được coi là giá trị hợp lý thường được đồng ý. Có báo cáo rằng từ năm 1997 đến 2001, "cứ mỗi công ty có viên thuốc độc đã đẩy lùi thành công một đề nghị không mong muốn và vẫn độc lập, thì có 20 công ty được bảo vệ bằng thuốc độc chấp nhận các đề nghị thâu tóm."36</w:t>
      </w:r>
    </w:p>
    <w:p>
      <w:pPr>
        <w:spacing w:after="80"/>
      </w:pPr>
      <w:r>
        <w:rPr>
          <w:b w:val="0"/>
          <w:i w:val="0"/>
        </w:rPr>
        <w:t>Ngoài viên thuốc độc, các công ty còn có một biện pháp phòng vệ quan trọng khác. Mục 203 của Bộ luật Doanh nghiệp Delaware, được ban hành năm 1988, trì hoãn một cuộc thâu tóm thù địch trong ba năm trừ khi bên mua mua 85 phần trăm cổ phiếu của công ty mục tiêu trong một đề nghị mua duy nhất, một điều khoản có thể làm nản lòng những người thầu mua ít hơn toàn bộ công ty và đôi khi có thể dẫn đến các cuộc đàm phán thân thiện hơn giữa bên mua tiềm năng và công ty mục tiêu.37</w:t>
      </w:r>
    </w:p>
    <w:p>
      <w:pPr>
        <w:spacing w:after="80"/>
      </w:pPr>
      <w:r>
        <w:rPr>
          <w:b w:val="0"/>
          <w:i w:val="0"/>
        </w:rPr>
        <w:t>Thực tế là giá trị thực sự của viên thuốc độc nằm ở mối đe dọa hơn là việc sử dụng nó. Trên thực tế, không một viên thuốc nào được kích hoạt ở Mỹ cho đến tháng 12 năm 2008, khi Versata Enterprises kích hoạt một viên thuốc được Selectica áp dụng.38 Tòa án Tối cao Delaware đã giữ nguyên quyền của hội đồng quản trị trong việc sử dụng cơ chế phòng vệ này, xác lập rằng biện pháp phòng vệ bằng viên thuốc độc là phù hợp trong các trường hợp mà viên thuốc thực sự bảo vệ một lợi ích doanh nghiệp chính đáng, thể hiện một phán đoán kinh doanh vô tư, được thiết lập sau khi tuân theo một quy trình cẩn thận, và không khiến cho một cuộc tranh giành ủy quyền (proxy contest) thành công trở nên không thể đạt được một cách thực tế.39</w:t>
      </w:r>
    </w:p>
    <w:p>
      <w:pPr>
        <w:spacing w:after="80"/>
      </w:pPr>
      <w:r>
        <w:rPr>
          <w:b w:val="0"/>
          <w:i w:val="0"/>
        </w:rPr>
        <w:t>Đến năm 2010, sự phổ biến của viên thuốc độc đã giảm đáng kể, xuống mức thấp nhất trong hai thập kỷ. Áp lực từ các cổ đông, các công ty tư vấn ủy quyền (proxy advisory firms), và các bên khác đã thúc đẩy sự suy giảm này. Năm 2005, 54 phần trăm các công ty trong S&amp;P 1500 đã áp dụng viên thuốc độc sẽ được kích hoạt nếu một bên sở hữu tỷ lệ cổ phiếu cần thiết của công ty; đến năm 2010, con số đó đã giảm xuống chỉ còn 28 phần trăm.40 Dữ liệu từ năm 2020 cho thấy khoảng 200 công ty—giảm từ hơn 2,200 hai thập kỷ trước—vẫn còn một viên thuốc độc đang hoạt động.41 Nhiều công ty khác có một viên thuốc "trên kệ", sẵn sàng nhưng chưa được áp dụng cho đến khi và trừ khi một mối đe dọa xuất hiện.</w:t>
      </w:r>
    </w:p>
    <w:p>
      <w:pPr>
        <w:spacing w:after="80"/>
      </w:pPr>
      <w:r>
        <w:rPr>
          <w:b w:val="0"/>
          <w:i w:val="0"/>
        </w:rPr>
        <w:t>Lipton đã nói rằng ông phát minh ra viên thuốc độc không phải để ngăn chặn các cuộc thâu tóm mà để san bằng sân chơi và cho hội đồng quản trị của công ty mục tiêu thời gian để đưa ra quyết định hợp lý.42 Vào một buổi chiều tháng Mười se lạnh năm 2023, tôi may mắn được ngồi cùng Lipton, ở độ tuổi 90 nhưng vẫn còn năng động, tại văn phòng của ông ở Midtown Manhattan. Tôi không khỏi để ý rằng ông mặc bộ vest tối màu, áo sơ mi trắng phẳng phiu, và thắt cà vạt—vào một ngày thứ Sáu. Tôi đã nghe nói rằng ông vẫn ăn mặc theo truyền thống, nên tôi cũng vậy. "Viên thuốc độc là một phương tiện phòng vệ hiệu quả trong 30 năm," Lipton nói với tôi, "nhưng sức mạnh của nhà đầu tư tổ chức đã khiến nó kém hiệu quả hơn ngày nay khi nói đến việc bảo vệ một công ty. Nó vẫn hữu ích trong một số tình huống nhất định, nhưng ISS và Hội đồng Nhà đầu tư Tổ chức (Council of Institutional Investors) đã ngăn cản các công ty sử dụng nó như một biện pháp phòng ngừa. Phần lớn, các tập đoàn giờ đây đã quyết định không có nó cho đến khi họ bị tấn công hoặc cảm nhận được hơi thở nóng bỏng của việc bị tấn công."</w:t>
      </w:r>
    </w:p>
    <w:p>
      <w:pPr>
        <w:spacing w:after="80"/>
      </w:pPr>
      <w:r>
        <w:rPr>
          <w:b w:val="0"/>
          <w:i w:val="0"/>
        </w:rPr>
        <w:t xml:space="preserve">Trong vụ án </w:t>
      </w:r>
      <w:r>
        <w:rPr>
          <w:b w:val="0"/>
          <w:i/>
        </w:rPr>
        <w:t>Revlon</w:t>
      </w:r>
      <w:r>
        <w:rPr>
          <w:b w:val="0"/>
          <w:i w:val="0"/>
        </w:rPr>
        <w:t>, hội đồng quản trị Revlon cuối cùng đã chốt một thương vụ với Forstmann Little ở mức giá chỉ cao hơn một chút so với giá thầu của Perelman và có giá trị thấp hơn khi xét đến giá trị thời gian của tiền, vì Perelman đang đề xuất một đề nghị mua sẽ kết thúc nhanh chóng, trong khi thương vụ LBO sẽ cần tài trợ, một cuộc họp cổ đông, và một cuộc bỏ phiếu cũng như các bước khác sẽ mất vài tháng. Thương vụ LBO cũng bao gồm một điều khoản cấm tìm kiếm rất nghiêm ngặt (no-shop provision) (cấm liên hệ hoặc thậm chí phản hồi những người mua tiềm năng khác; một điều khoản cấm tìm kiếm điển hình thường ít nhất cho phép bên bán phản hồi sự quan tâm không được mời) và một quyền chọn khóa (lock-up option) (cam kết bán các tài sản khác nhau ở mức giá đã thỏa thuận) cho Forstmann Little.43</w:t>
      </w:r>
    </w:p>
    <w:p>
      <w:pPr>
        <w:spacing w:after="80"/>
      </w:pPr>
      <w:r>
        <w:rPr>
          <w:b w:val="0"/>
          <w:i w:val="0"/>
        </w:rPr>
        <w:t>Như Giáo sư Zachary Gubler viết, các điều khoản được đưa vào thương vụ "đã chấm dứt một cách hiệu quả việc đấu thầu cho Revlon vì Perelman không thể cạnh tranh với những thỏa thuận đó đang tồn tại," và điều này "đặc biệt có vấn đề trong một tình huống như của Revlon, nơi việc công ty sẽ bị chia tách là điều không thể tránh khỏi. . . . Trong bối cảnh đó, tòa án xác định rằng '[v]ai trò của các giám đốc đã thay đổi từ những người bảo vệ pháo đài của tập đoàn thành những người đấu giá có nhiệm vụ giành được mức giá tốt nhất cho các cổ đông khi bán công ty.'"44</w:t>
      </w:r>
    </w:p>
    <w:p>
      <w:pPr>
        <w:spacing w:after="80"/>
      </w:pPr>
      <w:r>
        <w:rPr>
          <w:b w:val="0"/>
          <w:i w:val="0"/>
        </w:rPr>
        <w:t xml:space="preserve">Nói cách khác, các biện pháp bảo vệ thương vụ có nghĩa là giá trị không thể được tối đa hóa, và hội đồng quản trị đã hành động không đúng mực. Tòa án Tối cao Delaware đã dừng việc bán cho Forstmann Little, và Perelman đã thâu tóm Revlon với giá $58 mỗi cổ phiếu. "Phán quyết này rất quan trọng," tờ </w:t>
      </w:r>
      <w:r>
        <w:rPr>
          <w:b w:val="0"/>
          <w:i/>
        </w:rPr>
        <w:t>New York Times</w:t>
      </w:r>
      <w:r>
        <w:rPr>
          <w:b w:val="0"/>
          <w:i w:val="0"/>
        </w:rPr>
        <w:t xml:space="preserve"> viết ngay sau phán quyết, "vì nó xác lập rằng mặc dù việc dựng lên một số rào cản nhất định, chẳng hạn như viên thuốc độc, để cho các giám đốc thêm thời gian thương lượng có thể là hoàn toàn hợp pháp, thì việc các giám đốc dựng lên quá nhiều rào cản và làm nguội lạnh việc đấu thầu thay vì tạo điều kiện cho việc đấu thầu dường như là bất hợp pháp."45 "Việc Ronald O. Perelman đạt được kỳ tích này như thế nào," tờ </w:t>
      </w:r>
      <w:r>
        <w:rPr>
          <w:b w:val="0"/>
          <w:i/>
        </w:rPr>
        <w:t>Times</w:t>
      </w:r>
      <w:r>
        <w:rPr>
          <w:b w:val="0"/>
          <w:i w:val="0"/>
        </w:rPr>
        <w:t xml:space="preserve"> tiếp tục nói, "chứng minh rằng, trong thời đại của những kẻ cướp đoạt tập đoàn này, hầu như không công ty nào an toàn khỏi bị thâu tóm—bất kể mảng các rào cản pháp lý và tài chính mà nó có thể dựng lên."46</w:t>
      </w:r>
    </w:p>
    <w:p>
      <w:pPr>
        <w:spacing w:after="80"/>
      </w:pPr>
      <w:r>
        <w:rPr>
          <w:b w:val="0"/>
          <w:i w:val="0"/>
        </w:rPr>
        <w:t>Perelman đưa Revlon lên sàn chứng khoán vào năm 1996 và tiếp tục sở hữu phần lớn cổ phiếu của công ty—85 phần trăm—cho đến khi Revlon phá sản vào năm 2022. Công ty thoát khỏi phá sản vào tháng 4 năm 2023 với việc Perelman không còn là cổ đông lần đầu tiên sau gần bốn thập kỷ.47</w:t>
      </w:r>
    </w:p>
    <w:p>
      <w:pPr>
        <w:spacing w:after="80"/>
      </w:pPr>
      <w:r>
        <w:rPr>
          <w:b w:val="0"/>
          <w:i w:val="0"/>
        </w:rPr>
        <w:t xml:space="preserve">Cần lưu ý rằng tiêu chuẩn </w:t>
      </w:r>
      <w:r>
        <w:rPr>
          <w:b w:val="0"/>
          <w:i/>
        </w:rPr>
        <w:t>Revlon</w:t>
      </w:r>
      <w:r>
        <w:rPr>
          <w:b w:val="0"/>
          <w:i w:val="0"/>
        </w:rPr>
        <w:t xml:space="preserve"> đòi hỏi sự hợp lý, chứ không phải sự hoàn hảo. Giáo sư Clark W. Furlow giải thích rằng “[vấn đề là] liệu hội đồng quản trị có đưa ra một quyết định hợp lý, thay vì hoàn hảo, hay không. Nếu quyết định của hội đồng quản trị là một trong nhiều phương án hợp lý, tòa án nên chấp thuận nó ngay cả khi thẩm phán cho rằng một hướng hành động khác sẽ tốt hơn.”48</w:t>
      </w:r>
    </w:p>
    <w:p>
      <w:pPr>
        <w:spacing w:after="80"/>
      </w:pPr>
      <w:r>
        <w:rPr>
          <w:b w:val="0"/>
          <w:i w:val="0"/>
        </w:rPr>
        <w:t xml:space="preserve">Cũng cần lưu ý rằng tối đa hóa giá trị không phải lúc nào cũng có nghĩa là chấp nhận mức giá danh nghĩa cao nhất. Hội đồng quản trị được phép và nên xem xét các yếu tố như rủi ro giao dịch không thể hoàn tất do vấn đề chống độc quyền hoặc các cân nhắc khác cũng như các yếu tố phi tiền mặt của thương vụ. Hội đồng quản trị có thể đúng đắn khi chọn một đề nghị đã hoàn tất thẩm định, đã cam kết tài chính và không có rào cản pháp lý rõ ràng, thay vì một đề nghị cao hơn một chút nhưng có rủi ro đáng kể là không thể hoàn tất.49 Chẳng hạn, trong </w:t>
      </w:r>
      <w:r>
        <w:rPr>
          <w:b w:val="0"/>
          <w:i/>
        </w:rPr>
        <w:t>In re Dollar Thrifty Shareholder Litigation</w:t>
      </w:r>
      <w:r>
        <w:rPr>
          <w:b w:val="0"/>
          <w:i w:val="0"/>
        </w:rPr>
        <w:t>, Tòa án Chancery Delaware phán quyết rằng, trong đề xuất sáp nhập với Hertz, hội đồng quản trị của công ty cho thuê xe Dollar Thrifty đã không vi phạm nghĩa vụ của mình khi từ chối một đề nghị cao hơn vào phút chót, sau khi kết luận rằng nhà thầu mới thiếu nguồn lực để tài trợ cho thương vụ.50</w:t>
      </w:r>
    </w:p>
    <w:p>
      <w:pPr>
        <w:spacing w:after="80"/>
      </w:pPr>
      <w:r>
        <w:rPr>
          <w:b w:val="0"/>
          <w:i w:val="0"/>
        </w:rPr>
        <w:t>Tôi nhớ rằng Rohatyn từng không thích phí khuyến khích dành cho các chuyên gia ngân hàng đầu tư, hay mức phí cao hơn nếu đạt được giá cao hơn cho một công ty, bởi vì ông không muốn ngay cả vẻ bề ngoài của cấu trúc phí cũng làm xao nhãng việc tư vấn cho khách hàng chấp nhận “thương vụ tốt nhất” thay vì “giá cao nhất.”</w:t>
      </w:r>
    </w:p>
    <w:p>
      <w:pPr>
        <w:spacing w:after="80"/>
      </w:pPr>
      <w:r>
        <w:rPr>
          <w:b w:val="0"/>
          <w:i w:val="0"/>
        </w:rPr>
        <w:t xml:space="preserve">Các vụ án sau đó đã xác lập rằng </w:t>
      </w:r>
      <w:r>
        <w:rPr>
          <w:b w:val="0"/>
          <w:i/>
        </w:rPr>
        <w:t>Revlon</w:t>
      </w:r>
      <w:r>
        <w:rPr>
          <w:b w:val="0"/>
          <w:i w:val="0"/>
        </w:rPr>
        <w:t xml:space="preserve"> áp dụng trong ba tình huống: (1) khi một công ty khởi xướng một quá trình đấu giá tích cực để tự bán mình hoặc thực hiện việc chia tách công ty, (2) khi một công ty từ bỏ chiến lược dài hạn của mình để phản ứng với đề nghị của nhà thầu và tìm kiếm một giao dịch thay thế liên quan đến việc chia tách, hoặc (3) khi việc chấp thuận một giao dịch dẫn đến việc bán hoặc thay đổi quyền kiểm soát.51 Cần lưu ý rằng </w:t>
      </w:r>
      <w:r>
        <w:rPr>
          <w:b w:val="0"/>
          <w:i/>
        </w:rPr>
        <w:t>Revlon</w:t>
      </w:r>
      <w:r>
        <w:rPr>
          <w:b w:val="0"/>
          <w:i w:val="0"/>
        </w:rPr>
        <w:t xml:space="preserve"> đôi khi bị hiểu nhầm là áp dụng trong các tình huống mà hội đồng quản trị chỉ đang cân nhắc việc bán. Điều này không đúng. Chỉ có trường hợp là hội đồng quản trị nên nhạy cảm với “</w:t>
      </w:r>
      <w:r>
        <w:rPr>
          <w:b w:val="0"/>
          <w:i/>
        </w:rPr>
        <w:t>Nghĩa vụ Revlon</w:t>
      </w:r>
      <w:r>
        <w:rPr>
          <w:b w:val="0"/>
          <w:i w:val="0"/>
        </w:rPr>
        <w:t xml:space="preserve">” nếu việc bán công ty sắp xảy ra, bởi vì quá trình của họ sẽ được xem xét theo tiêu chuẩn </w:t>
      </w:r>
      <w:r>
        <w:rPr>
          <w:b w:val="0"/>
          <w:i/>
        </w:rPr>
        <w:t>Revlon</w:t>
      </w:r>
      <w:r>
        <w:rPr>
          <w:b w:val="0"/>
          <w:i w:val="0"/>
        </w:rPr>
        <w:t xml:space="preserve"> nếu việc bán cuối cùng diễn ra.</w:t>
      </w:r>
    </w:p>
    <w:p>
      <w:pPr>
        <w:spacing w:after="80"/>
      </w:pPr>
      <w:r>
        <w:rPr>
          <w:b w:val="0"/>
          <w:i w:val="0"/>
        </w:rPr>
        <w:t>Rob Kindler là chủ tịch toàn cầu của nhóm M&amp;A tại hãng luật Paul, Weiss và trước đây là phó chủ tịch kiêm trưởng bộ phận M&amp;A toàn cầu tại Morgan Stanley, giám đốc điều hành kiêm trưởng bộ phận M&amp;A toàn cầu tại JPMorganChase, và là đối tác tại hãng luật Cravath. Ông thậm chí từng có một biển số xe ghi “MNA GUY” trong một thời gian. “</w:t>
      </w:r>
      <w:r>
        <w:rPr>
          <w:b w:val="0"/>
          <w:i/>
        </w:rPr>
        <w:t>Revlon</w:t>
      </w:r>
      <w:r>
        <w:rPr>
          <w:b w:val="0"/>
          <w:i w:val="0"/>
        </w:rPr>
        <w:t xml:space="preserve"> áp dụng khi sắp có sự thay đổi quyền kiểm soát,” Kindler tóm tắt, “và khi sẽ không có cơ hội nào khác để bán công ty.”</w:t>
      </w:r>
    </w:p>
    <w:p>
      <w:pPr>
        <w:spacing w:after="80"/>
      </w:pPr>
      <w:r>
        <w:rPr>
          <w:b w:val="0"/>
          <w:i w:val="0"/>
        </w:rPr>
        <w:t xml:space="preserve">Sự giám sát tăng cường không chỉ áp dụng trong việc bán một công ty. Theo tiêu chuẩn </w:t>
      </w:r>
      <w:r>
        <w:rPr>
          <w:b w:val="0"/>
          <w:i/>
        </w:rPr>
        <w:t>Unocal</w:t>
      </w:r>
      <w:r>
        <w:rPr>
          <w:b w:val="0"/>
          <w:i w:val="0"/>
        </w:rPr>
        <w:t xml:space="preserve">, được nêu rõ trong vụ án năm 1985 </w:t>
      </w:r>
      <w:r>
        <w:rPr>
          <w:b w:val="0"/>
          <w:i/>
        </w:rPr>
        <w:t>Unocal v. Mesa Petroleum</w:t>
      </w:r>
      <w:r>
        <w:rPr>
          <w:b w:val="0"/>
          <w:i w:val="0"/>
        </w:rPr>
        <w:t xml:space="preserve">, mức độ giám sát tăng cường được áp dụng khi các công ty thông qua các biện pháp phòng vệ chống lại các mối đe dọa kiểm soát. Trong tình huống này, hội đồng quản trị phải chứng minh rằng họ có “cơ sở hợp lý để tin rằng tồn tại mối nguy hiểm đối với chính sách và hiệu quả của công ty” và chứng minh rằng biện pháp phòng vệ được chọn là “hợp lý so với mối đe dọa đặt ra.”52 Khung </w:t>
      </w:r>
      <w:r>
        <w:rPr>
          <w:b w:val="0"/>
          <w:i/>
        </w:rPr>
        <w:t>Unocal</w:t>
      </w:r>
      <w:r>
        <w:rPr>
          <w:b w:val="0"/>
          <w:i w:val="0"/>
        </w:rPr>
        <w:t xml:space="preserve"> đã được Tòa án Tối cao Delaware sử dụng trong </w:t>
      </w:r>
      <w:r>
        <w:rPr>
          <w:b w:val="0"/>
          <w:i/>
        </w:rPr>
        <w:t>Moran v. Household International</w:t>
      </w:r>
      <w:r>
        <w:rPr>
          <w:b w:val="0"/>
          <w:i w:val="0"/>
        </w:rPr>
        <w:t xml:space="preserve"> (và sau đó là vụ </w:t>
      </w:r>
      <w:r>
        <w:rPr>
          <w:b w:val="0"/>
          <w:i/>
        </w:rPr>
        <w:t>Versata v. Selectica</w:t>
      </w:r>
      <w:r>
        <w:rPr>
          <w:b w:val="0"/>
          <w:i w:val="0"/>
        </w:rPr>
        <w:t>) để duy trì quyền của các công ty trong việc triển khai poison pill.53</w:t>
      </w:r>
    </w:p>
    <w:p>
      <w:pPr>
        <w:spacing w:after="80"/>
      </w:pPr>
      <w:r>
        <w:rPr>
          <w:b w:val="0"/>
          <w:i w:val="0"/>
        </w:rPr>
        <w:t xml:space="preserve">Có nhiều ví dụ về cách poison pill và nghĩa vụ </w:t>
      </w:r>
      <w:r>
        <w:rPr>
          <w:b w:val="0"/>
          <w:i/>
        </w:rPr>
        <w:t>Revlon</w:t>
      </w:r>
      <w:r>
        <w:rPr>
          <w:b w:val="0"/>
          <w:i w:val="0"/>
        </w:rPr>
        <w:t xml:space="preserve"> diễn ra trong thực tế. Nhà phân phối khí công nghiệp Airgas là một ví dụ quan trọng về một công ty lớn đã chống lại thành công một thương vụ thâu tóm thù địch và sau đó được bán với giá cao hơn nhiều, cuối cùng mang lại lợi ích cho cổ đông. Peter McCausland thành lập Airgas vào năm 1982, mua một nhà phân phối khí với giá 5 triệu đô la. Ông nhận ra rằng ngành này phần lớn gồm các công ty nhỏ và Airgas có thể hợp nhất ngành thông qua các thương vụ mua lại và trở thành một công ty mạnh hơn, có giá trị hơn nhiều.54 Như tờ </w:t>
      </w:r>
      <w:r>
        <w:rPr>
          <w:b w:val="0"/>
          <w:i/>
        </w:rPr>
        <w:t>Philadelphia Inquirer</w:t>
      </w:r>
      <w:r>
        <w:rPr>
          <w:b w:val="0"/>
          <w:i w:val="0"/>
        </w:rPr>
        <w:t xml:space="preserve"> viết năm 2007 sau khi công ty mua một doanh nghiệp khí đóng gói, “Đây là thương vụ mua lại thứ 355 của giám đốc điều hành Peter McCausland, một cựu luật sư mua bán và sáp nhập, người đã có nhận định sắc bén vào đầu những năm 1980 rằng ngành kinh doanh khí đã chín muồi cho việc hợp nhất.”55</w:t>
      </w:r>
    </w:p>
    <w:p>
      <w:pPr>
        <w:spacing w:after="80"/>
      </w:pPr>
      <w:r>
        <w:rPr>
          <w:b w:val="0"/>
          <w:i w:val="0"/>
        </w:rPr>
        <w:t xml:space="preserve">Năm 2009, Airgas được Air Products, một đối thủ cạnh tranh, tiếp cận. “McCausland đưa đề nghị lên hội đồng quản trị,” tờ </w:t>
      </w:r>
      <w:r>
        <w:rPr>
          <w:b w:val="0"/>
          <w:i/>
        </w:rPr>
        <w:t>New York Times</w:t>
      </w:r>
      <w:r>
        <w:rPr>
          <w:b w:val="0"/>
          <w:i w:val="0"/>
        </w:rPr>
        <w:t xml:space="preserve"> viết năm 2016, “hội đồng đã từ chối vì cho rằng nó định giá thấp công ty. . . . Vào tháng 2 năm 2010, Air Products chuyển sang thù địch với đề nghị 5 tỷ đô la gửi đến cổ đông [khoảng 60 đô la mỗi cổ phiếu].”56</w:t>
      </w:r>
    </w:p>
    <w:p>
      <w:pPr>
        <w:spacing w:after="80"/>
      </w:pPr>
      <w:r>
        <w:rPr>
          <w:b w:val="0"/>
          <w:i w:val="0"/>
        </w:rPr>
        <w:t>Đó là một mối đe dọa rất thực tế. Nhưng Airgas có hai biện pháp bảo vệ quan trọng: một poison pill, thứ đã ngăn chặn hiệu quả bất kỳ cổ đông đơn lẻ nào tích lũy cổ phần vượt quá 15 phần trăm công ty mà không có sự chấp thuận của hội đồng quản trị, và một hội đồng quản trị phân kỳ (sẽ nói thêm ở chương 7), nghĩa là chỉ 3 trong số 11 giám đốc được bầu lại trong bất kỳ năm nào.</w:t>
      </w:r>
    </w:p>
    <w:p>
      <w:pPr>
        <w:spacing w:after="80"/>
      </w:pPr>
      <w:r>
        <w:rPr>
          <w:b w:val="0"/>
          <w:i w:val="0"/>
        </w:rPr>
        <w:t>Air Products rất hung hăng. Để vượt qua poison pill, họ cần tìm cách giành được đa số trong hội đồng quản trị. Để làm điều đó nhanh chóng, Air Products nhắm mục tiêu đưa hai cuộc họp thường niên tiếp theo của Airgas lại gần nhau hơn trên lịch. Bất chấp sự phản đối của McCausland, cổ đông Airgas đã bỏ phiếu cùng Air Products để loại McCausland và hai giám đốc khác khỏi hội đồng quản trị tại cuộc họp đầu tiên và sau đó bỏ phiếu dời cuộc họp tiếp theo lên sớm hơn.</w:t>
      </w:r>
    </w:p>
    <w:p>
      <w:pPr>
        <w:spacing w:after="80"/>
      </w:pPr>
      <w:r>
        <w:rPr>
          <w:b w:val="0"/>
          <w:i w:val="0"/>
        </w:rPr>
        <w:t>Tuy nhiên, cuộc chiến vẫn chưa kết thúc. Giám đốc giàu kinh nghiệm Paula Sneed khi đó là thành viên hội đồng quản trị của Airgas. “Khi chúng tôi phải đưa các giám đốc mới của Air Products vào hội đồng quản trị và một số thành viên hội đồng lâu năm của chúng tôi bị loại, đó là giai đoạn khủng hoảng đối với chúng tôi,” Sneed giải thích với tôi. “Nhưng hội đồng quản trị đã làm một điều thông minh. Hiểu được sức mạnh của một hội đồng quản trị đoàn kết, chúng tôi đã làm việc rất có chủ đích để đưa các thành viên mới hòa nhập, dành thời gian và công sức giải thích cho họ điều chúng tôi biết là đúng đắn cho cổ đông Airgas. Điều giành chiến thắng cho chúng tôi là các thành viên hội đồng mới đã bỏ phiếu cùng với các thành viên hội đồng kế thừa của Airgas thay vì đứng riêng và tạo căng thẳng trong phòng họp hội đồng.” Thật vậy, hội đồng quản trị—dù giờ đây bao gồm ba người được Air Products đề cử—đã nhất trí từ chối đề nghị của Air Products là “rõ ràng không thỏa đáng.”57</w:t>
      </w:r>
    </w:p>
    <w:p>
      <w:pPr>
        <w:spacing w:after="80"/>
      </w:pPr>
      <w:r>
        <w:rPr>
          <w:b w:val="0"/>
          <w:i w:val="0"/>
        </w:rPr>
        <w:t>Đáng lưu ý rằng bất kể ai đề cử một giám đốc cho một ghế trong hội đồng quản trị—dù là công ty, một nhà đầu tư, hay một nhà hoạt động—các giám đốc được cổ đông bầu chọn và chịu trách nhiệm trước tất cả cổ đông, không chỉ trước một nhà đầu tư, nhà hoạt động hay bên nào khác. Đây là cách Airgas có thể giành thắng lợi trong tình huống này. Những người được Air Products đề cử đã bỏ phiếu cùng với các giám đốc kế thừa của Airgas chứ không theo cách mà Air Products tưởng tượng họ sẽ làm.</w:t>
      </w:r>
    </w:p>
    <w:p>
      <w:pPr>
        <w:spacing w:after="80"/>
      </w:pPr>
      <w:r>
        <w:rPr>
          <w:b w:val="0"/>
          <w:i w:val="0"/>
        </w:rPr>
        <w:t>Đề nghị từ Air Products vào thời điểm hội đồng quản trị bỏ phiếu từ chối là 70 đô la mỗi cổ phiếu, tăng từ mức 60 đô la ban đầu. Cuộc chiến dường như đã kết thúc. Tuy nhiên, Air Products quay lại ba năm sau và thử lại lần nữa. McCausland chia sẻ câu chuyện của mình với tôi:</w:t>
      </w:r>
    </w:p>
    <w:p>
      <w:pPr>
        <w:spacing w:after="80"/>
      </w:pPr>
      <w:r>
        <w:rPr>
          <w:b w:val="0"/>
          <w:i w:val="0"/>
        </w:rPr>
        <w:t>Tôi gặp CEO của Air Products, người có một cuốn sổ của chuyên gia ngân hàng cho tôi thấy rằng nếu tôi quan tâm đến cổ đông của mình, chúng tôi cần bán cho ông ta. Và rồi ông ta xé một trang ra, và nó cho thấy sự trùng lặp giữa cổ đông của Airgas và Air Products. Và chúng tôi có 84 phần trăm trùng lặp, nên nếu có điều gì đó là chiến thắng cho Air Products, ngay cả khi nó không đúng cho Airgas, chúng tôi sẽ thua. Chúng tôi đã trình bày về lý do tại sao các nhà đầu tư tổ chức nên bỏ phiếu cho chúng tôi và chống lại Air Products. Họ lắng nghe chúng tôi, nhưng rồi họ nói, “Peter, chúng tôi là cổ đông lớn của một quỹ chỉ số. Vậy nên chúng tôi là cổ đông lớn của cả hai công ty. Nhưng vì Air Products là công ty lớn hơn, chúng tôi có cổ phần lớn hơn nhiều ở Air Products. Tôi thấy lập luận của ông, nhưng ngay cả khi đó là thương vụ tồi cho Airgas, nó là thương vụ tốt cho Air Products, và vì vậy nó là thương vụ tốt cho chúng tôi khi cân nhắc tổng thể.”</w:t>
      </w:r>
    </w:p>
    <w:p>
      <w:pPr>
        <w:spacing w:after="80"/>
      </w:pPr>
      <w:r>
        <w:rPr>
          <w:b w:val="0"/>
          <w:i w:val="0"/>
        </w:rPr>
        <w:t>McCausland không bỏ cuộc. Kiệt sức vì cuộc chiến và nhận thức rõ mối đe dọa từ Air Products, cuối cùng ông tìm được một người mua là Air Liquide, một công ty Pháp đã đưa ra đề nghị 143 đô la mỗi cổ phiếu, cao hơn gấp đôi so với đề nghị của Air Products vài năm trước đó.</w:t>
      </w:r>
    </w:p>
    <w:p>
      <w:pPr>
        <w:spacing w:after="80"/>
      </w:pPr>
      <w:r>
        <w:rPr>
          <w:b w:val="0"/>
          <w:i w:val="0"/>
        </w:rPr>
        <w:t>Daniel Neff là một đối tác, cựu đồng chủ tịch, và hiện là thành viên của ủy ban điều hành tại Wachtell Lipton, đồng thời là một luật sư M&amp;A hàng đầu với bề dày lịch sử bảo vệ các công ty khỏi các nhà hoạt động và các cuộc tấn công thù địch. Neff và Wachtell Lipton đã tư vấn cho Airgas trong việc đẩy lùi Air Products. "Airgas là một cuộc phòng thủ chống thâu tóm kinh điển," Neff giải thích với tôi.</w:t>
      </w:r>
    </w:p>
    <w:p>
      <w:pPr>
        <w:spacing w:after="80"/>
      </w:pPr>
      <w:r>
        <w:rPr>
          <w:b w:val="0"/>
          <w:i w:val="0"/>
        </w:rPr>
        <w:t>Chúng tôi có khả năng làm được điều đó, vì chúng tôi có hội đồng quản trị theo nhiệm kỳ so le. Nhưng chúng tôi đã thua cuộc bầu cử và họp đầu tiên trong số hai cuộc được dự kiến. Giữa cuộc họp thường niên thứ nhất và thứ hai, chúng tôi có được một phán quyết của tòa án giúp làm chậm bên chào thâu thù địch [Tòa án Tối cao Delaware đã bác bỏ nỗ lực của Air Products nhằm buộc Airgas tổ chức cuộc họp cổ đông tiếp theo sớm hơn]. Khoảng dừng đó cho phép công ty [giành được phiếu của các giám đốc do Air Products đề cử và] cuối cùng được bán bốn năm sau đó với giá cao hơn rất nhiều. Chúng tôi có cảm giác cực kỳ mạnh mẽ rằng giá trị to lớn sẽ bị mất đi nếu công ty bị buộc phải bán vào thời điểm mà bên chào thâu thù địch đang cố gắng mua.</w:t>
      </w:r>
    </w:p>
    <w:p>
      <w:pPr>
        <w:spacing w:after="80"/>
      </w:pPr>
      <w:r>
        <w:rPr>
          <w:b w:val="0"/>
          <w:i w:val="0"/>
        </w:rPr>
        <w:t>"Đó là một thương vụ tuyệt vời cho Air Liquide," McCausland nói với tôi. "Và tôi rất vui, vì điều đó có nghĩa là nó cũng là một thương vụ tốt cho các đồng nghiệp của tôi."</w:t>
      </w:r>
    </w:p>
    <w:p>
      <w:pPr>
        <w:spacing w:after="80"/>
      </w:pPr>
      <w:r>
        <w:rPr>
          <w:b w:val="0"/>
          <w:i w:val="0"/>
        </w:rPr>
        <w:t>Một ví dụ gần đây hơn về tình huống viên thuốc độc (poison pill) là tại PGT Innovations, một nhà sản xuất cửa sổ và cửa chống va đập. Công ty đã từ chối lời chào thâu bằng tiền mặt ban đầu trị giá 33 đô la mỗi cổ phiếu, tương đương 2,2 tỷ đô la vào năm 2023 từ Miter Brands, một đối thủ cạnh tranh được Koch Industries hậu thuẫn.58 PGT đã áp dụng viên thuốc độc chín tháng trước đó, biện minh vào thời điểm đó bằng những lo ngại về một nhà đầu tư bắt đầu tích lũy cổ phần trong công ty. Tại Masonite, nơi, như tôi đã đề cập trước đó, tôi là giám đốc và chủ tịch ủy ban kiểm toán hơn một thập kỷ cho đến khi công ty được bán cho Owens Corning vào năm 2024 với giá khoảng 4 tỷ đô la, có logic chiến lược rõ ràng để mở rộng danh mục sản phẩm sang những sản phẩm mà PGT cung cấp. Ngay sau lời đề nghị của Miter, Masonite công bố lời đề nghị 41 đô la mỗi cổ phiếu mà ban lãnh đạo PGT ban đầu hoan nghênh. Miter sau đó tăng lời đề nghị lên 42 đô la mỗi cổ phiếu, và PGT khuyến nghị các cổ đông của mình chấp nhận đề xuất đó. Quá trình cạnh tranh, được hỗ trợ một phần nhờ viên thuốc độc, đã giúp các cổ đông PGT thu về nhiều giá trị hơn mức mà lẽ ra họ có thể có được.</w:t>
      </w:r>
    </w:p>
    <w:p>
      <w:pPr>
        <w:spacing w:after="80"/>
      </w:pPr>
      <w:r>
        <w:rPr>
          <w:b w:val="0"/>
          <w:i w:val="0"/>
        </w:rPr>
        <w:t xml:space="preserve">Vụ án năm 2015 của Tòa án Tối cao Delaware </w:t>
      </w:r>
      <w:r>
        <w:rPr>
          <w:b w:val="0"/>
          <w:i/>
        </w:rPr>
        <w:t>Corwin v. KKR Financial Holdings</w:t>
      </w:r>
      <w:r>
        <w:rPr>
          <w:b w:val="0"/>
          <w:i w:val="0"/>
        </w:rPr>
        <w:t xml:space="preserve"> đã bổ sung một làm rõ quan trọng cho các tình huống </w:t>
      </w:r>
      <w:r>
        <w:rPr>
          <w:b w:val="0"/>
          <w:i/>
        </w:rPr>
        <w:t>Revlon</w:t>
      </w:r>
      <w:r>
        <w:rPr>
          <w:b w:val="0"/>
          <w:i w:val="0"/>
        </w:rPr>
        <w:t xml:space="preserve">, phán quyết rằng ngay cả đối với những thương vụ mà </w:t>
      </w:r>
      <w:r>
        <w:rPr>
          <w:b w:val="0"/>
          <w:i/>
        </w:rPr>
        <w:t>Revlon</w:t>
      </w:r>
      <w:r>
        <w:rPr>
          <w:b w:val="0"/>
          <w:i w:val="0"/>
        </w:rPr>
        <w:t xml:space="preserve"> sẽ được áp dụng, một khi giao dịch được chấp thuận bởi đa số cổ đông không có lợi ích liên quan, được thông tin đầy đủ và không bị ép buộc, tiêu chuẩn xem xét sẽ quay trở lại quy tắc phán đoán kinh doanh (business judgment rule).59</w:t>
      </w:r>
    </w:p>
    <w:p>
      <w:pPr>
        <w:spacing w:after="80"/>
      </w:pPr>
      <w:r>
        <w:rPr>
          <w:b w:val="0"/>
          <w:i w:val="0"/>
        </w:rPr>
        <w:t xml:space="preserve">Trong </w:t>
      </w:r>
      <w:r>
        <w:rPr>
          <w:b w:val="0"/>
          <w:i/>
        </w:rPr>
        <w:t>Corwin</w:t>
      </w:r>
      <w:r>
        <w:rPr>
          <w:b w:val="0"/>
          <w:i w:val="0"/>
        </w:rPr>
        <w:t>, các cổ đông đã đệ đơn thách thức sau một vụ sáp nhập hoán đổi cổ phiếu giữa KKR và KKR Financial, lập luận rằng vì hoạt động kinh doanh chính của KKR Financial là tài trợ cho các hoạt động LBO của KKR và vì KKR Financial được quản lý bởi một công ty liên kết của KKR, chứ không phải bởi ban quản lý độc lập, nên KKR là cổ đông kiểm soát của KKR Financial và vụ sáp nhập lẽ ra phải chịu tiêu chuẩn công bằng toàn diện (entire fairness). Tòa án phán quyết rằng các cổ đông đã được thông tin về mối quan hệ giữa hai công ty, KKR Financial có một hội đồng quản trị độc lập được quyền đưa ra phán đoán của mình, và "tiêu chuẩn xem xét phán đoán kinh doanh đã được viện dẫn vì vụ sáp nhập được chấp thuận bởi đa số cổ đông không có lợi ích liên quan."60</w:t>
      </w:r>
    </w:p>
    <w:p>
      <w:pPr>
        <w:spacing w:after="80"/>
      </w:pPr>
      <w:r>
        <w:rPr>
          <w:b w:val="0"/>
          <w:i w:val="0"/>
        </w:rPr>
        <w:t xml:space="preserve">Cuối cùng, tôi nên lưu ý rằng có một giới hạn đối với sức mạnh của </w:t>
      </w:r>
      <w:r>
        <w:rPr>
          <w:b w:val="0"/>
          <w:i/>
        </w:rPr>
        <w:t>Corwin</w:t>
      </w:r>
      <w:r>
        <w:rPr>
          <w:b w:val="0"/>
          <w:i w:val="0"/>
        </w:rPr>
        <w:t xml:space="preserve"> trong việc tránh các thách thức đối với một thương vụ một khi các cổ đông không có lợi ích liên quan đã chấp thuận nó: quyền theo Luật Tổng công ty Delaware (Delaware General Corporation Law) để cổ đông kiểm tra hồ sơ công ty theo Mục 220 nếu cổ đông tuyên bố một mục đích chính đáng "liên quan một cách hợp lý đến lợi ích của người đó với tư cách cổ đông."61</w:t>
      </w:r>
    </w:p>
    <w:p>
      <w:pPr>
        <w:spacing w:after="80"/>
      </w:pPr>
      <w:r>
        <w:rPr>
          <w:b w:val="0"/>
          <w:i w:val="0"/>
        </w:rPr>
        <w:t xml:space="preserve">Các nhà hoạt động đã sử dụng rộng rãi Mục 220 trong những năm gần đây, hy vọng tìm thấy bằng chứng về việc quản lý công ty yếu kém. Trong </w:t>
      </w:r>
      <w:r>
        <w:rPr>
          <w:b w:val="0"/>
          <w:i/>
        </w:rPr>
        <w:t>Lavin v. West Corporation</w:t>
      </w:r>
      <w:r>
        <w:rPr>
          <w:b w:val="0"/>
          <w:i w:val="0"/>
        </w:rPr>
        <w:t xml:space="preserve">, một vụ án năm 2017 tại Tòa án Chancery Delaware, West Corporation tìm cách sử dụng phán quyết </w:t>
      </w:r>
      <w:r>
        <w:rPr>
          <w:b w:val="0"/>
          <w:i/>
        </w:rPr>
        <w:t>Corwin</w:t>
      </w:r>
      <w:r>
        <w:rPr>
          <w:b w:val="0"/>
          <w:i w:val="0"/>
        </w:rPr>
        <w:t xml:space="preserve"> để ngăn các cổ đông thực hiện yêu cầu theo Mục 220 nhằm xem hồ sơ, tuyên bố rằng vì vụ sáp nhập của công ty với Apollo đã được đa số cổ đông không có lợi ích liên quan chấp thuận, nên "phiếu bầu của cổ đông đã 'thanh tẩy' mọi vi phạm nghĩa vụ ủy thác được cho là có."62</w:t>
      </w:r>
    </w:p>
    <w:p>
      <w:pPr>
        <w:spacing w:after="80"/>
      </w:pPr>
      <w:r>
        <w:rPr>
          <w:b w:val="0"/>
          <w:i w:val="0"/>
        </w:rPr>
        <w:t xml:space="preserve">Tòa án phán quyết rằng </w:t>
      </w:r>
      <w:r>
        <w:rPr>
          <w:b w:val="0"/>
          <w:i/>
        </w:rPr>
        <w:t>Corwin</w:t>
      </w:r>
      <w:r>
        <w:rPr>
          <w:b w:val="0"/>
          <w:i w:val="0"/>
        </w:rPr>
        <w:t xml:space="preserve"> sẽ không "đứng như một trở ngại đối với một yêu cầu kiểm tra vốn đã được hỗ trợ đúng đắn"63 và rằng ngay cả sự chấp thuận của cổ đông được thông tin đầy đủ đối với một giao dịch cũng sẽ không loại bỏ quyền của cổ đông trong việc xem xét thông tin công ty. Lập luận của West Corporation đã bị bác bỏ, và công ty bị buộc phải cho phép kiểm tra hồ sơ của mình. Hàm ý thực tiễn của phán quyết này là các giám đốc phải luôn thực hiện sự cẩn trọng cần thiết, và những nghĩa vụ này không dừng lại ngay cả khi các cổ đông không có lợi ích liên quan chấp thuận một hành động cụ thể.</w:t>
      </w:r>
    </w:p>
    <w:p>
      <w:pPr>
        <w:pStyle w:val="Heading2"/>
      </w:pPr>
      <w:r>
        <w:rPr>
          <w:rFonts w:ascii="Calibri" w:hAnsi="Calibri"/>
          <w:b/>
          <w:i/>
          <w:sz w:val="32"/>
        </w:rPr>
        <w:t>Weinberger</w:t>
      </w:r>
      <w:r>
        <w:rPr>
          <w:rFonts w:ascii="Calibri" w:hAnsi="Calibri"/>
          <w:b/>
          <w:i w:val="0"/>
          <w:sz w:val="32"/>
        </w:rPr>
        <w:t>, "Công bằng toàn diện," và Nghĩa vụ Trung thành</w:t>
      </w:r>
    </w:p>
    <w:p>
      <w:pPr>
        <w:spacing w:after="80"/>
      </w:pPr>
      <w:r>
        <w:rPr>
          <w:b w:val="0"/>
          <w:i w:val="0"/>
        </w:rPr>
        <w:t xml:space="preserve">Sự xem xét tăng cường mà </w:t>
      </w:r>
      <w:r>
        <w:rPr>
          <w:b w:val="0"/>
          <w:i/>
        </w:rPr>
        <w:t>Revlon</w:t>
      </w:r>
      <w:r>
        <w:rPr>
          <w:b w:val="0"/>
          <w:i w:val="0"/>
        </w:rPr>
        <w:t xml:space="preserve"> yêu cầu giả định có thiện chí và không có xung đột lợi ích, điều này, tất nhiên, gợi nhớ đến nghĩa vụ bao trùm khác mà các giám đốc có nghĩa vụ tuân theo, như đã thảo luận trước đó trong chương 3: nghĩa vụ trung thành (duty of loyalty). Mặc dù nghĩa vụ trung thành không xuất phát từ một vụ án M&amp;A (mà đúng hơn, nó đến từ hành vi lừa đảo hai mặt của Charles G. Guth, chủ tịch công ty kẹo Loft, như đã giải thích trong chương 3), cách nó được áp dụng trong bối cảnh M&amp;A được xử lý một cách có thẩm quyền trong </w:t>
      </w:r>
      <w:r>
        <w:rPr>
          <w:b w:val="0"/>
          <w:i/>
        </w:rPr>
        <w:t>Weinberger</w:t>
      </w:r>
      <w:r>
        <w:rPr>
          <w:b w:val="0"/>
          <w:i w:val="0"/>
        </w:rPr>
        <w:t xml:space="preserve">, vụ án đến trước Tòa án Tối cao Delaware ba năm trước </w:t>
      </w:r>
      <w:r>
        <w:rPr>
          <w:b w:val="0"/>
          <w:i/>
        </w:rPr>
        <w:t>Revlon</w:t>
      </w:r>
      <w:r>
        <w:rPr>
          <w:b w:val="0"/>
          <w:i w:val="0"/>
        </w:rPr>
        <w:t>, vào năm 1983, và sự phát triển của một tiêu chuẩn thậm chí còn nghiêm ngặt hơn cả sự xem xét tăng cường.</w:t>
      </w:r>
    </w:p>
    <w:p>
      <w:pPr>
        <w:spacing w:after="80"/>
      </w:pPr>
      <w:r>
        <w:rPr>
          <w:b w:val="0"/>
          <w:i w:val="0"/>
        </w:rPr>
        <w:t>Sự xem xét tăng cường không nên thay đổi quy trình của một hội đồng quản trị chất lượng cao, nhưng tiêu chuẩn công bằng toàn diện—mà chúng ta xem xét tiếp theo—là tiêu chuẩn xem xét khắt khe nhất của Delaware và vượt xa cả phán đoán kinh doanh lẫn sự xem xét tăng cường. Công bằng toàn diện yêu cầu các giám đốc chứng minh sự công bằng của cả quy trình lẫn giá cả cho giao dịch mà họ đã chấp thuận.</w:t>
      </w:r>
    </w:p>
    <w:p>
      <w:pPr>
        <w:spacing w:after="80"/>
      </w:pPr>
      <w:r>
        <w:rPr>
          <w:b w:val="0"/>
          <w:i w:val="0"/>
        </w:rPr>
        <w:t xml:space="preserve">Trong vụ án </w:t>
      </w:r>
      <w:r>
        <w:rPr>
          <w:b w:val="0"/>
          <w:i/>
        </w:rPr>
        <w:t>Weinberger</w:t>
      </w:r>
      <w:r>
        <w:rPr>
          <w:b w:val="0"/>
          <w:i w:val="0"/>
        </w:rPr>
        <w:t>, Signal trước đó đã mua 50,5 phần trăm cổ phần của UOP, một công ty dầu khí lớn được thành lập vào năm 1914. Khi Signal muốn mua phần cổ phần còn lại, ban lãnh đạo Signal đã yêu cầu hai giám đốc của mình, những người cũng là giám đốc của UOP, xác định một mức giá phù hợp. Dựa trên kết quả của một nghiên cứu khả thi, họ nhận thấy rằng tối đa 24 đô la mỗi cổ phiếu sẽ là "một khoản đầu tư tốt."64 Signal đề nghị mua phần cổ phần còn lại ở mức 21 đô la mỗi cổ phiếu. Trong vòng bốn ngày, UOP nhận được ý kiến về tính công bằng từ Lehman Brothers rằng 21 đô la là công bằng đối với các cổ đông UOP từ góc độ tài chính, và vài ngày sau, ban lãnh đạo UOP họp và chấp thuận thương vụ. Hai giám đốc đã thực hiện nghiên cứu ban đầu đã bỏ phiếu trắng, nhưng họ có tham gia vào các cuộc thảo luận và không tiết lộ sự tồn tại của các phát hiện trong báo cáo của mình. Ban lãnh đạo UOP khuyến nghị các cổ đông chấp thuận thương vụ, và họ đã làm vậy, nhưng các cổ đông thiểu số đã đệ đơn kiện thách thức tính công bằng của giao dịch.65</w:t>
      </w:r>
    </w:p>
    <w:p>
      <w:pPr>
        <w:spacing w:after="80"/>
      </w:pPr>
      <w:r>
        <w:rPr>
          <w:b w:val="0"/>
          <w:i w:val="0"/>
        </w:rPr>
        <w:t xml:space="preserve">Tòa án đã nêu rõ rằng việc xem xét theo tiêu chuẩn "công bằng toàn diện" là phù hợp trong các trường hợp mà các giám đốc có lợi ích trong giao dịch hoặc một cổ đông có lợi ích liên quan kiểm soát hội đồng quản trị. Tiêu chuẩn hai nhánh mà tòa án đặt ra trong </w:t>
      </w:r>
      <w:r>
        <w:rPr>
          <w:b w:val="0"/>
          <w:i/>
        </w:rPr>
        <w:t>Weinberger</w:t>
      </w:r>
      <w:r>
        <w:rPr>
          <w:b w:val="0"/>
          <w:i w:val="0"/>
        </w:rPr>
        <w:t xml:space="preserve"> phát triển từ một vụ án năm 1952 của Tòa án Tối cao Delaware, </w:t>
      </w:r>
      <w:r>
        <w:rPr>
          <w:b w:val="0"/>
          <w:i/>
        </w:rPr>
        <w:t>Gottlieb v. Heyden Chemical</w:t>
      </w:r>
      <w:r>
        <w:rPr>
          <w:b w:val="0"/>
          <w:i w:val="0"/>
        </w:rPr>
        <w:t>, liên quan đến việc một hội đồng quản trị tự bỏ phiếu cho mình các quyền chọn cổ phiếu mà không có sự phê chuẩn của cổ đông. Tòa án trong vụ án đó lập luận rằng bằng cách làm điều này, hội đồng quản trị "đã tự đặt lên mình gánh nặng chứng minh rõ ràng thiện chí tối đa của họ và tính công bằng vốn có tận tâm nhất của thương lượng."66</w:t>
      </w:r>
    </w:p>
    <w:p>
      <w:pPr>
        <w:spacing w:after="80"/>
      </w:pPr>
      <w:r>
        <w:rPr>
          <w:b w:val="0"/>
          <w:i w:val="0"/>
        </w:rPr>
        <w:t xml:space="preserve">Tiêu chuẩn công bằng toàn diện được quy định trong </w:t>
      </w:r>
      <w:r>
        <w:rPr>
          <w:b w:val="0"/>
          <w:i/>
        </w:rPr>
        <w:t>Weinberger</w:t>
      </w:r>
      <w:r>
        <w:rPr>
          <w:b w:val="0"/>
          <w:i w:val="0"/>
        </w:rPr>
        <w:t xml:space="preserve"> bao gồm việc xem xét đối xử công bằng ("thời điểm giao dịch, cách nó được khởi xướng, cấu trúc, đàm phán, tiết lộ cho các giám đốc, và cách các giám đốc và cổ đông đưa ra chấp thuận") và giá cả công bằng (các cân nhắc kinh tế và tài chính của giao dịch được đề xuất, "bao gồm tất cả các yếu tố liên quan: tài sản, giá trị thị trường, thu nhập, triển vọng tương lai, và bất kỳ yếu tố nào khác ảnh hưởng đến giá trị nội tại hoặc vốn có của cổ phiếu công ty").67 Ở đây, tòa án phán quyết rằng công bằng toàn diện đã không được đáp ứng vì nghiên cứu khả thi đã bị giấu khỏi UOP, và CEO của UOP thậm chí không cố gắng đàm phán một mức giá cao hơn lời đề nghị ban đầu 21 đô la mỗi cổ phiếu. Ngoài ra, Signal đã thúc ép UOP chấp thuận thương vụ một cách vội vàng khi không có lý do kinh doanh nào để làm vậy. Tòa án Tối cao Delaware đã chuyển vụ án trở lại Tòa án Chancery để xem xét khía cạnh giá cả; cuối cùng tòa án quyết định rằng 22 đô la sẽ là công bằng và phán quyết rằng các cổ đông thiểu số nên được trả thêm 1 đô la mỗi cổ phiếu.68</w:t>
      </w:r>
    </w:p>
    <w:p>
      <w:pPr>
        <w:spacing w:after="80"/>
      </w:pPr>
      <w:r>
        <w:rPr>
          <w:b w:val="0"/>
          <w:i w:val="0"/>
        </w:rPr>
        <w:t>Trong các vụ án tiếp theo, người ta đã xác lập rằng công bằng toàn diện là tiêu chuẩn phù hợp khi có xung đột trong hội đồng quản trị. Tóm lại, có năm tình huống mà nó được áp dụng: khi (1) hội đồng quản trị vi phạm nghĩa vụ cẩn trọng và các giám đốc không được miễn trừ trách nhiệm, (2) đa số hội đồng quản trị có lợi ích trong quyết định hoặc giao dịch khác với các cổ đông nói chung, (3) đa số hội đồng quản trị thiếu tính độc lập khỏi hoặc bị chi phối bởi một bên có lợi ích liên quan, (4) giao dịch là loại mà các giám đốc hoặc một cổ đông kiểm soát đứng ở cả hai phía, hoặc (5) một cổ đông kiểm soát nhận được khoản cân nhắc bổ sung gây bất lợi cho các cổ đông khác.69</w:t>
      </w:r>
    </w:p>
    <w:p>
      <w:pPr>
        <w:spacing w:after="80"/>
      </w:pPr>
      <w:r>
        <w:rPr>
          <w:b w:val="0"/>
          <w:i w:val="0"/>
        </w:rPr>
        <w:t xml:space="preserve">Một ủy ban đặc biệt gồm các giám đốc độc lập có thể giúp tránh được tiêu chuẩn công bằng toàn diện (entire fairness standard). Tòa án Chancery bang Delaware, trong vụ </w:t>
      </w:r>
      <w:r>
        <w:rPr>
          <w:b w:val="0"/>
          <w:i/>
        </w:rPr>
        <w:t>In re MFW Shareholders Litigation</w:t>
      </w:r>
      <w:r>
        <w:rPr>
          <w:b w:val="0"/>
          <w:i w:val="0"/>
        </w:rPr>
        <w:t xml:space="preserve"> (</w:t>
      </w:r>
      <w:r>
        <w:rPr>
          <w:b w:val="0"/>
          <w:i/>
        </w:rPr>
        <w:t>MFW</w:t>
      </w:r>
      <w:r>
        <w:rPr>
          <w:b w:val="0"/>
          <w:i w:val="0"/>
        </w:rPr>
        <w:t>), đã phán quyết rằng nếu một giao dịch được đàm phán bởi một “ủy ban đặc biệt gồm các giám đốc độc lập được trao đầy đủ quyền nói không, và được thông qua bởi một cuộc bỏ phiếu không bị ép buộc, hoàn toàn được thông tin đầy đủ của đa số cổ đông thiểu số [được thu thập], thì tiêu chuẩn xem xét phán đoán kinh doanh (business judgment rule) sẽ được áp dụng” thay vì công bằng toàn diện.70</w:t>
      </w:r>
    </w:p>
    <w:p>
      <w:pPr>
        <w:spacing w:after="80"/>
      </w:pPr>
      <w:r>
        <w:rPr>
          <w:b w:val="0"/>
          <w:i w:val="0"/>
        </w:rPr>
        <w:t>“</w:t>
      </w:r>
      <w:r>
        <w:rPr>
          <w:b w:val="0"/>
          <w:i/>
        </w:rPr>
        <w:t>MFW</w:t>
      </w:r>
      <w:r>
        <w:rPr>
          <w:b w:val="0"/>
          <w:i w:val="0"/>
        </w:rPr>
        <w:t xml:space="preserve"> đã cho chúng ta những cột mốc chỉ đường để đạt tới phán đoán kinh doanh,” Mike Allen giải thích. “Nếu bạn có thể đánh dấu vào tất cả các ô, có giao dịch được đàm phán bởi một ủy ban giám đốc độc lập, và nhận được sự chấp thuận của đa số cổ đông thiểu số, thì ít nhất bạn có một con đường và bạn có thể đưa ra quyết định kinh doanh về việc liệu đó có phải là con đường bạn muốn đi hay không.”</w:t>
      </w:r>
    </w:p>
    <w:p>
      <w:pPr>
        <w:spacing w:after="80"/>
      </w:pPr>
      <w:r>
        <w:rPr>
          <w:b w:val="0"/>
          <w:i w:val="0"/>
        </w:rPr>
        <w:t xml:space="preserve">Các ủy ban đặc biệt phát huy hiệu quả khi các thành viên giám đốc của nó là “không có quyền lợi liên quan và độc lập,” nghĩa là họ phải công bố và không có bất kỳ mối quan hệ tài chính hay kinh doanh trọng yếu nào, hoặc các mối quan hệ xã hội hay cá nhân, với bên hoặc các bên có quyền lợi liên quan.71 Trong vụ </w:t>
      </w:r>
      <w:r>
        <w:rPr>
          <w:b w:val="0"/>
          <w:i/>
        </w:rPr>
        <w:t>Smurfit-Stone</w:t>
      </w:r>
      <w:r>
        <w:rPr>
          <w:b w:val="0"/>
          <w:i w:val="0"/>
        </w:rPr>
        <w:t xml:space="preserve"> được mô tả ở chương 3, ủy ban đặc biệt độc lập của chúng tôi đã giúp bảo vệ hội đồng quản trị của chúng tôi khỏi bị áp dụng tiêu chuẩn công bằng toàn diện khi xem xét một LBO. Thường có một nỗ lực của hội đồng quản trị và các cố vấn của nó nhằm tránh tiêu chuẩn công bằng toàn diện khi xem xét một giao dịch, và thường có một nỗ lực của bị đơn trong vụ kiện nhằm không bị áp dụng công bằng toàn diện khi nguyên đơn cho rằng đó là tiêu chuẩn thích hợp. Tuy nhiên, Kindler đưa ra quan điểm rằng “không ai nên sợ công bằng toàn diện. Suy cho cùng, đó chính là điều bạn đang cố gắng làm [tuân theo một quy trình công bằng và đạt được một mức giá công bằng].” Điều đó đúng. Nhưng công bằng toàn diện khó bảo vệ hơn nhiều trong kiện tụng so với phán đoán kinh doanh.</w:t>
      </w:r>
    </w:p>
    <w:p>
      <w:pPr>
        <w:pStyle w:val="Heading2"/>
      </w:pPr>
      <w:r>
        <w:rPr>
          <w:rFonts w:ascii="Calibri" w:hAnsi="Calibri"/>
          <w:b/>
          <w:i w:val="0"/>
          <w:sz w:val="32"/>
        </w:rPr>
        <w:t>Trường hợp đặc biệt của các thương vụ mua lại bằng đòn bẩy (Leveraged Buyouts)</w:t>
      </w:r>
    </w:p>
    <w:p>
      <w:pPr>
        <w:spacing w:after="80"/>
      </w:pPr>
      <w:r>
        <w:rPr>
          <w:b w:val="0"/>
          <w:i w:val="0"/>
        </w:rPr>
        <w:t>Trước đó, tôi đã đề cập rằng LBO là một loại thương vụ cụ thể: các thương vụ mua lại được thực hiện với khoản nợ đáng kể vay dựa trên tài sản và dòng tiền của công ty mục tiêu. Thông thường, những thương vụ này được thực hiện bởi các chuyên gia đầu tư tại các công ty cổ phần tư nhân (private equity) với vốn cổ phần huy động từ các nhà đầu tư trong một hoặc nhiều quỹ và nợ do nhiều bên cho vay cung cấp. Sau khi hoàn tất, các công ty này tìm cách cải thiện các doanh nghiệp, thường bằng cách tăng doanh thu, cải thiện biên lợi nhuận và tăng dòng tiền. Cuối cùng, các nhà đầu tư tìm cách thoái vốn, thường bằng cách bán hoặc đưa các công ty ra công chúng. LBO có một số lịch sử và hàm ý về quản trị rất đáng để khám phá.</w:t>
      </w:r>
    </w:p>
    <w:p>
      <w:pPr>
        <w:spacing w:after="80"/>
      </w:pPr>
      <w:r>
        <w:rPr>
          <w:b w:val="0"/>
          <w:i w:val="0"/>
        </w:rPr>
        <w:t xml:space="preserve">Một trong những người tiên phong LBO thời kỳ đầu là Charles H. Dyson—sau này được </w:t>
      </w:r>
      <w:r>
        <w:rPr>
          <w:b w:val="0"/>
          <w:i/>
        </w:rPr>
        <w:t>Forbes</w:t>
      </w:r>
      <w:r>
        <w:rPr>
          <w:b w:val="0"/>
          <w:i w:val="0"/>
        </w:rPr>
        <w:t xml:space="preserve"> gọi là “cha đẻ của các thương vụ mua lại bằng đòn bẩy.”72 Năm 1954, sau khi nghĩ ra kế hoạch mua một công ty chủ yếu bằng nợ, ông đã huy động được 4,6 triệu đô la từ First National Bank of Boston, kết hợp với 8.000 đô la tiền của chính mình, để mua Hubbard &amp; Company, một nhà sản xuất thiết bị tiện ích điện, và thành lập Dyson Corporation của riêng mình. Con trai ông, John Dyson, là một nhà tài chính thành đạt, từng giữ nhiều chức vụ chính trị, trong đó có Ủy viên Thương mại của bang New York. Điều này đặt ông phụ trách phát triển kinh tế và du lịch khi chiến dịch “I Love New York” được thành lập. John Dyson nhớ lại thương vụ LBO đầu tiên của cha mình trong một cuộc trò chuyện với tôi. “Bố tôi thường nói, ‘Ừ, đúng là tôi đã bỏ ra 8.000 đô la tiền của mình để mua Hubbard, nhưng đó là vì tôi chỉ có 8.000 đô la! Tôi phải đi vay 4 triệu đô la từ một ngân hàng để dàn xếp thương vụ. Nếu tôi có tiền để mua hẳn công ty, có lẽ tôi đã chẳng bao giờ nghĩ đến điều đó.’”</w:t>
      </w:r>
    </w:p>
    <w:p>
      <w:pPr>
        <w:spacing w:after="80"/>
      </w:pPr>
      <w:r>
        <w:rPr>
          <w:b w:val="0"/>
          <w:i w:val="0"/>
        </w:rPr>
        <w:t>Charlie Dyson lớn lên trong một gia đình nghèo: cha ông là một thợ mộc công đoàn ở New Jersey. Ông được trao học bổng vào Columbia, nhưng vì đó là năm 1929 và là khởi đầu của Đại Suy thoái, ông phải đi làm thay vì học, và học kế toán vào buổi tối và cuối tuần. Sau khi phục vụ trong Thế chiến II, Dyson là phó chủ tịch tại Textron, một tập đoàn công nghiệp do một người tên Royal Little thành lập, chính ông này được coi là “cha đẻ của các tập đoàn đa ngành (conglomerates).” Dyson cho rằng Little đang mua nhầm loại công ty, và cuối cùng Little nói với ông, “Charlie, ông đang làm tôi phát điên. Sao ông không tự mở công ty riêng của mình đi?”</w:t>
      </w:r>
    </w:p>
    <w:p>
      <w:pPr>
        <w:spacing w:after="80"/>
      </w:pPr>
      <w:r>
        <w:rPr>
          <w:b w:val="0"/>
          <w:i w:val="0"/>
        </w:rPr>
        <w:t>Và đó chính xác là điều Dyson đã làm khi ông mua Hubbard vào năm 1954. Như John Dyson nhớ lại, “Ông xây dựng các công ty bằng cách kết hợp các nhóm gồm 5, 10 hoặc thậm chí 15 công ty nhỏ hơn hoạt động trong các lĩnh vực tương tự của nền kinh tế, điều này mang lại cho họ khả năng tài chính tốt hơn và thêm vốn để nâng cấp nhà máy và tìm nguồn bán hàng tốt hơn—lợi thế kinh tế theo quy mô. Ông không nghĩ rằng tiếp quản một công ty và đóng cửa các nhà máy là cách đúng đắn để làm mọi việc.”</w:t>
      </w:r>
    </w:p>
    <w:p>
      <w:pPr>
        <w:spacing w:after="80"/>
      </w:pPr>
      <w:r>
        <w:rPr>
          <w:b w:val="0"/>
          <w:i w:val="0"/>
        </w:rPr>
        <w:t>Với mục tiêu thực hiện một thương vụ mua lại mỗi tháng, Charlie Dyson gần như không có đối thủ trong nhiều năm. Hoặc ít nhất là cho đến khi, theo nhiều cách, KKR khai sinh ngành LBO hiện đại. Jerome Kohlberg và hai học trò của ông, Henry Kravis và George Roberts, thành lập công ty vào năm 1976 sau khi làm việc tại Bear Stearns, nơi họ thực hiện một số thương vụ LBO thời kỳ đầu. Họ nhận ra rằng họ có thể tự ra riêng và giúp các chủ sở hữu và lãnh đạo của một công ty thu lợi nhuận mà vẫn duy trì được phần nào quyền kiểm soát công ty của họ. KKR có tầm nhìn về việc mua các công ty cùng với ban lãnh đạo hiện hữu như một phần của nhóm đầu tư và gánh khoản nợ mà sau đó họ có thể trả dần bằng lợi nhuận từ hoạt động. Trong cấu trúc này, ban lãnh đạo hiện tại sẽ tiếp tục điều hành hoạt động hàng ngày—thay vì có lẽ mất quyền kiểm soát trong một thương vụ bán cho một bên mua doanh nghiệp—dưới sự giám sát, hướng dẫn và hỗ trợ của KKR.</w:t>
      </w:r>
    </w:p>
    <w:p>
      <w:pPr>
        <w:spacing w:after="80"/>
      </w:pPr>
      <w:r>
        <w:rPr>
          <w:b w:val="0"/>
          <w:i w:val="0"/>
        </w:rPr>
        <w:t xml:space="preserve">Như Daniel Gross viết trong </w:t>
      </w:r>
      <w:r>
        <w:rPr>
          <w:b w:val="0"/>
          <w:i/>
        </w:rPr>
        <w:t>Forbes Greatest Business Stories of All Time</w:t>
      </w:r>
      <w:r>
        <w:rPr>
          <w:b w:val="0"/>
          <w:i w:val="0"/>
        </w:rPr>
        <w:t>, mô tả thương vụ LBO đầu tiên của Kohlberg vào năm 1965 khi còn ở Bear Stearns, nơi chủ sở hữu lớn tuổi của một công ty tinh luyện vàng, Stern Metals, muốn duy trì quyền sở hữu trong công ty của mình nhưng cũng muốn thấy tính thanh khoản từ một thương vụ bán, “Vẻ đẹp của thương vụ đối với gia đình là họ đã nhận được hàng triệu đô la cho công ty của mình mà không từ bỏ quyền lãnh đạo. Vẻ đẹp của thương vụ đối với Kohlberg là chính sự hiện diện của khoản nợ đã buộc tất cả những ai quan tâm đến thương vụ, cả các nhà đầu tư bên ngoài lẫn gia đình Stern, phải điều hành công ty một cách hiệu quả.”73</w:t>
      </w:r>
    </w:p>
    <w:p>
      <w:pPr>
        <w:spacing w:after="80"/>
      </w:pPr>
      <w:r>
        <w:rPr>
          <w:b w:val="0"/>
          <w:i w:val="0"/>
        </w:rPr>
        <w:t>KKR đã trở thành một công ty niêm yết công khai với khoảng 600 tỷ đô la tài sản được quản lý và các khoản đầu tư cổ phần tư nhân vào hơn 200 công ty trong danh mục đầu tư. Kohlberg đã qua đời, nhưng Kravis và Roberts, cả hai đều ở độ tuổi 80, vẫn tham gia rất nhiều.74</w:t>
      </w:r>
    </w:p>
    <w:p>
      <w:pPr>
        <w:spacing w:after="80"/>
      </w:pPr>
      <w:r>
        <w:rPr>
          <w:b w:val="0"/>
          <w:i w:val="0"/>
        </w:rPr>
        <w:t>LBO được cho là chiếm tới 35 phần trăm hoạt động M&amp;A vào một số thời điểm nhưng thường ít hơn nhiều.75 Chúng lên xuống theo nền kinh tế, trở lại nổi bật vào đầu những năm 2000 nhưng lại giảm trong cuộc khủng hoảng tài chính 2007–9. LBO lại bùng nổ một lần nữa, vượt 200 tỷ đô la vào năm 2022.76</w:t>
      </w:r>
    </w:p>
    <w:p>
      <w:pPr>
        <w:spacing w:after="80"/>
      </w:pPr>
      <w:r>
        <w:rPr>
          <w:b w:val="0"/>
          <w:i w:val="0"/>
        </w:rPr>
        <w:t>Blackstone được thành lập vào năm 1985 bởi Steve Schwarzman và Pete Peterson. Peterson từng là chủ tịch của Lehman Brothers, và Schwarzman là học trò của ông, chủ tịch nhóm M&amp;A của Lehman. Ngày nay, Blackstone quản lý hơn 1 nghìn tỷ đô la tài sản, bao gồm cổ phần tư nhân, bất động sản và tín dụng. Schwarzman, với giá trị ước tính 50 tỷ đô la, khiến ông trở thành một trong những cá nhân giàu nhất quốc gia, vẫn còn hoạt động tại Blackstone ngày nay—và công ty này là nhà quản lý tài sản thay thế lớn nhất thế giới.</w:t>
      </w:r>
    </w:p>
    <w:p>
      <w:pPr>
        <w:spacing w:after="80"/>
      </w:pPr>
      <w:r>
        <w:rPr>
          <w:b w:val="0"/>
          <w:i w:val="0"/>
        </w:rPr>
        <w:t>Apollo được khởi đầu vào năm 1990 bởi Leon Black, Josh Harris và Marc Rowan, những cựu chuyên gia ngân hàng đầu tư tại Drexel Burnham Lambert. Đây cũng là một công ty đầu tư đa dạng với hơn 725 tỷ đô la tài sản được quản lý trong lĩnh vực tín dụng, cổ phần và bất động sản. Black từ chức vào năm 2021 do mối quan hệ của ông với Jeffrey Epstein. Black thừa nhận có tình bạn với Epstein nhưng phủ nhận mọi hành vi sai trái.77 Rowan hiện giữ chức CEO. Harris đã thành lập một công ty đầu tư khác, 26North, và sở hữu các đội thể thao chuyên nghiệp, bao gồm Washington Commanders, Philadelphia 76ers và New Jersey Devils.</w:t>
      </w:r>
    </w:p>
    <w:p>
      <w:pPr>
        <w:spacing w:after="80"/>
      </w:pPr>
      <w:r>
        <w:rPr>
          <w:b w:val="0"/>
          <w:i w:val="0"/>
        </w:rPr>
        <w:t xml:space="preserve">Vào tháng 11 năm 2023, </w:t>
      </w:r>
      <w:r>
        <w:rPr>
          <w:b w:val="0"/>
          <w:i/>
        </w:rPr>
        <w:t>Financial Times</w:t>
      </w:r>
      <w:r>
        <w:rPr>
          <w:b w:val="0"/>
          <w:i w:val="0"/>
        </w:rPr>
        <w:t xml:space="preserve"> viết về việc lãi suất tăng đã làm chậm thị trường LBO như thế nào: “Lạm phát tăng vọt và hệ quả là lãi suất tăng đã bóp nghẹt hầu hết các thương vụ mua lại tư nhân (take-private) dựa trên nợ. . . . Các nhà quản lý cổ phần tư nhân ngày càng bị đẩy sang các hình thức tài trợ nợ kỳ lạ, rủi ro cao để duy trì guồng quay của doanh nghiệp.”78</w:t>
      </w:r>
    </w:p>
    <w:p>
      <w:pPr>
        <w:spacing w:after="80"/>
      </w:pPr>
      <w:r>
        <w:rPr>
          <w:b w:val="0"/>
          <w:i w:val="0"/>
        </w:rPr>
        <w:t>Một số nhà đầu tư tổ chức đã mất đi phần nào niềm tin vào lời hứa về lợi nhuận cao, đặc biệt khi lãi suất đã tăng đáng kể. Và bất chấp lời hứa về việc các nhà đầu tư thông minh mang lại giá trị chiến lược vượt xa những gì người ta có thể đạt được với tư cách một nhà đầu tư thị trường thụ động, một số người cho rằng lợi nhuận từ cổ phần tư nhân đã gây thất vọng.</w:t>
      </w:r>
    </w:p>
    <w:p>
      <w:pPr>
        <w:spacing w:after="80"/>
      </w:pPr>
      <w:r>
        <w:rPr>
          <w:b w:val="0"/>
          <w:i w:val="0"/>
        </w:rPr>
        <w:t>Tất nhiên, không phải ai cũng đồng tình. Công ty quản lý đầu tư toàn cầu Hamilton Lane, với gần 1 nghìn tỷ đô-la tài sản đang quản lý, nhận thấy rằng phần lớn các quỹ private equity (vốn cổ phần tư nhân) đã vượt trội hơn cổ phiếu trong 20 năm qua, với các thương vụ mua lại (buyout) vượt trội hơn cổ phiếu niêm yết toàn cầu trung bình hơn 10 phần trăm mỗi năm.79</w:t>
      </w:r>
    </w:p>
    <w:p>
      <w:pPr>
        <w:spacing w:after="80"/>
      </w:pPr>
      <w:r>
        <w:rPr>
          <w:b w:val="0"/>
          <w:i w:val="0"/>
        </w:rPr>
        <w:t>Đồng thời, có một lập luận xác đáng rằng private equity nói chung có ích cho các công ty theo nhiều cách. Pete Stavros của KKR lưu ý rằng private equity mang lại giá trị thực sự trong dài hạn:</w:t>
      </w:r>
    </w:p>
    <w:p>
      <w:pPr>
        <w:spacing w:after="80"/>
      </w:pPr>
      <w:r>
        <w:rPr>
          <w:b w:val="0"/>
          <w:i w:val="0"/>
        </w:rPr>
        <w:t>Chúng tôi thực sự không quan tâm đến thu nhập hàng quý. Chúng tôi thực sự không quan tâm đến việc hoàn vốn trong một năm. Và vì vậy chúng tôi đang xây dựng mọi thứ cho chặng đường dài—điều mà tôi nghĩ ngày càng khó thực hiện hơn ở các công ty niêm yết. Mô hình private equity là một bộ máy ra quyết định hiệu quả đến vậy, và là một cách hiệu quả đến vậy để lan tỏa thay đổi, dù đó là liên quan đến khí hậu chẳng hạn, hay liên quan đến con người. Một công ty private equity có rất ít người cần được thuyết phục để làm một việc có thể tác động đến hàng trăm nghìn, thậm chí một triệu người—và hàng trăm, thậm chí hàng nghìn cơ sở—trên khắp thế giới.</w:t>
      </w:r>
    </w:p>
    <w:p>
      <w:pPr>
        <w:spacing w:after="80"/>
      </w:pPr>
      <w:r>
        <w:rPr>
          <w:b w:val="0"/>
          <w:i w:val="0"/>
        </w:rPr>
        <w:t xml:space="preserve">Sandra Horbach là đối tác và chủ tịch mảng private equity doanh nghiệp châu Mỹ tại Carlyle, một công ty đầu tư toàn cầu với khoảng 450 tỷ đô-la tài sản đang quản lý. Horbach trước đây đã dành 18 năm tại công ty private equity Forstmann Little, nơi bà trở thành người phụ nữ đầu tiên được bổ nhiệm làm đối tác tại một công ty private equity lớn, và bà đã có mặt trong danh sách 100 Phụ nữ có ảnh hưởng nhất trong lĩnh vực tài chính của </w:t>
      </w:r>
      <w:r>
        <w:rPr>
          <w:b w:val="0"/>
          <w:i/>
        </w:rPr>
        <w:t>Barron’s</w:t>
      </w:r>
      <w:r>
        <w:rPr>
          <w:b w:val="0"/>
          <w:i w:val="0"/>
        </w:rPr>
        <w:t xml:space="preserve"> kể từ khi danh sách này ra đời. “Tôi nghĩ vốn tư nhân đóng một vai trò ngày càng quan trọng,” bà nói với tôi, “và giúp xây dựng và phát triển doanh nghiệp. Nếu bạn nhìn vào các công ty và khoảng thời gian từ khi họ nhận vốn bên ngoài đầu tiên đến khi họ niêm yết công khai, nó ngày càng dài hơn vì mọi người đang thấy rằng có rất nhiều giá trị được tạo ra trong giai đoạn sở hữu tư nhân.”</w:t>
      </w:r>
    </w:p>
    <w:p>
      <w:pPr>
        <w:spacing w:after="80"/>
      </w:pPr>
      <w:r>
        <w:rPr>
          <w:b w:val="0"/>
          <w:i w:val="0"/>
        </w:rPr>
        <w:t>Điều quan trọng là, từ năm 2005 đến năm 2020, gần 30.000 công ty đã hủy niêm yết khỏi các thị trường toàn cầu,80 và các thương vụ LBO (mua lại bằng vốn vay) là một phần rất lớn trong hoạt động đó. Do đó, điều quan trọng là phải hiểu những hàm ý về quản trị của các thương vụ LBO.</w:t>
      </w:r>
    </w:p>
    <w:p>
      <w:pPr>
        <w:spacing w:after="80"/>
      </w:pPr>
      <w:r>
        <w:rPr>
          <w:b w:val="0"/>
          <w:i w:val="0"/>
        </w:rPr>
        <w:t>Xung đột then chốt trong một thương vụ LBO cần phải được xem xét là việc CEO và ban điều hành thường là bên bán công ty và cũng thường là nhà đầu tư hoặc bên mua công ty dưới quyền sở hữu mới. Do đó, trong khi bạn cần ban điều hành, đặc biệt là CEO và CFO, tham gia vào quá trình thẩm định của bên mua và giúp các cố vấn và hội đồng quản trị của công ty mục tiêu trong quá trình bán, thì không thành viên ban điều hành nào (thường chỉ là CEO) nên tham gia vào các cuộc thảo luận của hội đồng quản trị hoặc bỏ phiếu về việc bán công ty.</w:t>
      </w:r>
    </w:p>
    <w:p>
      <w:pPr>
        <w:spacing w:after="80"/>
      </w:pPr>
      <w:r>
        <w:rPr>
          <w:b w:val="0"/>
          <w:i w:val="0"/>
        </w:rPr>
        <w:t>Có một quy trình đã được thiết lập để hội đồng quản trị xem xét đúng đắn các thương vụ LBO, thường bao gồm một ủy ban đặc biệt gồm các giám đốc độc lập. Điều then chốt là ủy ban đặc biệt phải có những giám đốc chu đáo, am hiểu, và rằng chính ủy ban đặc biệt cùng các cố vấn của mình, chứ không phải ban điều hành, dẫn dắt thương vụ. Điều này sẽ đảm bảo rằng việc bán cho một công ty private equity được đàm phán trên cơ sở độc lập và được quyết định bởi những bên không có quyền lợi liên quan, những người tìm cách tối đa hóa giá trị cho cổ đông và không vì bất kỳ lợi ích tài chính cá nhân nào của họ. Lý tưởng nhất, ủy ban nên có thẩm quyền từ chối một thương vụ LBO hoặc ký kết văn bản chính thức với công ty private equity và đề xuất việc bán cho cổ đông. Đôi khi, các ủy ban đặc biệt chỉ được trao quyền đưa ra khuyến nghị cho toàn bộ hội đồng quản trị, cơ quan giữ thẩm quyền ra quyết định cuối cùng.81</w:t>
      </w:r>
    </w:p>
    <w:p>
      <w:pPr>
        <w:pStyle w:val="Heading2"/>
      </w:pPr>
      <w:r>
        <w:rPr>
          <w:rFonts w:ascii="Calibri" w:hAnsi="Calibri"/>
          <w:b/>
          <w:i w:val="0"/>
          <w:sz w:val="32"/>
        </w:rPr>
        <w:t>Quy trình M&amp;A của Hội đồng quản trị</w:t>
      </w:r>
    </w:p>
    <w:p>
      <w:pPr>
        <w:spacing w:after="80"/>
      </w:pPr>
      <w:r>
        <w:rPr>
          <w:b w:val="0"/>
          <w:i w:val="0"/>
        </w:rPr>
        <w:t xml:space="preserve">Trong khi các nghĩa vụ cẩn trọng và trung thành, cùng với các tiêu chuẩn về phán đoán kinh doanh, sự giám sát tăng cường, </w:t>
      </w:r>
      <w:r>
        <w:rPr>
          <w:b w:val="0"/>
          <w:i/>
        </w:rPr>
        <w:t>Revlon</w:t>
      </w:r>
      <w:r>
        <w:rPr>
          <w:b w:val="0"/>
          <w:i w:val="0"/>
        </w:rPr>
        <w:t>, và sự công bằng toàn diện, cung cấp các cột mốc chỉ dẫn cho cách hội đồng quản trị nên đánh giá và chấp thuận hoặc từ chối các giao dịch M&amp;A, thì thường vẫn có mong muốn về hướng dẫn cụ thể. Gregg Polle, phó chủ tịch nhóm M&amp;A tại Bank of America, tin rằng hội đồng quản trị cần “chuẩn bị hoàn toàn về mặt thực sự hiểu chiến lược của công ty là gì và M&amp;A có thể đóng vai trò như thế nào trong đó.” “Đối với hầu hết hội đồng quản trị,” ông tiếp tục trong một cuộc trò chuyện với tôi, “có một, hai hoặc ba thương vụ thực sự có ý nghĩa và mang tính chuyển đổi mà công ty sẽ thực hiện, vì vậy bạn cần biết những công ty đó là ai và quen thuộc với bất kỳ vấn đề tiềm ẩn nào có thể phát sinh để khi những cánh cửa cơ hội mở ra, bạn sẵn sàng hành động nhanh chóng.”</w:t>
      </w:r>
    </w:p>
    <w:p>
      <w:pPr>
        <w:spacing w:after="80"/>
      </w:pPr>
      <w:r>
        <w:rPr>
          <w:b w:val="0"/>
          <w:i w:val="0"/>
        </w:rPr>
        <w:t>Dựa trên kinh nghiệm của tôi trong công việc cố vấn M&amp;A, trong các hội đồng quản trị doanh nghiệp, và với tư cách là nhân chứng chuyên môn trong các vụ kiện tụng doanh nghiệp, tôi đã phát triển một phương pháp luận gồm bảy bước mà hội đồng quản trị nên tuân theo để phù hợp với thông lệ và tập quán khi xem xét việc bán một đơn vị kinh doanh lớn hoặc toàn bộ công ty: (1) đánh giá các cân nhắc chiến lược, (2) thuê các cố vấn đủ năng lực, (3) xem xét các bên mua tiềm năng, (4) giám sát quá trình thẩm định, (5) xác định định giá, (6) đàm phán các điều khoản, và (7) hoàn tất giao dịch. Bước 3 nên được điều chỉnh khi hội đồng quản trị đang xem xét một thương vụ mua lại: đối với bước 3, hãy xem xét các công ty mục tiêu khác.</w:t>
      </w:r>
    </w:p>
    <w:p>
      <w:pPr>
        <w:spacing w:after="80"/>
        <w:ind w:left="360"/>
      </w:pPr>
      <w:r>
        <w:t xml:space="preserve">1. </w:t>
      </w:r>
      <w:r>
        <w:rPr>
          <w:b w:val="0"/>
          <w:i w:val="0"/>
        </w:rPr>
        <w:t>Đánh giá các Cân nhắc Chiến lược Có nhiều lý do chiến lược tiềm năng khác nhau khiến một công ty có thể xem xét việc bán, nhưng suy cho cùng, đó là vì hội đồng quản trị tin rằng việc bán sẽ tối đa hóa giá trị dài hạn cho cổ đông.</w:t>
      </w:r>
    </w:p>
    <w:p>
      <w:pPr>
        <w:spacing w:after="80"/>
        <w:ind w:left="360"/>
      </w:pPr>
      <w:r>
        <w:t xml:space="preserve">2. </w:t>
      </w:r>
      <w:r>
        <w:rPr>
          <w:b w:val="0"/>
          <w:i w:val="0"/>
        </w:rPr>
        <w:t>Thuê các Cố vấn Đủ năng lực Hội đồng quản trị đôi khi sử dụng các cố vấn bên ngoài, và chắc chắn trong bối cảnh một giao dịch M&amp;A quan trọng, điều này có thể rất quan trọng. Các cố vấn tài chính và pháp lý có thể đóng vai trò then chốt, cũng như các chuyên gia tư vấn về kế toán, thuế và các lĩnh vực khác, những người có thể mang lại chuyên môn chuyên sâu và góc nhìn dựa trên thị trường. Các ngân hàng đầu tư thường giúp hội đồng quản trị và ban điều hành về định giá, và các luật sư thường hỗ trợ đàm phán văn bản chính thức.</w:t>
      </w:r>
    </w:p>
    <w:p>
      <w:pPr>
        <w:spacing w:after="80"/>
        <w:ind w:left="360"/>
      </w:pPr>
      <w:r>
        <w:t xml:space="preserve">3. </w:t>
      </w:r>
      <w:r>
        <w:rPr>
          <w:b w:val="0"/>
          <w:i w:val="0"/>
        </w:rPr>
        <w:t>Xem xét các Bên mua Tiềm năng Ngay cả khi một công ty được một bên mua hợp lý tiếp cận, điều quan trọng là ít nhất phải xem xét các bên khác. Trong khi thường thì các liên hệ được thực hiện với nhiều bên mua tiềm năng, điều đó không bắt buộc.</w:t>
      </w:r>
    </w:p>
    <w:p>
      <w:pPr>
        <w:spacing w:after="80"/>
        <w:ind w:left="360"/>
      </w:pPr>
      <w:r>
        <w:t xml:space="preserve">4. </w:t>
      </w:r>
      <w:r>
        <w:rPr>
          <w:b w:val="0"/>
          <w:i w:val="0"/>
        </w:rPr>
        <w:t>Giám sát Quá trình Thẩm định Trong M&amp;A, thẩm định (due diligence) đề cập đến việc xem xét thông tin công khai và riêng tư liên quan đến bên kia của giao dịch (hoặc cả hai bên trong trường hợp sáp nhập). Điều này giúp xác định các rủi ro tiềm ẩn trong thương vụ và cung cấp thông tin cho việc định giá.82 Không có một mô hình thẩm định nào phù hợp cho mọi trường hợp, nhưng quy trình thường bao gồm gặp gỡ và phỏng vấn ban điều hành và yêu cầu thông tin để cho phép (i) thẩm định tài chính nhằm hiểu hiệu quả tài chính trong quá khứ và dự phóng cũng như các chi tiết kế toán và liên quan, (ii) thẩm định chiến lược và vận hành nhằm hiểu chiến lược và hoạt động kinh doanh của mục tiêu, và (iii) thẩm định pháp lý nhằm xác định bất kỳ nghĩa vụ tiềm ẩn nào. Trong một thương vụ bán công ty tiềm năng, ban điều hành, dưới sự giám sát của hội đồng quản trị, tạo điều kiện thuận lợi cho quá trình thẩm định của một hoặc nhiều bên mua tiềm năng.</w:t>
      </w:r>
    </w:p>
    <w:p>
      <w:pPr>
        <w:spacing w:after="80"/>
        <w:ind w:left="360"/>
      </w:pPr>
      <w:r>
        <w:t xml:space="preserve">5. </w:t>
      </w:r>
      <w:r>
        <w:rPr>
          <w:b w:val="0"/>
          <w:i w:val="0"/>
        </w:rPr>
        <w:t>Xác định Định giá Một yếu tố then chốt trong nỗ lực của cố vấn tài chính thường là định giá công ty đang bán. Cố vấn tài chính thường trình bày cho hội đồng quản trị kết quả của (ít nhất) ba phương pháp định giá được chấp nhận rộng rãi: một phân tích dựa trên các công ty niêm yết có thể so sánh, một phân tích dựa trên các giao dịch M&amp;A có thể so sánh, và một phân tích dòng tiền chiết khấu tính toán giá trị hiện tại của dòng tiền tự do dự phóng của công ty mục tiêu. Các ngân hàng thường chuẩn bị và tinh chỉnh cùng ban điều hành một mô hình tài chính để, trong số những việc khác, hoàn thành việc định giá và các phân tích tài chính khác cũng như so sánh các cấu trúc thương vụ và phương án tài trợ tiềm năng.83 Trước khi hội đồng quản trị chấp thuận việc bán công ty, cố vấn tài chính đôi khi đưa ra một “ý kiến về tính công bằng” (fairness opinion) cho thấy rằng, dựa trên các giả định nhất định và công việc do cố vấn thực hiện, khoản đền bù sẽ được trả cho các cổ đông của công ty đang bán trong giao dịch là công bằng với họ từ quan điểm tài chính.84</w:t>
      </w:r>
    </w:p>
    <w:p>
      <w:pPr>
        <w:spacing w:after="80"/>
        <w:ind w:left="360"/>
      </w:pPr>
      <w:r>
        <w:t xml:space="preserve">6. </w:t>
      </w:r>
      <w:r>
        <w:rPr>
          <w:b w:val="0"/>
          <w:i w:val="0"/>
        </w:rPr>
        <w:t>Đàm phán các Điều khoản Khi bên mua đã đưa ra đề nghị, quá trình thẩm định đáng kể đã bắt đầu, và các bên có vẻ muốn giao dịch, thì các cuộc đàm phán về điều khoản thường diễn ra sau đó. Cả hai bên tất nhiên sẽ cố gắng cải thiện thương vụ cho cổ đông của mình. Giá và hình thức đền bù (ví dụ: tiền mặt, cổ phiếu, hoặc kết hợp cả hai và có thể là một khoản thanh toán theo kết quả hoặc thanh toán tùy thuộc) thường là những vấn đề quan trọng nhất đối với cả hai bên, nhưng các điều khoản thương vụ khác cũng có thể quan trọng, bao gồm số lượng và thời điểm thẩm định, các tuyên bố và bảo đảm trong hợp đồng, cách đối xử với ban điều hành và nhân viên, cách các bên sẽ gánh chịu các rủi ro chống độc quyền và rủi ro pháp lý tiềm ẩn khác, và trong trường hợp mục tiêu là công ty niêm yết, quyền (hoặc không có quyền) của mục tiêu được “tìm kiếm” các đề nghị cạnh tranh trong một khoảng thời gian xác định sau khi công bố giao dịch.85</w:t>
      </w:r>
    </w:p>
    <w:p>
      <w:pPr>
        <w:spacing w:after="80"/>
        <w:ind w:left="360"/>
      </w:pPr>
      <w:r>
        <w:t xml:space="preserve">7. </w:t>
      </w:r>
      <w:r>
        <w:rPr>
          <w:b w:val="0"/>
          <w:i w:val="0"/>
        </w:rPr>
        <w:t>Hoàn tất Giao dịch Cuối cùng, một khi tài liệu chính thức đã được ký kết và thương vụ đã được công bố, giao dịch phải được hoàn tất. Các bước chính có thể bao gồm việc hoàn tất mọi khoản tài trợ và nhận được mọi sự chấp thuận cần thiết cùng các phê duyệt từ cơ quan quản lý. Đôi khi, cũng cần có sự chấp thuận của cổ đông. Nếu có điều khoản “go-shop” (cho phép tìm kiếm chào giá tốt hơn), công ty mục tiêu sẽ mời chào các bên khác đưa ra đề nghị; cách khác, nếu tài liệu giao dịch cuối cùng có bao gồm “fiduciary out” (lối thoát vì nghĩa vụ ủy thác), công ty mục tiêu có thể xem xét các đề nghị không được mời từ bên thứ ba, và nếu tìm thấy một hoặc nhiều đề nghị tốt hơn đề nghị hiện có, công ty mục tiêu có thể chấm dứt thỏa thuận với bên mua ban đầu và theo đuổi đề nghị thay thế.86 Bên mua ban đầu có thể có quyền khớp hoặc cải thiện các đề nghị như vậy trước tiên. Bên mua có thể tìm cách hoàn tất việc mua lại thông qua chào mua công khai (tender offer), đôi khi có thể hoàn tất nhanh hơn so với sáp nhập, vốn cần sự chấp thuận của cổ đông.</w:t>
      </w:r>
    </w:p>
    <w:p>
      <w:pPr>
        <w:spacing w:after="80"/>
      </w:pPr>
      <w:r>
        <w:rPr>
          <w:b w:val="0"/>
          <w:i w:val="0"/>
        </w:rPr>
        <w:t>Dù không có danh sách kiểm tra nào, dù được soạn thảo và tuân thủ cẩn thận đến đâu, có thể đảm bảo rằng vụ kiện chống lại hội đồng quản trị sẽ thất bại, việc tuân theo một quy trình cẩn thận—và lưu giữ hồ sơ chi tiết về quy trình đó, chẳng hạn như biên bản họp hội đồng quản trị được ghi chép kỹ lưỡng—là cách hiệu quả nhất để đưa ra những quyết định sáng suốt, cẩn thận, có ghi chép đầy đủ, những quyết định có thể đứng vững trước sự soi xét của cổ đông và tòa án.</w:t>
      </w:r>
    </w:p>
    <w:p>
      <w:pPr>
        <w:pStyle w:val="Heading2"/>
      </w:pPr>
      <w:r>
        <w:rPr>
          <w:rFonts w:ascii="Calibri" w:hAnsi="Calibri"/>
          <w:b/>
          <w:i w:val="0"/>
          <w:sz w:val="32"/>
        </w:rPr>
        <w:t>Giá trị và Sự tăng trưởng của M&amp;A</w:t>
      </w:r>
    </w:p>
    <w:p>
      <w:pPr>
        <w:spacing w:after="80"/>
      </w:pPr>
      <w:r>
        <w:rPr>
          <w:b w:val="0"/>
          <w:i w:val="0"/>
        </w:rPr>
        <w:t>Liệu các thương vụ M&amp;A có thực sự tạo ra giá trị? Một nghiên cứu của Bain năm 2004 tuyên bố rằng 70 phần trăm các vụ sáp nhập không làm tăng giá trị cho cổ đông, và CNN đã đăng một tiêu đề cùng câu chuyện liên quan khẳng định rằng “các vụ sáp nhập thất bại thường xuyên hơn cả hôn nhân.”87</w:t>
      </w:r>
    </w:p>
    <w:p>
      <w:pPr>
        <w:spacing w:after="80"/>
      </w:pPr>
      <w:r>
        <w:rPr>
          <w:b w:val="0"/>
          <w:i w:val="0"/>
        </w:rPr>
        <w:t>Thật khó tin rằng M&amp;A lại phát triển mạnh mẽ đến vậy nếu các thương vụ nhìn chung không tạo ra giá trị. Nghiên cứu được công bố năm 2016 bởi Giáo sư Steve Kaplan tại Trường Kinh doanh Booth thuộc Đại học Chicago cho thấy, trung bình, các vụ sáp nhập thực sự tạo ra giá trị. “Vào thời điểm các thương vụ sáp nhập được công bố,” ông viết, “lợi nhuận kết hợp thường dương cả về mặt thống kê lẫn kinh tế. Trung bình, tổng giá trị của cả bên mua lẫn bên bị mua đều tăng, điều này cho thấy thị trường tin rằng các thương vụ được công bố sẽ tạo ra giá trị. Điều này đã đúng với thương vụ mua lại trung bình trong suốt 30 năm qua, và vẫn đúng cho đến ngày nay.”88</w:t>
      </w:r>
    </w:p>
    <w:p>
      <w:pPr>
        <w:spacing w:after="80"/>
      </w:pPr>
      <w:r>
        <w:rPr>
          <w:b w:val="0"/>
          <w:i w:val="0"/>
        </w:rPr>
        <w:t>Theo nghĩa chung, một nghiên cứu của McKinsey năm 2017 gợi ý rằng các thương vụ mua lại không tự thân tốt hay xấu, mà M&amp;A có thể tạo ra giá trị nếu đạt được một hoặc nhiều mục tiêu sau đây và bên mua không trả giá quá cao: cải thiện hiệu quả hoạt động của công ty mục tiêu, giảm công suất dư thừa trong ngành thông qua hợp nhất, tăng tốc khả năng tiếp cận thị trường cho sản phẩm của mục tiêu, khả năng sở hữu công nghệ nhanh hơn hoặc rẻ hơn so với tự xây dựng, và/hoặc cơ hội khai thác khả năng mở rộng quy mô đặc thù của ngành.89</w:t>
      </w:r>
    </w:p>
    <w:p>
      <w:pPr>
        <w:spacing w:after="80"/>
      </w:pPr>
      <w:r>
        <w:rPr>
          <w:b w:val="0"/>
          <w:i w:val="0"/>
        </w:rPr>
        <w:t xml:space="preserve">Nghiên cứu mới được công bố năm 2024 phát hiện rằng, trái ngược với nghiên cứu của Bain, 70 phần trăm các thương vụ thâu tóm thực tế thành công. “Các công ty đã trở nên thông minh hơn về M&amp;A,” tờ </w:t>
      </w:r>
      <w:r>
        <w:rPr>
          <w:b w:val="0"/>
          <w:i/>
        </w:rPr>
        <w:t>New York Times</w:t>
      </w:r>
      <w:r>
        <w:rPr>
          <w:b w:val="0"/>
          <w:i w:val="0"/>
        </w:rPr>
        <w:t xml:space="preserve"> viết, “bên mua cũng đang có nhiều kinh nghiệm thực hành hơn . . . [và] những bên mua lại liên tục có xu hướng đạt lợi nhuận tốt hơn.”90 Các đội ngũ chuyên gia nội bộ có thể thực hiện nhiều hoạt động thẩm định hơn so với các công ty trong quá khứ, và “các công ty thực hiện ít nhất một thương vụ mỗi năm [từ 2012 đến 2022] có tổng lợi nhuận cổ đông trong 10 năm cao hơn [130 phần trăm] so với các doanh nghiệp không thực hiện thương vụ nào.”91</w:t>
      </w:r>
    </w:p>
    <w:p>
      <w:pPr>
        <w:spacing w:after="80"/>
      </w:pPr>
      <w:r>
        <w:rPr>
          <w:b w:val="0"/>
          <w:i w:val="0"/>
        </w:rPr>
        <w:t>Gregg Lemkau, người có sự nghiệp lâu dài và thành công tại Goldman Sachs, nơi vai trò cuối cùng của ông cho đến năm 2020 là đồng trưởng bộ phận ngân hàng đầu tư, và hiện là đồng CEO của BDT &amp; MSD Partners, một ngân hàng thương mại với nền tảng tư vấn và đầu tư, đã chia sẻ với tôi một tóm tắt sâu sắc về sự phát triển đương đại của M&amp;A và tác động của nó đối với các giám đốc và quản trị doanh nghiệp:</w:t>
      </w:r>
    </w:p>
    <w:p>
      <w:pPr>
        <w:spacing w:after="80"/>
      </w:pPr>
      <w:r>
        <w:rPr>
          <w:b w:val="0"/>
          <w:i w:val="0"/>
        </w:rPr>
        <w:t>M&amp;A gần như chỉ là một ngành tiểu thủ công khi tôi bắt đầu sự nghiệp vào những năm 1990. Năm 1990 có chưa đến 300 tỷ đô la giá trị thương vụ được hoàn tất, so với gần 2 nghìn tỷ đô la vào năm 2019. Một phần của sự tăng trưởng đó tất nhiên là do giá trị của các công ty tăng lên, nhưng phần lớn đến từ việc các công ty ngày càng sử dụng M&amp;A như một phần trong chiến lược cốt lõi của mình cũng như sự phát triển của vốn cổ phần tư nhân (private equity), vốn đã tăng trưởng mạnh mẽ.</w:t>
      </w:r>
    </w:p>
    <w:p>
      <w:pPr>
        <w:spacing w:after="80"/>
      </w:pPr>
      <w:r>
        <w:rPr>
          <w:b w:val="0"/>
          <w:i w:val="0"/>
        </w:rPr>
        <w:t>Áp lực từ các nhà hoạt động cũng đã tạo ra kỷ luật cao hơn đối với các giám đốc. Các giám đốc giờ đây phải suy nghĩ nhiều hơn về việc tinh gọn danh mục đầu tư, cấu trúc vốn tối ưu, và cách tạo ra giá trị. Các công ty ngày nay coi M&amp;A là một yếu tố quan trọng trong kho vũ khí của mình.</w:t>
      </w:r>
    </w:p>
    <w:p>
      <w:pPr>
        <w:spacing w:after="80"/>
      </w:pPr>
      <w:r>
        <w:rPr>
          <w:b w:val="0"/>
          <w:i w:val="0"/>
        </w:rPr>
        <w:t>Trong 30 năm qua, các hội đồng quản trị đã trở nên chuyên nghiệp hơn và được tư vấn tốt hơn, đặc biệt là hội đồng quản trị của các công ty đại chúng lớn của Mỹ. Họ hiểu sâu sắc hơn về nghĩa vụ ủy thác của mình, và có rất nhiều án lệ của Delaware để hướng dẫn họ. Mọi thứ rõ ràng đã rất khác so với ba thập kỷ trước.</w:t>
      </w:r>
    </w:p>
    <w:p>
      <w:pPr>
        <w:spacing w:after="80"/>
      </w:pPr>
      <w:r>
        <w:rPr>
          <w:b w:val="0"/>
          <w:i w:val="0"/>
        </w:rPr>
        <w:t>M&amp;A giờ đây là một cân nhắc chiến lược đối với hầu hết các công ty, vì chắc chắn có những giao dịch giúp tối đa hóa giá trị dài hạn. Do đó, M&amp;A luôn nên ít nhất nằm trong tâm trí của mỗi giám đốc—thường xuyên có cơ hội mua lại và thoái vốn tài sản, và bạn không bao giờ biết khi nào cơ hội cho một thương vụ mua lại mang tính chuyển đổi hoặc bán công ty có thể xuất hiện. Hiểu biết đầy đủ về phạm vi các vấn đề quản trị M&amp;A là một thành phần cốt lõi trong công việc của mỗi giám đốc.</w:t>
      </w:r>
    </w:p>
    <w:p>
      <w:pPr>
        <w:pStyle w:val="Heading1"/>
      </w:pPr>
      <w:r>
        <w:rPr>
          <w:rFonts w:ascii="Calibri" w:hAnsi="Calibri"/>
          <w:b/>
          <w:i w:val="0"/>
          <w:sz w:val="40"/>
        </w:rPr>
        <w:t>Chương 7</w:t>
      </w:r>
    </w:p>
    <w:p>
      <w:pPr>
        <w:pStyle w:val="Heading1"/>
      </w:pPr>
      <w:r>
        <w:rPr>
          <w:rFonts w:ascii="Calibri" w:hAnsi="Calibri"/>
          <w:b/>
          <w:i w:val="0"/>
          <w:sz w:val="40"/>
        </w:rPr>
        <w:t>Ảnh hưởng Đang lên của các Nhà đầu tư Hoạt động</w:t>
      </w:r>
    </w:p>
    <w:p>
      <w:pPr>
        <w:spacing w:after="80"/>
      </w:pPr>
      <w:r>
        <w:rPr>
          <w:b w:val="0"/>
          <w:i w:val="0"/>
        </w:rPr>
        <w:t>Hoạt động (activism), nói đơn giản, là việc sử dụng vị thế sở hữu để chủ động gây ảnh hưởng đến chính sách và thực tiễn của công ty.1 Nó có thể bao gồm những nỗ lực buộc bầu cử các giám đốc mới, một đợt mua lại cổ phiếu lớn, một thay đổi đáng kể trong chiến lược kinh doanh, việc bán một đơn vị kinh doanh hoặc thậm chí toàn bộ công ty, việc từ bỏ một thương vụ mua lại đã công bố, và các hành động khác. Những kết quả này có thể đạt được thông qua nhiều phương tiện khác nhau, bao gồm đối thoại với hội đồng quản trị và ban điều hành, viết thư, đưa ra yêu cầu công khai, hoặc thậm chí đề cử một danh sách các giám đốc không được công ty ủng hộ để bầu tại đại hội cổ đông thường niên, được gọi là “proxy fight” (cuộc chiến ủy quyền). Trong khi một số người có thể coi những nỗ lực thúc đẩy ESG, các mối quan tâm chính trị và các vấn đề khác là hoạt động (activism), hầu hết các nhà hoạt động tìm cách thúc đẩy các hành động doanh nghiệp liên quan trực tiếp đến việc tăng giá cổ phiếu của công ty mục tiêu; những nhà hoạt động và nỗ lực này là trọng tâm của chương này.</w:t>
      </w:r>
    </w:p>
    <w:p>
      <w:pPr>
        <w:spacing w:after="80"/>
      </w:pPr>
      <w:r>
        <w:rPr>
          <w:b w:val="0"/>
          <w:i w:val="0"/>
        </w:rPr>
        <w:t>Việc bị một chiến dịch của nhà hoạt động nhắm đến là mối lo ngại lớn đối với các giám đốc ngày nay. Thật vậy, năm 2022 là “một trong những năm sôi động nhất đối với hoạt động cổ đông,” theo một nghiên cứu của David Kostin và Jenny Ma tại Goldman Sachs, với các nhà đầu tư khởi động 148 chiến dịch nhắm vào 120 công ty đại chúng khác nhau của Mỹ.2 Những công ty hoạt động kém hiệu quả tất nhiên (và đúng là như vậy) có rủi ro cao nhất. Khi xem xét hơn 2.000 chiến dịch của nhà hoạt động nhắm vào các công ty thuộc Russell 3000 kể từ năm 2006, Kostin và Ma phát hiện rằng có bốn chỉ số tương quan với việc các công ty trở thành mục tiêu so với các công ty cùng ngành: tăng trưởng doanh số chậm hơn, bội số giá trị doanh nghiệp trên doanh số (enterprise-value-to-sales) trong quá khứ thấp hơn, biên lợi nhuận ròng trong quá khứ yếu hơn, và hiệu suất kém trong hai năm gần nhất.3</w:t>
      </w:r>
    </w:p>
    <w:p>
      <w:pPr>
        <w:spacing w:after="80"/>
      </w:pPr>
      <w:r>
        <w:rPr>
          <w:b w:val="0"/>
          <w:i w:val="0"/>
        </w:rPr>
        <w:t>Nhưng ngay cả những công ty non trẻ và những đơn vị làm ăn hiệu quả vượt trội cũng đã bị tấn công. “Trong khi một số công ty ít có khả năng trở thành mục tiêu hơn, không công ty nào hoàn toàn miễn nhiễm với một chiến dịch của nhà hoạt động,” Steve Klemash và David Hunker viết cho Diễn đàn Luật Harvard về Quản trị Công ty (Harvard Law School Forum on Corporate Governance). “Trong những năm gần đây, các nhà hoạt động thậm chí còn nhắm vào những công ty đang mang lại lợi nhuận ấn tượng cho cổ đông hoặc những công ty chỉ mới niêm yết gần đây.”4</w:t>
      </w:r>
    </w:p>
    <w:p>
      <w:pPr>
        <w:spacing w:after="80"/>
      </w:pPr>
      <w:r>
        <w:rPr>
          <w:b w:val="0"/>
          <w:i w:val="0"/>
        </w:rPr>
        <w:t>Mô hình Sàng lọc Hoạt động (Activism Screening Model) của Bloomberg đã phát hiện rằng 4,5 phần trăm các công ty trong chỉ số Russell 3000 bị các mối đe dọa từ nhà hoạt động tấn công trong một năm bất kỳ.5 Lawrence Elbaum, đồng trưởng nhóm thực hành Hoạt động Cổ đông (Shareholder Activism) của Sullivan &amp; Cromwell và là đối tác trong nhóm M&amp;A của hãng, giải thích rằng thực tế còn có nhiều mối đe dọa hơn thế: “Giả sử có 300 chiến dịch được báo cáo công khai, đủ thứ từ một lá thư công khai, đề cử một giám đốc, đưa ra giá thầu mua một công ty—thì có lẽ còn thêm 100–150 chiến dịch mỗi năm không được công khai: những kẻ kích động âm thầm, những nhà hoạt động nổi tiếng, những người mới lần đầu, và những chiến dịch này có thể được giải quyết mà không hề có bất kỳ sự công khai nào.”</w:t>
      </w:r>
    </w:p>
    <w:p>
      <w:pPr>
        <w:spacing w:after="80"/>
      </w:pPr>
      <w:r>
        <w:rPr>
          <w:b w:val="0"/>
          <w:i w:val="0"/>
        </w:rPr>
        <w:t>Như Christopher Drewry, một đối tác tại hãng luật Latham &amp; Watkins và đồng chủ tịch toàn cầu của nhóm thực hành Hoạt động Cổ đông &amp; Phòng vệ Tiếp quản (Shareholder Activism &amp; Takeover Defense) của hãng, đã giải thích với tôi, “Nếu bạn đang ngồi trong hội đồng quản trị và có một rủi ro lớn như thế đối với hoạt động kinh doanh của mình, bạn sẽ lập kế hoạch cho rủi ro đó và chuẩn bị sẵn sàng đối phó.”</w:t>
      </w:r>
    </w:p>
    <w:p>
      <w:pPr>
        <w:spacing w:after="80"/>
      </w:pPr>
      <w:r>
        <w:rPr>
          <w:b w:val="0"/>
          <w:i w:val="0"/>
        </w:rPr>
        <w:t>Tôi đã tham gia vào chín tình huống mà một nhà hoạt động tiếp cận công ty theo cách nào đó, dù không phải tất cả đều được công khai. Tôi là thành viên hội đồng quản trị của Lear, một nhà cung cấp phụ tùng ô tô thuộc Fortune 500, vào năm 2015 khi một quỹ đầu cơ hoạt động, Marcato—đến nay đã đóng cửa6—tìm cách chia tách công ty thành hai đơn vị kinh doanh độc lập và yêu cầu Lear thực hiện một đợt mua lại cổ phiếu rất lớn. Marcato không hiểu được giá trị của việc hai mảng kinh doanh của Lear gắn kết với nhau và không đánh giá đúng những chi phí gia tăng đáng kể nếu chúng bị tách ra và quản lý độc lập. Có thể lập luận rằng Lear có một “bảng cân đối kế toán lười biếng” hay một cấu trúc vốn kém hiệu quả, vì công ty có đòn bẩy vừa phải và lượng tiền mặt ròng đáng kể.7 Công ty cũng có cổ phiếu bị định giá thấp, giao dịch ở mức chiết khấu so với các công ty cùng ngành, và việc mua lại cổ phiếu lẽ ra phải làm tăng thu nhập trên mỗi cổ phiếu.</w:t>
      </w:r>
    </w:p>
    <w:p>
      <w:pPr>
        <w:spacing w:after="80"/>
      </w:pPr>
      <w:r>
        <w:rPr>
          <w:b w:val="0"/>
          <w:i w:val="0"/>
        </w:rPr>
        <w:t>Tuy nhiên, Marcato đòi mua lại tới 2 tỷ đô la8, điều có thể giúp ích cho các cổ đông ngắn hạn thông qua kỹ thuật tài chính nhưng sẽ đặt một gánh nặng đòn bẩy đáng kể lên một công ty vừa mới thoát khỏi quá trình tái tổ chức phá sản theo Chương 11 và đang hoạt động trong một ngành có tính chu kỳ cao. Điều này có thể được coi là khiến cho một đợt mua lại lớn như vậy trở nên thiển cận và không tập trung vào việc tối đa hóa giá trị cổ đông dài hạn. Cuối cùng, Marcato từ bỏ yêu cầu chia tách Lear thành hai công ty, và Lear đồng ý tăng việc mua lại cổ phiếu lên 1 tỷ đô la9 và bổ nhiệm một giám đốc mới do Lear lựa chọn và được Marcato chấp thuận.</w:t>
      </w:r>
    </w:p>
    <w:p>
      <w:pPr>
        <w:spacing w:after="80"/>
      </w:pPr>
      <w:r>
        <w:rPr>
          <w:b w:val="0"/>
          <w:i w:val="0"/>
        </w:rPr>
        <w:t>Trong khi các nhà hoạt động có thể tiếp cận công ty với thiện ý và thậm chí cả những ý tưởng hay, động cơ của họ thường không hoàn toàn ăn khớp với động cơ của hội đồng quản trị và ban điều hành công ty. Một nhà hoạt động có một danh mục đầu tư, và được các nhà đầu tư của mình đánh giá một cách đúng đắn dựa trên hiệu suất của danh mục đầu tư hay các quỹ đó. Trong khi không nhà đầu tư nào muốn có lợi nhuận kém trên bất kỳ khoản đầu tư riêng lẻ nào, một nhà hoạt động có thể mạnh tay hơn với một số khoản đầu tư khi biết rằng nếu chúng diễn biến xấu, nhiều khả năng sẽ có những khoản đầu tư khác diễn biến tốt. Điều này rất khác đối với một hội đồng quản trị và ban điều hành chỉ chịu trách nhiệm cho một công ty duy nhất. Mỗi giám đốc và lãnh đạo nên, như một bài tập hữu ích, thỉnh thoảng suy nghĩ như một nhà hoạt động—nhưng không nhất thiết phải hành động theo cách đó.</w:t>
      </w:r>
    </w:p>
    <w:p>
      <w:pPr>
        <w:spacing w:after="80"/>
      </w:pPr>
      <w:r>
        <w:rPr>
          <w:b w:val="0"/>
          <w:i w:val="0"/>
        </w:rPr>
        <w:t>Chương này tóm tắt lịch sử của hoạt động cổ đông cho đến ngày nay, giải thích một số chiến lược và cách tiếp cận chính của nhà hoạt động, rồi đưa ra một khuôn khổ để các thành viên hội đồng quản trị phản ứng phù hợp với các nhà hoạt động và những hàm ý về quản trị mà hoạt động cổ đông đặt ra. Khi hoạt động cổ đông tiếp tục phát triển, điều quan trọng là mỗi thành viên hội đồng quản trị phải nhận thức được về các nhà hoạt động và cách phản ứng một cách thấu đáo với một hoặc nhiều cổ đông hung hăng đang đe dọa hoặc có hành động chống lại công ty.</w:t>
      </w:r>
    </w:p>
    <w:p>
      <w:pPr>
        <w:pStyle w:val="Heading2"/>
      </w:pPr>
      <w:r>
        <w:rPr>
          <w:rFonts w:ascii="Calibri" w:hAnsi="Calibri"/>
          <w:b/>
          <w:i w:val="0"/>
          <w:sz w:val="32"/>
        </w:rPr>
        <w:t>Lịch sử của Hoạt động Cổ đông</w:t>
      </w:r>
    </w:p>
    <w:p>
      <w:pPr>
        <w:spacing w:after="80"/>
      </w:pPr>
      <w:r>
        <w:rPr>
          <w:b w:val="0"/>
          <w:i w:val="0"/>
        </w:rPr>
        <w:t xml:space="preserve">Trong khi sự trỗi dậy hiện đại của hoạt động cổ đông chỉ mới bén rễ trong khoảng 40 năm trở lại đây—với sự xuất hiện của những kẻ săn mồi doanh nghiệp (corporate raiders) vào thập niên 1980—thì trước đó chắc chắn đã có những cổ đông mang động cơ riêng, làm hết sức mình để đẩy các công ty theo hướng họ cho là phù hợp. Trường hợp hoạt động cổ đông đầu tiên được công bố xảy ra vào năm 1926, khi Benjamin Graham—người sau này được biết đến như “cha đẻ của đầu tư giá trị”, người thầy của Warren Buffett, và là đồng tác giả của “kinh thánh đầu tư”, </w:t>
      </w:r>
      <w:r>
        <w:rPr>
          <w:b w:val="0"/>
          <w:i/>
        </w:rPr>
        <w:t>Security Analysis</w:t>
      </w:r>
      <w:r>
        <w:rPr>
          <w:b w:val="0"/>
          <w:i w:val="0"/>
        </w:rPr>
        <w:t>10—viết một lá thư cho các lãnh đạo tại Northern Pipeline, một công ty mà ông nắm giữ một phần nhỏ cổ phần.</w:t>
      </w:r>
    </w:p>
    <w:p>
      <w:pPr>
        <w:spacing w:after="80"/>
      </w:pPr>
      <w:r>
        <w:rPr>
          <w:b w:val="0"/>
          <w:i w:val="0"/>
        </w:rPr>
        <w:t xml:space="preserve">Graham, theo Walter Frick trên </w:t>
      </w:r>
      <w:r>
        <w:rPr>
          <w:b w:val="0"/>
          <w:i/>
        </w:rPr>
        <w:t>Harvard Business Review</w:t>
      </w:r>
      <w:r>
        <w:rPr>
          <w:b w:val="0"/>
          <w:i w:val="0"/>
        </w:rPr>
        <w:t>, nhận thấy rằng công ty sở hữu hàng triệu đô la trái phiếu đường sắt và các chứng khoán khác. Ông cho rằng những chứng khoán này nên được bán đi và lợi nhuận được chia cho cổ đông dưới dạng cổ tức. “Điều hành một đường ống dẫn dầu là một công việc kinh doanh phức tạp và chuyên biệt,” công ty đáp lại, “mà ông có thể biết rất ít về nó, nhưng chúng tôi đã làm cả đời.”11</w:t>
      </w:r>
    </w:p>
    <w:p>
      <w:pPr>
        <w:spacing w:after="80"/>
      </w:pPr>
      <w:r>
        <w:rPr>
          <w:b w:val="0"/>
          <w:i w:val="0"/>
        </w:rPr>
        <w:t xml:space="preserve">Thay vì bỏ cuộc, Graham dành cả năm tiếp theo gặp gỡ các cổ đông sở hữu ít nhất 100 cổ phiếu của công ty và cố gắng tranh thủ sự ủng hộ của họ. Ông khẳng định rằng các cổ đông mới là chủ sở hữu công ty, còn các nhà quản lý là do họ thuê. Tất nhiên, các lãnh đạo không nghĩ như vậy. Họ tin rằng các nhà đầu tư không hiểu hoạt động kinh doanh của họ, và đóng góp duy nhất của họ chỉ là nguồn vốn để tài trợ cho nó.12 Cuối cùng Graham đã đạt được ý nguyện. “Nhà đầu tư hoạt động,” </w:t>
      </w:r>
      <w:r>
        <w:rPr>
          <w:b w:val="0"/>
          <w:i/>
        </w:rPr>
        <w:t>Harvard Business Review</w:t>
      </w:r>
      <w:r>
        <w:rPr>
          <w:b w:val="0"/>
          <w:i w:val="0"/>
        </w:rPr>
        <w:t xml:space="preserve"> viết, “đã ra đời.”13</w:t>
      </w:r>
    </w:p>
    <w:p>
      <w:pPr>
        <w:spacing w:after="80"/>
      </w:pPr>
      <w:r>
        <w:rPr>
          <w:b w:val="0"/>
          <w:i w:val="0"/>
        </w:rPr>
        <w:t>Hoạt động cổ đông bén rễ một cách chậm rãi trong vài thập kỷ tiếp theo. Năm 1942, SEC sửa đổi các quy định của mình để lần đầu tiên yêu cầu các công ty cho phép cổ đông đệ trình đề xuất để cổ đông bỏ phiếu trong bản tuyên bố ủy quyền (proxy statement) của công ty, đây là một tài liệu mà công ty nộp cho SEC và cuối cùng được gửi đến cổ đông, cung cấp thông tin về các vấn đề sẽ được xem xét và biểu quyết tại các cuộc họp cổ đông thường niên. Những “kẻ hay gây chuyện” doanh nghiệp (corporate gadflies)—những nhà hoạt động tìm cách thúc đẩy thay đổi thông qua các đề xuất cổ đông—trở nên phổ biến khi thập niên 1940 tiến triển và thường đối đầu với ban điều hành tại các cuộc họp cổ đông, thường là không thành công.</w:t>
      </w:r>
    </w:p>
    <w:p>
      <w:pPr>
        <w:spacing w:after="80"/>
      </w:pPr>
      <w:r>
        <w:rPr>
          <w:b w:val="0"/>
          <w:i w:val="0"/>
        </w:rPr>
        <w:t>Lewis và John Gilbert là những kẻ hay gây chuyện thời kỳ đầu, tham dự hơn 80 cuộc họp thường niên mỗi năm, thỉnh thoảng gây chú ý bằng những chiêu trò như đeo mũi hề đỏ, nhằm thúc đẩy các công ty áp dụng những cải cách cổ đông ngày nay được chấp nhận rộng rãi nhưng vào thời đó còn mới mẻ, chẳng hạn như tổ chức các cuộc họp thường niên ở những địa điểm dễ tiếp cận hơn, phát hành báo cáo sau cuộc họp, hạn chế quyền chọn cổ phiếu cho lãnh đạo, và yêu cầu các kiểm toán viên độc lập của công ty phải tham dự các cuộc họp cổ đông.14</w:t>
      </w:r>
    </w:p>
    <w:p>
      <w:pPr>
        <w:spacing w:after="80"/>
      </w:pPr>
      <w:r>
        <w:rPr>
          <w:b w:val="0"/>
          <w:i w:val="0"/>
        </w:rPr>
        <w:t>Công việc của họ tiếp tục trong nhiều thập kỷ, ví dụ, họ thúc đẩy một số công ty áp dụng hình thức bỏ phiếu tích lũy (cumulative voting) cho các giám đốc, cho phép cổ đông dồn tất cả phiếu của mình cho một ứng viên, làm tăng khả năng các cổ đông thiểu số có thể bầu được một giám đốc. Đến tận năm 1983, nhà Gilbert đã đề xuất tới 20 phần trăm—198 trong số 972—tổng số nghị quyết được đề xuất tại các cuộc họp thường niên của các công ty đại chúng trong năm đó.15</w:t>
      </w:r>
    </w:p>
    <w:p>
      <w:pPr>
        <w:spacing w:after="80"/>
      </w:pPr>
      <w:r>
        <w:rPr>
          <w:b w:val="0"/>
          <w:i w:val="0"/>
        </w:rPr>
        <w:t>Tuy nhiên, tính đến năm 1981, chỉ có hai đề xuất cổ đông không được ban điều hành ủng hộ là được thông qua.16 Nhưng khi khối lượng giao dịch bùng nổ vào thập niên 1980, các cổ đông lớn bắt đầu chuyển từ những nhà đầu tư thụ động sang những người tham gia tích cực hơn.17 Các tổ chức và đôi khi cả những cá nhân giàu có, có lúc nhận thấy lượng cổ phần của mình lớn đến mức không thể bán đi mà không làm giá cổ phiếu sụt giảm đáng kể, ngày càng bắt đầu vận động cho sự thay đổi.</w:t>
      </w:r>
    </w:p>
    <w:p>
      <w:pPr>
        <w:spacing w:after="80"/>
      </w:pPr>
      <w:r>
        <w:rPr>
          <w:b w:val="0"/>
          <w:i w:val="0"/>
        </w:rPr>
        <w:t>Các quỹ hưu trí công bắt đầu đệ trình các đề xuất ủy quyền tập trung vào các vấn đề quản trị công ty, và sau đó các quỹ đầu cơ như Greenway Partners bắt đầu sử dụng các đề xuất cổ đông để buộc tái cấu trúc và bán công ty. Loại hoạt động này phát triển suốt thập niên 1990 và đầu thập niên 2000, và đến năm 2007, dòng vốn chảy vào các quỹ đầu cơ hoạt động đã tăng mạnh từ 2,7 tỷ đô la năm 2000 lên 55 tỷ đô la năm 2007.18 Từ năm 1995 đến 2007, các quỹ đầu cơ hoạt động đã vượt trội đáng kể so với thị trường chứng khoán, mang lại cho họ nhiều nhà đầu tư hơn và nhiều ảnh hưởng hơn.19</w:t>
      </w:r>
    </w:p>
    <w:p>
      <w:pPr>
        <w:spacing w:after="80"/>
      </w:pPr>
      <w:r>
        <w:rPr>
          <w:b w:val="0"/>
          <w:i w:val="0"/>
        </w:rPr>
        <w:t>Steve Wolosky, một người tiên phong trong lĩnh vực vận động cổ đông (shareholder activism) và hiện là chủ tịch danh dự (chair emeritus) của bộ phận thực hành Vận động Cổ đông tại hãng luật Olshan—nơi ông đồng sáng lập hơn 30 năm trước—nổi tiếng với việc tư vấn cho các nhà vận động. Ông đã trò chuyện với tôi về sự phát triển của hoạt động vận động trong suốt sự nghiệp của mình:</w:t>
      </w:r>
    </w:p>
    <w:p>
      <w:pPr>
        <w:spacing w:after="80"/>
      </w:pPr>
      <w:r>
        <w:rPr>
          <w:b w:val="0"/>
          <w:i w:val="0"/>
        </w:rPr>
        <w:t xml:space="preserve">Những kẻ cướp công ty (corporate raiders) trên thế giới đang ở giai đoạn sơ khai của hoạt động vận động vào đầu những năm 1990. Khi đó chưa có sự tập trung to lớn vào vận động như một triết lý hay công cụ cốt lõi. Nhưng tiền bạc đi theo hiệu suất. Điều đó thúc đẩy sự tăng trưởng. Và truyền thông hiện đại đã thay đổi cả thế giới. Chi phí liên lạc với cổ đông trước đây rất cao. Bạn phải gửi thư "đấu tranh" (fight letter) đến tất cả mọi người, và đó là một khoản tiền khổng lồ. Nếu muốn liên lạc, bạn phát hành một thông cáo báo chí và hy vọng mọi người đọc </w:t>
      </w:r>
      <w:r>
        <w:rPr>
          <w:b w:val="0"/>
          <w:i/>
        </w:rPr>
        <w:t>Wall Street Journal</w:t>
      </w:r>
      <w:r>
        <w:rPr>
          <w:b w:val="0"/>
          <w:i w:val="0"/>
        </w:rPr>
        <w:t>. Khả năng tiếp cận và liên lạc đã thay đổi một cách ấn tượng. Tôi có thể soạn một lá thư, và nếu tôi có danh sách gửi thư phù hợp, tôi chỉ cần bấm một nút, và giờ tôi đã liên lạc được với 98 phần trăm lượng cổ đông.</w:t>
      </w:r>
    </w:p>
    <w:p>
      <w:pPr>
        <w:spacing w:after="80"/>
      </w:pPr>
      <w:r>
        <w:rPr>
          <w:b w:val="0"/>
          <w:i w:val="0"/>
        </w:rPr>
        <w:t>Một yếu tố đóng góp chính vào sự phát triển của hoạt động vận động là giá trị gia tăng mà các nhà vận động đã tạo ra—đôi khi mang tính ngắn hạn và được thiết kế tài chính (financially engineered)—với các nhà đầu tư vận động đạt mức lợi nhuận trung bình vào năm 2023, chẳng hạn, là hơn 20 phần trăm.20</w:t>
      </w:r>
    </w:p>
    <w:p>
      <w:pPr>
        <w:spacing w:after="80"/>
      </w:pPr>
      <w:r>
        <w:rPr>
          <w:b w:val="0"/>
          <w:i w:val="0"/>
        </w:rPr>
        <w:t>Đồng thời, có bằng chứng cho thấy những nhà vận động có một thay đổi chiến lược cụ thể trong đầu—khác với các chiến dịch chủ yếu giải quyết các vấn đề quản trị—mang lại kết quả mạnh mẽ hơn. Một nghiên cứu xem xét 245 công ty bị các nhà vận động nhắm tới công khai ở Mỹ và châu Âu từ năm 2017 đến 2020 phát hiện rằng các chiến dịch vận động bao gồm yếu tố chuyển đổi—"nơi các nhà vận động tìm cách thúc đẩy thay đổi chiến lược hoặc vận hành"—gắn liền với mức vượt trội trong hai năm là 3,4 phần trăm, và các chiến dịch bao gồm yếu tố mua bán và sáp nhập (M&amp;A) vượt trội thị trường 2,8 phần trăm trong cùng khoảng thời gian hai năm đó. Mặt khác, các chiến dịch tập trung vào các yêu cầu quản trị lại kém hiệu quả hơn 2,0 phần trăm.21</w:t>
      </w:r>
    </w:p>
    <w:p>
      <w:pPr>
        <w:spacing w:after="80"/>
      </w:pPr>
      <w:r>
        <w:rPr>
          <w:b w:val="0"/>
          <w:i w:val="0"/>
        </w:rPr>
        <w:t>Dữ liệu này không được chấp nhận rộng rãi. Một đánh giá năm 2023 của nhóm Cố vấn Thị trường Vốn (Capital Markets Advisory) tại Lazard phát hiện rằng mặc dù các chiến dịch vận động dẫn đến mức vượt trội trong năm ngày, "không có nhóm [nhà vận động] nào liên tục vượt trội thị trường trong 12 tháng đầu tiên của một chiến dịch."22 "Kết luận là," các tác giả viết, "các nhà vận động chắc chắn không phải lúc nào cũng đúng, và các đội ngũ quản lý cùng hội đồng quản trị nên tự tin thách thức quan điểm cho rằng hoạt động vận động luôn tốt cho cổ đông công chúng."23</w:t>
      </w:r>
    </w:p>
    <w:p>
      <w:pPr>
        <w:spacing w:after="80"/>
      </w:pPr>
      <w:r>
        <w:rPr>
          <w:b w:val="0"/>
          <w:i w:val="0"/>
        </w:rPr>
        <w:t>Dù sao đi nữa, tất nhiên, có những ví dụ về hoạt động vận động hiệu quả. Năm 2013, sau một thập kỷ hoạt động kém hiệu quả, ValueAct, một công ty vận động, đã giúp dàn xếp việc từ chức của CEO Microsoft Steve Ballmer, người được thay thế bởi Satya Nadella vào đầu năm 2014. ValueAct thúc giục Microsoft tập trung vào phần mềm hiện có cũng như hạ tầng đám mây và tăng cổ tức cho cổ đông. Giá cổ phiếu Microsoft đã tăng gấp đôi trong ba năm tiếp theo. Hiện cổ phiếu đã tăng hơn 10 lần kể từ khi Nadella tiếp quản, và vào đầu năm 2024, Microsoft trở thành công ty thứ hai đạt vốn hóa thị trường 3 nghìn tỷ đô la.24</w:t>
      </w:r>
    </w:p>
    <w:p>
      <w:pPr>
        <w:spacing w:after="80"/>
      </w:pPr>
      <w:r>
        <w:rPr>
          <w:b w:val="0"/>
          <w:i w:val="0"/>
        </w:rPr>
        <w:t>Mặt khác, nhà vận động Bill Ackman đã dành hai năm từ 2007 đến 2009 cố gắng đưa bản thân vào hội đồng quản trị của nhà bán lẻ Target và thúc đẩy công ty bán mảng kinh doanh thẻ tín dụng và đưa mảnh đất bên dưới các cửa hàng vào một quỹ tín thác đầu tư bất động sản (real estate investment trust).25 Ban quản lý lập luận rằng điều này gây xao nhãng khỏi hoạt động kinh doanh cốt lõi của công ty và đã chi hơn 20 triệu đô la trong một cuộc chiến ủy quyền (proxy battle), với các cổ đông cuối cùng bác bỏ danh sách giám đốc của Ackman. Giá cổ phiếu, dù có thể bị ảnh hưởng bởi cuộc khủng hoảng tài chính 2007–9, đã giảm.26</w:t>
      </w:r>
    </w:p>
    <w:p>
      <w:pPr>
        <w:spacing w:after="80"/>
      </w:pPr>
      <w:r>
        <w:rPr>
          <w:b w:val="0"/>
          <w:i w:val="0"/>
        </w:rPr>
        <w:t>Dù kết quả có thể khác nhau, điều không thể phủ nhận là các nhà vận động đã phát triển cả về sự chuẩn bị lẫn mức độ họ trình bày rõ ràng việc thúc đẩy thay đổi. Steven Gartner, cựu chủ tịch danh dự đã nghỉ hưu của hãng luật Willkie, đã lãnh đạo hãng từ năm 2010 đến 2020 và đã đại diện cho các nhà vận động trong một số cuộc chiến ủy quyền và chiến dịch cũng như cho các công ty phòng thủ trước các nhà vận động. Gartner chia sẻ với tôi,</w:t>
      </w:r>
    </w:p>
    <w:p>
      <w:pPr>
        <w:spacing w:after="80"/>
      </w:pPr>
      <w:r>
        <w:rPr>
          <w:b w:val="0"/>
          <w:i w:val="0"/>
        </w:rPr>
        <w:t>Các nhà vận động thập niên 1980 trong nhiều trường hợp đến đó chỉ để kiếm chút tiền nhanh. Nếu bạn trả tiền để họ rời đi, họ rời đi. Đó cơ bản là cuộc chơi. Ngày nay, mọi thứ rất khác. Các nhà vận động lớn đầu tư một lượng nguồn lực khổng lồ để tìm hiểu về một công ty lớn trước khi họ tấn công. Nếu họ công bố một sách trắng (white paper), chẳng hạn, trình bày chi tiết những gì sai với hoạt động kinh doanh, đó là một tài liệu rất tinh vi. Thường thì các giám đốc sẽ nhìn vào sách trắng đó và nhận ra rằng nó đang nói điều mà họ đã thì thầm với chính mình từ lâu và biết là đúng. CEO phải ra đi, hoặc một bộ phận cụ thể đã hút máu công ty suốt năm năm và phải bị thu hẹp, hoặc đơn vị kinh doanh này không còn mang tính chiến lược nữa và cần được bán đi. Các nhà vận động ngày nay đơn giản là mang đến một mức độ uy tín cao hơn nhiều trong cuộc thảo luận.</w:t>
      </w:r>
    </w:p>
    <w:p>
      <w:pPr>
        <w:spacing w:after="80"/>
      </w:pPr>
      <w:r>
        <w:rPr>
          <w:b w:val="0"/>
          <w:i w:val="0"/>
        </w:rPr>
        <w:t>Có lẽ điều này cho thấy sự trưởng thành của ngành vận động khi Doug Oberhelman, cựu CEO đã nghỉ hưu của Caterpillar, đồng ý rằng hoạt động vận động "đã thay đổi từ những ngày đầu khi nó có nghĩa là ném một quả bom vào và phá hủy một công ty để kiếm mức tăng cổ phiếu ngắn hạn 30 phần trăm, đến giờ khi có nhiều đối thoại hơn với ban quản lý để tạo ra thay đổi, và nó thực sự khiến ban quản lý phải luôn cảnh giác."</w:t>
      </w:r>
    </w:p>
    <w:p>
      <w:pPr>
        <w:pStyle w:val="Heading2"/>
      </w:pPr>
      <w:r>
        <w:rPr>
          <w:rFonts w:ascii="Calibri" w:hAnsi="Calibri"/>
          <w:b/>
          <w:i w:val="0"/>
          <w:sz w:val="32"/>
        </w:rPr>
        <w:t>Những Nhân Vật Chính</w:t>
      </w:r>
    </w:p>
    <w:p>
      <w:pPr>
        <w:spacing w:after="80"/>
      </w:pPr>
      <w:r>
        <w:rPr>
          <w:b w:val="0"/>
          <w:i w:val="0"/>
        </w:rPr>
        <w:t>Một số người nghĩ về các nhà vận động theo ba nhóm chung: nhà vận động kinh tế như Carl Icahn và Bill Ackman, những người tôi sẽ thảo luận chi tiết hơn ở phần sau; nhà vận động quản trị như Engine No. 1, đơn vị đã hành động chống lại Exxon, một chủ đề của chương sắp tới về ESG; và nhà vận động "phù phiếm" (vanity) như nhà Gilberts, đã đề cập trước đó trong chương này. Không có cuộc thảo luận nào về các nhà vận động nên bắt đầu mà không nhắc đến Carl Icahn. Ông đã trở thành tỷ phú bằng cách gây áp lực lên các công ty trong hơn 50 năm qua để sử dụng tài sản của họ một cách sinh lợi hơn. Cuộc tấn công đầu tiên của Icahn là vào năm 1985 nhắm vào TWA, với kết quả khác nhau.</w:t>
      </w:r>
    </w:p>
    <w:p>
      <w:pPr>
        <w:spacing w:after="80"/>
      </w:pPr>
      <w:r>
        <w:rPr>
          <w:b w:val="0"/>
          <w:i w:val="0"/>
        </w:rPr>
        <w:t xml:space="preserve">Danh tiếng của Icahn giờ đây có thể tự nó đẩy giá cổ phiếu lên khi ông chỉ mới bắt đầu mua cổ phần—ngay cả khi không có bất kỳ hành động nào để gây ảnh hưởng đến công ty. Hiện tượng này, được gọi là "Icahn Lift," từng là chủ đề của một phóng sự trên chương trình </w:t>
      </w:r>
      <w:r>
        <w:rPr>
          <w:b w:val="0"/>
          <w:i/>
        </w:rPr>
        <w:t>60 Minutes</w:t>
      </w:r>
      <w:r>
        <w:rPr>
          <w:b w:val="0"/>
          <w:i w:val="0"/>
        </w:rPr>
        <w:t xml:space="preserve"> của CBS và trong các bài hồ sơ truyền thông khác.27 Với tư cách là cổ đông của Netflix, ông đã kiếm được hơn 2 tỷ đô la lợi nhuận dù hầu như không làm gì.28 Cần lưu ý rằng vào năm 2023, Hindenburg Research cáo buộc công ty đại chúng của Icahn đang vận hành một kế hoạch kiểu Ponzi để tiếp tục trả cổ tức cho cổ đông, khiến giá cổ phiếu của công ty lao dốc. Dù Icahn gọi những cáo buộc này là sai sự thật, điều này có thể đặt câu hỏi về một số thành công của ông trong những năm qua.29</w:t>
      </w:r>
    </w:p>
    <w:p>
      <w:pPr>
        <w:spacing w:after="80"/>
      </w:pPr>
      <w:r>
        <w:rPr>
          <w:b w:val="0"/>
          <w:i w:val="0"/>
        </w:rPr>
        <w:t>Người ta nói rằng "kình địch" của Icahn là Bill Ackman, đã đề cập trước đó trong ví dụ về Target. Ackman, một tỷ phú nhiều lần, là người sáng lập và CEO của Pershing Square Capital.30 Ông đã lãnh đạo các chiến dịch vận động thành công tại Wendy's (thuyết phục công ty bán thương hiệu Tim Hortons), Canadian Pacific Railway,31 và General Growth Properties, một nhà điều hành trung tâm thương mại mà ông đã giúp xoay chuyển khỏi bờ vực phá sản, cùng nhiều công ty khác.32</w:t>
      </w:r>
    </w:p>
    <w:p>
      <w:pPr>
        <w:spacing w:after="80"/>
      </w:pPr>
      <w:r>
        <w:rPr>
          <w:b w:val="0"/>
          <w:i w:val="0"/>
        </w:rPr>
        <w:t>Dan Loeb và quỹ đầu cơ của ông, Third Point, là một nhà vận động nổi bật khác. Loeb nổi tiếng với những lá thư cổ đông chế giễu hiệu suất của các giám đốc điều hành mà ông tìm cách loại bỏ, một chiến lược đã phát huy hiệu quả trong các trường hợp như chiến dịch kéo dài hai năm của ông chống lại hội đồng quản trị và ban quản lý của Yahoo!</w:t>
      </w:r>
    </w:p>
    <w:p>
      <w:pPr>
        <w:spacing w:after="80"/>
      </w:pPr>
      <w:r>
        <w:rPr>
          <w:b w:val="0"/>
          <w:i w:val="0"/>
        </w:rPr>
        <w:t xml:space="preserve">Jeff Smith là CEO và đồng sáng lập của Starboard Value, một quỹ đầu cơ vận động được thành lập năm 2002. Smith được tạp chí </w:t>
      </w:r>
      <w:r>
        <w:rPr>
          <w:b w:val="0"/>
          <w:i/>
        </w:rPr>
        <w:t>Fortune</w:t>
      </w:r>
      <w:r>
        <w:rPr>
          <w:b w:val="0"/>
          <w:i w:val="0"/>
        </w:rPr>
        <w:t xml:space="preserve"> gọi là "người đàn ông đáng sợ nhất ở doanh nghiệp Mỹ,"33 và quỹ này đã tham gia vào các chiến dịch tại Microsoft, Office Depot, Symantec, Smithfield Foods, Yahoo!, Macy's, Papa John's Pizza, và nhiều nơi khác.</w:t>
      </w:r>
    </w:p>
    <w:p>
      <w:pPr>
        <w:spacing w:after="80"/>
      </w:pPr>
      <w:r>
        <w:rPr>
          <w:b w:val="0"/>
          <w:i w:val="0"/>
        </w:rPr>
        <w:t>Paul Singer là nhà sáng lập kiêm chủ tịch của Elliott Investment Management, một công ty đầu tư đa chiến lược với khoảng 70 tỷ USD tài sản đang quản lý, đã thúc đẩy các nỗ lực vận động cổ đông (activist) tại AT&amp;T, Southwest Airlines và nhiều công ty khác.</w:t>
      </w:r>
    </w:p>
    <w:p>
      <w:pPr>
        <w:spacing w:after="80"/>
      </w:pPr>
      <w:r>
        <w:rPr>
          <w:b w:val="0"/>
          <w:i w:val="0"/>
        </w:rPr>
        <w:t>Cuối cùng, Nelson Peltz—người thích tự gọi mình là "cổ đông gắn bó cao độ" hơn là nhà đầu tư vận động34—và quỹ đầu cơ của ông, Trian, đã ở tâm điểm của nhiều cuộc chiến và góp phần thổi luồng sinh khí mới vào các công ty như Disney, Snapple, Heinz và Wendy's. Tại Pepsi, ông tìm cách thuyết phục công ty tách mảng đồ uống ra khỏi mảng đồ ăn nhẹ để tạo ra "hai công ty tinh gọn hơn và mang tinh thần khởi nghiệp hơn."35 Ông thất bại nhưng vẫn ra đi với mức lợi nhuận 50 phần trăm trên khoản đầu tư của mình trong bốn năm.36</w:t>
      </w:r>
    </w:p>
    <w:p>
      <w:pPr>
        <w:spacing w:after="80"/>
      </w:pPr>
      <w:r>
        <w:rPr>
          <w:b w:val="0"/>
          <w:i w:val="0"/>
        </w:rPr>
        <w:t>Wolosky lập luận rằng cá tính của từng nhân vật đã trở nên ít quan trọng hơn khi hoạt động vận động cổ đông ngày càng phát triển và chín muồi. "Nếu bạn nhìn vào vài năm gần đây," ông nói với tôi, "các chiến dịch đã xoay quanh vấn đề nhiều hơn là cá tính. Tôi nghĩ mọi người đã rời xa điều đó. Nó không còn là gì khác ngoài những yếu tố cơ bản. Bạn sẽ thắng một chiến dịch bằng cách tập hợp một danh sách ban giám đốc tuyệt vời và một cương lĩnh mà các tổ chức có thể ủng hộ."</w:t>
      </w:r>
    </w:p>
    <w:p>
      <w:pPr>
        <w:pStyle w:val="Heading2"/>
      </w:pPr>
      <w:r>
        <w:rPr>
          <w:rFonts w:ascii="Calibri" w:hAnsi="Calibri"/>
          <w:b/>
          <w:i w:val="0"/>
          <w:sz w:val="32"/>
        </w:rPr>
        <w:t>Tác động của SEC</w:t>
      </w:r>
    </w:p>
    <w:p>
      <w:pPr>
        <w:spacing w:after="80"/>
      </w:pPr>
      <w:r>
        <w:rPr>
          <w:b w:val="0"/>
          <w:i w:val="0"/>
        </w:rPr>
        <w:t>Trong nhiều năm qua, SEC đã tác động đến hoạt động vận động cổ đông thông qua một loạt quy định, chẳng hạn như yêu cầu công bố thông tin khi một nhà đầu tư mua một tỷ lệ cổ phần nhất định trong một công ty, khả năng nhiều nhà đầu tư cùng hợp tác với nhau, và gần đây hơn là sự ra đời của phiếu đại diện phổ thông (universal proxy), yêu cầu các công ty liệt kê tất cả ứng viên hội đồng quản trị—cả do ban lãnh đạo lẫn phe đối lập đề cử—trên một lá phiếu duy nhất, cho phép cổ đông bỏ phiếu không chỉ cho toàn bộ danh sách giám đốc của công ty hay của nhà vận động mà cho bất kỳ sự kết hợp ứng viên giám đốc nào họ muốn.</w:t>
      </w:r>
    </w:p>
    <w:p>
      <w:pPr>
        <w:spacing w:after="80"/>
      </w:pPr>
      <w:r>
        <w:rPr>
          <w:b w:val="0"/>
          <w:i w:val="0"/>
        </w:rPr>
        <w:t>Về mặt công bố thông tin, mục 13(d) và 13(g) của Đạo luật Giao dịch Chứng khoán năm 1934 yêu cầu các nhà đầu tư mua hơn 5 phần trăm cổ phần của một công ty đại chúng phải nộp công khai cho SEC mẫu Schedule 13D hoặc Schedule 13G. Nhà đầu tư có ý định giành quyền kiểm soát một công ty phải nộp mẫu Schedule 13D. Nhà đầu tư thụ động không có ý định giành quyền kiểm soát có thể nộp mẫu 13G ngắn hơn nhiều.</w:t>
      </w:r>
    </w:p>
    <w:p>
      <w:pPr>
        <w:spacing w:after="80"/>
      </w:pPr>
      <w:r>
        <w:rPr>
          <w:b w:val="0"/>
          <w:i w:val="0"/>
        </w:rPr>
        <w:t>Cho đến tháng 10 năm 2023, các nhà vận động có 10 ngày để công bố thông tin 13D của mình, nghĩa là họ có thể âm thầm tích lũy cổ phần và liên lạc riêng với các nhà đầu tư tổ chức cùng những người khác để xây dựng một vị thế lớn hơn. Khoảng thời gian đó đã được SEC rút ngắn xuống còn 5 ngày làm việc vào tháng 10 năm 2023. "Trong thị trường nhịp độ nhanh của chúng ta, công chúng không nên phải mất 10 ngày để biết về một nỗ lực thay đổi hoặc gây ảnh hưởng đến quyền kiểm soát một công ty đại chúng," Gary Gensler, chủ tịch SEC lúc bấy giờ, cho biết.37</w:t>
      </w:r>
    </w:p>
    <w:p>
      <w:pPr>
        <w:spacing w:after="80"/>
      </w:pPr>
      <w:r>
        <w:rPr>
          <w:b w:val="0"/>
          <w:i w:val="0"/>
        </w:rPr>
        <w:t>Ngoài ra, "phiếu đại diện phổ thông" đã có hiệu lực vào tháng 8 năm 2022.38 Việc chỉ có một lá phiếu giúp nhà đầu tư dễ dàng chia phiếu hơn, và giờ đây họ có thể, nếu muốn, chọn một số ứng viên do công ty đề cử và những ứng viên khác do nhà vận động đề cử. Kỳ vọng là một lá phiếu duy nhất sẽ khiến một công ty dễ mất một số ghế hội đồng quản trị vào tay nhà vận động hơn nhưng có lẽ ít khả năng mất đa số hơn. Những người phản đối lo ngại rằng lá phiếu mới sẽ gây nhầm lẫn cho cổ đông.</w:t>
      </w:r>
    </w:p>
    <w:p>
      <w:pPr>
        <w:spacing w:after="80"/>
      </w:pPr>
      <w:r>
        <w:rPr>
          <w:b w:val="0"/>
          <w:i w:val="0"/>
        </w:rPr>
        <w:t>Vẫn chưa rõ liệu phiếu đại diện phổ thông có tác động lâu dài đến các cuộc chiến giữa nhà vận động và công ty hay không, dù những dấu hiệu ban đầu cho thấy nó đang giúp nhà vận động giành được nhiều ghế hội đồng quản trị hơn. Theo Barclays, nhà vận động đã giành được ghế hội đồng quản trị trong 80 phần trăm các cuộc bỏ phiếu tranh chấp trong nửa đầu năm 2023, so với 33 phần trăm trong nửa đầu năm 2022.39</w:t>
      </w:r>
    </w:p>
    <w:p>
      <w:pPr>
        <w:spacing w:after="80"/>
      </w:pPr>
      <w:r>
        <w:rPr>
          <w:b w:val="0"/>
          <w:i w:val="0"/>
        </w:rPr>
        <w:t>Drewry đưa ra một giả thuyết thú vị cho sự gia tăng này: "Vào năm 2023, hơn 90 phần trăm số ghế hội đồng quản trị mới mà nhà vận động giành được là thông qua dàn xếp, một mức tăng vọt vì cả công ty lẫn nhà vận động đều không biết tác động của phiếu đại diện phổ thông sẽ ra sao, và chính khoảng trống thông tin đó khiến cả hai bên đều không cảm thấy mình có lợi thế, điều này dẫn đến rất nhiều vụ dàn xếp." Tuy nhiên, Drewry đã đại diện cho một công ty đại chúng nhỏ vào năm 2023 đối mặt với một danh sách ứng viên nhằm thay đổi quyền kiểm soát mà đi đến tận cuộc bỏ phiếu của cổ đông—và không mất một ghế nào. Vậy nên ngay cả trong những tình huống khó khăn nhất, phiếu đại diện phổ thông cũng không khiến các công ty không thể giành phần thắng.</w:t>
      </w:r>
    </w:p>
    <w:p>
      <w:pPr>
        <w:pStyle w:val="Heading2"/>
      </w:pPr>
      <w:r>
        <w:rPr>
          <w:rFonts w:ascii="Calibri" w:hAnsi="Calibri"/>
          <w:b/>
          <w:i w:val="0"/>
          <w:sz w:val="32"/>
        </w:rPr>
        <w:t>Sự trỗi dậy của hoạt động vận động cổ đông ngày nay</w:t>
      </w:r>
    </w:p>
    <w:p>
      <w:pPr>
        <w:spacing w:after="80"/>
      </w:pPr>
      <w:r>
        <w:rPr>
          <w:b w:val="0"/>
          <w:i w:val="0"/>
        </w:rPr>
        <w:t>Kể từ năm 2019, đã có tới 200 công ty—thậm chí nhiều hơn vào năm 2022—bị nhà vận động nhắm đến mỗi năm.40 Con số này tăng so với mức trung bình 74 chiến dịch mỗi năm từ 2005 đến 2009.41 Tỷ lệ các công ty vốn hóa khổng lồ (vốn hóa thị trường lớn hơn 50 tỷ USD) trong số đó đã tăng lên, đạt 16 phần trăm trong quý đầu năm 2023, mức cao nhất từng được ghi nhận. Được thúc đẩy bởi sức hấp dẫn của lợi nhuận vượt trội—dù các phát hiện thống kê, đặc biệt là về lợi nhuận dài hạn, còn trái chiều42—và sự dễ dàng hơn trong việc thu thập thông tin và liên lạc giữa các cổ đông nhờ công nghệ, có vẻ như xu hướng nhà đầu tư tìm kiếm sự thay đổi từ bên ngoài sẽ không sớm chậm lại. Một nghiên cứu năm 2019 của SquareWell Partners cho thấy 87 phần trăm nhà quản lý quỹ chủ động nói rằng hoạt động vận động cổ đông là một lực lượng hữu ích trên thị trường.43 Hoạt động vận động—từng chỉ gắn liền với những kẻ săn mồi doanh nghiệp thập niên 1980—nay thường được xem là một chiến lược thông thường giúp mở khóa giá trị cổ đông.</w:t>
      </w:r>
    </w:p>
    <w:p>
      <w:pPr>
        <w:spacing w:after="80"/>
      </w:pPr>
      <w:r>
        <w:rPr>
          <w:b w:val="0"/>
          <w:i w:val="0"/>
        </w:rPr>
        <w:t xml:space="preserve">Cuộc khủng hoảng tài chính 2007–9 có thể chính là sự kiện bước ngoặt, đưa hoạt động vận động cổ đông vào dòng chính. Theo </w:t>
      </w:r>
      <w:r>
        <w:rPr>
          <w:b w:val="0"/>
          <w:i/>
        </w:rPr>
        <w:t>Wall Street Journal</w:t>
      </w:r>
      <w:r>
        <w:rPr>
          <w:b w:val="0"/>
          <w:i w:val="0"/>
        </w:rPr>
        <w:t>, "Sau khủng hoảng, nhiều giám đốc điều hành doanh nghiệp đã áp dụng cách tiếp cận thận trọng hơn [so với trước], không muốn bị nhìn nhận là những kẻ ưa mạo hiểm. Họ tích trữ tiền mặt và tránh chi tiêu lớn."44 Các nhà vận động nhảy vào, và số lượng chiến dịch đã tăng lên kể từ đó.45 Thật vậy, tính đến năm 2022, gần 38 phần trăm giám đốc của các công ty thuộc Russell 3000 đã từng trải qua các chiến dịch vận động cổ đông.46 Hơn 50 phần trăm các công ty đại chúng mà tôi từng ngồi trong hội đồng quản trị đã từng bị nhà vận động tiếp cận, trong một vài trường hợp là hơn một lần.</w:t>
      </w:r>
    </w:p>
    <w:p>
      <w:pPr>
        <w:spacing w:after="80"/>
      </w:pPr>
      <w:r>
        <w:rPr>
          <w:b w:val="0"/>
          <w:i w:val="0"/>
        </w:rPr>
        <w:t>Phần lớn hoạt động vận động cổ đông gần đây đã chuyển từ thiên về tài chính sang thiên về chiến lược, có lẽ một phần do bằng chứng rằng hoạt động vận động gắn với các mục tiêu chiến lược có thể mang lại lợi nhuận cao hơn. Vận động tài chính nói chung là gây áp lực buộc các công ty có đòn bẩy thấp phải mua lại cổ phiếu để nâng giá cổ phiếu. Dù những áp lực của họ thường được diễn đạt bằng ngôn từ khác, những nhà đầu tư này thường đang tìm kiếm lợi nhuận nhanh.</w:t>
      </w:r>
    </w:p>
    <w:p>
      <w:pPr>
        <w:spacing w:after="80"/>
      </w:pPr>
      <w:r>
        <w:rPr>
          <w:b w:val="0"/>
          <w:i w:val="0"/>
        </w:rPr>
        <w:t>Ngược lại, vận động chiến lược tập trung vào việc thúc đẩy các công ty định hướng lại hoạt động kinh doanh, chẳng hạn như tách ra hoặc bán một hay nhiều đơn vị kinh doanh hoặc thực hiện hay không thực hiện một thương vụ mua lại nhất định, vì nhà vận động tin rằng một con đường nào đó sẽ tối đa hóa giá trị—có thể trong ngắn hạn, nhưng cũng có thể trong dài hạn.</w:t>
      </w:r>
    </w:p>
    <w:p>
      <w:pPr>
        <w:spacing w:after="80"/>
      </w:pPr>
      <w:r>
        <w:rPr>
          <w:b w:val="0"/>
          <w:i w:val="0"/>
        </w:rPr>
        <w:t>Ele Klein, đồng chủ tịch nhóm M&amp;A và Chứng khoán, đồng chủ tịch nhóm Vận động Cổ đông Toàn cầu, và là thành viên ủy ban điều hành tại Schulte Roth &amp; Zabel, đã chứng kiến sự tiến hóa này diễn ra. "Tôi nghĩ kiểu chiến dịch đơn giản là xác định các vấn đề với những cách khắc phục dễ dàng kiểu bảng cân đối kế toán," ông nói với tôi, "không còn tồn tại nhiều như trước nữa. Các công ty đã trở nên tinh vi hơn. Đây là điều tốt đến từ sức ép của nhà vận động. Nó đã buộc các công ty thực sự phải suy nghĩ về mọi thứ một cách chủ động chứ không chỉ phản ứng. Tôi nghĩ toàn bộ thị trường đã tiến hóa và trở nên chín muồi hơn, và đó là điều tốt. Vận động cổ đông không phải là một trò chơi. Cốt lõi thực sự của vận động cổ đông là giúp buộc các công ty hoạt động kém hiệu quả phải chịu trách nhiệm và khiến ban lãnh đạo phải chịu trách nhiệm về sự kém hiệu quả đó."</w:t>
      </w:r>
    </w:p>
    <w:p>
      <w:pPr>
        <w:spacing w:after="80"/>
      </w:pPr>
      <w:r>
        <w:rPr>
          <w:b w:val="0"/>
          <w:i w:val="0"/>
        </w:rPr>
        <w:t>Cách tiếp cận chiến lược được minh họa rõ nét qua tình huống năm 2024 tại Walt Disney. Công ty phải đối mặt với mối đe dọa từ nhà hoạt động Trian, công cụ đầu tư do Nelson Peltz lãnh đạo, người lập luận rằng Walt Disney cần giải quyết vấn đề kế nhiệm CEO và tăng biên lợi nhuận. Giữa lúc Peltz nỗ lực giành ghế trong hội đồng quản trị Walt Disney, công ty bất ngờ có một đồng minh: ValueAct, tổ chức mà trùng hợp thay, đã từng đứng sau việc lật đổ CEO Steve Ballmer của Microsoft một thập kỷ trước đó. ValueAct tuyên bố ủng hộ các ứng viên hội đồng quản trị của Walt Disney, và Walt Disney đã ký một thỏa thuận tư vấn với họ. "ValueAct Capital có thành tích hợp tác và cộng tác với các công ty mà họ đầu tư," CEO của Walt Disney, Bob Iger, cho biết. "Chúng tôi hoan nghênh ý kiến đóng góp của họ với tư cách cổ đông dài hạn."47 ValueAct và các nhà hoạt động khác, bao gồm Blackwells, đã định vị mình là đồng minh của Disney (và của Iger) chống lại mối đe dọa từ Peltz—và cả hai bên đều thúc đẩy các ứng viên hội đồng quản trị mà họ lựa chọn. Mặc dù Walt Disney đã giành chiến thắng, đẩy lùi mối đe dọa, cuộc chiến vô cùng tốn kém và gây xao nhãng cho công ty—với nhiều nguồn ước tính chi phí lên tới 70 triệu đô la.48 Sự hợp tác giữa một công ty và một nhà hoạt động để chống lại một nhà hoạt động khác có lẽ gây ngạc nhiên, nhưng nó cho thấy phạm vi vai trò và tác động tiềm tàng mà các nhà hoạt động có thể có ngày nay.</w:t>
      </w:r>
    </w:p>
    <w:p>
      <w:pPr>
        <w:spacing w:after="80"/>
      </w:pPr>
      <w:r>
        <w:rPr>
          <w:b w:val="0"/>
          <w:i w:val="0"/>
        </w:rPr>
        <w:t>Tất nhiên, cách tiếp cận tài chính vẫn chưa lỗi thời. Nó thường cũng là một phần của cách tiếp cận chiến lược. Vào tháng 11 năm 2022, Berry Global, một công ty bao bì hàng đầu nơi tôi là thành viên hội đồng quản trị và, như tôi đã mô tả, đã công bố sáp nhập với Amcor, đã ký thỏa thuận hợp tác với Ancora Holdings và Eminence Capital, bổ nhiệm ba giám đốc mới, và thành lập một ủy ban phân bổ vốn. Khi đối mặt với mối đe dọa từ nhà hoạt động, chúng tôi đã lắng nghe các cổ đông này và đi đến một thỏa thuận đôi bên cùng có lợi.49</w:t>
      </w:r>
    </w:p>
    <w:p>
      <w:pPr>
        <w:spacing w:after="80"/>
      </w:pPr>
      <w:r>
        <w:rPr>
          <w:b w:val="0"/>
          <w:i w:val="0"/>
        </w:rPr>
        <w:t xml:space="preserve">Một ví dụ nổi bật trong nhiều chiến dịch của nhà hoạt động là vào năm 2014, khi Starboard Value của Smith giành được sự ủng hộ của cổ đông để thay thế toàn bộ hội đồng quản trị của Darden Restaurants, chủ sở hữu của Olive Garden và các chuỗi nhà hàng phổ biến khác.50 Như </w:t>
      </w:r>
      <w:r>
        <w:rPr>
          <w:b w:val="0"/>
          <w:i/>
        </w:rPr>
        <w:t>New York Times</w:t>
      </w:r>
      <w:r>
        <w:rPr>
          <w:b w:val="0"/>
          <w:i w:val="0"/>
        </w:rPr>
        <w:t xml:space="preserve"> đưa tin, "Chiến thắng vang dội này khép lại cuộc chiến kéo dài một năm giữa Darden và một nhóm nhà đầu tư bất mãn, những người đầu tiên kêu gọi Darden tách riêng một công ty cho các chuỗi Red Lobster và Olive Garden và bán bất động sản của mình. Thay vào đó, Darden phớt lờ các khuyến nghị của họ và chỉ bán Red Lobster với giá 2,1 tỷ đô la, dẫn đến cuộc khẩu chiến gay gắt giữa các nhà đầu tư hoạt động và Darden. Starboard Value sau đó công bố kế hoạch lật đổ toàn bộ hội đồng quản trị, lập luận rằng ban lãnh đạo Darden đã thể hiện 'sự coi thường lợi ích cổ đông.'"51</w:t>
      </w:r>
    </w:p>
    <w:p>
      <w:pPr>
        <w:spacing w:after="80"/>
      </w:pPr>
      <w:r>
        <w:rPr>
          <w:b w:val="0"/>
          <w:i w:val="0"/>
        </w:rPr>
        <w:t>Darden Restaurants đã áp dụng các biện pháp phòng vệ để chống lại các nhà hoạt động, bao gồm các điều lệ mới khiến việc đề cử giám đốc mới của cổ đông trở nên khó khăn hơn. Starboard đã công bố kế hoạch dài 300 trang nhằm tăng thu nhập của công ty, với các khuyến nghị chi tiết đến mức chỉ trích cách Olive Garden nấu mì ống. Các lập luận đã được hưởng ứng, và Starboard Value đã giành được số phiếu để thay thế toàn bộ giám đốc của Darden Restaurants.52</w:t>
      </w:r>
    </w:p>
    <w:p>
      <w:pPr>
        <w:spacing w:after="80"/>
      </w:pPr>
      <w:r>
        <w:rPr>
          <w:b w:val="0"/>
          <w:i w:val="0"/>
        </w:rPr>
        <w:t>Trong khi hoạt động của nhà hoạt động tại Darden Restaurants có thể được coi là thành công—giá cổ phiếu đã tăng khoảng 300 phần trăm kể từ năm 2014—cuộc chiến của Ackman với J.C. Penney là ví dụ cho thấy các chiến dịch của nhà hoạt động không phải lúc nào cũng mang lại kết quả như hứa hẹn. Năm 2010, Ackman mua cổ phần trị giá 900 triệu đô la trong công ty và giành cho mình một ghế trong hội đồng quản trị. Ông thúc đẩy công ty thay thế CEO lâu năm Mike Ullman bằng Ron Johnson, một cựu giám đốc điều hành của Apple. Mười sáu tháng sau, cổ phiếu đã giảm 50 phần trăm, 19.000 nhân viên bị sa thải, và doanh số giảm hơn 25 phần trăm. Ackman và phần còn lại của hội đồng quản trị đã sa thải Johnson và tái tuyển dụng Ullman—nhưng chỉ bốn tháng sau, Ackman lại kêu gọi lật đổ Ullman.53 Đó là khởi đầu của sự kết thúc. Sáu năm sau, khi giá cổ phiếu không bao giờ phục hồi, công ty đã nộp đơn xin phá sản.</w:t>
      </w:r>
    </w:p>
    <w:p>
      <w:pPr>
        <w:spacing w:after="80"/>
      </w:pPr>
      <w:r>
        <w:rPr>
          <w:b w:val="0"/>
          <w:i w:val="0"/>
        </w:rPr>
        <w:t>Nhiều ví dụ về các nhà hoạt động tìm cách thúc đẩy thay đổi chi tiết cho thấy ý tưởng rằng sự hội tụ giữa hoạt động của nhà hoạt động và vốn cổ phần tư nhân đã hình thành. Các nhà hoạt động ngày càng muốn tham gia vào việc điều hành các công ty mà họ đầu tư—một cách chủ động thay vì thụ động. Và trong khi đôi khi điều đó thành công, đôi khi lại không.</w:t>
      </w:r>
    </w:p>
    <w:p>
      <w:pPr>
        <w:spacing w:after="80"/>
      </w:pPr>
      <w:r>
        <w:rPr>
          <w:b w:val="0"/>
          <w:i w:val="0"/>
        </w:rPr>
        <w:t>Elbaum, người đại diện cho cả nhà hoạt động và công ty, nhìn thấy một số điểm tốt trong những gì nhà hoạt động làm. "Nó đưa thông tin ra thị trường," ông nói với tôi, "và bạn muốn càng nhiều thông tin về một công ty được đưa ra thị trường càng tốt để thị trường định giá mọi thứ và đưa ra cho bạn định giá chính xác nhất. Tôi nghĩ hoạt động của nhà hoạt động có thể giúp thúc đẩy trao đổi đối thoại giữa ban lãnh đạo, giám đốc, cổ đông và các bên liên quan khác."</w:t>
      </w:r>
    </w:p>
    <w:p>
      <w:pPr>
        <w:spacing w:after="80"/>
      </w:pPr>
      <w:r>
        <w:rPr>
          <w:b w:val="0"/>
          <w:i w:val="0"/>
        </w:rPr>
        <w:t xml:space="preserve">"Thật khó để hoạt động của nhà hoạt động gây hại," Ackman đã nói. "Nếu các ý tưởng tốt, chúng sẽ thành hiện thực. Nếu chúng tồi, chúng sẽ không nhận được sự ủng hộ."54 Nhưng </w:t>
      </w:r>
      <w:r>
        <w:rPr>
          <w:b w:val="0"/>
          <w:i/>
        </w:rPr>
        <w:t>Wall Street Journal</w:t>
      </w:r>
      <w:r>
        <w:rPr>
          <w:b w:val="0"/>
          <w:i w:val="0"/>
        </w:rPr>
        <w:t xml:space="preserve"> viết rằng "hoạt động của nhà hoạt động thường cải thiện kết quả hoạt động của một công ty, và gần như thường xuyên không cải thiện."55</w:t>
      </w:r>
    </w:p>
    <w:p>
      <w:pPr>
        <w:spacing w:after="80"/>
      </w:pPr>
      <w:r>
        <w:rPr>
          <w:b w:val="0"/>
          <w:i w:val="0"/>
        </w:rPr>
        <w:t>Marty Lipton đã chỉ trích các nhà hoạt động trong nhiều thập kỷ, và Wachtell Lipton từ lâu đã là lựa chọn phổ biến được đánh giá cao để giúp các công ty phòng vệ trước các nhà hoạt động. "Luôn có những công ty được quản lý kém, theo đuổi chiến lược tồi," Lipton đã nói. "Những công ty đó cần được xoay chuyển, nhưng không nhất thiết phải để các nhà hoạt động làm điều đó. Các nhà đầu tư tổ chức nên đảm nhận việc tương tác với những công ty đó và thuyết phục họ xoay chuyển. Nếu bạn thúc đẩy hoạt động của nhà hoạt động, điều bạn đang làm là gửi thông điệp đến mọi công ty rằng họ nên bắt đầu suy nghĩ theo cách của nhà hoạt động, nếu không sẽ bị tấn công, điều đó theo một nghĩa nào đó có nghĩa là bạn giết chết các chiến lược dài hạn."56</w:t>
      </w:r>
    </w:p>
    <w:p>
      <w:pPr>
        <w:spacing w:after="80"/>
      </w:pPr>
      <w:r>
        <w:rPr>
          <w:b w:val="0"/>
          <w:i w:val="0"/>
        </w:rPr>
        <w:t>Chánh án Strine đã chỉ trích sự tập trung ngắn hạn của hoạt động nhà hoạt động: "Các quỹ đầu cơ hoạt động xác định các công ty và nắm giữ vị thế cổ phần trong đó chỉ khi họ đã xác định được cách thay đổi hoạt động của công ty theo cách mà quỹ đầu cơ tin rằng sẽ khiến giá cổ phiếu tăng. Sự tăng giá mà hầu hết các quỹ đầu cơ tìm kiếm phải xảy ra trong khoảng thời gian tương đối ngắn, vì nhiều quỹ đầu cơ hoạt động trong lịch sử chỉ giữ vị thế của họ trong tối đa một đến hai năm."57</w:t>
      </w:r>
    </w:p>
    <w:p>
      <w:pPr>
        <w:spacing w:after="80"/>
      </w:pPr>
      <w:r>
        <w:rPr>
          <w:b w:val="0"/>
          <w:i w:val="0"/>
        </w:rPr>
        <w:t>Sự xao nhãng mà mối đe dọa từ nhà hoạt động có thể tạo ra cũng có thể rất đáng kể. Như Drewry nói với tôi,</w:t>
      </w:r>
    </w:p>
    <w:p>
      <w:pPr>
        <w:spacing w:after="80"/>
      </w:pPr>
      <w:r>
        <w:rPr>
          <w:b w:val="0"/>
          <w:i w:val="0"/>
        </w:rPr>
        <w:t>Chi phí về mặt xao nhãng là cực kỳ cao, và các nhà hoạt động biết đó là công cụ hiệu quả nhất và điểm đau nhất của họ. Nếu bạn nghĩ về lịch họp hội đồng quản trị bình thường, năm cuộc họp một năm, nếu bạn có một cuộc chiến với nhà hoạt động đi đến cùng, bạn đang nhìn vào tới 20 cuộc họp hội đồng quản trị trong cuộc chiến đó, ban điều hành dành 20 giờ một tuần cho cuộc chiến, và trong những tuần cuối, bay khắp đất nước để gặp gỡ cổ đông, đó là một sự gián đoạn lớn, chưa kể gánh nặng cá nhân đối với ban lãnh đạo, nơi tôi đã thấy các nhà lãnh đạo cấp cao rất quen với công việc căng thẳng phải buông xuôi và nói rằng điều này thật không đáng.</w:t>
      </w:r>
    </w:p>
    <w:p>
      <w:pPr>
        <w:spacing w:after="80"/>
      </w:pPr>
      <w:r>
        <w:rPr>
          <w:b w:val="0"/>
          <w:i w:val="0"/>
        </w:rPr>
        <w:t>"Điều Marty Lipton đã nói trong nhiều năm là hoạt động của nhà hoạt động gây xao nhãng cho hội đồng quản trị và không để hội đồng quản trị làm công việc của họ," Gartner đồng tình. Nhưng ông lập luận, "Có rất nhiều hội đồng quản trị rất yếu kém ngoài kia. Có rất nhiều sự cồng kềnh trong doanh nghiệp Mỹ mà các nhà hoạt động cắt một phần và nói rằng đó chỉ là điều chúng ta nên làm tốt hơn. Khi bạn nhìn vào một số chiến dịch ngày nay, chúng không phải là các giải pháp ngắn hạn. Chúng là những tái cấu trúc chiến lược của doanh nghiệp."</w:t>
      </w:r>
    </w:p>
    <w:p>
      <w:pPr>
        <w:spacing w:after="80"/>
      </w:pPr>
      <w:r>
        <w:rPr>
          <w:b w:val="0"/>
          <w:i w:val="0"/>
        </w:rPr>
        <w:t>Một trong những đối thủ tranh luận gay gắt nhất của Lipton về giá trị của hoạt động cổ đông là Lucian Bebchuk, Giáo sư Luật, Kinh tế và Tài chính James Barr Ames và giám đốc Chương trình Quản trị Doanh nghiệp tại Trường Luật Harvard. Bebchuk đã phản bác quan điểm của Lipton rằng hoạt động của nhà hoạt động không có lợi ích dài hạn, bao gồm trong một nghiên cứu về khoảng 2.000 can thiệp của nhà hoạt động trong khoảng thời gian 13 năm từ 1994 đến 2007.58 Nghiên cứu đã tìm thấy lợi nhuận cổ phiếu cao hơn và hiệu suất hoạt động tốt hơn cho các công ty chịu sự can thiệp của nhà hoạt động khi nhìn vào khung thời gian năm năm (được đo bằng lợi nhuận trên tài sản), nhưng như đã giải thích trước đó, dữ liệu còn lâu mới rõ ràng—và nghiên cứu gần đây hơn của Lazard đã tạo ra những lỗ hổng đáng kể trong kết luận của Bebchuk.</w:t>
      </w:r>
    </w:p>
    <w:p>
      <w:pPr>
        <w:pStyle w:val="Heading2"/>
      </w:pPr>
      <w:r>
        <w:rPr>
          <w:rFonts w:ascii="Calibri" w:hAnsi="Calibri"/>
          <w:b/>
          <w:i w:val="0"/>
          <w:sz w:val="32"/>
        </w:rPr>
        <w:t>Cân nhắc về Quản trị</w:t>
      </w:r>
    </w:p>
    <w:p>
      <w:pPr>
        <w:spacing w:after="80"/>
      </w:pPr>
      <w:r>
        <w:rPr>
          <w:b w:val="0"/>
          <w:i w:val="0"/>
        </w:rPr>
        <w:t>Hội đồng quản trị và ban lãnh đạo nên lắng nghe nhà hoạt động, như họ nên lắng nghe bất kỳ cổ đông nào, nhưng họ cũng nên chuẩn bị và cảnh giác. Điều quan trọng là không bị buộc phải thực hiện một hành động cụ thể vì một cổ đông nhỏ nhưng ồn ào đang đặc biệt hung hăng. Như Gartner nói với tôi từ nhiều thập kỷ kinh nghiệm ở cả hai phía, nhà hoạt động và công ty, "Sự tiến bộ của các hội đồng quản trị trong thế hệ vừa qua thật đáng kinh ngạc về mức độ tinh tế và sự sẵn sàng tương tác với các nhà hoạt động. Một thập kỷ trước, nếu các nhà hoạt động xuất hiện, quy trình hoạt động tiêu chuẩn là gạt họ sang một bên và làm bất cứ điều gì cần thiết để chống lại ý tưởng của họ, bao gồm cả việc đấu tranh ủy quyền. Ngày nay, ưu tiên hàng đầu là gặp gỡ các nhà hoạt động, lắng nghe những gì họ nói, và cố gắng giải quyết các vấn đề họ nêu ra một cách lặng lẽ và hòa bình." Drewry đồng ý, giải thích, "Bạn phải tôn trọng thực tế rằng một nhà đầu tư cụ thể, dù là nhà đầu tư hoạt động hay không, có thể là một trong những cổ đông lớn hơn của bạn, và bạn phải đối xử với họ bằng sự tôn trọng và xem xét ý tưởng của họ."</w:t>
      </w:r>
    </w:p>
    <w:p>
      <w:pPr>
        <w:spacing w:after="80"/>
      </w:pPr>
      <w:r>
        <w:rPr>
          <w:b w:val="0"/>
          <w:i w:val="0"/>
        </w:rPr>
        <w:t>Các công ty đối mặt với nhà hoạt động thường thuê một công ty luật, ngân hàng đầu tư và công ty truyền thông để hỗ trợ họ. Drewry đã dẫn tôi đi qua các bước ông thực hiện với một khách hàng mới đang đối mặt với cuộc tấn công:</w:t>
      </w:r>
    </w:p>
    <w:p>
      <w:pPr>
        <w:spacing w:after="80"/>
      </w:pPr>
      <w:r>
        <w:rPr>
          <w:b w:val="0"/>
          <w:i w:val="0"/>
        </w:rPr>
        <w:t>Việc đầu tiên tôi làm là xem xét lịch trình cuộc họp thường niên, để chúng ta biết khi nào các đề cử được đưa ra, vì đó là lúc bạn dễ bị tổn thương nhất. Tôi cần hiểu liệu cổ đông có thể triệu tập một cuộc họp đặc biệt không, có thể hành động bằng sự đồng thuận bằng văn bản không, và liệu đó có phải là hội đồng quản trị phân loại (classified board) không. Hiểu rõ hồ sơ phòng thủ sẽ cho tôi biết các điểm đau nằm ở đâu và cách các nhà hoạt động có thể thao túng chúng. Các nhà hoạt động không ngừng phát triển các chiến thuật mới, và chúng tôi không ngừng phát triển ngôn ngữ điều lệ mới để đối phó. Và một công ty tất nhiên nên có sẵn một kế hoạch quyền—một viên thuốc độc (poison pill)—trên kệ. Đối mặt với một mối đe dọa như thế này là một giai đoạn gây tranh cãi, rất thách thức, rất căng thẳng cho cả hội đồng quản trị lẫn ban điều hành.</w:t>
      </w:r>
    </w:p>
    <w:p>
      <w:pPr>
        <w:spacing w:after="80"/>
      </w:pPr>
      <w:r>
        <w:rPr>
          <w:b w:val="0"/>
          <w:i w:val="0"/>
        </w:rPr>
        <w:t>Cần lưu ý rằng một viên thuốc độc khó có thể đặc biệt hiệu quả trước những nhà hoạt động kiên quyết. Nó có thể khiến hội đồng quản trị và ban điều hành trông có vẻ cố thủ, và vì hầu hết các nhà hoạt động mua cổ phần tại các công ty mục tiêu của họ dưới 10 phần trăm, ngưỡng sở hữu mà tại đó một viên thuốc độc kích hoạt thường không đạt được.</w:t>
      </w:r>
    </w:p>
    <w:p>
      <w:pPr>
        <w:spacing w:after="80"/>
      </w:pPr>
      <w:r>
        <w:rPr>
          <w:b w:val="0"/>
          <w:i w:val="0"/>
        </w:rPr>
        <w:t>Muir Paterson là trưởng bộ phận toàn cầu của Strategic Shareholder Advisory trong nhóm M&amp;A của Citi, nơi ông tư vấn cho các khách hàng doanh nghiệp về các tình huống nhà hoạt động và các tình huống khác. Trước đây ông đã giúp phát triển nhóm phòng thủ trước nhà hoạt động của Goldman Sachs và cũng từng làm giám đốc quản trị doanh nghiệp cho Wellington Management, một nhà đầu tư tổ chức, và là đồng sáng lập nhóm tình huống đặc biệt tại ISS, công ty tư vấn quản trị hàng đầu. Tập hợp những kinh nghiệm này mang lại cho ông một góc nhìn độc đáo. Ông đã giải thích cho tôi vai trò chung của các chuyên gia ngân hàng khi tư vấn cho một công ty đối mặt với nhà hoạt động: “Vai trò của chúng tôi với tư cách cố vấn bao gồm giúp các giám đốc đặt mình vào tư duy của một nhà đầu tư. Đó là về công việc bạn làm xung quanh công ty và hội đồng quản trị để tìm ra giá trị của bạn và các lựa chọn của bạn, nhưng cũng là về việc hiểu rõ đội quân cổ đông. Đó là hiểu được cơ sở ủng hộ của bạn nằm ở đâu. Nó thường ít liên quan đến chỉ phòng thủ mà nhiều hơn về cách tốt nhất để công ty tối đa hóa giá trị.”</w:t>
      </w:r>
    </w:p>
    <w:p>
      <w:pPr>
        <w:spacing w:after="80"/>
      </w:pPr>
      <w:r>
        <w:rPr>
          <w:b w:val="0"/>
          <w:i w:val="0"/>
        </w:rPr>
        <w:t xml:space="preserve">Từ góc độ truyền thông, tôi đã nói chuyện với Steve Lipin, người sáng lập và CEO của công ty tư vấn truyền thông Gladstone Place, người khởi đầu sự nghiệp với vai trò phóng viên M&amp;A tại </w:t>
      </w:r>
      <w:r>
        <w:rPr>
          <w:b w:val="0"/>
          <w:i/>
        </w:rPr>
        <w:t>Wall Street Journal</w:t>
      </w:r>
      <w:r>
        <w:rPr>
          <w:b w:val="0"/>
          <w:i w:val="0"/>
        </w:rPr>
        <w:t xml:space="preserve"> và có ba thập kỷ kinh nghiệm truyền thông tài chính. Như ông nói với tôi,</w:t>
      </w:r>
    </w:p>
    <w:p>
      <w:pPr>
        <w:spacing w:after="80"/>
      </w:pPr>
      <w:r>
        <w:rPr>
          <w:b w:val="0"/>
          <w:i w:val="0"/>
        </w:rPr>
        <w:t>Trước bất kỳ cuộc tấn công nào, bạn cần một tài liệu phác thảo những gì bạn sẽ nói hoặc làm trong 24 giờ đầu tiên. Sau đó bạn cần hiểu những lời chỉ trích tiềm tàng đối với công ty và cách bạn sẽ phản hồi, cùng một bản đồ các bên liên quan hoặc sự hiểu biết về những bên liên quan quan trọng nhất mà bạn sẽ cần giao tiếp trong suốt cuộc chiến. Điều cuối cùng bạn cần là một kế hoạch cho việc một cuộc bầu cử tranh chấp có thể trông như thế nào. Chiến lược truyền thông rất quan trọng đối với sự thành công của một cuộc tranh chấp ủy quyền (proxy contest), bởi vì nó phần lớn là một cuộc chiến ý tưởng và một trận chiến quan hệ công chúng.</w:t>
      </w:r>
    </w:p>
    <w:p>
      <w:pPr>
        <w:spacing w:after="80"/>
      </w:pPr>
      <w:r>
        <w:rPr>
          <w:b w:val="0"/>
          <w:i w:val="0"/>
        </w:rPr>
        <w:t xml:space="preserve">Thật hợp lý khi </w:t>
      </w:r>
      <w:r>
        <w:rPr>
          <w:b w:val="0"/>
          <w:i/>
        </w:rPr>
        <w:t>Corporate Board Member</w:t>
      </w:r>
      <w:r>
        <w:rPr>
          <w:b w:val="0"/>
          <w:i w:val="0"/>
        </w:rPr>
        <w:t xml:space="preserve"> viết rằng “chiến lược tốt nhất” cho các công ty muốn chống lại nhà hoạt động “là, rõ ràng, hoạt động tốt hơn về mặt tài chính.”59 Drewry cũng đưa ra quan điểm tương tự, nói thêm: “Điều giúp các công ty miễn nhiễm với chủ nghĩa hoạt động là một ban điều hành rất chủ động cùng hội đồng quản trị đánh giá sâu sắc các phương án chiến lược và sau đó chu đáo về cách họ giải thích điều đó cho các cổ đông.”</w:t>
      </w:r>
    </w:p>
    <w:p>
      <w:pPr>
        <w:spacing w:after="80"/>
      </w:pPr>
      <w:r>
        <w:rPr>
          <w:b w:val="0"/>
          <w:i w:val="0"/>
        </w:rPr>
        <w:t>Điều quan trọng là phải chuẩn bị sẵn sàng cho một cuộc tấn công của nhà hoạt động và để hội đồng quản trị cùng ban điều hành duy trì sự tập trung vào việc tối đa hóa giá trị cổ đông dài hạn. Kinh nghiệm đã cho tôi thấy rằng các bước sau có thể giúp một công ty sẵn sàng cho một cuộc tiếp cận từ nhà hoạt động:</w:t>
      </w:r>
    </w:p>
    <w:p>
      <w:pPr>
        <w:spacing w:after="80"/>
        <w:ind w:left="360"/>
      </w:pPr>
      <w:r>
        <w:t xml:space="preserve">1. </w:t>
      </w:r>
      <w:r>
        <w:rPr>
          <w:b w:val="0"/>
          <w:i w:val="0"/>
        </w:rPr>
        <w:t>Đảm bảo rằng hội đồng quản trị và ban điều hành thống nhất về chiến lược của công ty và các động lực chính của giá trị cũng như hiểu rõ định giá của công ty. Bạn phải được thông tin đầy đủ và đồng thuận để có thể trình bày một mặt trận thống nhất khi đối mặt với mối đe dọa từ bên ngoài.</w:t>
      </w:r>
    </w:p>
    <w:p>
      <w:pPr>
        <w:spacing w:after="80"/>
        <w:ind w:left="360"/>
      </w:pPr>
      <w:r>
        <w:t xml:space="preserve">2. </w:t>
      </w:r>
      <w:r>
        <w:rPr>
          <w:b w:val="0"/>
          <w:i w:val="0"/>
        </w:rPr>
        <w:t>Giao tiếp với các cổ đông lớn ít nhất mỗi năm một lần, và chắc chắn là trước khi một nhà hoạt động xuất hiện, để họ hiểu chiến lược của công ty và ít nhất CEO và CFO, nếu không phải cả người lãnh đạo hội đồng quản trị, có mối quan hệ làm việc tốt với các chủ sở hữu chính của công ty.</w:t>
      </w:r>
    </w:p>
    <w:p>
      <w:pPr>
        <w:spacing w:after="80"/>
        <w:ind w:left="360"/>
      </w:pPr>
      <w:r>
        <w:t xml:space="preserve">3. </w:t>
      </w:r>
      <w:r>
        <w:rPr>
          <w:b w:val="0"/>
          <w:i w:val="0"/>
        </w:rPr>
        <w:t>Theo dõi thường xuyên những thay đổi trong nắm giữ của nhà đầu tư và đặc biệt chú ý đến những người nắm giữ mới, nhất là những người có lịch sử hoạt động.</w:t>
      </w:r>
    </w:p>
    <w:p>
      <w:pPr>
        <w:spacing w:after="80"/>
        <w:ind w:left="360"/>
      </w:pPr>
      <w:r>
        <w:t xml:space="preserve">4. </w:t>
      </w:r>
      <w:r>
        <w:rPr>
          <w:b w:val="0"/>
          <w:i w:val="0"/>
        </w:rPr>
        <w:t>Xây dựng và cập nhật một kế hoạch để đối phó với một cuộc tấn công của nhà hoạt động, bao gồm những cố vấn bạn dự định thuê.</w:t>
      </w:r>
    </w:p>
    <w:p>
      <w:pPr>
        <w:spacing w:after="80"/>
        <w:ind w:left="360"/>
      </w:pPr>
      <w:r>
        <w:t xml:space="preserve">5. </w:t>
      </w:r>
      <w:r>
        <w:rPr>
          <w:b w:val="0"/>
          <w:i w:val="0"/>
        </w:rPr>
        <w:t>Cố gắng có sẵn một ứng viên hội đồng quản trị mới đã được thẩm tra phần lớn và sẵn sàng tham gia. Đây là điểm được Drewry nhấn mạnh: “Nhiều thỏa thuận với các nhà hoạt động cho họ một ghế giám đốc độc lập mới trong hội đồng quản trị, và ở một công ty được tư vấn tốt, đó có thể là người mà hội đồng quản trị đã chuẩn bị sẵn, nên khi các nhà hoạt động đến, bạn có thể nói rằng chúng tôi sẽ đưa tên của bạn vào một thông cáo báo chí và thêm ứng viên này mà hội đồng quản trị đã xác định và thẩm tra. Nhà hoạt động có thể tuyên bố chiến thắng, và nó không tốn kém gì nhiều cho hội đồng quản trị.”</w:t>
      </w:r>
    </w:p>
    <w:p>
      <w:pPr>
        <w:spacing w:after="80"/>
        <w:ind w:left="360"/>
      </w:pPr>
      <w:r>
        <w:t xml:space="preserve">6. </w:t>
      </w:r>
      <w:r>
        <w:rPr>
          <w:b w:val="0"/>
          <w:i w:val="0"/>
        </w:rPr>
        <w:t>Lắng nghe quan điểm của cổ đông và sẵn sàng tiếp nhận những gợi ý tốt—nhưng cũng đừng ngại đối đầu trực diện với bất kỳ cuộc tấn công nào nếu bạn cảm thấy các đề xuất sẽ không tối đa hóa giá trị cổ đông dài hạn.</w:t>
      </w:r>
    </w:p>
    <w:p>
      <w:pPr>
        <w:spacing w:after="80"/>
      </w:pPr>
      <w:r>
        <w:rPr>
          <w:b w:val="0"/>
          <w:i w:val="0"/>
        </w:rPr>
        <w:t>Một cơ sở cổ đông cảm thấy được lắng nghe và biết rõ ban điều hành cấp cao ít có khả năng giúp làm chệch hướng một chiến lược doanh nghiệp hiệu quả hơn nhiều. Daniel Neff của Wachtell Lipton đồng ý: “Khi tôi tham gia, điều đầu tiên tôi hỏi là, Các cổ đông nghĩ gì về ban điều hành và hội đồng quản trị, và tình huống này chín muồi đến mức nào cho một đối thủ bên ngoài? Yếu tố quyết định cuối cùng trong một cuộc tranh chấp bầu cử là bạn đang làm ăn thế nào với các cử tri.”</w:t>
      </w:r>
    </w:p>
    <w:p>
      <w:pPr>
        <w:spacing w:after="80"/>
      </w:pPr>
      <w:r>
        <w:rPr>
          <w:b w:val="0"/>
          <w:i w:val="0"/>
        </w:rPr>
        <w:t>Vì điều này rất quan trọng, tôi muốn nhắc lại rằng mặc dù tôi tin rằng một hội đồng quản trị nên suy nghĩ như một nhà hoạt động như một bài tập, sẽ là sai lầm nếu hội đồng quản trị và ban điều hành hành động như một nhà hoạt động trong mọi trường hợp. Có những khác biệt lớn về mục tiêu giữa các nhà hoạt động và ban điều hành, như đã giải thích ở trên. Một nhà hoạt động tìm cách gia tăng giá trị, thường là cho phương tiện của mình, điển hình là một quỹ bao gồm nhiều khoản đầu tư, để kiếm phí quản lý và một phần trăm lợi nhuận (được gọi là “lợi tức mang theo” - carried interest) cũng như để huy động thêm vốn. Tuy nhiên, một hội đồng quản trị và ban điều hành không bao giờ được quên rằng họ được giao trọng trách tối đa hóa giá trị cổ đông dài hạn cho chỉ một công ty—ngay cả khi điều đó có thể khiến họ xung đột với những mục tiêu có lẽ ngắn hạn của nhà hoạt động đang theo đuổi họ.</w:t>
      </w:r>
    </w:p>
    <w:p>
      <w:pPr>
        <w:spacing w:after="80"/>
      </w:pPr>
      <w:r>
        <w:rPr>
          <w:b w:val="0"/>
          <w:i w:val="0"/>
        </w:rPr>
        <w:t>Mặc dù đúng là các nhà hoạt động đôi khi tuyên bố họ là nhà đầu tư dài hạn, Neff tin rằng cần phải thận trọng: “Những thay đổi được thực hiện, giá cổ phiếu tăng lên, rồi sau đó các nhà hoạt động chắc chắn biến mất. Đó không phải là kết quả tốt trong nhiều trường hợp. Có một số công ty mà việc bị thúc đẩy một chút có thể là điều mong muốn. Nhưng tôi nghĩ ngày càng ít đi. Nếu các nhà hoạt động không tạo ra kết quả trong một thời gian ngắn, bạn sẽ rơi vào tình trạng căng thẳng thực sự. Rất khó để điều hành một công ty với tầm nhìn 9 đến 12 tháng mà lại tốt hơn trong tương lai.” Hội đồng quản trị không nên để các nhà hoạt động gây ảnh hưởng cản trở những hành động vì lợi ích dài hạn tốt nhất của cổ đông.</w:t>
      </w:r>
    </w:p>
    <w:p>
      <w:pPr>
        <w:spacing w:after="80"/>
      </w:pPr>
      <w:r>
        <w:rPr>
          <w:b w:val="0"/>
          <w:i w:val="0"/>
        </w:rPr>
        <w:t>Có nhiều biện pháp phòng vệ chống lại hoạt động gây ảnh hưởng không mong muốn. Đầu tiên liên quan đến hội đồng quản trị theo nhiệm kỳ xen kẽ hoặc phân loại (staggered or classified boards): những hội đồng được cấu thành từ các nhóm giám đốc khác nhau với nhiệm kỳ phục vụ khác nhau, nghĩa là chỉ một tỷ lệ thiểu số giám đốc được bầu lại tại mỗi cuộc họp thường niên. Điều này biến việc cải tổ toàn bộ hội đồng thành một quá trình kéo dài nhiều năm, nghĩa là các nhà hoạt động có thể ít có khả năng thử sức hơn, vì biết rằng không thể giành thắng lợi nhanh chóng. Bebchuk, thông qua Shareholder Rights Project, một tổ chức ông điều hành từ 2011 đến 2014, đã tìm cách đưa các công ty rời xa hội đồng theo nhiệm kỳ xen kẽ để hướng tới bầu cử thường niên, với hy vọng làm cho hoạt động gây ảnh hưởng thông qua việc giành ghế trong hội đồng trở nên nhanh chóng và dễ dàng hơn.60 Nỗ lực này, được xây dựng trên niềm tin của Bebchuk rằng hoạt động gây ảnh hưởng nên được trao quyền tối đa, phần lớn đã thành công.</w:t>
      </w:r>
    </w:p>
    <w:p>
      <w:pPr>
        <w:spacing w:after="80"/>
      </w:pPr>
      <w:r>
        <w:rPr>
          <w:b w:val="0"/>
          <w:i w:val="0"/>
        </w:rPr>
        <w:t>Năm 2000, 300 công ty trong S&amp;P 500 có hội đồng quản trị theo nhiệm kỳ xen kẽ. Đến cuối năm 2013, chỉ còn 60 hội đồng vẫn theo nhiệm kỳ xen kẽ,61 một con số gần như giữ nguyên kể từ đó.62 Bebchuk lập luận rằng hội đồng theo nhiệm kỳ xen kẽ gắn liền với định giá công ty thấp hơn, lợi nhuận cho cổ đông thấp hơn, các quyết định mua lại làm giảm giá trị, và mức độ nhạy cảm thấp hơn của việc thay thế CEO đối với hiệu quả hoạt động của công ty.63</w:t>
      </w:r>
    </w:p>
    <w:p>
      <w:pPr>
        <w:spacing w:after="80"/>
      </w:pPr>
      <w:r>
        <w:rPr>
          <w:b w:val="0"/>
          <w:i w:val="0"/>
        </w:rPr>
        <w:t xml:space="preserve">Chắc chắn, một hội đồng theo nhiệm kỳ xen kẽ tạo ra rào cản mạnh mẽ đối với việc một nhà hoạt động có thể nhanh chóng nắm quyền kiểm soát hội đồng. Nghiên cứu của Bebchuk phát hiện rằng từ năm 1996 đến 2000, không một bên chào mua thù địch nào giành được quyền kiểm soát thông qua bỏ phiếu cổ đông tại một cuộc họp thường niên khi hội đồng quản trị của công ty theo nhiệm kỳ xen kẽ.64 Tuy nhiên, dữ liệu về hiệu quả hoạt động giữa các công ty có hội đồng theo nhiệm kỳ xen kẽ và những công ty mà tất cả giám đốc đều được bầu mỗi năm lại không rõ ràng như vậy. Một nghiên cứu năm 2019 cho thấy trong 5 năm trước đó, các công ty S&amp;P 500 có hội đồng theo nhiệm kỳ xen kẽ đạt tổng lợi nhuận trung bình 125 phần trăm so với 52 phần trăm của toàn bộ chỉ số, mâu thuẫn với công trình của Bebchuk.65 Và một bài báo năm 2018 trên </w:t>
      </w:r>
      <w:r>
        <w:rPr>
          <w:b w:val="0"/>
          <w:i/>
        </w:rPr>
        <w:t>University of Pennsylvania Law Review</w:t>
      </w:r>
      <w:r>
        <w:rPr>
          <w:b w:val="0"/>
          <w:i w:val="0"/>
        </w:rPr>
        <w:t xml:space="preserve"> đã xem xét 2.961 công ty trong 23 năm và phát hiện rằng hội đồng theo nhiệm kỳ xen kẽ không có ảnh hưởng đáng kể nào đến giá trị công ty.66</w:t>
      </w:r>
    </w:p>
    <w:p>
      <w:pPr>
        <w:spacing w:after="80"/>
      </w:pPr>
      <w:r>
        <w:rPr>
          <w:b w:val="0"/>
          <w:i w:val="0"/>
        </w:rPr>
        <w:t>Tuy nhiên, các công ty tư vấn quản trị lớn không tán thành hội đồng theo nhiệm kỳ xen kẽ—và việc họ thiếu ủng hộ nghĩa là hội đồng theo nhiệm kỳ xen kẽ khó có thể quay trở lại với bất kỳ tỷ lệ đáng kể nào trong thời gian tới. ISS và Glass Lewis đã đưa ra lập luận rằng toàn bộ hội đồng nên được bầu mỗi năm—với ISS lập luận rằng hội đồng theo nhiệm kỳ xen kẽ là một cấu trúc quản trị “có vấn đề”67 gây bất lợi đáng kể cho quyền cổ đông68 và Glass Lewis nói rằng họ tin “hội đồng theo nhiệm kỳ xen kẽ ít chịu trách nhiệm trước cổ đông hơn so với hội đồng được bầu thường niên” và rằng trong chức năng phòng vệ chống thâu tóm, một hội đồng theo nhiệm kỳ xen kẽ “củng cố vị thế ban điều hành, làm nản lòng các bên mua tiềm năng, và mang lại lợi nhuận thấp hơn cho cổ đông mục tiêu.”69</w:t>
      </w:r>
    </w:p>
    <w:p>
      <w:pPr>
        <w:spacing w:after="80"/>
      </w:pPr>
      <w:r>
        <w:rPr>
          <w:b w:val="0"/>
          <w:i w:val="0"/>
        </w:rPr>
        <w:t>“Hội đồng theo nhiệm kỳ xen kẽ là biện pháp phòng vệ hiệu quả nhất,” Elbaum nói. “Nhưng nếu bây giờ bạn không có nó, bạn không thể đưa nó vào được.”</w:t>
      </w:r>
    </w:p>
    <w:p>
      <w:pPr>
        <w:spacing w:after="80"/>
      </w:pPr>
      <w:r>
        <w:rPr>
          <w:b w:val="0"/>
          <w:i w:val="0"/>
        </w:rPr>
        <w:t>Trong khi việc bầu cử thường niên cho mọi giám đốc dường như sẽ tồn tại lâu dài, tôi có những lo ngại. Như đã thảo luận, hội đồng quản trị được cổ đông bầu ra để giám sát ban điều hành và việc tối đa hóa giá trị dài hạn cho cổ đông hoặc các bên liên quan. Do đó, có vẻ không nhất quán khi mọi giám đốc đều phải được đánh giá và bầu hoặc không bầu mỗi năm.</w:t>
      </w:r>
    </w:p>
    <w:p>
      <w:pPr>
        <w:spacing w:after="80"/>
      </w:pPr>
      <w:r>
        <w:rPr>
          <w:b w:val="0"/>
          <w:i w:val="0"/>
        </w:rPr>
        <w:t>Một công ty có thể phòng vệ chống lại các nỗ lực nhanh chóng thay thế giám đốc bằng cách giới hạn (trong điều lệ thành lập hoặc quy chế của công ty) quyền của cổ đông trong việc triệu tập các cuộc họp cổ đông bất thường và bằng cách tạo ra các điều khoản thông báo trước, theo đó cổ đông muốn đề cử giám đốc hoặc đưa ra vấn đề kinh doanh mới tại cuộc họp cổ đông phải cung cấp thông báo bằng văn bản trước cuộc họp một khoảng thời gian đáng kể.70 Các quy chế thông báo trước hợp lý, rõ ràng đã được các tòa án Delaware thực thi, tuy nhiên, nếu bị thách thức, chúng được đánh giá theo tiêu chuẩn giám sát tăng cường.71</w:t>
      </w:r>
    </w:p>
    <w:p>
      <w:pPr>
        <w:spacing w:after="80"/>
      </w:pPr>
      <w:r>
        <w:rPr>
          <w:b w:val="0"/>
          <w:i w:val="0"/>
        </w:rPr>
        <w:t>Tất nhiên, biện pháp phòng vệ này khó có thể kéo dài lâu, vì cuộc họp cổ đông được yêu cầu mỗi năm một lần. “Nếu cách duy nhất để công ty bạn thắng trong cuộc chiến ủy quyền chống lại một nhà hoạt động là tận dụng quy chế thông báo trước, bạn có thể thắng trong năm đầu tiên, nhưng cuối cùng bạn có thể sẽ không thắng,” Elbaum tóm tắt.</w:t>
      </w:r>
    </w:p>
    <w:p>
      <w:pPr>
        <w:spacing w:after="80"/>
      </w:pPr>
      <w:r>
        <w:rPr>
          <w:b w:val="0"/>
          <w:i w:val="0"/>
        </w:rPr>
        <w:t>Các công ty cũng có thể loại bỏ khả năng cổ đông hành động bằng sự đồng ý bằng văn bản. Theo quy chế tiêu chuẩn, các hành động của cổ đông có thể được thực hiện bằng sự đồng ý bằng văn bản, không cần cuộc họp hoặc bỏ phiếu cổ đông, khiến các nhà hoạt động có thể kêu gọi trực tiếp cổ đông và bỏ qua các cuộc họp cổ đông. Trong điều lệ thành lập, các công ty có thể thay đổi mặc định này và yêu cầu hành động phải được thực hiện tại một cuộc họp.72</w:t>
      </w:r>
    </w:p>
    <w:p>
      <w:pPr>
        <w:spacing w:after="80"/>
      </w:pPr>
      <w:r>
        <w:rPr>
          <w:b w:val="0"/>
          <w:i w:val="0"/>
        </w:rPr>
        <w:t>Những biện pháp phòng vệ chống thâu tóm này, cùng với sáu bước được liệt kê trước đó có thể giúp hội đồng quản trị chuẩn bị cho mối đe dọa tiềm tàng từ nhà hoạt động, tạo nên bộ công cụ cơ bản cho các hội đồng quản trị muốn bảo vệ lợi ích của cổ đông dài hạn. Cuối cùng, các giám đốc, lãnh đạo cấp cao và cổ đông đều nên có cùng một mục tiêu: tối đa hóa giá trị cổ đông dài hạn. Hoạt động gây ảnh hưởng không phải là vấn đề khi lợi ích được gắn kết—cổ đông có thể là nhân tố thay đổi hữu ích—nhưng có thể trở thành vấn đề khi các bên không đồng thuận về cách đạt được mục tiêu hoặc khi các nhà hoạt động đang tìm kiếm điều gì đó khác ngoài thành công dài hạn. Các giám đốc cần thấy rằng họ đồng thời đang bảo vệ lợi ích tốt nhất của công ty và cổ đông, đồng thời phản ứng đúng mực với bất kỳ mối lo ngại nào của cổ đông. Đây là một thách thức chỉ ngày càng tăng trong những năm gần đây và có khả năng sẽ tiếp tục tăng.</w:t>
      </w:r>
    </w:p>
    <w:p>
      <w:pPr>
        <w:pStyle w:val="Heading1"/>
      </w:pPr>
      <w:r>
        <w:rPr>
          <w:rFonts w:ascii="Calibri" w:hAnsi="Calibri"/>
          <w:b/>
          <w:i w:val="0"/>
          <w:sz w:val="40"/>
        </w:rPr>
        <w:t>Chương 8</w:t>
      </w:r>
    </w:p>
    <w:p>
      <w:pPr>
        <w:pStyle w:val="Heading1"/>
      </w:pPr>
      <w:r>
        <w:rPr>
          <w:rFonts w:ascii="Calibri" w:hAnsi="Calibri"/>
          <w:b/>
          <w:i w:val="0"/>
          <w:sz w:val="40"/>
        </w:rPr>
        <w:t>Tác động ngày càng tăng của các nhà đầu tư tổ chức</w:t>
      </w:r>
    </w:p>
    <w:p>
      <w:pPr>
        <w:spacing w:after="80"/>
      </w:pPr>
      <w:r>
        <w:rPr>
          <w:b w:val="0"/>
          <w:i w:val="0"/>
        </w:rPr>
        <w:t>Trong bối cảnh nền, và ngày càng trở thành tiền cảnh, của phần lớn cuộc thảo luận về hoạt động gây ảnh hưởng trong chương trước—và sự phát triển của M&amp;A được thảo luận trong chương 6 cũng như nhiều khía cạnh khác của thị trường vốn—là một nhóm nhà đầu tư đã tăng trưởng đáng kể về quy mô và ảnh hưởng trong 50 năm qua. Tôi đang nói đến các nhà đầu tư tổ chức (institutional investors), một phạm trù rộng gồm các công ty đầu tư, mỗi bên có mục tiêu, chiến lược và khung thời gian đầu tư riêng biệt, nhưng chia sẻ đặc điểm chung là họ đầu tư thay mặt cho người khác. Vì quy mô khổng lồ của mình, các nhà đầu tư tổ chức có thể gây ảnh hưởng to lớn đến các cuộc bỏ phiếu cổ đông tại một tỷ lệ lớn các công ty đại chúng và đang là ảnh hưởng ngày càng tăng đối với quản trị công ty. Việc một hội đồng quản trị có muốn tương tác với các nhà đầu tư tổ chức của mình hay không là không quan trọng; họ phải tương tác với các nhà đầu tư tổ chức của mình, thường là một nhóm sở hữu quan trọng, và hiểu nhu cầu cũng như mối lo ngại của họ, nếu không có thể sẽ thấy mình nằm trong tầm ngắm của một thành phần then chốt.</w:t>
      </w:r>
    </w:p>
    <w:p>
      <w:pPr>
        <w:spacing w:after="80"/>
      </w:pPr>
      <w:r>
        <w:rPr>
          <w:b w:val="0"/>
          <w:i/>
        </w:rPr>
        <w:t>Nhà đầu tư tổ chức</w:t>
      </w:r>
      <w:r>
        <w:rPr>
          <w:b w:val="0"/>
          <w:i w:val="0"/>
        </w:rPr>
        <w:t xml:space="preserve"> là một thuật ngữ bao trùm các ngân hàng, liên minh tín dụng, quỹ hưu trí, công ty bảo hiểm, công ty cổ phần tư nhân, quỹ phòng hộ, quỹ tương hỗ, quỹ tín thác đầu tư bất động sản (REITs), và những tổ chức khác. Chúng ta có thể chia thế giới tổ chức thành các nhà quản lý chủ động (công ty cổ phần tư nhân, quỹ phòng hộ, và tương tự) những người đưa ra lựa chọn khẳng định về các công ty mà họ đầu tư, và các quỹ chỉ số đầu tư rộng rãi và thụ động vào thị trường. Các tổ chức sở hữu trung bình khoảng 80 phần trăm cổ phần của các công ty trong chỉ số Russell 3000, mặc dù có một số khác biệt, với các công ty ở phân vị thứ 25 có 71 phần trăm sở hữu tổ chức và các công ty ở phân vị thứ 75 được sở hữu gần như hoàn toàn—98 phần trăm—bởi các tổ chức (dữ liệu này, đến từ một báo cáo năm 2024, là từ quý thứ tư năm 2019, và các tỷ lệ phần trăm có khả năng đã tăng kể từ đó).1</w:t>
      </w:r>
    </w:p>
    <w:p>
      <w:pPr>
        <w:spacing w:after="80"/>
      </w:pPr>
      <w:r>
        <w:rPr>
          <w:b w:val="0"/>
          <w:i w:val="0"/>
        </w:rPr>
        <w:t xml:space="preserve">Sự tập trung quyền lực mà các tổ chức này nắm giữ được John Coates, Giáo sư Luật và Kinh tế John F. Cogan Jr. tại Trường Luật Harvard, nơi ông cũng giữ chức phó trưởng khoa và giám đốc nghiên cứu của Trung tâm Nghề Luật, gọi là “vấn đề số 12” trong cuốn sách năm 2023 của ông </w:t>
      </w:r>
      <w:r>
        <w:rPr>
          <w:b w:val="0"/>
          <w:i/>
        </w:rPr>
        <w:t>The Problem of Twelve: When a Few Financial Institutions Control Everything</w:t>
      </w:r>
      <w:r>
        <w:rPr>
          <w:b w:val="0"/>
          <w:i w:val="0"/>
        </w:rPr>
        <w:t>.2 “Một ‘vấn đề số 12,’” Coates viết, “nảy sinh khi một số ít tổ chức có được phương tiện để gây ảnh hưởng quá lớn đối với chính trị và kinh tế của một quốc gia.”3 “Đó là một con số danh nghĩa nắm bắt ý tưởng về 12 người ngồi trong một căn phòng có kích thước cỡ một hội đồng quản trị điển hình,” Coates nói trong một cuộc phỏng vấn về cuốn sách. “Có 12 môn đồ. Tôi chắc có những ví dụ khác. Đó chỉ là ý tưởng về một nhóm nhỏ người.”4 Theo Coates, “Bốn quỹ chỉ số lớn là Vanguard, State Street, Fidelity, và BlackRock kiểm soát hơn hai mươi phần trăm số phiếu của các công ty S&amp;P 500—một sự tập trung quyền lực chưa từng có ở Mỹ.”5</w:t>
      </w:r>
    </w:p>
    <w:p>
      <w:pPr>
        <w:spacing w:after="80"/>
      </w:pPr>
      <w:r>
        <w:rPr>
          <w:b w:val="0"/>
          <w:i w:val="0"/>
        </w:rPr>
        <w:t>Muir Paterson, trưởng bộ phận Cố vấn Cổ đông Chiến lược toàn cầu trong nhóm M&amp;A của Citi, nói thêm: "Sự trỗi dậy của nhà đầu tư tổ chức chịu ảnh hưởng nặng nề từ các quỹ chỉ số (index fund) và sự bùng nổ của chúng trong 20 hay 30 năm qua, chiếm hơn 30 phần trăm thị trường." Charles Elson của Đại học Delaware giải thích rộng hơn rằng những người theo chiến lược chỉ số trở thành những nhà vô địch về quản trị vì "họ không thể bán cổ phiếu của mình. Không có nơi nào để đi. Là nhà đầu tư chỉ số, họ bị mắc kẹt, và vì thế họ phải gây ảnh hưởng theo cách khác."</w:t>
      </w:r>
    </w:p>
    <w:p>
      <w:pPr>
        <w:spacing w:after="80"/>
      </w:pPr>
      <w:r>
        <w:rPr>
          <w:b w:val="0"/>
          <w:i w:val="0"/>
        </w:rPr>
        <w:t>Đầu tư chỉ số là một hình thức đầu tư mà bạn buộc phải sở hữu toàn bộ một chỉ số hoặc một nhóm công ty. Do đó, bạn không thể bán cổ phiếu của một công ty hoạt động kém trong một chỉ số nhất định, nên bạn được khuyến khích thúc đẩy cải thiện quản trị và đẩy công ty thực hiện những hành động mà bạn cho là sẽ nâng giá cổ phiếu của nó.</w:t>
      </w:r>
    </w:p>
    <w:p>
      <w:pPr>
        <w:spacing w:after="80"/>
      </w:pPr>
      <w:r>
        <w:rPr>
          <w:b w:val="0"/>
          <w:i w:val="0"/>
        </w:rPr>
        <w:t>Lý thuyết đằng sau đầu tư chỉ số và sự tăng trưởng khổng lồ của nó được thúc đẩy bởi các nghiên cứu học thuật và kinh nghiệm cho thấy rất khó để "đánh bại" thị trường, đặc biệt là sau khi trừ đi chi phí giao dịch. Vì vậy, tại sao không "sở hữu thị trường" hoặc ít nhất là một chỉ số phù hợp với mục tiêu của nhà đầu tư, chẳng hạn như bỏ tiền vào một chỉ số ngân hàng hay ngành khác? Ngoài ra, một quỹ chỉ số lớn có thể giảm chi phí giao dịch, đặc biệt là đối với các nhà đầu tư nhỏ hơn.</w:t>
      </w:r>
    </w:p>
    <w:p>
      <w:pPr>
        <w:spacing w:after="80"/>
      </w:pPr>
      <w:r>
        <w:rPr>
          <w:b w:val="0"/>
          <w:i w:val="0"/>
        </w:rPr>
        <w:t>Chương này sẽ nhìn một cách tổng quát về sự trỗi dậy của các nhà đầu tư tổ chức, rồi sau đó xem xét kỹ hơn bốn nhà cung cấp quỹ chỉ số lớn (Big Four) cũng như các công ty cố vấn ủy quyền (proxy advisory firm) ISS và Glass Lewis, những chính sách và khuyến nghị của họ là động lực đáng kể thúc đẩy các hành động của doanh nghiệp và các lá phiếu của cổ đông.</w:t>
      </w:r>
    </w:p>
    <w:p>
      <w:pPr>
        <w:spacing w:after="80"/>
      </w:pPr>
      <w:r>
        <w:rPr>
          <w:b w:val="0"/>
          <w:i w:val="0"/>
        </w:rPr>
        <w:t>Hầu hết độc giả của báo chí kinh doanh trong những năm gần đây không thể không nhận thấy rằng các nhà đầu tư tổ chức — đáng chú ý nhất là BlackRock và CEO của nó, Larry Fink — đã thúc đẩy các hành vi và hành động ESG gần đây tại các tập đoàn lớn; những vấn đề này sẽ được thảo luận trong chương 10 về ESG, cũng như cuộc tranh luận giữa cổ đông và các bên liên quan (shareholder versus stakeholder), nơi các tổ chức và những yêu cầu thay đổi của họ đã thúc đẩy nhiều hành động, phản ứng và đánh giá lại khác nhau.</w:t>
      </w:r>
    </w:p>
    <w:p>
      <w:pPr>
        <w:spacing w:after="80"/>
      </w:pPr>
      <w:r>
        <w:rPr>
          <w:b w:val="0"/>
          <w:i w:val="0"/>
        </w:rPr>
        <w:t>Cuối cùng, trong chương này, tôi giải thích những hàm ý về quản trị và đưa ra các khuyến nghị về cách hội đồng quản trị nên tương tác với các nhà đầu tư tổ chức.</w:t>
      </w:r>
    </w:p>
    <w:p>
      <w:pPr>
        <w:pStyle w:val="Heading2"/>
      </w:pPr>
      <w:r>
        <w:rPr>
          <w:rFonts w:ascii="Calibri" w:hAnsi="Calibri"/>
          <w:b/>
          <w:i w:val="0"/>
          <w:sz w:val="32"/>
        </w:rPr>
        <w:t>Sự gia tăng về quy mô và ảnh hưởng của các nhà đầu tư tổ chức</w:t>
      </w:r>
    </w:p>
    <w:p>
      <w:pPr>
        <w:spacing w:after="80"/>
      </w:pPr>
      <w:r>
        <w:rPr>
          <w:b w:val="0"/>
          <w:i w:val="0"/>
        </w:rPr>
        <w:t>Đã có những gì mà ngày nay chúng ta nhận ra là nhà đầu tư tổ chức trong suốt một thế kỷ — những quỹ tương hỗ (mutual fund) hiện đại đầu tiên xuất hiện vào những năm 1920 từ các công ty bao gồm State Street và Wellington — nhưng ảnh hưởng đáng kể của họ chỉ nổi lên từ những năm 1980 và '90. Trong khi các nhà đầu tư tổ chức chỉ nắm giữ 6 phần trăm vốn cổ phần doanh nghiệp đang lưu hành vào năm 1950, con số đó đã nhảy lên 29 phần trăm vào năm 19806 và 76 phần trăm vào năm 20157 và chỉ tiếp tục tăng kể từ đó. Không chỉ là các tổ chức sở hữu phần lớn cổ phiếu; sự tập trung quyền lực vào một số rất ít tổ chức là điều phi thường. 50 cổ đông lớn nhất của 20 công ty Mỹ lớn nhất vào năm 2016 (bao gồm Apple, Microsoft, General Electric, Coca-Cola và 16 công ty khác) nắm giữ trung bình 44 phần trăm cổ phiếu phổ thông của các công ty này.8 20 cổ đông lớn nhất nắm giữ 33 phần trăm.9 5 cổ đông lớn nhất nắm giữ trung bình gần 21 phần trăm.10 Tính đến năm 2022, chỉ riêng Vanguard đã sở hữu hơn 15 phần trăm của 20 công ty trong S&amp;P 500 và là chủ sở hữu số một của 330 trong số 500 công ty trong chỉ số này.11 Không ngoa khi nói rằng quyền kiểm soát đáng kể đối với một phần lớn nền kinh tế của chúng ta đang tập trung trong tay một số rất ít công ty đầu tư.</w:t>
      </w:r>
    </w:p>
    <w:p>
      <w:pPr>
        <w:spacing w:after="80"/>
      </w:pPr>
      <w:r>
        <w:rPr>
          <w:b w:val="0"/>
          <w:i w:val="0"/>
        </w:rPr>
        <w:t>Các quỹ hưu trí (pension fund) cũng đóng vai trò quan trọng trong sự tăng trưởng và ảnh hưởng của nhà đầu tư tổ chức. Tài sản của các kế hoạch hưu trí tư nhân đã tăng từ 563 tỷ đô la vào năm 1980 lên hơn 13 nghìn tỷ đô la vào năm 2021.12 Các kế hoạch hưu trí chính phủ chiếm thêm 4 nghìn tỷ đô la.13 Vào những năm 1980, các quỹ hưu trí bắt đầu chuyển từ vị thế truyền thống là cổ đông thụ động sang trở nên tích cực hơn. "Hoạt động vận động cổ đông của các tổ chức đối với các quỹ hưu trí công về cơ bản bắt đầu bằng việc họ đệ trình các đề xuất ủy quyền vào năm 1987," Stuart L. Gillan của SEC và Laura T. Starks của Đại học Texas viết vào năm 2000. "Mặc dù các quỹ này có thể chỉ đơn giản bán cổ phần của mình trong các công ty hoạt động kém (và nhiều quỹ thực tế làm vậy), nhưng thường thì cổ phần quá lớn đến mức không thể bán mà không đẩy giá xuống và chịu thêm tổn thất. Quan trọng hơn, đối với nhiều quỹ hưu trí công, việc họ lập chỉ số cho một phần lớn danh mục đầu tư của mình khiến việc bán các công ty hoạt động kém là không thể. . . . Những ràng buộc đối với việc bán các công ty hoạt động kém do chiến lược lập chỉ số áp đặt đã tạo ra một động lực quan trọng cho hoạt động vận động cổ đông."14</w:t>
      </w:r>
    </w:p>
    <w:p>
      <w:pPr>
        <w:spacing w:after="80"/>
      </w:pPr>
      <w:r>
        <w:rPr>
          <w:b w:val="0"/>
          <w:i w:val="0"/>
        </w:rPr>
        <w:t>Sân khấu đã được dựng lên cho sự tham gia gia tăng này bởi Đạo luật An ninh Thu nhập Hưu trí Nhân viên (ERISA), được thông qua vào năm 1974, đạo luật này đặt ra các tiêu chuẩn tối thiểu cho các kế hoạch hưu trí và y tế tư nhân nhằm bảo vệ người tham gia. Trong số các điều khoản của mình, ERISA quy định rằng các nhà quản lý quỹ hưu trí có nghĩa vụ ủy thác (fiduciary duty) đối với những người được các kế hoạch đó bảo hiểm. Năm 1988, Bộ Lao động đã ban hành một lá thư ý kiến gửi cho Avon (được gọi là lá thư Avon) làm rõ rằng trong những trách nhiệm ủy thác đó bao gồm nghĩa vụ bỏ phiếu tại các cuộc họp cổ đông.15</w:t>
      </w:r>
    </w:p>
    <w:p>
      <w:pPr>
        <w:spacing w:after="80"/>
      </w:pPr>
      <w:r>
        <w:rPr>
          <w:b w:val="0"/>
          <w:i w:val="0"/>
        </w:rPr>
        <w:t>Theo Kurt N. Schacht và Karina Karakulova của Viện CFA (một tổ chức phi lợi nhuận cung cấp giáo dục tài chính và chứng chỉ cho các chuyên gia đầu tư), điều này khiến các nhà quản lý quỹ "[chuyển] khỏi việc coi bỏ phiếu ủy quyền là chuyện phụ. . . . [Avon] đã thúc đẩy không chỉ các quỹ ERISA mà còn nhiều quỹ hưu trí công chú ý, xem xét các vấn đề ủy quyền và đưa ra các lá phiếu phản ánh lợi ích của nhà đầu tư. Bỏ phiếu ủy quyền không có nghĩa chỉ là đóng dấu phê duyệt cho quan điểm của ban quản lý, mà là chìa khóa cho quyền của cổ đông và trách nhiệm giải trình doanh nghiệp tốt hơn."16</w:t>
      </w:r>
    </w:p>
    <w:p>
      <w:pPr>
        <w:spacing w:after="80"/>
      </w:pPr>
      <w:r>
        <w:rPr>
          <w:b w:val="0"/>
          <w:i w:val="0"/>
        </w:rPr>
        <w:t xml:space="preserve">Đồng thời, theo </w:t>
      </w:r>
      <w:r>
        <w:rPr>
          <w:b w:val="0"/>
          <w:i/>
        </w:rPr>
        <w:t>Institutional Investor</w:t>
      </w:r>
      <w:r>
        <w:rPr>
          <w:b w:val="0"/>
          <w:i w:val="0"/>
        </w:rPr>
        <w:t xml:space="preserve"> vào năm 1989, việc phục vụ trong hội đồng quản trị từng có nghĩa là "đến các cuộc họp, nghe báo cáo, ăn trưa và thu phí của bạn."17 Nhưng áp lực từ các nhà đầu tư tổ chức bắt đầu từ cuối những năm 1980 đã thúc đẩy các hội đồng quản trị trở nên độc lập hơn, được thông tin đầy đủ hơn và hiệu quả hơn.</w:t>
      </w:r>
    </w:p>
    <w:p>
      <w:pPr>
        <w:spacing w:after="80"/>
      </w:pPr>
      <w:r>
        <w:rPr>
          <w:b w:val="0"/>
          <w:i w:val="0"/>
        </w:rPr>
        <w:t>Bill Ultan, giám đốc điều hành tại công ty tư vấn Sodali, với hơn 30 năm kinh nghiệm giúp các công ty giải quyết các vấn đề quản trị, nói với tôi: "Khi tôi bắt đầu vào giữa những năm 1980, ngoài các vụ thâu tóm thù địch và các cuộc chiến ủy quyền, các nhà đầu tư tổ chức không mấy quan tâm đến các vấn đề quản trị rộng hơn, các đề xuất cổ đông của họ có phạm vi hẹp hơn nhiều, và người ta dành nhiều sự tôn trọng hơn cho các hội đồng quản trị, với cổ đông cho rằng hội đồng quản trị đang làm những gì họ phải làm."</w:t>
      </w:r>
    </w:p>
    <w:p>
      <w:pPr>
        <w:spacing w:after="80"/>
      </w:pPr>
      <w:r>
        <w:rPr>
          <w:b w:val="0"/>
          <w:i w:val="0"/>
        </w:rPr>
        <w:t>Hiệp hội Lịch sử Ủy ban Chứng khoán và Giao dịch kể lại một câu chuyện trong báo cáo của mình về thời điểm điều đó bắt đầu thay đổi: "Năm 1986, GM mua lại tỷ phú Ross Perot với giá cao. Đây là một sự xúc phạm đối với các nhà đầu tư tổ chức vì họ không nhận được sự đối xử tương tự. . . . Khi CEO Roger Smith phản bác rằng, nếu nhà đầu tư không thích cách công ty được quản lý, họ có thể bán cổ phiếu của mình, thì thay vào đó nhà đầu tư đã phát động một cuộc nổi dậy và làm việc với các giám đốc bên ngoài để thay thế ban quản lý. Thành tựu này đã đóng vai trò như một hồi chuông cảnh tỉnh cho nhiều công ty."18</w:t>
      </w:r>
    </w:p>
    <w:p>
      <w:pPr>
        <w:spacing w:after="80"/>
      </w:pPr>
      <w:r>
        <w:rPr>
          <w:b w:val="0"/>
          <w:i w:val="0"/>
        </w:rPr>
        <w:t>"Không phải ai cũng coi việc gia tăng quyền lực cổ đông là điều tốt," Hiệp hội Lịch sử SEC tiếp tục giải thích. "Một số người tin rằng các tổ chức không đại diện cho các cổ đông nhỏ và phản bác rằng những nỗ lực có tổ chức của họ đã lấn át tiếng nói của cổ đông nhỏ. Những người khác lập luận rằng các nhà vận động cổ đông tập trung quá nhiều vào giá trị cổ phiếu, buộc ban quản lý phải nhấn mạnh hiệu suất ngắn hạn với cái giá là sức khỏe dài hạn của công ty. [Nhưng] bất chấp những dè dặt này, quyền lực cổ đông tổ chức có tổ chức đã đến để ở lại."19</w:t>
      </w:r>
    </w:p>
    <w:p>
      <w:pPr>
        <w:spacing w:after="80"/>
      </w:pPr>
      <w:r>
        <w:rPr>
          <w:b w:val="0"/>
          <w:i w:val="0"/>
        </w:rPr>
        <w:t>Ultan nói thêm: "Dale Hansen từng điều hành CalPERS [Hệ thống Hưu trí Nhân viên Công California, hiện quản lý hơn 500 tỷ đô la tài sản], và ông là một trong những nhà đầu tư tổ chức đầu tiên tham dự các cuộc họp thường niên và đệ trình các đề xuất như giải thể cơ cấu hội đồng quản trị theo tầng lớp (declassifying a board). Ông là một phần quan trọng trong việc các nhà đầu tư tổ chức phát triển nhận thức lớn hơn về quyền lực và khả năng tạo ra thay đổi của mình."</w:t>
      </w:r>
    </w:p>
    <w:p>
      <w:pPr>
        <w:spacing w:after="80"/>
      </w:pPr>
      <w:r>
        <w:rPr>
          <w:b w:val="0"/>
          <w:i w:val="0"/>
        </w:rPr>
        <w:t>Hai vấn đề quan trọng còn lại để hoàn tất phần thảo luận về các nhà đầu tư tổ chức và các vấn đề quản trị doanh nghiệp liên quan xuất phát từ hai hiện tượng quan trọng, đáng chú ý: sự trỗi dậy phi thường của đầu tư theo chỉ số (indexing) và mức độ tập trung của nó vào một số rất ít những tay chơi khổng lồ, cùng với sự phát triển của các công ty tư vấn quản trị hay tư vấn ủy quyền (proxy advisory) đầy ảnh hưởng, chủ yếu là ISS và Glass Lewis. Các công ty tư vấn quản trị này đưa ra khuyến nghị về chính sách quản trị doanh nghiệp và cách bỏ phiếu cho nhiều vấn đề khác nhau được đưa ra trước các cổ đông, đồng thời cung cấp các dịch vụ tư vấn liên quan. Điều này có thể giúp các cổ đông tổ chức giải quyết nhiệm vụ khó nhằn là nghiên cứu các vấn đề quản trị đang diễn ra tại khoảng 4.000 công ty đại chúng ở Mỹ. Kết quả là, ISS và Glass Lewis có ảnh hưởng đáng kể đến cách các nhà đầu tư tổ chức bỏ phiếu; người ta ước tính rằng hai công ty này nắm giữ 97 phần trăm thị trường tư vấn ủy quyền và các khuyến nghị của họ được tuân theo, có thể chiếm tới khoảng 38 phần trăm số phiếu cổ đông.20</w:t>
      </w:r>
    </w:p>
    <w:p>
      <w:pPr>
        <w:pStyle w:val="Heading2"/>
      </w:pPr>
      <w:r>
        <w:rPr>
          <w:rFonts w:ascii="Calibri" w:hAnsi="Calibri"/>
          <w:b/>
          <w:i w:val="0"/>
          <w:sz w:val="32"/>
        </w:rPr>
        <w:t>Sự bùng nổ của quỹ chỉ số</w:t>
      </w:r>
    </w:p>
    <w:p>
      <w:pPr>
        <w:spacing w:after="80"/>
      </w:pPr>
      <w:r>
        <w:rPr>
          <w:b w:val="0"/>
          <w:i w:val="0"/>
        </w:rPr>
        <w:t>"Quỹ chỉ số hiện đã thu hút lượng vốn lớn đến mức và tập trung quyền sở hữu đến mức chúng có đủ quyền biểu quyết để gây ảnh hưởng mạnh mẽ, nếu không muốn nói là quyết định, cách các công ty đại chúng được quản trị," Coates viết. "Chúng ta ngày càng có một nền kinh tế được giám sát bởi... khoảng một tá nhà quản lý quỹ chỉ số."21</w:t>
      </w:r>
    </w:p>
    <w:p>
      <w:pPr>
        <w:spacing w:after="80"/>
      </w:pPr>
      <w:r>
        <w:rPr>
          <w:b w:val="0"/>
          <w:i w:val="0"/>
        </w:rPr>
        <w:t>Các quỹ thụ động hay quỹ chỉ số đã được chứng minh là mang lại lợi nhuận điều chỉnh theo rủi ro cao hơn so với các quỹ đầu tư chủ động, bởi vì ngay cả khi một số nhà đầu tư chủ động có thể vượt trội hơn thị trường, việc chọn ra những công ty hay quỹ có thể làm được điều đó một cách nhất quán là vô cùng khó khăn. Với chi phí thấp hơn đáng kể—quỹ tương hỗ trung vị thu phí gấp 15 lần so với quỹ chỉ số—lý lẽ ủng hộ quỹ chỉ số càng trở nên mạnh mẽ hơn.22</w:t>
      </w:r>
    </w:p>
    <w:p>
      <w:pPr>
        <w:spacing w:after="80"/>
      </w:pPr>
      <w:r>
        <w:rPr>
          <w:b w:val="0"/>
          <w:i w:val="0"/>
        </w:rPr>
        <w:t>Sự chấp nhận rộng rãi thực tế này đã hình thành trong suốt 50 năm qua, kể từ khi đầu tư theo chỉ số bị gọi là "trò điên rồ của Bogle" sau khi nhà sáng lập Vanguard là Jack Bogle khởi xướng ý tưởng này vào năm 1976. Bogle được tuyển vào Wellington Management sau khi tốt nghiệp Princeton năm 1951, với luận văn tốt nghiệp viết về chủ đề quỹ tương hỗ—những quỹ đầu tư gom tiền từ một số lượng lớn nhà đầu tư để mua chứng khoán. Ông thăng tiến qua các cấp bậc trong gần 25 năm trước khi rời đi để khởi động cái mà ông gọi là "Thí nghiệm Vanguard." Ông giới thiệu quỹ chỉ số đầu tiên vào năm 1976, huy động được 11 triệu đô la khi ra mắt cho một quỹ mà nay đã tăng lên hơn 9 nghìn tỷ đô la tài sản được quản lý.23 Năm 1977, Vanguard ngừng bán quỹ qua các nhà môi giới mà thay vào đó tiếp cận trực tiếp với nhà đầu tư, giúp họ tiết kiệm hoa hồng bán hàng. Công ty đã dẫn dắt toàn bộ ngành giảm chi phí một cách đáng kể. Bogle qua đời năm 2019 và được công nhận rộng rãi là "cha đẻ của đầu tư theo chỉ số."24</w:t>
      </w:r>
    </w:p>
    <w:p>
      <w:pPr>
        <w:spacing w:after="80"/>
      </w:pPr>
      <w:r>
        <w:rPr>
          <w:b w:val="0"/>
          <w:i w:val="0"/>
        </w:rPr>
        <w:t>Trong lá thư gửi cổ đông năm 2016 của Warren Buffett, ông đã ca ngợi Bogle:</w:t>
      </w:r>
    </w:p>
    <w:p>
      <w:pPr>
        <w:spacing w:after="80"/>
      </w:pPr>
      <w:r>
        <w:rPr>
          <w:b w:val="0"/>
          <w:i w:val="0"/>
        </w:rPr>
        <w:t>Nếu có bao giờ một bức tượng được dựng lên để vinh danh người đã làm được nhiều nhất cho các nhà đầu tư Mỹ, thì lựa chọn hiển nhiên phải là Jack Bogle. Trong nhiều thập kỷ, Jack đã thúc giục các nhà đầu tư đầu tư vào các quỹ chỉ số có chi phí cực thấp. Trong cuộc vận động của mình, ông chỉ tích lũy được một phần nhỏ tài sản so với những gì thường chảy vào túi các nhà quản lý—những người đã hứa hẹn với nhà đầu tư những phần thưởng lớn nhưng lại chẳng mang đến cho họ gì cả—hoặc, như trong vụ cá cược của chúng tôi, thậm chí còn ít hơn không—về giá trị gia tăng. Trong những năm đầu, Jack thường bị ngành quản lý đầu tư chế giễu. Tuy nhiên, ngày nay, ông có được sự hài lòng khi biết rằng mình đã giúp hàng triệu nhà đầu tư đạt được lợi nhuận tốt hơn nhiều trên khoản tiết kiệm của họ so với những gì họ có thể kiếm được nếu không có ông. Ông là anh hùng đối với họ và đối với tôi.25</w:t>
      </w:r>
    </w:p>
    <w:p>
      <w:pPr>
        <w:spacing w:after="80"/>
      </w:pPr>
      <w:r>
        <w:rPr>
          <w:b w:val="0"/>
          <w:i w:val="0"/>
        </w:rPr>
        <w:t>Từ khởi đầu nhỏ bé của Vanguard, ngày nay hơn 15 phần trăm toàn bộ thị trường Mỹ được đầu tư vào các quỹ chỉ số thụ động, và ba tay chơi quỹ chỉ số lớn—BlackRock, Vanguard và State Street, xếp theo quy mô—nắm giữ hơn 20 phần trăm quyền biểu quyết của các công ty trong S&amp;P 500, tăng lên 25 phần trăm nếu thêm Fidelity vào danh sách.26 Và vì không phải tất cả cổ đông đều bỏ phiếu, những tỷ lệ phần trăm này có thể còn có ý nghĩa hơn nữa. Ví dụ, giả sử đơn giản rằng một tập đoàn lớn có 100 cổ phần với 25 cổ phần hay 25 phần trăm cổ phần thuộc sở hữu của Big Three cộng Fidelity. Giả sử thêm rằng các tổ chức nhỏ và nhà đầu tư cá nhân (cá nhân) sở hữu 15 cổ phần hay 15 phần trăm công ty nhưng không bỏ phiếu về một chủ đề nhất định. Do đó, Big Three cộng Fidelity có gần 30 phần trăm số phiếu (25/(100 − 15)). Ngoài ra, những nhà đầu tư lớn, tinh vi này có thể phối hợp với nhau theo cách mà các nhà đầu tư nhỏ hơn không thể làm được, có khả năng cho phép họ thúc đẩy sự thay đổi mà họ muốn thấy. Các hội đồng quản trị và đội ngũ ban điều hành cũng biết rằng các nhà đầu tư tổ chức bất mãn có thể hợp tác với các nhà hoạt động để cố gắng buộc thay đổi.</w:t>
      </w:r>
    </w:p>
    <w:p>
      <w:pPr>
        <w:spacing w:after="80"/>
      </w:pPr>
      <w:r>
        <w:rPr>
          <w:b w:val="0"/>
          <w:i w:val="0"/>
        </w:rPr>
        <w:t>Ultan đã chứng kiến tất cả những điều này diễn ra trong suốt sự nghiệp của mình:</w:t>
      </w:r>
    </w:p>
    <w:p>
      <w:pPr>
        <w:spacing w:after="80"/>
      </w:pPr>
      <w:r>
        <w:rPr>
          <w:b w:val="0"/>
          <w:i w:val="0"/>
        </w:rPr>
        <w:t>Sự trỗi dậy của các quỹ chỉ số với tư cách là những nhà quản lý tài sản thống trị đã thay đổi một cách chiến lược động lực đối với các công ty. Những công ty này không nghe các cuộc gọi thu nhập hàng quý; họ không nói chuyện với các giám đốc quan hệ nhà đầu tư của bạn. Họ không đưa ra quyết định mua và bán. Họ tham gia hoàn toàn từ góc độ đánh giá rủi ro danh mục đầu tư, và đó chính là điều thúc đẩy những thay đổi mà họ muốn thấy. Họ đã đưa ra phán đoán rằng các công ty có hội đồng quản trị phân loại (classified boards) có rủi ro danh mục đầu tư cao hơn, hoặc các công ty thiếu đa dạng, hoặc các công ty không tập trung vào biến đổi khí hậu. Những mối quan tâm này đôi khi trùng lặp với một cách tiếp cận đầu tư, nhưng đó không phải là mục tiêu. Tuy nhiên, bạn không thể phớt lờ họ. Đây là những cổ đông khổng lồ với sức ảnh hưởng đáng kinh ngạc đối với kết quả bỏ phiếu.</w:t>
      </w:r>
    </w:p>
    <w:p>
      <w:pPr>
        <w:spacing w:after="80"/>
      </w:pPr>
      <w:r>
        <w:rPr>
          <w:b w:val="0"/>
          <w:i w:val="0"/>
        </w:rPr>
        <w:t>Giám đốc giàu kinh nghiệm Paula Sneed nói thêm: "Trong 20 năm qua, quyền lực của các công ty này chỉ ngày càng lớn hơn. Những lá thư hàng năm của họ về các vấn đề quản trị báo hiệu quan điểm của họ và cách họ sẽ bỏ phiếu ủy quyền. Kết quả là, họ có ảnh hưởng đến quản trị doanh nghiệp và chiến lược. Họ có rất nhiều quyền lực."</w:t>
      </w:r>
    </w:p>
    <w:p>
      <w:pPr>
        <w:spacing w:after="80"/>
      </w:pPr>
      <w:r>
        <w:rPr>
          <w:b w:val="0"/>
          <w:i w:val="0"/>
        </w:rPr>
        <w:t>Big Three có mặt trong top 10 cổ đông của gần như mọi công ty đại chúng lớn, cùng với Fidelity, công ty có cả quỹ chỉ số lẫn quỹ được quản lý chủ động. Họ chủ yếu tương tác với các công ty thông qua cái được gọi là các đội quản lý ủy thác (stewardship teams). Những đội này gây ảnh hưởng theo ba cách. Thứ nhất, họ đặt ra các ưu tiên được công bố công khai, kỳ vọng rằng các công ty sẽ hành động nhất quán với những chỉ thị này.27 Thứ hai, họ giao tiếp trực tiếp với các công ty—ví dụ, State Street đã tương tác với 1.533 công ty vào năm 2018, cộng lại chiếm tới 70 phần trăm tài sản của công ty được quản lý trên thị trường cổ phiếu, với BlackRock và Fidelity không kém xa về số lượng và tỷ lệ phần trăm.28 Thứ ba, họ bỏ phiếu cổ đông, ví dụ Vanguard đã bỏ phiếu cho gần 170.000 đề xuất riêng lẻ vào năm 2019.29 Thú vị là, nghiên cứu đã chỉ ra rằng các lá phiếu của họ không nhất thiết phù hợp với sở thích của các nhà đầu tư cơ sở của họ. "Hiện tại, các quỹ phớt lờ sự đa dạng của nhà đầu tư khi bỏ phiếu cổ phần của họ, thích bỏ phiếu giống hệt nhau cho gần như tất cả cổ phần họ sở hữu... Họ không nỗ lực nghiêm túc để [xác định những gì cổ đông muốn]... Chỉ đơn giản phớt lờ việc tồn tại những sở thích đa dạng khiến họ xử lý chúng một cách qua loa," Caleb N. Griffin viết, một giáo sư tại Trường Luật Đại học Arkansas, người đã nghiên cứu rộng rãi về các vấn đề quản trị doanh nghiệp và hiệu ứng khuyến khích và đã làm chứng trước Quốc hội về những vấn đề này.30 "Chủ nghĩa gia trưởng của họ," ông viết, "làm xói mòn... tinh thần nghĩa vụ ủy thác của họ."31</w:t>
      </w:r>
    </w:p>
    <w:p>
      <w:pPr>
        <w:spacing w:after="80"/>
      </w:pPr>
      <w:r>
        <w:rPr>
          <w:b w:val="0"/>
          <w:i w:val="0"/>
        </w:rPr>
        <w:t>Ví dụ, Griffin phát hiện rằng trong khoảng thời gian 2018–19 mà ông nghiên cứu, Big Three hiếm khi ủng hộ các đề xuất về môi trường bất chấp sự ủng hộ rộng rãi của công chúng, họ hiếm khi ủng hộ các nỗ lực giải quyết khoảng cách trả lương theo giới bất chấp sự ủng hộ của công chúng, và họ không ủng hộ "dù chỉ một đề xuất cổ đông liên quan đến quyền riêng tư dữ liệu, mặc dù 81% người Mỹ tin [theo một khảo sát của Pew Research năm 2019] rằng rủi ro từ việc các công ty thu thập dữ liệu của họ lớn hơn lợi ích và 79% người Mỹ rất hoặc phần nào lo ngại về quyền riêng tư dữ liệu."32</w:t>
      </w:r>
    </w:p>
    <w:p>
      <w:pPr>
        <w:spacing w:after="80"/>
      </w:pPr>
      <w:r>
        <w:rPr>
          <w:b w:val="0"/>
          <w:i w:val="0"/>
        </w:rPr>
        <w:t xml:space="preserve">Bogle đã cảnh giác với sự thống trị ngày càng tăng của các nhà đầu tư tổ chức khổng lồ như BlackRock, State Street, và thậm chí cả công ty mà ông thành lập, Vanguard. Viết trên </w:t>
      </w:r>
      <w:r>
        <w:rPr>
          <w:b w:val="0"/>
          <w:i/>
        </w:rPr>
        <w:t>Wall Street Journal</w:t>
      </w:r>
      <w:r>
        <w:rPr>
          <w:b w:val="0"/>
          <w:i w:val="0"/>
        </w:rPr>
        <w:t xml:space="preserve"> năm 2018, ông cảnh báo: "Nếu các xu hướng lịch sử tiếp tục, một số ít các nhà đầu tư tổ chức khổng lồ sẽ có ngày nắm quyền kiểm soát biểu quyết của gần như mọi tập đoàn lớn ở Mỹ. Chính sách công không thể phớt lờ sự thống trị ngày càng tăng này, và phải xem xét tác động của nó đối với thị trường tài chính, quản trị doanh nghiệp và quy định."33</w:t>
      </w:r>
    </w:p>
    <w:p>
      <w:pPr>
        <w:spacing w:after="80"/>
      </w:pPr>
      <w:r>
        <w:rPr>
          <w:b w:val="0"/>
          <w:i w:val="0"/>
        </w:rPr>
        <w:t xml:space="preserve">Trên </w:t>
      </w:r>
      <w:r>
        <w:rPr>
          <w:b w:val="0"/>
          <w:i/>
        </w:rPr>
        <w:t>New York Times</w:t>
      </w:r>
      <w:r>
        <w:rPr>
          <w:b w:val="0"/>
          <w:i w:val="0"/>
        </w:rPr>
        <w:t xml:space="preserve"> năm 2022, nhà bình luận Farhad Manjoo đã trích dẫn giáo sư Einer Elhauge của Trường Luật Harvard, người đã nói rằng quyền sở hữu tập trung của Big Three "đặt ra mối đe dọa chống cạnh tranh lớn nhất của thời đại chúng ta, chủ yếu vì đó là vấn đề chống cạnh tranh duy nhất mà chúng ta không làm gì cả."34</w:t>
      </w:r>
    </w:p>
    <w:p>
      <w:pPr>
        <w:spacing w:after="80"/>
      </w:pPr>
      <w:r>
        <w:rPr>
          <w:b w:val="0"/>
          <w:i w:val="0"/>
        </w:rPr>
        <w:t>Sau khi đã thảo luận về Vanguard, cũng đáng để xem xét kỹ hơn về BlackRock và State Street. BlackRock, được thành lập năm 1988 bởi một nhóm do Larry Fink lãnh đạo, đã trở thành nhà quản lý tài sản lớn nhất thế giới, với hơn 11 nghìn tỷ đô la tài sản được quản lý. Fink đã viết những lá thư hàng năm gửi cộng đồng doanh nghiệp—gửi cho các CEO của các công ty trong danh mục đầu tư của BlackRock cho đến khi chuyển sang một lá thư gửi cổ đông BlackRock vào năm 2023—kể từ năm 2012, nêu bật những vấn đề mà BlackRock quan tâm. Những lá thư này, được công bố công khai, đã trở nên có ảnh hưởng đáng kể và trên thực tế, theo một nghiên cứu năm 2021, đã thành công trong việc thúc đẩy thay đổi.35 Các công ty đã thay đổi cách tiếp cận và công bố thông tin của họ dựa trên nội dung các lá thư của Fink.36</w:t>
      </w:r>
    </w:p>
    <w:p>
      <w:pPr>
        <w:spacing w:after="80"/>
      </w:pPr>
      <w:r>
        <w:rPr>
          <w:b w:val="0"/>
          <w:i w:val="0"/>
        </w:rPr>
        <w:t>Sự thay đổi trong các lá thư của ông từ các vấn đề quản trị sang ESG và các chủ đề rộng hơn về cổ đông và các bên liên quan sẽ được thảo luận sâu hơn trong chương 10, nhưng cũng nên nhắc đến rằng tính bền vững đã trở thành một mối quan tâm lớn của Fink—và do đó cũng trở thành mối bận tâm lớn hơn đối với hầu hết các công ty đại chúng nhờ quyền lực của BlackRock. Với bối cảnh chính trị hiện tại, sự tập trung này đã suy yếu; chúng ta cũng sẽ khám phá điều đó thêm.</w:t>
      </w:r>
    </w:p>
    <w:p>
      <w:pPr>
        <w:spacing w:after="80"/>
      </w:pPr>
      <w:r>
        <w:rPr>
          <w:b w:val="0"/>
          <w:i w:val="0"/>
        </w:rPr>
        <w:t xml:space="preserve">State Street được thành lập tại Boston vào năm 1792. Đây là ngân hàng Mỹ hoạt động liên tục lâu đời thứ hai và là ngân hàng lưu ký lớn nhất thế giới, quản lý gần 10 phần trăm tài sản của thế giới, phát triển qua nhiều năm một phần nhờ—giống như BlackRock—các thương vụ mua lại đáng kể.37 Ngân hàng lưu ký nắm giữ các tài sản cơ sở, hoạt động, theo </w:t>
      </w:r>
      <w:r>
        <w:rPr>
          <w:b w:val="0"/>
          <w:i/>
        </w:rPr>
        <w:t>New York Times</w:t>
      </w:r>
      <w:r>
        <w:rPr>
          <w:b w:val="0"/>
          <w:i w:val="0"/>
        </w:rPr>
        <w:t>, "trong một góc ít được chú ý của thế giới tài chính. Họ chuyên về các công việc tài chính hậu trường, sử dụng công nghệ tinh vi để theo dõi vị thế chứng khoán của các nhà đầu tư lớn như quỹ hưu trí, quỹ phòng hộ và quỹ tài trợ từ thiện."38</w:t>
      </w:r>
    </w:p>
    <w:p>
      <w:pPr>
        <w:spacing w:after="80"/>
      </w:pPr>
      <w:r>
        <w:rPr>
          <w:b w:val="0"/>
          <w:i w:val="0"/>
        </w:rPr>
        <w:t>Ba công ty này đã làm rất nhiều để tác động đến quản trị trong thế hệ vừa qua, chẳng hạn như thúc giục các công ty tăng tính độc lập và đa dạng của hội đồng quản trị. Mỗi năm, ví dụ, BlackRock công bố một báo cáo về vai trò quản lý đầu tư (investor stewardship report), trong đó công ty nêu rõ ý định "cung cấp sự rõ ràng hơn cho khách hàng của chúng tôi, các công ty mà họ đầu tư và các bên liên quan khác, về các hoạt động biểu quyết của chúng tôi."39 Báo cáo năm 2024 nhấn mạnh nguyên tắc chủ đạo đằng sau các quyết định biểu quyết của BlackRock: "Phần lớn nỗ lực của BIS [BlackRock Investment Stewardship] tập trung vào quản trị doanh nghiệp vì theo kinh nghiệm của chúng tôi, quản trị lành mạnh là yếu tố then chốt cho sự thành công của một công ty, cho việc tạo giá trị tài chính dài hạn và cho việc bảo vệ lợi ích của nhà đầu tư."40</w:t>
      </w:r>
    </w:p>
    <w:p>
      <w:pPr>
        <w:spacing w:after="80"/>
      </w:pPr>
      <w:r>
        <w:rPr>
          <w:b w:val="0"/>
          <w:i w:val="0"/>
        </w:rPr>
        <w:t>Vanguard cũng công bố một báo cáo thường niên tương tự, giải thích rằng công ty không theo đuổi các mục tiêu chính sách công mà sử dụng vị thế của mình để thúc đẩy thay đổi trong bốn lĩnh vực, theo báo cáo năm 2023 của họ: (1) thành phần và hiệu quả của hội đồng quản trị ("các thành viên hội đồng [nên] độc lập, có năng lực và giàu kinh nghiệm một cách phù hợp"), (2) sự giám sát của hội đồng đối với chiến lược và rủi ro ("[hội đồng nên] giám sát liên tục các rủi ro trọng yếu đối với công ty của họ"), (3) thù lao điều hành ("các thông lệ [nên] gắn liền với lợi nhuận dài hạn của cổ đông"), và (4) quyền của cổ đông ("các cấu trúc quản trị nên cho phép cổ đông thực hiện hiệu quả các quyền cơ bản của họ").41</w:t>
      </w:r>
    </w:p>
    <w:p>
      <w:pPr>
        <w:spacing w:after="80"/>
      </w:pPr>
      <w:r>
        <w:rPr>
          <w:b w:val="0"/>
          <w:i w:val="0"/>
        </w:rPr>
        <w:t>State Street cũng công bố một báo cáo thường niên về vai trò quản lý tài sản (asset stewardship report). Năm 2022, công ty liệt kê các ưu tiên quản lý của mình là: giám sát hiệu quả của hội đồng quản trị; quản lý rủi ro khí hậu; quản lý vốn con người; và đa dạng, công bằng và hòa nhập (DEI).42</w:t>
      </w:r>
    </w:p>
    <w:p>
      <w:pPr>
        <w:spacing w:after="80"/>
      </w:pPr>
      <w:r>
        <w:rPr>
          <w:b w:val="0"/>
          <w:i w:val="0"/>
        </w:rPr>
        <w:t>Theo nghiên cứu của Morningstar, ba công ty này thực ra bất đồng về các quyết định biểu quyết trong hơn hai phần ba số trường hợp, với mỗi công ty có quan điểm biểu quyết riêng về ít nhất một chủ đề ESG. Xem xét 100 nghị quyết quan trọng từ tháng 3 năm 2021 đến tháng 3 năm 2023, ví dụ, Vanguard đã bỏ phiếu chống lại tất cả 11 nghị quyết liên quan đến quyền dân sự và chống lại tất cả 6 nghị quyết môi trường không liên quan đến khí hậu, trong khi BlackRock và State Street ủng hộ hơn hai phần ba số này. State Street ủng hộ 12 trong số 13 nghị quyết về nhân quyền và sử dụng công nghệ có đạo đức, trong khi BlackRock và Vanguard chỉ ủng hộ lần lượt 4 và 1 trong số đó. BlackRock ủng hộ nhiều nghị quyết về công bằng tại nơi làm việc hơn đáng kể so với State Street hay Vanguard.43</w:t>
      </w:r>
    </w:p>
    <w:p>
      <w:pPr>
        <w:spacing w:after="80"/>
      </w:pPr>
      <w:r>
        <w:rPr>
          <w:b w:val="0"/>
          <w:i w:val="0"/>
        </w:rPr>
        <w:t>Tuy nhiên, nếu chỉ tập trung vào Big Three thì sẽ bỏ qua một chủ đề quan trọng khác. Big Three có thể nắm giữ khoảng 20 phần trăm quyền biểu quyết tại hầu hết các công ty đại chúng lớn, nhưng một phần đáng kể trong số các cổ đông còn lại dựa vào các công ty tư vấn quản trị để giúp họ đưa ra lựa chọn biểu quyết.</w:t>
      </w:r>
    </w:p>
    <w:p>
      <w:pPr>
        <w:spacing w:after="80"/>
      </w:pPr>
      <w:r>
        <w:rPr>
          <w:b w:val="0"/>
          <w:i w:val="0"/>
        </w:rPr>
        <w:t>Thị trường tư vấn ủy quyền (proxy advisory) thường được coi là một thị trường độc quyền đôi: ISS và Glass Lewis. Và ảnh hưởng của họ có thể đang gia tăng. Trong những năm gần đây, BlackRock đã ra mắt chương trình Voting Choice cho các nhà đầu tư cá nhân của mình, cho phép họ biểu quyết theo khuyến nghị của ISS hoặc Glass Lewis thay vì theo BlackRock, và State Street cùng Vanguard cũng đã giới thiệu các kế hoạch biểu quyết chuyển tiếp tương tự, một phần như phản ứng trước lo ngại rằng Big Three có quá nhiều quyền lực đối với phiếu biểu quyết của cổ đông.44</w:t>
      </w:r>
    </w:p>
    <w:p>
      <w:pPr>
        <w:spacing w:after="80"/>
      </w:pPr>
      <w:r>
        <w:rPr>
          <w:b w:val="0"/>
          <w:i w:val="0"/>
        </w:rPr>
        <w:t>Nhưng xu hướng này có thể chỉ đơn thuần chuyển thêm ảnh hưởng sang ISS và Glass Lewis, những công ty mà như đã nêu ở trên, vốn đã ảnh hưởng tới ước tính khoảng 38 phần trăm số phiếu biểu quyết của cổ đông. Do đó, điều quan trọng là phải xem xét kỹ hai công ty này.</w:t>
      </w:r>
    </w:p>
    <w:p>
      <w:pPr>
        <w:pStyle w:val="Heading2"/>
      </w:pPr>
      <w:r>
        <w:rPr>
          <w:rFonts w:ascii="Calibri" w:hAnsi="Calibri"/>
          <w:b/>
          <w:i w:val="0"/>
          <w:sz w:val="32"/>
        </w:rPr>
        <w:t>Thế độc quyền đôi trong tư vấn ủy quyền</w:t>
      </w:r>
    </w:p>
    <w:p>
      <w:pPr>
        <w:spacing w:after="80"/>
      </w:pPr>
      <w:r>
        <w:rPr>
          <w:b w:val="0"/>
          <w:i w:val="0"/>
        </w:rPr>
        <w:t>Một thách thức đối với các nhà đầu tư tổ chức khi nhận ra rằng họ phải gây áp lực để cải thiện quản trị, và đối với các nhà đầu tư chủ động khi phải thúc đẩy hiệu quả hoạt động tốt hơn, là để làm được điều đó, họ phải—trong số nhiều việc khác—xem xét vô số bản tuyên bố ủy quyền (proxy statement) mỗi năm và cân nhắc các phiếu biểu quyết cổ đông khác nhau được yêu cầu. Rất ít công ty—đặc biệt là ngoài Big Three—có đủ nguồn lực để làm việc này. Do đó, nhiều công ty đã thuê ngoài việc nghiên cứu và làm theo khuyến nghị từ các công ty tư vấn ủy quyền.</w:t>
      </w:r>
    </w:p>
    <w:p>
      <w:pPr>
        <w:spacing w:after="80"/>
      </w:pPr>
      <w:r>
        <w:rPr>
          <w:b w:val="0"/>
          <w:i w:val="0"/>
        </w:rPr>
        <w:t>"[ISS và Glass Lewis] đã tạo ra các mô hình về những gì họ cho là quản trị tốt," Jim Woodrum, giáo sư lâm sàng tại Trường Quản lý Kellogg thuộc Đại học Northwestern, viết. "Và cả hai đều sử dụng các thuật toán khác nhau để xác định liệu một công ty nhất định có xứng đáng nhận phiếu 'đồng ý' về Say on Pay hay không, và liệu các thành viên hội đồng quản trị riêng lẻ có nên được ủng hộ hay không."45</w:t>
      </w:r>
    </w:p>
    <w:p>
      <w:pPr>
        <w:spacing w:after="80"/>
      </w:pPr>
      <w:r>
        <w:rPr>
          <w:b w:val="0"/>
          <w:i w:val="0"/>
        </w:rPr>
        <w:t>"Điều thú vị nhất về các công ty này," Woodrum tiếp tục, "là mô hình kinh doanh của họ đòi hỏi họ phải thay đổi hướng dẫn của mình một cách thường xuyên. Suy cho cùng, nếu họ có một bộ quy tắc rõ ràng và tất cả các công ty đều tuân theo, thì sẽ không còn cần đến ISS hay Glass Lewis nữa. Kết quả là, cả hai công ty đều có xu hướng dịch chuyển cột mốc một cách thường xuyên, và điều này dẫn đến cuộc trò chuyện phổ biến nhất trong phòng họp hội đồng quản trị: 'ISS nghĩ gì về điều đó?'"46</w:t>
      </w:r>
    </w:p>
    <w:p>
      <w:pPr>
        <w:spacing w:after="80"/>
      </w:pPr>
      <w:r>
        <w:rPr>
          <w:b w:val="0"/>
          <w:i w:val="0"/>
        </w:rPr>
        <w:t xml:space="preserve">ISS được thành lập năm 1985 và kiểm soát hơn 60 phần trăm mảng kinh doanh tư vấn quản trị. </w:t>
      </w:r>
      <w:r>
        <w:rPr>
          <w:b w:val="0"/>
          <w:i/>
        </w:rPr>
        <w:t>Institutional Investor</w:t>
      </w:r>
      <w:r>
        <w:rPr>
          <w:b w:val="0"/>
          <w:i w:val="0"/>
        </w:rPr>
        <w:t xml:space="preserve"> đã phác họa chân dung công ty này vào năm 2018, gọi nó là "Công ty tư nhân bí ẩn đang kiểm soát nước Mỹ doanh nghiệp: Tám người đàn ông trong một khu văn phòng ở Maryland quyết định vận mệnh của những công ty vĩ đại nhất đất nước như thế nào" trong tiêu đề bài báo.47 "Việc ISS đã trở thành kẻ tạo vua trong các cuộc tranh giành ủy quyền giữa các nhà hoạt động quỹ phòng hộ tỷ phú và con mồi doanh nghiệp trị giá hàng tỷ đô la của họ," </w:t>
      </w:r>
      <w:r>
        <w:rPr>
          <w:b w:val="0"/>
          <w:i/>
        </w:rPr>
        <w:t>Institutional Investor</w:t>
      </w:r>
      <w:r>
        <w:rPr>
          <w:b w:val="0"/>
          <w:i w:val="0"/>
        </w:rPr>
        <w:t xml:space="preserve"> viết, "càng đáng kinh ngạc hơn khi bản thân ISS trị giá chưa đến 1 tỷ đô la và khởi đầu như một hệ thống hỗ trợ hậu trường, giúp cổ đông bỏ phiếu về những vấn đề quản trị doanh nghiệp thường rất tầm thường. Một cựu giám đốc điều hành của ISS hiện làm việc tại một quỹ phòng hộ nói: 'ISS kiểu như vô tình vấp phải vai trò quyền lực này.'"48</w:t>
      </w:r>
    </w:p>
    <w:p>
      <w:pPr>
        <w:spacing w:after="80"/>
      </w:pPr>
      <w:r>
        <w:rPr>
          <w:b w:val="0"/>
          <w:i w:val="0"/>
        </w:rPr>
        <w:t>ISS, do Deutsche Börse Group sở hữu phần lớn, có 3.200 nhân viên, phục vụ khoảng 4.200 khách hàng tổ chức và tạo ra khoảng 50.000 phân tích ủy quyền tại 100 thị trường. Glass Lewis được thành lập năm 2003 và kiểm soát phần lớn thị trường tư vấn còn lại. Công ty đã được bán vào tháng 3 năm 2021 bởi Ontario Teachers' Pension Plan, một trong những hệ thống hưu trí lớn nhất Canada, và Alberta Investment Management Corporation cho công ty cổ phần tư nhân Peloton Capital Management và Stephen Smith, một doanh nhân dịch vụ tài chính người Canada.</w:t>
      </w:r>
    </w:p>
    <w:p>
      <w:pPr>
        <w:spacing w:after="80"/>
      </w:pPr>
      <w:r>
        <w:rPr>
          <w:b w:val="0"/>
          <w:i w:val="0"/>
        </w:rPr>
        <w:t>Cũng đáng nhắc đến ba công ty tư vấn ủy quyền khác—Egan-Jones Proxy Services, thành lập năm 2002 và là công ty con của một tổ chức xếp hạng tín dụng; Segal Marco Advisors, một công ty tư vấn đầu tư thành lập năm 2017; và ProxyVote Plus, được khởi lập năm 2002—nhưng ảnh hưởng tổng hợp của họ rất nhỏ, vì cộng lại họ chỉ chiếm 3 phần trăm thị trường tư vấn ủy quyền.49</w:t>
      </w:r>
    </w:p>
    <w:p>
      <w:pPr>
        <w:spacing w:after="80"/>
      </w:pPr>
      <w:r>
        <w:rPr>
          <w:b w:val="0"/>
          <w:i w:val="0"/>
        </w:rPr>
        <w:t>Ảnh hưởng của ISS và Glass Lewis, đặc biệt, đã tăng lên đáng kể kể từ cuộc khủng hoảng tài chính 2007–9, khi Enron và những vụ bê bối tương tự thúc đẩy những thay đổi trong việc bỏ phiếu của cổ đông, bao gồm việc SEC đưa ra quy định cổ đông bỏ phiếu về thù lao ban điều hành như một kết quả của Dodd-Frank.50</w:t>
      </w:r>
    </w:p>
    <w:p>
      <w:pPr>
        <w:spacing w:after="80"/>
      </w:pPr>
      <w:r>
        <w:rPr>
          <w:b w:val="0"/>
          <w:i w:val="0"/>
        </w:rPr>
        <w:t>Ý kiến chia rẽ rất nhiều về giá trị của ISS và Glass Lewis cũng như những nguy hiểm tiềm tàng khi có quá nhiều quyền lực tập trung vào hai công ty này. Elson có "sự tôn trọng lớn" dành cho họ: "Họ đưa ra quan điểm trung lập về quản trị doanh nghiệp dựa trên các yếu tố trung lập, và họ nói thẳng những gì họ thấy. Với tư cách là người ngoài nhìn vào một công ty, dựa trên các yếu tố khách quan, đưa ra quyết định theo hướng này hay hướng khác, tôi rất tôn trọng họ. Tôi đã là người hâm mộ lớn của họ trong nhiều năm." Với tư cách là luật sư cho các nhà hoạt động, Steve Wolosky của Olshan đánh giá cao giá trị của họ: "Rõ ràng, họ làm cho mọi việc dễ dàng hơn, theo nghĩa là các tổ chức phải bỏ phiếu, nên tất cả các quỹ tương hỗ đều phải bỏ phiếu. Sẽ giúp ích khá nhiều nếu bạn có thể khiến ISS hoặc Glass Lewis ủng hộ bạn với tư cách là một nhà hoạt động. Cơ hội giành chiến thắng trong một cuộc tranh chấp thành công của bạn được tăng cường rất nhiều. Gần như không thể để một nhà hoạt động thắng một cuộc tranh chấp ủy quyền nếu cả ISS và Glass Lewis đều không ủng hộ."</w:t>
      </w:r>
    </w:p>
    <w:p>
      <w:pPr>
        <w:spacing w:after="80"/>
      </w:pPr>
      <w:r>
        <w:rPr>
          <w:b w:val="0"/>
          <w:i w:val="0"/>
        </w:rPr>
        <w:t xml:space="preserve">Tuy nhiên, </w:t>
      </w:r>
      <w:r>
        <w:rPr>
          <w:b w:val="0"/>
          <w:i/>
        </w:rPr>
        <w:t>Wall Street Journal</w:t>
      </w:r>
      <w:r>
        <w:rPr>
          <w:b w:val="0"/>
          <w:i w:val="0"/>
        </w:rPr>
        <w:t xml:space="preserve"> đã chỉ trích mạnh mẽ ngành tư vấn ủy quyền, khi ban biên tập viết vào năm 2023 rằng "Glass Lewis nói rằng họ cung cấp 'sự gắn kết sở hữu chủ động' cho các nhà đầu tư tổ chức 'để cùng nhau gây ảnh hưởng đến các công ty của bạn, đảm bảo duy trì các tiêu chuẩn minh bạch cao nhất và các thông lệ tốt nhất trong ESG.' [Nhưng] các nhà hoạt động cổ đông cũng trả tiền cho Glass Lewis để thúc đẩy các chiến dịch của họ. Thật khó tin rằng các khách hàng hoạt động của họ không gây ảnh hưởng đến các khuyến nghị của công ty."51 Vào tháng 1 năm 2023, Elon Musk viết trên Twitter (nay là X), "Quá nhiều quyền lực tập trung vào tay các công ty 'dịch vụ cổ đông' như ISS và Glass Lewis, bởi vì phần lớn thị trường là các quỹ thụ động/chỉ số, vốn thuê ngoài các quyết định bỏ phiếu của cổ đông cho họ. ISS và Glass Lewis thực sự kiểm soát thị trường chứng khoán."52</w:t>
      </w:r>
    </w:p>
    <w:p>
      <w:pPr>
        <w:spacing w:after="80"/>
      </w:pPr>
      <w:r>
        <w:rPr>
          <w:b w:val="0"/>
          <w:i w:val="0"/>
        </w:rPr>
        <w:t>David Larcker và Brian Tayan của Trường Kinh doanh Sau đại học Stanford, cùng với James R. Copland của Viện Manhattan, lập luận rằng điều đặc biệt đáng lo ngại là các khuyến nghị của ISS và Glass Lewis không được kiểm tra ngược để xem liệu việc tuân theo chúng có dẫn đến hiệu suất tốt hơn hay không. "Cả ISS và Glass Lewis đều không tiết lộ liệu các hướng dẫn bỏ phiếu hoặc các khuyến nghị bỏ phiếu trong quá khứ của họ đã được kiểm nghiệm để đảm bảo rằng chúng gắn liền với hiệu suất doanh nghiệp tích cực trong tương lai, xét về kết quả hoạt động hoặc lợi nhuận giá cổ phiếu hay chưa," các tác giả viết. "Không có bằng chứng toàn diện thì thật khó để biết liệu các hướng dẫn bỏ phiếu của họ có nhất quán với việc gia tăng giá trị cho cổ đông hay các bên liên quan hay không."53</w:t>
      </w:r>
    </w:p>
    <w:p>
      <w:pPr>
        <w:spacing w:after="80"/>
      </w:pPr>
      <w:r>
        <w:rPr>
          <w:b w:val="0"/>
          <w:i w:val="0"/>
        </w:rPr>
        <w:t>Ultan đã chứng kiến họ trở nên quan trọng hơn: "ISS luôn ngần ngại thể hiện mình như bất kỳ kiểu người ra quyết định nào. Họ chỉ đưa ra ý kiến của mình và khách hàng của họ tự quyết định. Họ thích giảm nhẹ vai trò đó, nhưng họ có một chương trình nghị sự và mục tiêu nhất định." Tất nhiên, như ông nhắc tôi, "với việc các lá phiếu giờ đây được công bố công khai, các tổ chức phải thực sự có nền tảng cho các quyết định bỏ phiếu của mình. Chưa kể rằng với sự xuất hiện của các mối quan tâm về môi trường và xã hội, từ đóng góp chính trị và vận động hành lang đến biến đổi khí hậu, đến đa dạng, đến nhân quyền, chăm sóc sức khỏe sinh sản, súng, xung đột ở nước ngoài, bản thân các nhà quản lý danh mục đầu tư không nhất thiết có kiến thức hay sự quan tâm đó. Điều này cuối cùng đã trao thêm quyền lực cho ISS và Glass Lewis, bởi vì còn cách nào tốt hơn để hợp lý hóa một lá phiếu nhất định ngoài việc nói rằng có một bên thứ ba độc lập đang nói cho chúng ta biết nên bỏ phiếu thế nào?"</w:t>
      </w:r>
    </w:p>
    <w:p>
      <w:pPr>
        <w:spacing w:after="80"/>
      </w:pPr>
      <w:r>
        <w:rPr>
          <w:b w:val="0"/>
          <w:i w:val="0"/>
        </w:rPr>
        <w:t>Paterson đồng ý: "Rất nhiều việc trên thực tế được thuê ngoài cho ISS, và ISS đã trở nên cực kỳ có ảnh hưởng, đặc biệt là liên quan đến các chủ đề quản trị." Và trong khi Big Three có thể và thực sự thuê các nhóm riêng của họ để làm nghiên cứu, thì ít người khác làm vậy. Một phần là vấn đề kinh tế, nhưng quan trọng hơn nữa, ISS và Glass Lewis cung cấp sự xác nhận của bên thứ ba mà các công ty này coi trọng.</w:t>
      </w:r>
    </w:p>
    <w:p>
      <w:pPr>
        <w:spacing w:after="80"/>
      </w:pPr>
      <w:r>
        <w:rPr>
          <w:b w:val="0"/>
          <w:i w:val="0"/>
        </w:rPr>
        <w:t>Theo một nghiên cứu, "95 phần trăm các nhà đầu tư tổ chức bỏ phiếu ủng hộ đề xuất 'tiếng nói về thù lao' của một công ty khi ISS khuyến nghị bỏ phiếu thuận, trong khi chỉ 68 phần trăm bỏ phiếu ủng hộ khi ISS phản đối (chênh lệch 27 phần trăm). Tương tự, các đề xuất về kế hoạch cổ phần nhận được nhiều hơn 17 phần trăm số phiếu ủng hộ; các cuộc bầu cử giám đốc không có tranh chấp nhận được nhiều hơn 18 phần trăm số phiếu ủng hộ; và các cuộc tranh chấp ủy quyền nhận được nhiều hơn 73 phần trăm số phiếu ủng hộ khi ISS cũng ủng hộ một biện pháp."54</w:t>
      </w:r>
    </w:p>
    <w:p>
      <w:pPr>
        <w:spacing w:after="80"/>
      </w:pPr>
      <w:r>
        <w:rPr>
          <w:b w:val="0"/>
          <w:i w:val="0"/>
        </w:rPr>
        <w:t xml:space="preserve">Jay Clayton, cựu chủ tịch SEC, "đã tìm cách kiềm chế" ISS và Glass Lewis bằng cách thay đổi các quy tắc để cho phép kiện họ trong trường hợp họ đưa ra những tuyên bố gây nhầm lẫn và yêu cầu họ tiết lộ bất kỳ xung đột lợi ích nào. "ISS đã kiện để chặn quy tắc này," </w:t>
      </w:r>
      <w:r>
        <w:rPr>
          <w:b w:val="0"/>
          <w:i/>
        </w:rPr>
        <w:t>Wall Street Journal</w:t>
      </w:r>
      <w:r>
        <w:rPr>
          <w:b w:val="0"/>
          <w:i w:val="0"/>
        </w:rPr>
        <w:t xml:space="preserve"> viết, "nhưng tại sao lại phản đối các quy tắc nếu nó minh bạch như nó tuyên bố? . . . Những kẻ độc quyền nhóm muốn áp đặt gánh nặng báo cáo nặng nề lên các công ty đại chúng, từ khí hậu đến công bằng chủng tộc, trong khi bản thân họ lại tránh trách nhiệm giải trình và tiết lộ thông tin."55</w:t>
      </w:r>
    </w:p>
    <w:p>
      <w:pPr>
        <w:spacing w:after="80"/>
      </w:pPr>
      <w:r>
        <w:rPr>
          <w:b w:val="0"/>
          <w:i w:val="0"/>
        </w:rPr>
        <w:t>Jamie Dimon cũng đã chỉ trích các công ty tư vấn ủy quyền, viết trong Báo cáo Thường niên JPMorganChase năm 2023,</w:t>
      </w:r>
    </w:p>
    <w:p>
      <w:pPr>
        <w:spacing w:after="80"/>
      </w:pPr>
      <w:r>
        <w:rPr>
          <w:b w:val="0"/>
          <w:i w:val="0"/>
        </w:rPr>
        <w:t>Mặc dù dữ liệu và các khuyến nghị có thể tạo thành các mảnh ghép của bức tranh thông tin, các lá phiếu của [các nhà quản lý tài sản] cuối cùng nên dựa trên việc áp dụng độc lập các hướng dẫn và chính sách bỏ phiếu của chính họ. Trong phạm vi họ sử dụng các khuyến nghị từ các cố vấn ủy quyền trong quá trình ra quyết định của mình, họ nên tiết lộ rằng họ làm như vậy và nên hài lòng rằng thông tin mà họ dựa vào là chính xác và phù hợp. Tuy nhiên, nhiều công ty sẽ lập luận rằng thông tin này thường không cân bằng, không đại diện cho quan điểm đầy đủ và không chính xác.</w:t>
      </w:r>
    </w:p>
    <w:p>
      <w:pPr>
        <w:spacing w:after="80"/>
      </w:pPr>
      <w:r>
        <w:rPr>
          <w:b w:val="0"/>
          <w:i w:val="0"/>
        </w:rPr>
        <w:t>Một số người đã lập luận rằng việc xem xét số lượng lớn các ủy quyền và đề xuất ủy quyền là quá khó và quá tốn kém. Điều này vừa lười biếng vừa sai lầm. Nếu các vấn đề quan trọng đối với một công ty, chúng cũng nên quan trọng đối với cổ đông—phần lớn, chỉ có một số ít đề xuất là quan trọng đối với các công ty. . . . Đến cuối năm 2024, J.P. Morgan Asset Management nói chung sẽ loại bỏ các khuyến nghị bỏ phiếu của cố vấn ủy quyền bên thứ ba khỏi các hệ thống bỏ phiếu do nội bộ phát triển của mình. Ngoài ra, công ty sẽ làm việc với các cố vấn bỏ phiếu ủy quyền bên thứ ba để loại bỏ các khuyến nghị bỏ phiếu của họ khỏi các báo cáo nghiên cứu mà họ cung cấp cho J.P. Morgan Asset Management vào mùa ủy quyền năm 2025.56</w:t>
      </w:r>
    </w:p>
    <w:p>
      <w:pPr>
        <w:spacing w:after="80"/>
      </w:pPr>
      <w:r>
        <w:rPr>
          <w:b w:val="0"/>
          <w:i w:val="0"/>
        </w:rPr>
        <w:t>Nhiều người đã bày tỏ lo ngại về những xung đột mà các công ty tư vấn ủy quyền gặp phải khi xem xét các chính sách quản trị và khuyến nghị cách bỏ phiếu cho chính những công ty mà họ cung cấp và đôi khi cung cấp dịch vụ tư vấn. Elson đồng ý: "Tôi thực sự nghĩ rằng hoạt động tư vấn của họ có vấn đề, bởi vì nó tạo cho bạn ấn tượng về việc trả tiền để được chơi, không phải là điều đó nhất thiết xảy ra, nhưng chắc chắn là ấn tượng đó, và tôi luôn lo lắng về phần đó của hoạt động kinh doanh."</w:t>
      </w:r>
    </w:p>
    <w:p>
      <w:pPr>
        <w:spacing w:after="80"/>
      </w:pPr>
      <w:r>
        <w:rPr>
          <w:b w:val="0"/>
          <w:i w:val="0"/>
        </w:rPr>
        <w:t>Cũng có lo ngại rằng các công ty tư vấn ủy quyền về cơ bản đang đưa ra chính sách mà không có ý kiến hay sự cho phép của bên thứ ba. Luật sư Neil Whoriskey—một đối tác tại Milbank và trước đây là đối tác tại Cleary Gottlieb và đồng chủ tịch nhóm M&amp;A và thực hành Tư vấn Doanh nghiệp của công ty—đã chỉ trích ISS và Glass Lewis, viết rằng họ đã tạo ra một "bộ luật dân sự mới", "tự cho mình quyền làm luật . . . cai trị các quyết định về thành phần hội đồng quản trị, tiêu chuẩn giám đốc, giới hạn nhiệm kỳ, tiêu chuẩn bỏ phiếu đa số, thù lao ban điều hành, cấu trúc vốn, thuốc độc, hội đồng quản trị theo nhiệm kỳ, tính khả thi của các vụ sáp nhập, tách công ty và tái cấu trúc vốn, và ngày càng nhiều, các chính sách ESG. . . . Lá phiếu của khách hàng [của họ] thường mang tính quyết định và những hệ quả của các lá phiếu—đặc biệt khi được xem xét tổng hợp—có những tác động sâu rộng đến hoạt động và hiệu suất của các công ty đại chúng Hoa Kỳ." Ông tiếp tục, "Có bằng chứng đáng kể rằng các công ty tư vấn ủy quyền thường đưa ra câu trả lời sai." Ví dụ, ông chỉ ra lập trường của các công ty chống lại hội đồng quản trị theo nhiệm kỳ, đã thảo luận trước đó, như một ví dụ về việc họ đã khuất phục trước ý chí của các nhà hoạt động: "Các cố vấn ủy quyền tiếp tục kiên trì thực thi sự phản đối triệt để của họ đối với hội đồng quản trị phân loại, ngay cả sau khi nhiều nghiên cứu thực nghiệm đã cho thấy lập trường này phá hủy giá trị."57</w:t>
      </w:r>
    </w:p>
    <w:p>
      <w:pPr>
        <w:spacing w:after="80"/>
      </w:pPr>
      <w:r>
        <w:rPr>
          <w:b w:val="0"/>
          <w:i w:val="0"/>
        </w:rPr>
        <w:t>Tôi đã nói chuyện với Whoriskey, và trong khi nhắc lại lời chỉ trích của mình đối với các công ty tư vấn ủy quyền, ông cũng giải thích rằng về những vấn đề lớn như một cuộc bầu cử giám đốc có tranh chấp hoặc việc bán công ty, các tổ chức lớn tự làm nghiên cứu của mình. "Tôi nghĩ những nơi lớn hơn, trong các thương vụ sát nút, họ sẽ đọc ISS, nhưng họ tự đánh giá," ông nói. "Một thương vụ lớn được phê duyệt, các nhà quản lý danh mục đầu tư đều tham gia vào đó."</w:t>
      </w:r>
    </w:p>
    <w:p>
      <w:pPr>
        <w:spacing w:after="80"/>
      </w:pPr>
      <w:r>
        <w:rPr>
          <w:b w:val="0"/>
          <w:i w:val="0"/>
        </w:rPr>
        <w:t xml:space="preserve">Tuy nhiên, bất kể người ta cảm thấy thế nào về ISS và Glass Lewis, thực tế là họ đang—và gần như chắc chắn sẽ tiếp tục—có ảnh hưởng lớn. Suy cho cùng, theo một bài báo trên </w:t>
      </w:r>
      <w:r>
        <w:rPr>
          <w:b w:val="0"/>
          <w:i/>
        </w:rPr>
        <w:t>Wall Street Journal</w:t>
      </w:r>
      <w:r>
        <w:rPr>
          <w:b w:val="0"/>
          <w:i w:val="0"/>
        </w:rPr>
        <w:t xml:space="preserve"> năm 2023, "175 nhà quản lý tài sản, kiểm soát hơn 5 nghìn tỷ đô la tài sản, đã bỏ phiếu cùng với ISS hơn 95% thời gian."58 Các hội đồng quản trị và đội ngũ ban điều hành phải luôn đặt các chính sách và khuyến nghị của các công ty tư vấn quản trị lớn lên hàng đầu trong suy nghĩ của mình.</w:t>
      </w:r>
    </w:p>
    <w:p>
      <w:pPr>
        <w:pStyle w:val="Heading2"/>
      </w:pPr>
      <w:r>
        <w:rPr>
          <w:rFonts w:ascii="Calibri" w:hAnsi="Calibri"/>
          <w:b/>
          <w:i w:val="0"/>
          <w:sz w:val="32"/>
        </w:rPr>
        <w:t>Các Cân nhắc về Quản trị</w:t>
      </w:r>
    </w:p>
    <w:p>
      <w:pPr>
        <w:spacing w:after="80"/>
      </w:pPr>
      <w:r>
        <w:rPr>
          <w:b w:val="0"/>
          <w:i w:val="0"/>
        </w:rPr>
        <w:t>Trò chuyện với các nhà đầu tư tổ chức—và hiểu những mối quan tâm của họ—là điều cực kỳ quan trọng. Chắc chắn, điều này có thể giúp hội đồng quản trị luôn nắm bắt những vấn đề mới mà các nhà đầu tư lớn quan tâm. Trong những năm gần đây, các chủ đề ESG đã trở thành điều mà nhà đầu tư muốn các công ty giải quyết và thảo luận. Trong thế giới ngày nay, danh sách đó cũng phải bao gồm trí tuệ nhân tạo. Ví dụ, hơn 40 phần trăm các công ty trong S&amp;P 500 đã thảo luận về trí tuệ nhân tạo trong báo cáo thường niên gần nhất của họ, theo Bloomberg.59</w:t>
      </w:r>
    </w:p>
    <w:p>
      <w:pPr>
        <w:spacing w:after="80"/>
      </w:pPr>
      <w:r>
        <w:rPr>
          <w:b w:val="0"/>
          <w:i w:val="0"/>
        </w:rPr>
        <w:t>Mike Allen, thuộc công ty luật Richards Layton &amp; Finger ở Delaware, đồng tình và đã chia sẻ với tôi suy nghĩ của ông về tầm quan trọng của các nhà đầu tư tổ chức: “Điều rất quan trọng đối với các công ty là phải nắm được ai là những cổ đông lớn nắm giữ cổ phiếu của mình và họ có kiểu mẫu biểu quyết như thế nào. Một số nhà đầu tư tổ chức bỏ phiếu theo cách họ thấy phù hợp và có thể có chính sách và hướng dẫn riêng, còn một số khác thì làm theo bất cứ điều gì ISS khuyến nghị. Nắm rõ các tổ chức đầu tư của bạn là ai và chính sách biểu quyết của họ, nếu có, sẽ cung cấp rất nhiều thông tin. Chúng tôi luôn cho rằng tốt hơn là các công ty nên có một mức độ tương tác chủ động nhất định với các cổ đông tổ chức lớn của mình.”</w:t>
      </w:r>
    </w:p>
    <w:p>
      <w:pPr>
        <w:spacing w:after="80"/>
      </w:pPr>
      <w:r>
        <w:rPr>
          <w:b w:val="0"/>
          <w:i w:val="0"/>
        </w:rPr>
        <w:t>Với tầm quan trọng của các nhà đầu tư tổ chức và phạm vi mối quan tâm cũng như ảnh hưởng ngày càng rộng của họ, dưới đây là sáu hành động then chốt để mọi hội đồng quản trị cân nhắc liên quan đến nhóm cử tri quan trọng này:</w:t>
      </w:r>
    </w:p>
    <w:p>
      <w:pPr>
        <w:spacing w:after="80"/>
        <w:ind w:left="360"/>
      </w:pPr>
      <w:r>
        <w:t xml:space="preserve">1. </w:t>
      </w:r>
      <w:r>
        <w:rPr>
          <w:b w:val="0"/>
          <w:i w:val="0"/>
        </w:rPr>
        <w:t>Luôn theo sát các nhà đầu tư tổ chức nắm giữ lượng cổ phần đáng kể trong công ty bạn và đặc biệt là bất kỳ thay đổi nào trong cơ cấu đó: Ai đang mua, và ai đang bán? Đồng thời, hãy để ý mức giá họ đã trả so với giá cổ phiếu gần đây. Đặc biệt chú ý đến bất kỳ tổ chức nào được biết là hành động phối hợp với các nhà hoạt động.</w:t>
      </w:r>
    </w:p>
    <w:p>
      <w:pPr>
        <w:spacing w:after="80"/>
        <w:ind w:left="360"/>
      </w:pPr>
      <w:r>
        <w:t xml:space="preserve">2. </w:t>
      </w:r>
      <w:r>
        <w:rPr>
          <w:b w:val="0"/>
          <w:i w:val="0"/>
        </w:rPr>
        <w:t>Hiểu rõ chính sách của các tổ chức lớn của bạn về những vấn đề quan trọng, cùng với chính sách và khuyến nghị từ ISS và Glass Lewis. Sau đó ghi nhận bất kỳ khác biệt nào giữa các tổ chức lớn và các công ty tư vấn ủy quyền cũng như những điểm mà công ty bạn có thể không nhất quán với các yêu cầu này.</w:t>
      </w:r>
    </w:p>
    <w:p>
      <w:pPr>
        <w:spacing w:after="80"/>
        <w:ind w:left="360"/>
      </w:pPr>
      <w:r>
        <w:t xml:space="preserve">3. </w:t>
      </w:r>
      <w:r>
        <w:rPr>
          <w:b w:val="0"/>
          <w:i w:val="0"/>
        </w:rPr>
        <w:t>Thiết lập nhịp độ giao tiếp với các tổ chức lớn, bao gồm tần suất bao lâu, chủ đề sẽ là gì, và ai sẽ tham dự.</w:t>
      </w:r>
    </w:p>
    <w:p>
      <w:pPr>
        <w:spacing w:after="80"/>
        <w:ind w:left="360"/>
      </w:pPr>
      <w:r>
        <w:t xml:space="preserve">4. </w:t>
      </w:r>
      <w:r>
        <w:rPr>
          <w:b w:val="0"/>
          <w:i w:val="0"/>
        </w:rPr>
        <w:t>Đội ngũ quản lý cấp cao—đặc biệt là CEO, CFO, và trưởng bộ phận quan hệ nhà đầu tư—nên gặp gỡ thường xuyên với các nhà đầu tư tổ chức lớn để thảo luận về hiệu quả hoạt động, chiến lược, và các vấn đề khác. Hãy sử dụng những cuộc gặp này và bất kỳ diễn đàn nào khác để chủ động truyền đạt lý do công ty bạn đã đưa ra những lựa chọn của mình về bất kỳ điểm nào có thể gây tranh cãi trước khi xảy ra bất kỳ xích mích nào. Các diễn đàn có thể bao gồm từ công bố thêm thông tin ra công chúng, đến các cuộc trò chuyện tại các cuộc gặp nhà đầu tư, cho đến các cuộc gặp trực tiếp được lên lịch chính thức với chương trình nghị sự cụ thể.</w:t>
      </w:r>
    </w:p>
    <w:p>
      <w:pPr>
        <w:spacing w:after="80"/>
        <w:ind w:left="360"/>
      </w:pPr>
      <w:r>
        <w:t xml:space="preserve">5. </w:t>
      </w:r>
      <w:r>
        <w:rPr>
          <w:b w:val="0"/>
          <w:i w:val="0"/>
        </w:rPr>
        <w:t>Người lãnh đạo hội đồng quản trị, thường cùng với CEO, nên cố gắng gặp gỡ ít nhất một lần mỗi năm với chính những nhà đầu tư lớn này và cung cấp thêm một đầu mối để họ bày tỏ bất kỳ mối quan tâm hay quan điểm nào. Những cuộc trò chuyện này thường tập trung chủ yếu vào quản trị.</w:t>
      </w:r>
    </w:p>
    <w:p>
      <w:pPr>
        <w:spacing w:after="80"/>
        <w:ind w:left="360"/>
      </w:pPr>
      <w:r>
        <w:t xml:space="preserve">6. </w:t>
      </w:r>
      <w:r>
        <w:rPr>
          <w:b w:val="0"/>
          <w:i w:val="0"/>
        </w:rPr>
        <w:t>Cũng nên tương tác trực tiếp với ISS và Glass Lewis định kỳ. Bạn muốn hiểu đầy đủ bất kỳ mối quan tâm nào của họ trước bất kỳ cuộc bỏ phiếu cổ đông nào có thể khó khăn. Điều này có thể bao gồm kết quả bỏ phiếu Say-on-Pay tệ hơn mong đợi hoặc một cuộc bỏ phiếu tranh chấp về bầu cử giám đốc do có sự tham gia của một nhà hoạt động.</w:t>
      </w:r>
    </w:p>
    <w:p>
      <w:pPr>
        <w:spacing w:after="80"/>
      </w:pPr>
      <w:r>
        <w:rPr>
          <w:b w:val="0"/>
          <w:i w:val="0"/>
        </w:rPr>
        <w:t>Paterson đưa ra quan điểm rằng trong khi việc đầu tư theo chỉ số và các nhà đầu tư tổ chức lớn tiếp tục phát triển, điều này lại tạo ra cơ hội cho các tổ chức nhỏ hơn: “Các quỹ chỉ số có ảnh hưởng, nhưng thực sự thúc đẩy mọi thứ đôi khi lại là các cổ đông nhỏ hơn, bởi vì họ thường là những người có mong muốn lên tiếng vào đúng thời điểm.” Bình luận của ông là một lời nhắc nhở hay rằng các giám đốc nên lắng nghe và cố gắng giải quyết mối quan tâm của tất cả cổ đông, không chỉ những người lớn nhất.</w:t>
      </w:r>
    </w:p>
    <w:p>
      <w:pPr>
        <w:spacing w:after="80"/>
      </w:pPr>
      <w:r>
        <w:rPr>
          <w:b w:val="0"/>
          <w:i w:val="0"/>
        </w:rPr>
        <w:t>Như đã thảo luận, cổ đông bầu ra các giám đốc để giám sát đội ngũ quản lý và công ty thay cho những chủ sở hữu này. Các nhà đầu tư tổ chức rất quan trọng, và mọi giám đốc nên suy nghĩ cẩn thận về cách một công ty giao tiếp với những nhà đầu tư thường là lớn nhất và có ảnh hưởng nhất của mình. Không cần phải có một mối đe dọa, và chắc chắn không cần phải có mong muốn về một cuộc bỏ phiếu cổ đông nhất định nào đó, mới gặp gỡ và lắng nghe các cổ đông tổ chức của bạn.</w:t>
      </w:r>
    </w:p>
    <w:p>
      <w:pPr>
        <w:pStyle w:val="Heading1"/>
      </w:pPr>
      <w:r>
        <w:rPr>
          <w:rFonts w:ascii="Calibri" w:hAnsi="Calibri"/>
          <w:b/>
          <w:i w:val="0"/>
          <w:sz w:val="40"/>
        </w:rPr>
        <w:t>Chương 9</w:t>
      </w:r>
    </w:p>
    <w:p>
      <w:pPr>
        <w:pStyle w:val="Heading1"/>
      </w:pPr>
      <w:r>
        <w:rPr>
          <w:rFonts w:ascii="Calibri" w:hAnsi="Calibri"/>
          <w:b/>
          <w:i w:val="0"/>
          <w:sz w:val="40"/>
        </w:rPr>
        <w:t>Các công ty gặp khó khăn và tái cấu trúc tài chính</w:t>
      </w:r>
    </w:p>
    <w:p>
      <w:pPr>
        <w:spacing w:after="80"/>
      </w:pPr>
      <w:r>
        <w:rPr>
          <w:b w:val="0"/>
          <w:i w:val="0"/>
        </w:rPr>
        <w:t>Có thể nói một cách công bằng rằng không công ty nào muốn dấn thân vào một cuộc tái cấu trúc tài chính, quá trình mà một công ty đang chật vật thường cố gắng giảm nợ và có thể là các khoản nợ phải trả khác (như hợp đồng thuê cao hơn giá thị trường, một phán quyết kiện tụng lớn, các khoản nợ phát sinh từ amiăng hoặc các nguyên nhân khác, v.v.) và tăng tính thanh khoản. Trong chương này, tôi sẽ thảo luận về tái cấu trúc trong tòa án và ngoài tòa án, mỗi loại đều có những vấn đề riêng, và các chủ đề quản trị nảy sinh. Tất nhiên, các nỗ lực cải thiện hoạt động cũng có thể diễn ra cùng lúc, chẳng hạn như cắt giảm chi phí và đàm phán lại hợp đồng. Tính không thể đoán trước và bản chất thay đổi liên tục của các ngành, doanh nghiệp, và thị trường vốn mà các hội đồng quản trị và đội ngũ quản lý phải đối mặt khiến nhiều công ty cuối cùng rơi vào tình trạng nguy hiểm về tài chính và cần thực hiện các bước để giải quyết hoặc tái cấu trúc.</w:t>
      </w:r>
    </w:p>
    <w:p>
      <w:pPr>
        <w:spacing w:after="80"/>
      </w:pPr>
      <w:r>
        <w:rPr>
          <w:b w:val="0"/>
          <w:i w:val="0"/>
        </w:rPr>
        <w:t>Tôi đã tham gia với tư cách giám đốc độc lập trong khoảng 30 tình huống tái cấu trúc, từ một nhà cung cấp phụ tùng ô tô nhỏ, Techniplas; đến các nhà bán lẻ mang tính biểu tượng Toys“R”Us và Bed Bath &amp; Beyond; cho đến nhà cung cấp dịch vụ chăm sóc ung thư toàn cầu GenesisCare. Có vô số thách thức về quản trị và quản lý trong những tình huống này, từ việc giữ chân và tạo động lực cho ban quản lý và nhân viên đến đàm phán với các bên cho vay, và trong trường hợp tái cấu trúc trong tòa án, còn có thêm những thách thức khác, như đáp ứng vô số yêu cầu thông tin của tòa án và giành được sự chấp thuận của tòa án cho các hành động lớn, có đủ thanh khoản cho một quá trình thường kéo dài, và đạt được một kế hoạch được đồng thuận cùng cơ cấu vốn mới để giành được phiếu của chủ nợ và sự chấp thuận của tòa án cần thiết để thoát khỏi một cuộc tái tổ chức theo Chương 11 của luật phá sản.</w:t>
      </w:r>
    </w:p>
    <w:p>
      <w:pPr>
        <w:spacing w:after="80"/>
      </w:pPr>
      <w:r>
        <w:rPr>
          <w:b w:val="0"/>
          <w:i w:val="0"/>
        </w:rPr>
        <w:t>Hoàn toàn có thể—và thực sự đó chính là mục tiêu—thoát khỏi một cuộc tái cấu trúc với tư cách một công ty mạnh mẽ hơn và tiếp tục tạo ra giá trị cho các cổ đông. Chúng ta bắt đầu với góc nhìn lịch sử về tái cấu trúc và sự phát triển đáng kinh ngạc của nó trong khoảng 50 năm qua. Trách nhiệm của một giám đốc có thể thay đổi trong quá trình tái cấu trúc, và chương này sẽ giải thích cách một giám đốc cần tiếp cận những thách thức mới này và giúp giám sát công ty vượt qua giai đoạn gần như chắc chắn là một trong những thời điểm khó khăn nhất của nó.</w:t>
      </w:r>
    </w:p>
    <w:p>
      <w:pPr>
        <w:pStyle w:val="Heading2"/>
      </w:pPr>
      <w:r>
        <w:rPr>
          <w:rFonts w:ascii="Calibri" w:hAnsi="Calibri"/>
          <w:b/>
          <w:i w:val="0"/>
          <w:sz w:val="32"/>
        </w:rPr>
        <w:t>Lịch sử của tái cấu trúc</w:t>
      </w:r>
    </w:p>
    <w:p>
      <w:pPr>
        <w:spacing w:after="80"/>
      </w:pPr>
      <w:r>
        <w:rPr>
          <w:b w:val="0"/>
          <w:i w:val="0"/>
        </w:rPr>
        <w:t>Lịch sử của tái cấu trúc có thể được truy nguyên về cuối thế kỷ mười chín. Như Giáo sư David A. Skeel của Đại học Pennsylvania viết, “Nếu lịch sử ban đầu của phá sản doanh nghiệp linh hoạt, dựa trên tái tổ chức, có thể được chắt lọc thành một từ duy nhất, thì từ đó sẽ là ‘đường sắt.’”1 Chính những thất bại của ngành đường sắt vào cuối những năm 1800 đã dẫn đến ý tưởng rằng các nhà quản lý có thể được giữ nguyên vị trí để điều hành trong thời kỳ khó khăn tài chính và tái tổ chức công ty, thay vì chỉ đơn thuần để chúng bị bán tháo từng phần mà không có cơ hội phục hồi.</w:t>
      </w:r>
    </w:p>
    <w:p>
      <w:pPr>
        <w:spacing w:after="80"/>
      </w:pPr>
      <w:r>
        <w:rPr>
          <w:b w:val="0"/>
          <w:i w:val="0"/>
        </w:rPr>
        <w:t>Không có luật phá sản khi các tuyến đường sắt bắt đầu gặp khó khăn, khoảng 100 năm sau khi quốc gia này ra đời, và có câu hỏi đặt ra liệu Quốc hội có được phép can thiệp một cách hợp pháp hay không. Như Skeel viết, đã có “những nghi ngờ nghiêm trọng về việc liệu Quốc hội có thể điều chỉnh việc phá sản của các tập đoàn hay không, vì các bang điều chỉnh mọi khía cạnh khác trong sự tồn tại của một tập đoàn.”2 Đồng thời, tính chất liên bang của ngành kinh doanh đường sắt khiến cho các cơ quan lập pháp riêng lẻ của từng bang rất khó có thể giúp đỡ.</w:t>
      </w:r>
    </w:p>
    <w:p>
      <w:pPr>
        <w:spacing w:after="80"/>
      </w:pPr>
      <w:r>
        <w:rPr>
          <w:b w:val="0"/>
          <w:i w:val="0"/>
        </w:rPr>
        <w:t>Skeel giải thích rằng thách thức này—giữ cho các tuyến đường sắt không bị phá sản thông qua can thiệp của chính phủ—đã mở đường cho các cuộc tái cấu trúc doanh nghiệp. Các nhóm lợi ích chính, “không chỉ các nhà quản lý đường sắt,” Skeel viết, “mà cả cổ đông, chủ nợ, chuyên gia ngân hàng đầu tư, và luật sư đường sắt . . . đều hoàn toàn ủng hộ việc tái tổ chức thay vì thanh lý các tuyến đường sắt.”3</w:t>
      </w:r>
    </w:p>
    <w:p>
      <w:pPr>
        <w:spacing w:after="80"/>
      </w:pPr>
      <w:r>
        <w:rPr>
          <w:b w:val="0"/>
          <w:i w:val="0"/>
        </w:rPr>
        <w:t>Và họ đã làm như vậy. Các nhà quản lý đã nỗ lực tập hợp mớ nợ chắp vá và đàm phán các điều khoản với chủ nợ để tái tổ chức. Đó không hẳn là một nỗ lực hợp tác—nhiều chủ nợ phàn nàn rằng các tuyến đường sắt đang chèn ép họ khỏi khoản đền bù công bằng—nhưng bất chấp hàng trăm tuyến đường sắt rơi vào tình trạng tiếp nhận tài sản (receivership) giữa những năm 1870 và khi Thế chiến I bắt đầu, các đoàn tàu vẫn tiếp tục chạy.4 Dù không phải là một thành công trọn vẹn—những tuyến đường sắt rơi vào tiếp nhận tài sản sau đó thất bại với tỷ lệ cao hơn gấp đôi so với những tuyến không rơi vào tình trạng đó, và quá trình này cuối cùng không giải quyết được các vấn đề tài chính theo cách mà các công ty ngày nay có thể làm5—những gì đã diễn ra trong ngành đường sắt đã góp phần thiết lập một hệ thống tái cấu trúc doanh nghiệp tồn tại trong nhiều thập kỷ và thường được gọi là “tiếp nhận tài sản theo vốn cổ phần” (equity receivership).6</w:t>
      </w:r>
    </w:p>
    <w:p>
      <w:pPr>
        <w:spacing w:after="80"/>
      </w:pPr>
      <w:r>
        <w:rPr>
          <w:b w:val="0"/>
          <w:i w:val="0"/>
        </w:rPr>
        <w:t>Trong một cuộc tiếp nhận tài sản theo vốn cổ phần, tòa án chỉ định một cá nhân nắm quyền kiểm soát một công ty để duy trì hoạt động của nó, đồng thời tìm cách thỏa mãn nhu cầu của các chủ nợ. Khi nói đến các tuyến đường sắt, những cuộc tiếp nhận tài sản theo vốn cổ phần này phần lớn đều dẫn đến việc giữ quyền kiểm soát trong tay các nhà quản lý hiện hữu. Mặc dù tòa án có thẩm quyền, và thậm chí cả nghĩa vụ, chỉ định một bên trung lập làm người tiếp nhận tài sản, các thẩm phán thường chỉ định chính các quan chức của tuyến đường sắt mất khả năng thanh toán thay vào đó, và những quan chức này trong nhiều trường hợp sẽ “bán” tuyến đường sắt cho các trái chủ hiện hữu.7 “Ví dụ,” Hiệp hội Lịch sử Kinh tế viết, “trong vụ tiếp nhận tài sản Wabash năm 1886 . . . việc trao đổi nợ đã dẫn đến việc tạo ra một tuyến đường sắt mới với tài sản của tuyến cũ. Thường thì sự chuyển đổi chỉ đơn giản là việc đổi chữ ‘Railway’ thành ‘Railroad’ trong tên của tập đoàn.”8</w:t>
      </w:r>
    </w:p>
    <w:p>
      <w:pPr>
        <w:spacing w:after="80"/>
      </w:pPr>
      <w:r>
        <w:rPr>
          <w:b w:val="0"/>
          <w:i w:val="0"/>
        </w:rPr>
        <w:t>Đạo luật Phá sản năm 1898 đã hệ thống hóa hệ thống tiếp nhận tài sản theo vốn cổ phần này cho các công ty ngoài ngành đường sắt, tạo ra một chế độ thân thiện với con nợ có thể giúp bảo vệ các công ty khỏi các chủ nợ.9 Như Mark A. Perelman của Trường Quản lý Yale tóm tắt, đạo luật năm 1898 đã đảo ngược các luật trước đó vốn đã “cho phép các chủ nợ khởi xướng các thủ tục [phá sản] không tự nguyện chống lại nông dân và người lao động . . . [và] tập trung vào việc phục hồi những con nợ với sự xem xét tư pháp hạn chế đối với việc xóa nợ.”10</w:t>
      </w:r>
    </w:p>
    <w:p>
      <w:pPr>
        <w:spacing w:after="80"/>
      </w:pPr>
      <w:r>
        <w:rPr>
          <w:b w:val="0"/>
          <w:i w:val="0"/>
        </w:rPr>
        <w:t xml:space="preserve">Có thể điều này đã đi quá xa. Tòa án Tối cao Hoa Kỳ đã quyết định, trong một loạt vụ án vào những năm 1920, rằng các tuyến đường sắt thực ra là một trường hợp đặc biệt và rằng các cuộc tái tổ chức do nhà quản lý dẫn dắt, dù không chỉ giới hạn ở ngành đó, cần được đánh giá cẩn thận. “Trong </w:t>
      </w:r>
      <w:r>
        <w:rPr>
          <w:b w:val="0"/>
          <w:i/>
        </w:rPr>
        <w:t>Harkin v. Brundage</w:t>
      </w:r>
      <w:r>
        <w:rPr>
          <w:b w:val="0"/>
          <w:i w:val="0"/>
        </w:rPr>
        <w:t xml:space="preserve">,” Skeel viết, “Tòa án gợi ý rằng họ sẽ không chỉ đơn thuần đóng dấu phê duyệt [những thỏa thuận trao đổi nợ này]. Tòa án còn rõ ràng hơn trong </w:t>
      </w:r>
      <w:r>
        <w:rPr>
          <w:b w:val="0"/>
          <w:i/>
        </w:rPr>
        <w:t>Shapiro v. Wilgus</w:t>
      </w:r>
      <w:r>
        <w:rPr>
          <w:b w:val="0"/>
          <w:i w:val="0"/>
        </w:rPr>
        <w:t>, khi họ chỉ ra rằng những kỹ thuật này chỉ vượt qua được sự kiểm tra trong các vụ án đường sắt vì đường sắt là ‘công ty dịch vụ công cộng.’”11</w:t>
      </w:r>
    </w:p>
    <w:p>
      <w:pPr>
        <w:spacing w:after="80"/>
      </w:pPr>
      <w:r>
        <w:rPr>
          <w:b w:val="0"/>
          <w:i w:val="0"/>
        </w:rPr>
        <w:t>Quốc hội đã để ý, và Chương trình Kinh tế Mới (New Deal) của Tổng thống Franklin Roosevelt—dù nói chung tập trung nhiều hơn vào luật pháp để giúp đỡ người nghèo và người thất nghiệp và khôi phục nền kinh tế Hoa Kỳ giữa cơn Đại Suy thoái—đã bao gồm một sửa đổi đối với luật năm 1898 nhằm chuyển một phần quyền kiểm soát ra khỏi tay các nhà quản lý. Đạo luật Chandler năm 1938 đã chấm dứt hệ thống tiếp nhận tài sản theo vốn cổ phần và trao quyền lực đáng kể cho các người được ủy thác phá sản độc lập do tòa án chỉ định.12</w:t>
      </w:r>
    </w:p>
    <w:p>
      <w:pPr>
        <w:spacing w:after="80"/>
      </w:pPr>
      <w:r>
        <w:rPr>
          <w:b w:val="0"/>
          <w:i w:val="0"/>
        </w:rPr>
        <w:t>Năm 1978, với các chủ nợ bực bội vì số lượng đơn nộp ngày càng tăng, Quốc hội đã thông qua Đạo luật Cải cách Phá sản toàn diện. Nhưng theo Todd J. Zywicki của Trường Luật Đại học George Mason, giới hành nghề phá sản “đã nắm lấy dây cương của nỗ lực cải cách . . . [và] cả luật phá sản cá nhân lẫn doanh nghiệp đều trở nên lỏng lẻo hơn thay vì nghiêm ngặt hơn.”13 Đạo luật này “đã đưa các luật sư và ngân hàng Phố Wall trở lại với hoạt động hành nghề phá sản bằng cách tăng phí, tăng uy tín, và tiếp tục làm suy yếu sự giám sát của công chúng đối với quá trình này . . . [làm] hồi sinh quyền kiểm soát chuyên môn đối với các thủ tục phá sản và ảnh hưởng chuyên môn trong Quốc hội.”14 Nó đánh dấu sự khởi đầu của hệ thống hiện đại, do giới chuyên môn dẫn dắt của chúng ta, và các cuộc tái tổ chức đã trở thành “một quyết định kinh doanh và chiến lược thay vì một biện pháp cuối cùng.”15</w:t>
      </w:r>
    </w:p>
    <w:p>
      <w:pPr>
        <w:spacing w:after="80"/>
      </w:pPr>
      <w:r>
        <w:rPr>
          <w:b w:val="0"/>
          <w:i w:val="0"/>
        </w:rPr>
        <w:t>“Đạo luật năm 1978 là một chuyện lớn,” Jamie Sprayregen nói, một luật sư phá sản nổi tiếng, người đã thành lập nhóm Tái cấu trúc của Kirkland &amp; Ellis vào năm 1990 và đóng vai trò then chốt trong việc giúp xây dựng nó thành người dẫn đầu thị trường trước khi nghỉ hưu vào năm ngoái và hiện là phó chủ tịch của Hilco Global, đơn vị cung cấp nhiều loại dịch vụ tài chính. “Bốn điều lớn nhất mà đạo luật năm 1978 đã làm là tạo ra lệnh tạm dừng tự động (automatic stay) để các chủ nợ không thể tiếp tục đòi thanh toán các khoản nợ, giữ con nợ nắm quyền sở hữu công ty, cho phép tài trợ cho con nợ đang nắm quyền sở hữu (debtor-in-possession financing), và đáng kể nhất là thiết lập mức thù lao theo giá thị trường cho các chuyên gia. Trước đó, các hãng lớn không tham gia vì họ không thể nhận được mức giá thị trường.”</w:t>
      </w:r>
    </w:p>
    <w:p>
      <w:pPr>
        <w:spacing w:after="80"/>
      </w:pPr>
      <w:r>
        <w:rPr>
          <w:b w:val="0"/>
          <w:i w:val="0"/>
        </w:rPr>
        <w:t>“Trước năm 1978,” Sprayregen tóm tắt, “các người được ủy thác được chỉ định tự động. Điều đó có nghĩa là ban quản lý và hội đồng quản trị sẽ chờ cho đến khi công ty cận kề cái chết—vì ai lại muốn tự đẩy mình ra khỏi công việc chứ? Giờ đây ban quản lý được ở lại, hội đồng quản trị được ở lại, và họ có thể nhận tài trợ từ các ngân hàng truyền thống của mình và sử dụng bất kỳ cố vấn nào họ muốn.”</w:t>
      </w:r>
    </w:p>
    <w:p>
      <w:pPr>
        <w:spacing w:after="80"/>
      </w:pPr>
      <w:r>
        <w:rPr>
          <w:b w:val="0"/>
          <w:i w:val="0"/>
        </w:rPr>
        <w:t>Hệ thống con nợ nắm quyền sở hữu được chọn không phải vì nó nhất thiết phải hoàn hảo mà vì, như Sprayregen diễn đạt, “nó là phương án ít tệ nhất. Đó là một thỏa hiệp để cho ban quản lý—những người đã gây ra vấn đề—tiếp tục nắm quyền kiểm soát, nhưng người ta cho rằng nó tốt hơn việc đưa vào một nhà lãnh đạo mới như người được ủy thác phá sản. Nhưng vì sự không thoải mái với hệ thống con nợ nắm quyền sở hữu, đủ loại yếu tố ngoài luật đã mọc lên xung quanh nó, như các giám đốc tái cấu trúc (chief restructuring officers), các giám đốc độc lập, và tất cả các chuyên gia giờ đây được tham vấn như một phần của quá trình này.”</w:t>
      </w:r>
    </w:p>
    <w:p>
      <w:pPr>
        <w:spacing w:after="80"/>
      </w:pPr>
      <w:r>
        <w:rPr>
          <w:b w:val="0"/>
          <w:i w:val="0"/>
        </w:rPr>
        <w:t>Người ta nói rằng những cuộc tái cấu trúc hiện đại đầu tiên có thể được truy nguyên về khu may mặc của Thành phố New York, nơi nhiều doanh nghiệp nhỏ được thành lập và phát triển nhưng sau đó cũng thường gặp khó khăn. Cuối cùng, nhờ những đặc điểm của đạo luật năm 1978 được mô tả ở trên, ngày càng nhiều công ty gặp khó khăn nhận thấy lợi ích của một cuộc tái tổ chức phá sản.</w:t>
      </w:r>
    </w:p>
    <w:p>
      <w:pPr>
        <w:spacing w:after="80"/>
      </w:pPr>
      <w:r>
        <w:rPr>
          <w:b w:val="0"/>
          <w:i w:val="0"/>
        </w:rPr>
        <w:t>Ban đầu, các công ty thường tìm đến các hãng kế toán để được hỗ trợ tư vấn. Tại sao lại là kế toán? Sprayregen giải thích, “Ủy viên SEC vào cuối những năm 1930 là [thẩm phán Tòa án Tối cao tương lai] William O. Douglas. Chính quyền của ông đã đưa ra một báo cáo gay gắt về cách các tổ chức đường sắt vận hành và thay đổi luật để gần như không thể cho các ngân hàng đầu tư lớn tham gia vào các cuộc tái tổ chức đường sắt, ít nhất là cho đến khi mọi thứ được thay đổi vào năm 2005. Trên thực tế, nếu bạn bảo lãnh phát hành chứng khoán, thì bạn không thể là ngân hàng—điều đó đã loại bỏ hầu hết các ngân hàng đầu tư, dẫn đến việc các hãng kế toán đảm nhận vai trò dẫn đầu trong các vụ phá sản vì họ không bị xung đột lợi ích.”</w:t>
      </w:r>
    </w:p>
    <w:p>
      <w:pPr>
        <w:spacing w:after="80"/>
      </w:pPr>
      <w:r>
        <w:rPr>
          <w:b w:val="0"/>
          <w:i w:val="0"/>
        </w:rPr>
        <w:t>Bob Manzo, một người tham gia rất sớm vào lĩnh vực tái cấu trúc, người khởi đầu sự nghiệp với tư cách là một kế toán viên, làm kiểm toán viên vào đầu những năm 1980 cho Arthur Andersen, hãng kế toán thuộc nhóm Big Eight (thời còn có tám hãng; giờ chúng ta có Big Four), đã dẫn tôi đi qua lịch sử đương đại ban đầu của ngành tái cấu trúc theo cách ông nhìn nhận.</w:t>
      </w:r>
    </w:p>
    <w:p>
      <w:pPr>
        <w:spacing w:after="80"/>
      </w:pPr>
      <w:r>
        <w:rPr>
          <w:b w:val="0"/>
          <w:i w:val="0"/>
        </w:rPr>
        <w:t>Vào thời điểm ông bắt đầu sự nghiệp, các chủ doanh nghiệp thường tìm đến công ty kế toán của mình khi gặp khó khăn về tài chính. Một số kế toán viên chuyên về lĩnh vực này bắt đầu nhìn thấy tiềm năng của ngành và tách ra làm riêng. Manzo cũng đi theo quỹ đạo tương tự. Ông chuyển từ kế toán sang tư vấn, cuối cùng thành lập một công ty tư vấn boutique vào năm 1990, Policano &amp; Manzo, được bán cho FTI Consulting một thập kỷ sau đó.</w:t>
      </w:r>
    </w:p>
    <w:p>
      <w:pPr>
        <w:spacing w:after="80"/>
      </w:pPr>
      <w:r>
        <w:rPr>
          <w:b w:val="0"/>
          <w:i w:val="0"/>
        </w:rPr>
        <w:t>Manzo giải thích rằng hai trong số những người tiên phong trong tư vấn tái cấu trúc là Frank Zolfo, người rời Touche Ross (nay là Deloitte), một công ty kế toán lớn, để thành lập công ty riêng, và Art Newman, người cuối cùng thành lập bộ phận tái cấu trúc tại Blackstone (nay là một phần của công ty ngân hàng đầu tư PJT). Newman đi từ kế toán viên sang ngân hàng thương mại rồi đến ngân hàng đầu tư và cuối cùng làm việc trong việc tái cấu trúc của General Motors cùng nhiều công ty lớn khác.16</w:t>
      </w:r>
    </w:p>
    <w:p>
      <w:pPr>
        <w:spacing w:after="80"/>
      </w:pPr>
      <w:r>
        <w:rPr>
          <w:b w:val="0"/>
          <w:i w:val="0"/>
        </w:rPr>
        <w:t>Trong nhiều năm, tái cấu trúc bị các công ty luật lớn coi là một ngành "chất lượng thấp" — phần lớn vì trước năm 1978, họ không thể tính phí theo giá thị trường cho công việc này. Những công ty hàng đầu này thường chuyển việc cho các boutique nhỏ, thường làm việc ở phía con nợ (công ty) hoặc phía chủ nợ (bên cho vay). Weil là một trong những công ty luật lớn đầu tiên coi phá sản là một nguồn doanh thu chính. Harvey Miller gia nhập Weil năm 1969 với tư cách đối tác thứ 14 của công ty. Ông thành lập nhóm phá sản tại công ty và điều hành nó trong 33 năm trước khi rời đi để gia nhập ngân hàng đầu tư Greenhill.17 Ông trở lại Weil chưa đầy năm năm sau đó, kịp thời đảm nhận vụ phá sản của Lehman Brothers năm 2008. Trong suốt sự nghiệp của mình, Miller đã làm việc với các vụ phá sản bán lẻ nhỏ hơn trước khi chuyển sang cái mà tiểu sử của ông gọi là "gần như mọi vụ phá sản mang tính bước ngoặt," bao gồm General Motors, American Airlines, Texaco, WorldCom, Enron, Eastern Airlines và nhiều vụ khác.18 Ông qua đời năm 2015. Sau khi Weil thiết lập hoạt động tái cấu trúc của mình, nhiều đối thủ "Big Law" của họ cũng làm theo.</w:t>
      </w:r>
    </w:p>
    <w:p>
      <w:pPr>
        <w:spacing w:after="80"/>
      </w:pPr>
      <w:r>
        <w:rPr>
          <w:b w:val="0"/>
          <w:i w:val="0"/>
        </w:rPr>
        <w:t>Các công ty như của Manzo làm việc song song với các luật sư. Trước đây họ được gọi là "công ty turnaround" và ngày nay thường được biết đến như các cố vấn tài chính (khác với ngân hàng đầu tư), ban đầu giúp các ngân hàng cải thiện công ty bằng cách, ví dụ, đưa các giám đốc điều hành mới vào vị trí, và hiện nay thường giúp ban lãnh đạo cung cấp thông tin tài chính phong phú mà nhà đầu tư và tòa án yêu cầu cũng như hỗ trợ cải thiện hoạt động. Một trong những công ty đầu tiên và lớn nhất là Alvarez &amp; Marsal. AlixPartners và FTI nằm trong số các cố vấn tài chính lớn khác trong lĩnh vực tái cấu trúc.</w:t>
      </w:r>
    </w:p>
    <w:p>
      <w:pPr>
        <w:spacing w:after="80"/>
      </w:pPr>
      <w:r>
        <w:rPr>
          <w:b w:val="0"/>
          <w:i w:val="0"/>
        </w:rPr>
        <w:t>Do các quy tắc xung đột lợi ích như đã giải thích trước đó, có rất ít ngân hàng đầu tư tham gia vào giai đoạn đầu phát triển của việc tư vấn cho các công ty gặp khó khăn cho đến khi các quy tắc thay đổi. Một trong những người đầu tiên, vào đầu những năm 1980, là David Supino tại Lazard. Tôi nhớ ông đi qua những hành lang tồi tàn trong văn phòng của Lazard tại One Rockefeller Plaza ở thành phố New York và ngày càng có ảnh hưởng trong một ngành mới nổi dường như đi ngược chu kỳ với ngành M&amp;A — một đề xuất hấp dẫn. Wilbur Ross — sau này là Bộ trưởng Thương mại dưới thời Tổng thống Donald Trump — đã phát triển hoạt động tái cấu trúc tại ngân hàng đầu tư Rothschild vào những năm 1980. David Ying tại Donaldson, Lufkin &amp; Jenrette và Art Newman đóng vai trò quan trọng trong việc các ngân hàng đầu tư tham gia vào nhóm các cố vấn tái cấu trúc.</w:t>
      </w:r>
    </w:p>
    <w:p>
      <w:pPr>
        <w:spacing w:after="80"/>
      </w:pPr>
      <w:r>
        <w:rPr>
          <w:b w:val="0"/>
          <w:i w:val="0"/>
        </w:rPr>
        <w:t>Brian Fox, một giám đốc điều hành tại Alvarez &amp; Marsal, nói với tôi một cách đơn giản: "Tái cấu trúc không được coi là một ngành hấp dẫn cho đến khi nhiều người nhận ra nó sinh lời đến mức nào."</w:t>
      </w:r>
    </w:p>
    <w:p>
      <w:pPr>
        <w:spacing w:after="80"/>
      </w:pPr>
      <w:r>
        <w:rPr>
          <w:b w:val="0"/>
          <w:i w:val="0"/>
        </w:rPr>
        <w:t>Khi các tập đoàn tiếp tục phát triển ngày càng lớn hơn trong suốt những năm 1980 — phần lớn nhờ sự phát triển của M&amp;A đã thảo luận ở chương 6 — tái cấu trúc tài chính trở thành một phần của bối cảnh theo cách chưa từng có trước đây. Một phần là do sự phát triển của trái phiếu lợi suất cao hay trái phiếu rác và sự bùng nổ các thương vụ private equity đã tạo ra tiềm năng cho nhiều cuộc tái cấu trúc hơn. Thực tế, số vụ phá sản được nộp đạt mức kỷ lục trong những năm 1980 và đầu những năm 1990 — mức tăng "hơn 100 phần trăm" trong thập kỷ sau khi đạo luật năm 1978 được thông qua19 — bao gồm các tập đoàn nổi tiếng như Federated Department Stores, Eastern Airlines, Greyhound và Texaco.20</w:t>
      </w:r>
    </w:p>
    <w:p>
      <w:pPr>
        <w:spacing w:after="80"/>
      </w:pPr>
      <w:r>
        <w:rPr>
          <w:b w:val="0"/>
          <w:i w:val="0"/>
        </w:rPr>
        <w:t>Phải mất thời gian để các nhóm liên quan khác nhau nhận ra lợi ích tiềm năng của phá sản. Như Sprayregen giải thích: "Phải mất một số năm để mọi người tin rằng bộ luật mới thực sự có ý nghĩa như nó nói và chúng ta không còn đối phó với hệ thống của thời xưa nữa. Chúng ta cần các thẩm phán, những người từng là trọng tài, chấp nhận sự thật rằng hệ thống đã thay đổi. Mức độ tinh vi của thị trường vốn tăng lên. Mọi người bắt đầu chấp nhận hệ thống phá sản."</w:t>
      </w:r>
    </w:p>
    <w:p>
      <w:pPr>
        <w:spacing w:after="80"/>
      </w:pPr>
      <w:r>
        <w:rPr>
          <w:b w:val="0"/>
          <w:i w:val="0"/>
        </w:rPr>
        <w:t>Khi những năm 1980 tiếp diễn, hệ sinh thái cố vấn hiện tại — các công ty luật tập trung vào khía cạnh pháp lý của quy trình, ngân hàng đầu tư tập trung vào cấu trúc vốn và huy động vốn, và công ty tư vấn tập trung vào yêu cầu thông tin và cải thiện hoạt động — đã thành hình.21</w:t>
      </w:r>
    </w:p>
    <w:p>
      <w:pPr>
        <w:spacing w:after="80"/>
      </w:pPr>
      <w:r>
        <w:rPr>
          <w:b w:val="0"/>
          <w:i w:val="0"/>
        </w:rPr>
        <w:t>Việc Michael Milken phát triển trái phiếu lợi suất cao đã mở ra cánh cửa cho các hình thức tài trợ thay thế và lượng nợ lớn hơn nhiều cho một công ty nhất định. Cấu trúc vốn trở nên phức tạp hơn rất nhiều. Trước đây, các công ty và ngân hàng (tương ứng là bên vay và bên cho vay) thường miễn cưỡng tỏ ra quyết liệt và đối đầu. Các nhà cung cấp và ngân hàng thường chiếm toàn bộ cấu trúc vốn của một công ty, và thường có kỳ vọng về lợi nhuận khiêm tốn. Các bên này thường kiên nhẫn và có thể vượt qua một chu kỳ suy thoái.</w:t>
      </w:r>
    </w:p>
    <w:p>
      <w:pPr>
        <w:spacing w:after="80"/>
      </w:pPr>
      <w:r>
        <w:rPr>
          <w:b w:val="0"/>
          <w:i w:val="0"/>
        </w:rPr>
        <w:t>Tuy nhiên, sau đó các ngân hàng chuyển từ chủ yếu là bên cho vay sang bên bảo lãnh phát hành, những người không nắm giữ phần lớn khoản nợ. James B. (Jimmy) Lee — với phong cách mạnh mẽ và chiếc dây đeo quần lúc nào cũng có mặt — ban đầu làm tại Chemical Bank (nay là JPMorganChase). Ông được ghi nhận là người tạo ra khoản vay ngân hàng hợp vốn (syndicated bank loan) vào cuối những năm 1980. Đây là một cấu trúc trong đó các ngân hàng bảo lãnh một khoản vay để thu phí trước khi bán phần lớn hoặc thậm chí toàn bộ khoản tín dụng cho các công ty đầu tư và các bên khác.</w:t>
      </w:r>
    </w:p>
    <w:p>
      <w:pPr>
        <w:spacing w:after="80"/>
      </w:pPr>
      <w:r>
        <w:rPr>
          <w:b w:val="0"/>
          <w:i w:val="0"/>
        </w:rPr>
        <w:t>Sau đó các quỹ nợ tư nhân tham gia thị trường. Sau cuộc khủng hoảng tài chính 2007–9, khi các ngân hàng được quản lý buộc phải thu hẹp hoạt động, nguồn vốn mới này trở nên lớn hơn nhiều, tăng lên gần 500 tỷ đô la vào năm 2020.22 Marc Lipschultz là đồng CEO của Blue Owl Capital, một công ty vốn tư nhân quản lý khoảng 235 tỷ đô la, và trước đây là trưởng bộ phận năng lượng và hạ tầng toàn cầu tại KKR. "Sử dụng bên cho vay tư nhân là một ý tưởng không tưởng cho đến 10 năm trở lại đây và có lẽ thậm chí chỉ 5 năm gần đây đối với các công ty lớn và các nhà tài trợ lớn [các công ty private equity]. Nhưng thị trường nợ tư nhân đã phát triển đáng kể vì nó hiệu quả," ông nói với tôi. "Nếu bạn có thể đổi mới một giải pháp thực sự đáp ứng nhu cầu của thị trường và đáp ứng nhu cầu của nhà đầu tư, giống như bất kỳ sản phẩm nào, dịch vụ tài chính hay không, đó chính là ý nghĩa của đổi mới." Lipschultz tiếp tục:</w:t>
      </w:r>
    </w:p>
    <w:p>
      <w:pPr>
        <w:spacing w:after="80"/>
      </w:pPr>
      <w:r>
        <w:rPr>
          <w:b w:val="0"/>
          <w:i w:val="0"/>
        </w:rPr>
        <w:t>Các ngân hàng đã đưa ra quyết định kinh doanh là không trở thành bên cho vay thực sự cho các công ty này. Điều đó mở ra một lý do rất quan trọng khiến chúng tôi tồn tại, đó là với tư cách người sử dụng vốn dài hạn, khách hàng của chúng tôi muốn biết họ đang giao dịch với ai. Tín dụng tư nhân chỉ là hệ quả của private equity, trong một thế giới mà ngân hàng không còn là bên cho vay của bạn, nếu bạn không thực sự biết ai là bên cho vay của mình vào một ngày nhất định, bạn đã mất đi sự liên tục và tập trung đó. Tôi tin rằng việc các ngân hàng qua nhiều thập kỷ chuyển từ vai trò bên cho vay thực sự sang vai trò trung gian — một lựa chọn kinh doanh hoàn toàn hợp lý về phía họ — đã tạo cơ hội cho các bên cho vay [tư nhân] bước vào và giúp đỡ những người coi trọng quan hệ đối tác dài hạn. Chúng tôi phục vụ những người coi trọng tính dự đoán được, tính riêng tư và quan hệ đối tác, hay "ba chữ P."</w:t>
      </w:r>
    </w:p>
    <w:p>
      <w:pPr>
        <w:spacing w:after="80"/>
      </w:pPr>
      <w:r>
        <w:rPr>
          <w:b w:val="0"/>
          <w:i w:val="0"/>
        </w:rPr>
        <w:t>Đồng thời, các công ty này rất tập trung vào quản trị tốt tại các công ty mà họ cho vay. "Chúng tôi là những người chịu rủi ro," Lipschultz giải thích, "vì công việc kinh doanh của chúng tôi hoặc là được trả lại tiền hoặc là mất vốn. Chúng tôi có thể thẩm định rất nhiều, nhưng sau đó còn có những gì xảy ra sau khi chúng tôi cho vay. Quản trị có ý nghĩa rất lớn đối với chúng tôi."</w:t>
      </w:r>
    </w:p>
    <w:p>
      <w:pPr>
        <w:spacing w:after="80"/>
      </w:pPr>
      <w:r>
        <w:rPr>
          <w:b w:val="0"/>
          <w:i w:val="0"/>
        </w:rPr>
        <w:t>Các quỹ cho vay trực tiếp đã chứng minh là một lựa chọn thay thế hấp dẫn, phát triển nhanh chóng cho các khoản vay ngân hàng hợp vốn nhờ tính hiệu quả, linh hoạt và chắc chắn trong thực thi. Người ta ước tính thị trường tín dụng tư nhân hiện vượt khoảng 1,5 nghìn tỷ đô la và có thể tăng lên 2,8 nghìn tỷ đô la vào năm 2028.23 Các ngân hàng và công ty đầu tư cũng trở nên quan tâm đến việc mở rộng sang lĩnh vực kinh doanh này khi nó ngày càng nổi bật.</w:t>
      </w:r>
    </w:p>
    <w:p>
      <w:pPr>
        <w:spacing w:after="80"/>
      </w:pPr>
      <w:r>
        <w:rPr>
          <w:b w:val="0"/>
          <w:i w:val="0"/>
        </w:rPr>
        <w:t>Ví dụ, vào tháng 9 năm 2024, Citi và Apollo công bố thỏa thuận thành lập một chương trình cho vay tín dụng tư nhân trị giá 25 tỷ đô la. Trước đó, Wells Fargo và Centerbridge đã thiết lập một quan hệ đối tác tương tự, dù nhỏ hơn.24 Ngoài ra, vào cuối năm 2024, BlackRock công bố việc mua lại HPS, một tên tuổi lớn trong lĩnh vực tín dụng tư nhân với tài sản gần 150 tỷ đô la, với giá 12 tỷ đô la.25</w:t>
      </w:r>
    </w:p>
    <w:p>
      <w:pPr>
        <w:spacing w:after="80"/>
      </w:pPr>
      <w:r>
        <w:rPr>
          <w:b w:val="0"/>
          <w:i w:val="0"/>
        </w:rPr>
        <w:t>Những chủ nợ mới này thường không kiên nhẫn như các ngân hàng truyền thống trước đây, vì khung thời gian kéo dài làm giảm lợi nhuận của họ và giam vốn. Một thị trường thứ cấp sôi động, nơi các quỹ đầu cơ chuyên mua nợ khó đòi (distressed debt hedge funds) mua lại nợ, cũng phát triển mạnh mẽ vào khoảng thời gian diễn ra cuộc Đại Suy thoái.</w:t>
      </w:r>
    </w:p>
    <w:p>
      <w:pPr>
        <w:spacing w:after="80"/>
      </w:pPr>
      <w:r>
        <w:rPr>
          <w:b w:val="0"/>
          <w:i w:val="0"/>
        </w:rPr>
        <w:t>Những thay đổi này kết hợp lại khiến cấu trúc tài chính của doanh nghiệp trở nên phức tạp hơn nhiều so với trước đây, với các tổ chức phi ngân hàng cung cấp tới 90 phần trăm vốn nợ mới phát hành, tăng từ mức dưới 30 phần trăm vào năm 1994.26 Chúng cũng thúc đẩy xu hướng tái cấu trúc mạnh mẽ hơn.</w:t>
      </w:r>
    </w:p>
    <w:p>
      <w:pPr>
        <w:spacing w:after="80"/>
      </w:pPr>
      <w:r>
        <w:rPr>
          <w:b w:val="0"/>
          <w:i w:val="0"/>
        </w:rPr>
        <w:t>Barry Ridings nghỉ hưu khỏi ngân hàng đầu tư Lazard vào năm 2014 với chức danh giám đốc điều hành và phó chủ tịch sau một sự nghiệp lẫy lừng kéo dài gần 40 năm trong lĩnh vực tư vấn phá sản. Ridings cho rằng sự gia tăng các vụ án theo Chương 11 là do "cấu trúc vốn đã trở nên quá phức tạp, và các chủ nợ thì rất khó thuyết phục."</w:t>
      </w:r>
    </w:p>
    <w:p>
      <w:pPr>
        <w:spacing w:after="80"/>
      </w:pPr>
      <w:r>
        <w:rPr>
          <w:b w:val="0"/>
          <w:i w:val="0"/>
        </w:rPr>
        <w:t>Thêm vào đó là nền kinh tế suy yếu, và các cuộc tái cấu trúc đã bùng nổ. Ví dụ, các công ty năng lượng thường kiếm được lợi nhuận khổng lồ qua cuộc khủng hoảng năng lượng thập niên 1970, nhưng khi giá dầu giảm, ngành này sụp đổ. Ở các lĩnh vực khác, sự phát triển của công nghệ thông tin và truyền thông khiến nhiều công ty tăng trưởng quá nhanh và gánh quá nhiều nợ. Việc bãi bỏ quy định trong các ngành hàng không, dầu khí, dịch vụ tài chính và phát thanh truyền hình đồng nghĩa với việc ngày càng nhiều doanh nghiệp gặp khó khăn. Và với sự gia tăng chóng mặt của thương mại điện tử, ngành bán lẻ dựa trên cửa hàng đã trải qua những thay đổi đầy đau đớn.</w:t>
      </w:r>
    </w:p>
    <w:p>
      <w:pPr>
        <w:pStyle w:val="Heading2"/>
      </w:pPr>
      <w:r>
        <w:rPr>
          <w:rFonts w:ascii="Calibri" w:hAnsi="Calibri"/>
          <w:b/>
          <w:i w:val="0"/>
          <w:sz w:val="32"/>
        </w:rPr>
        <w:t>Hai Phạm Trù Tái Cấu Trúc Lớn</w:t>
      </w:r>
    </w:p>
    <w:p>
      <w:pPr>
        <w:spacing w:after="80"/>
      </w:pPr>
      <w:r>
        <w:rPr>
          <w:b w:val="0"/>
          <w:i w:val="0"/>
        </w:rPr>
        <w:t>Nói một cách tổng quát nhất, một cuộc tái cấu trúc có thể được tiến hành hoặc ngoài tòa án thông qua đàm phán với các bên cho vay, hoặc tại tòa án theo luật phá sản. Nỗ lực ngoài tòa án là một quy trình phi tư pháp, trong đó một công ty gặp khó khăn về tài chính và các chủ nợ quan trọng của mình đạt được thỏa thuận về việc điều chỉnh các nghĩa vụ của công ty. Điều này đòi hỏi các chủ nợ cuối cùng phải sẵn lòng hợp tác với công ty và có niềm tin rằng công ty có thể tiến bước trên nền tảng tài chính vững chắc và trả được các khoản vay đã tái cấu trúc. Ưu điểm là một cuộc tái cấu trúc ngoài tòa án thường có thể hoàn thành nhanh hơn nhiều so với quy trình tại tòa, do đó giảm thời gian mà ban lãnh đạo phải xao nhãng khỏi công việc kinh doanh, và với chi phí thấp hơn nhiều nhờ tránh được các khoản phí chuyên môn lớn hơn, nguy cơ kiện tụng và các chi phí khác. Thực tế là một cuộc tái cấu trúc ngoài tòa án có nhiều khả năng thành công hơn trong những trường hợp mà các chủ nợ tin rằng con nợ có (1) vấn đề về đòn bẩy và/hoặc thanh khoản nhưng bên dưới khó khăn đó là một doanh nghiệp chất lượng và/hoặc (2) một phương án thay thế—nộp đơn phá sản—sẽ tồi tệ hơn đối với các chủ nợ.</w:t>
      </w:r>
    </w:p>
    <w:p>
      <w:pPr>
        <w:spacing w:after="80"/>
      </w:pPr>
      <w:r>
        <w:rPr>
          <w:b w:val="0"/>
          <w:i w:val="0"/>
        </w:rPr>
        <w:t>Steve Zelin, một đối tác và là trưởng nhóm Tái cấu trúc và Tình huống Đặc biệt toàn cầu tại PJT Partners, một trong những hãng ngân hàng đầu tư hàng đầu về tái cấu trúc, tin rằng quy trình ngoài tòa án nói chung là lựa chọn tốt hơn nhiều so với phương án thay thế. "Nó hoạt động tốt khi các thị trường thông thường không cung cấp đủ thanh khoản và các nguồn vốn mới có thể giúp một công ty tái cấu trúc và tránh Chương 11," ông nói. "Quy trình ngoài tòa án mang lại nhiều lựa chọn và tính linh hoạt hơn, đồng thời nhanh hơn và ít tốn kém hơn so với ra tòa."</w:t>
      </w:r>
    </w:p>
    <w:p>
      <w:pPr>
        <w:spacing w:after="80"/>
      </w:pPr>
      <w:r>
        <w:rPr>
          <w:b w:val="0"/>
          <w:i w:val="0"/>
        </w:rPr>
        <w:t>Robert Drain từng là thẩm phán phá sản tại Quận Nam New York trong 20 năm, giám sát một số vụ án lớn nhất cả nước, bao gồm vụ phá sản của Purdue Pharma. Trên thực tế, từ năm 2016 đến 2023, có 10 vụ án với khoản nợ ít nhất 1 tỷ đô la được đưa ra trước ông, con số lớn thứ ba cả nước đối với các vụ án loại này.27 Hiện ông là cố vấn tại Skadden. Ông nói với tôi: "Tôi luôn khuyến nghị tái cấu trúc ngoài tòa án nếu có thể. Các thủ tục tại tòa gây tổn thương cho một công ty. Chúng rất tốn kém. Đôi khi có những chuyện xảy ra ngoài tầm kiểm soát của bạn. Trong bối cảnh không phá sản, hay còn gọi là dàn xếp nợ (workout), bạn đe dọa sẽ ra tòa, và việc biết được điều đó có thể diễn ra như thế nào thực sự quyết định cách toàn bộ tình huống sẽ được giải quyết."</w:t>
      </w:r>
    </w:p>
    <w:p>
      <w:pPr>
        <w:spacing w:after="80"/>
      </w:pPr>
      <w:r>
        <w:rPr>
          <w:b w:val="0"/>
          <w:i w:val="0"/>
        </w:rPr>
        <w:t>Có rất nhiều công cụ sẵn có trong một cuộc tái cấu trúc ngoài tòa án. Ví dụ bao gồm các đợt miễn trừ trong một khoảng thời gian nhất định, chẳng hạn cho phép một công ty tiếp tục vi phạm một điều khoản cam kết để đổi lấy một khoản phí. Cũng có thể có các sửa đổi đối với hợp đồng tín dụng, như gia hạn ngày đáo hạn của một chứng khoán nợ, có thể để đổi lấy lãi suất cao hơn và có thể là một khoản trả bớt gốc nhỏ—tất nhiên lại kèm theo một khoản phí. Có thể có các giao dịch đổi nợ lấy nợ (debt-for-debt exchanges), nơi các bên cho vay đổi nợ hiện có lấy nợ mới. Chuyển lãi từ tiền mặt sang trả bằng hiện vật (paid in kind, hay PIK), trong đó lãi được trả bằng các chứng khoán nợ bổ sung, và/hoặc gia hạn ngày đáo hạn, có thể để đổi lấy một mức lãi suất cao hơn, là hai ví dụ về những điều chỉnh mà các chủ nợ có thể thấy chấp nhận được và cũng giúp giảm bớt áp lực trước mắt cho công ty. Có thể có một đợt huy động vốn cổ phần mới, dù bằng cách các chủ nợ hiện hữu đổi nợ lấy cổ phần hay huy động tiền mặt mới bằng cách bán cổ phần cho các chủ nợ và/hoặc các bên khác. Tất nhiên, một con đường khả thi trong tái cấu trúc ngoài tòa án là bán một số tài sản hoặc đơn vị kinh doanh nhất định, hoặc thậm chí bán toàn bộ công ty.</w:t>
      </w:r>
    </w:p>
    <w:p>
      <w:pPr>
        <w:spacing w:after="80"/>
      </w:pPr>
      <w:r>
        <w:rPr>
          <w:b w:val="0"/>
          <w:i w:val="0"/>
        </w:rPr>
        <w:t>Ngày nay, người ta bàn nhiều về "các bài tập quản lý nợ phải trả" (liability management exercises, hay LME) hay các giao dịch quản lý nợ phải trả, trong đó các chủ nợ mới hoặc hiện hữu làm việc với bên vay để cung cấp thanh khoản mà không cần ra tòa. Mặc dù không có định nghĩa cụ thể nào cho những thương vụ đã trở nên thường xuyên hơn nhiều này, Josh Sussberg, một đối tác trong nhóm hành nghề Tái cấu trúc và là thành viên ủy ban điều hành tại hãng luật Kirkland &amp; Ellis, chỉ nói đơn giản với tôi rằng "những thứ này đã diễn ra từ lâu lắm rồi."</w:t>
      </w:r>
    </w:p>
    <w:p>
      <w:pPr>
        <w:spacing w:after="80"/>
      </w:pPr>
      <w:r>
        <w:rPr>
          <w:b w:val="0"/>
          <w:i w:val="0"/>
        </w:rPr>
        <w:t>"Đây là những bài tập mang tính tài chính," ông giải thích, "từ góc độ rằng bạn không tác động đến thay đổi vận hành. Bạn chỉ đơn thuần tận dụng năng lực mà bạn có theo các hợp đồng tín dụng của mình để tăng cường thanh khoản và có thể gia hạn khoản nợ. Nó không giải quyết một vấn đề kinh doanh cốt lõi, nhưng chắc chắn có thể giúp một công ty có được thời gian cần thiết để có thể phát triển vượt qua bất kỳ vấn đề nào đang gặp phải và tránh phá sản tại tòa."</w:t>
      </w:r>
    </w:p>
    <w:p>
      <w:pPr>
        <w:spacing w:after="80"/>
      </w:pPr>
      <w:r>
        <w:rPr>
          <w:b w:val="0"/>
          <w:i w:val="0"/>
        </w:rPr>
        <w:t>Một ví dụ thành công đáng chú ý của tái cấu trúc ngoài tòa án là trường hợp của Apple, công ty mà theo lời đồng sáng lập Steve Jobs, đã "cách bờ vực phá sản 90 ngày" vào năm 1997.28 Jobs đã chấm dứt hoạt động của bộ phận Newton (trợ lý kỹ thuật số cầm tay) của công ty,29 vốn đã tiêu tốn của Apple 100 triệu đô la cho việc phát triển, và đàm phán khoản đầu tư 150 triệu đô la từ Microsoft với sự đảm bảo từ Bill Gates rằng công ty của ông sẽ tiếp tục hỗ trợ Macintosh bằng bộ sản phẩm Microsoft Office trong ít nhất năm năm.30 Apple sau đó đã trở thành, có những thời điểm, công ty giá trị nhất thế giới.31</w:t>
      </w:r>
    </w:p>
    <w:p>
      <w:pPr>
        <w:spacing w:after="80"/>
      </w:pPr>
      <w:r>
        <w:rPr>
          <w:b w:val="0"/>
          <w:i w:val="0"/>
        </w:rPr>
        <w:t>Một ví dụ khác, Manzo nói với tôi rằng Related Companies—do Stephen Ross, nhà phát triển bất động sản nổi tiếng, lãnh đạo—đã rơi vào tình trạng cực kỳ khó khăn vào đầu thập niên 1990. Tuy nhiên, các ngân hàng đã cho ông vay tiền không muốn ông nộp đơn phá sản. Họ tin rằng một cuộc tái cấu trúc ngoài tòa án sẽ bảo toàn được nhiều giá trị hơn, đã hợp tác với ông, và ngày nay, Related là một công ty bất động sản khổng lồ và là chủ nhà lớn nhất ở Thành phố New York, còn Ross là một tỷ phú mà tên ông được đặt cho trường kinh doanh của Đại học Michigan và là người sở hữu đội bóng bầu dục Miami Dolphins.</w:t>
      </w:r>
    </w:p>
    <w:p>
      <w:pPr>
        <w:spacing w:after="80"/>
      </w:pPr>
      <w:r>
        <w:rPr>
          <w:b w:val="0"/>
          <w:i w:val="0"/>
        </w:rPr>
        <w:t>Một ví dụ gần đây hơn, từ năm 2023, là trường hợp của Wheels Up, một trong những công ty hàng không tư nhân lớn nhất thế giới. Tôi từng là cố vấn cho hội đồng quản trị của công ty trong quá trình tái cấu trúc ngoài tòa án. Giám đốc Pháp lý khi đó là Laura Heltebran giải thích: "Tôi đã lãnh đạo nhóm chuẩn bị cho chúng tôi phương án tái cấu trúc tại tòa tiềm năng, đồng thời hợp tác với CFO/CEO tạm quyền của chúng tôi để hướng tới một phương án ngoài tòa án. Chúng tôi làm việc nhanh chóng để tìm nguồn vốn, giữ cho hội đồng quản trị được thông tin đầy đủ và sẵn sàng xem xét và phê duyệt đề nghị hấp dẫn nhất một cách nhanh chóng, tất cả trong khi giữ cho đội ngũ lớn hơn của chúng tôi tập trung vào việc vận hành công ty."</w:t>
      </w:r>
    </w:p>
    <w:p>
      <w:pPr>
        <w:spacing w:after="80"/>
      </w:pPr>
      <w:r>
        <w:rPr>
          <w:b w:val="0"/>
          <w:i w:val="0"/>
        </w:rPr>
        <w:t>Wheels Up đã nhận được một hạn mức tín dụng mới trị giá 500 triệu đô la do Delta Airlines dẫn đầu—Delta và các bên cho vay khác cũng giành được quyền kiểm soát công ty. Kế hoạch phục hồi bao gồm một quan hệ đối tác chiến lược sâu sắc hơn với Delta, trước đó đã là một nhà đầu tư. George Mattson, một thành viên hội đồng quản trị lâu năm của Delta, được bổ nhiệm làm CEO mới. "Các dịch vụ hàng không tư nhân của Wheels Up đóng vai trò bổ sung quan trọng và là sự mở rộng cho các dịch vụ du lịch cao cấp và công tác doanh nghiệp của Delta," Mattson nói với tôi. "Và Wheels Up đang hưởng lợi to lớn từ năng lực vận hành và tầm với thương mại của Delta."</w:t>
      </w:r>
    </w:p>
    <w:p>
      <w:pPr>
        <w:spacing w:after="80"/>
      </w:pPr>
      <w:r>
        <w:rPr>
          <w:b w:val="0"/>
          <w:i w:val="0"/>
        </w:rPr>
        <w:t>Tất nhiên, vấn đề là không phải công ty nào cũng thành công sau một cuộc tái cấu trúc ngoài tòa án. Theo Moody's, hơn một trong sáu cuộc tái cấu trúc ngoài tòa án bị theo sau bởi một đơn nộp phá sản tại tòa trong vòng ba năm.32 Một nhược điểm lớn của quy trình ngoài tòa án là thiếu một "khởi đầu mới." Trong khi một số vấn đề nhất định—có thể là thanh khoản trước mắt như một ví dụ—có thể được giảm nhẹ, chẳng hạn bằng cách giảm lãi suất trong vài quý và/hoặc hoãn một khoản trả gốc, thì không có khả năng pháp lý nào, như trong một cuộc tái cấu trúc tại tòa theo Chương 11 (như chúng ta sẽ thảo luận tiếp theo), để có một lệnh tạm hoãn tự động (automatic stay) nhằm tạo thời gian cho một giải pháp toàn diện hơn, hoặc để cuối cùng có một tòa án phê duyệt một khởi đầu mới với một cấu trúc vốn hoàn toàn mới, có thể với các hợp đồng nặng nề và các nghĩa vụ khác cũng bị xóa bỏ.33</w:t>
      </w:r>
    </w:p>
    <w:p>
      <w:pPr>
        <w:spacing w:after="80"/>
      </w:pPr>
      <w:r>
        <w:rPr>
          <w:b w:val="0"/>
          <w:i w:val="0"/>
        </w:rPr>
        <w:t>Thêm vào đó, khi có nhiều chủ nợ với những quan điểm khác nhau, các vấn đề thường phức tạp hơn và việc tái cấu trúc toàn diện thường là cần thiết. Ridings giải thích rằng điều đó phụ thuộc vào việc bạn có những người cố thủ (holdouts) hay không và bạn có thể xử lý họ như thế nào: “Trong một thương lượng ngoài tòa án, bạn không thể ràng buộc những người bất đồng, nên bạn phải thuyết phục họ đồng ý—nếu bạn có thể.”</w:t>
      </w:r>
    </w:p>
    <w:p>
      <w:pPr>
        <w:spacing w:after="80"/>
      </w:pPr>
      <w:r>
        <w:rPr>
          <w:b w:val="0"/>
          <w:i w:val="0"/>
        </w:rPr>
        <w:t>Khi tòa án trở nên không thể tránh khỏi, có một số lựa chọn. Chẳng hạn, có thanh lý theo Chương 7, cho phép chuyển giao doanh nghiệp cho một người được ủy thác phá sản (bankruptcy trustee) để bán tài sản một cách có trật tự, trong đó các chủ nợ được thanh toán từ bất kỳ khoản tiền nào có sẵn. Trong tình huống Chương 7, không còn khoản nợ nào tồn tại khi việc thanh lý hoàn tất, và dù các chủ sở hữu thường chẳng còn gì sau khi chủ nợ được thanh toán, họ cũng không phải chịu trách nhiệm cá nhân cho khoản thiếu hụt. Chương 7 mang theo nhược điểm to lớn là cuối cùng công ty không còn tồn tại nữa và bị đóng cửa. Có 7,631 hồ sơ doanh nghiệp theo Chương 7 trong 12 tháng kết thúc vào ngày 30 tháng 9 năm 2022, dù phần lớn trong số này là các doanh nghiệp nhỏ.34</w:t>
      </w:r>
    </w:p>
    <w:p>
      <w:pPr>
        <w:spacing w:after="80"/>
      </w:pPr>
      <w:r>
        <w:rPr>
          <w:b w:val="0"/>
          <w:i w:val="0"/>
        </w:rPr>
        <w:t>Hầu hết các công ty lớn trải qua phá sản sẽ thay vào đó nộp đơn theo Chương 11 để tái tổ chức.35 Trong quy trình này, tất cả chủ nợ và người nắm giữ cổ phần đều tham gia vào một thủ tục công khai, dưới sự giám sát của tòa án. Chương 11 được hầu hết mọi người xem là một hệ thống thân thiện với con nợ, với các công cụ như lệnh tự động đình chỉ (automatic stay), khả năng từ chối hợp đồng, và các quy tắc biểu quyết cho phép áp đặt kế hoạch mà không cần sự chấp thuận 100 phần trăm. Nguyên tắc nền tảng của tất cả những điều này là nếu một công ty có giá trị khi tiếp tục hoạt động lớn hơn khi bị thanh lý, thì hệ thống nên cho phép nó tái cấu trúc và tiếp tục.36</w:t>
      </w:r>
    </w:p>
    <w:p>
      <w:pPr>
        <w:spacing w:after="80"/>
      </w:pPr>
      <w:r>
        <w:rPr>
          <w:b w:val="0"/>
          <w:i w:val="0"/>
        </w:rPr>
        <w:t>Trong Chương 11, con nợ hay công ty tiếp tục hoạt động, được điều hành bởi ban quản lý với tư cách là con nợ đang nắm giữ tài sản (debtor-in-possession), và có thể đàm phán một “kế hoạch tái tổ chức” (plan of reorganization), cuối cùng là một cuộc tái cấu trúc được tòa án phê chuẩn. Nhờ lệnh tự động đình chỉ, các chủ nợ nói chung bị cấm thực hiện hành động chống lại con nợ hoặc tài sản của con nợ trong suốt quá trình Chương 11.</w:t>
      </w:r>
    </w:p>
    <w:p>
      <w:pPr>
        <w:spacing w:after="80"/>
      </w:pPr>
      <w:r>
        <w:rPr>
          <w:b w:val="0"/>
          <w:i w:val="0"/>
        </w:rPr>
        <w:t>Cơ chế của một vụ án Chương 11 có thể phức tạp. Quy trình bắt đầu bằng việc nộp đơn kiện lên tòa án phá sản, thường là đơn tự nguyện do con nợ nộp nhưng đôi khi là đơn không tự nguyện do một số lượng chủ nợ nhất định nộp và phải tuân theo nhiều quy tắc khác nhau. Đơn này bao gồm, trong số những thứ khác, lời giải thích về điều gì dẫn đến việc nộp đơn và thông tin về tài sản và nợ phải trả của con nợ, thu nhập và chi tiêu hiện tại, cùng các hợp đồng và hợp đồng thuê.37</w:t>
      </w:r>
    </w:p>
    <w:p>
      <w:pPr>
        <w:spacing w:after="80"/>
      </w:pPr>
      <w:r>
        <w:rPr>
          <w:b w:val="0"/>
          <w:i w:val="0"/>
        </w:rPr>
        <w:t>Một câu hỏi ban đầu là công ty nên nộp đơn ở tiểu bang nào. Thường có nhiều lựa chọn. Luật cho phép nộp đơn tại nơi công ty được thành lập, tại địa điểm kinh doanh chính của nó, tại vị trí các tài sản chính của nó, hoặc tại nơi bất kỳ chi nhánh liên kết nào của nó đang có một vụ án phá sản đang chờ xử lý.38</w:t>
      </w:r>
    </w:p>
    <w:p>
      <w:pPr>
        <w:spacing w:after="80"/>
      </w:pPr>
      <w:r>
        <w:rPr>
          <w:b w:val="0"/>
          <w:i w:val="0"/>
        </w:rPr>
        <w:t>Tại thời điểm này, con nợ trở thành con nợ đang nắm giữ tài sản, một địa vị được giữ cho đến khi một kế hoạch tái tổ chức được tòa án phê chuẩn, vụ án bị bác bỏ hoặc chuyển đổi sang Chương 7, hoặc một người được ủy thác được chỉ định để quản lý công ty thay cho con nợ. Các hành động của con nợ đang nắm giữ tài sản hoặc công ty nằm ngoài hoạt động kinh doanh thông thường đòi hỏi sự phê chuẩn của tòa án phá sản sau khi thông báo cho các bên có quyền lợi, với cơ hội cho một phiên điều trần tại tòa. Tất nhiên, sự phê chuẩn của tòa án lấy đi một phần việc ra quyết định khỏi hội đồng quản trị và ban quản lý.</w:t>
      </w:r>
    </w:p>
    <w:p>
      <w:pPr>
        <w:spacing w:after="80"/>
      </w:pPr>
      <w:r>
        <w:rPr>
          <w:b w:val="0"/>
          <w:i w:val="0"/>
        </w:rPr>
        <w:t>Lệnh tự động đình chỉ có hiệu lực ngay lập tức. Nó ngăn các chủ nợ theo đuổi các phán quyết, hoạt động thu hồi nợ, tịch thu tài sản thế chấp, hoặc thu hồi tài sản từ con nợ, đạt được hai mục tiêu: thứ nhất, giữ con nợ ở vị trí tốt nhất có thể để tiếp tục điều hành doanh nghiệp, và thứ hai, đặt tất cả các chủ nợ vào một sân chơi bình đẳng, ngăn một hoặc một số người chiếm đoạt tài sản gây thiệt hại cho những người khác.39 Lệnh tự động đình chỉ cho con nợ thời gian để đàm phán với các chủ nợ và hy vọng tìm ra một giải pháp hiệu quả, toàn diện.</w:t>
      </w:r>
    </w:p>
    <w:p>
      <w:pPr>
        <w:spacing w:after="80"/>
      </w:pPr>
      <w:r>
        <w:rPr>
          <w:b w:val="0"/>
          <w:i w:val="0"/>
        </w:rPr>
        <w:t>Một phần quan trọng khác của một vụ án Chương 11 là các “quyền hủy bỏ” (avoiding powers) mà con nợ đang nắm giữ tài sản nắm giữ. Chẳng hạn, các chuyển giao tiền hoặc tài sản được thực hiện trong một khoảng thời gian, thường là 90 ngày trước khi nộp đơn, có thể bị hủy bỏ nếu việc đó phục vụ cho các chủ nợ nói chung, và các chuyển giao cho người nội bộ (người thân, đối tác, giám đốc, cán bộ, và những người tương tự) từ tối đa một năm trước đó cũng có thể bị hủy bỏ.40 Ngoài ra, một chuyển giao gian lận được thực hiện trong vòng hai năm kể từ khi nộp đơn phá sản có thể bị đảo ngược. Chuyển giao gian lận là khi con nợ hoặc chuyển giao tài sản với ý định gây thiệt hại cho chủ nợ, hoặc thực hiện một chuyển giao với giá thấp hơn “giá trị tương đương hợp lý” và, tại thời điểm chuyển giao đó, đã mất khả năng thanh toán hoặc đáp ứng các tiêu chí liên quan khác. Việc chứng minh rằng một chuyển giao gian lận đã diễn ra là phức tạp và khó khăn.</w:t>
      </w:r>
    </w:p>
    <w:p>
      <w:pPr>
        <w:spacing w:after="80"/>
      </w:pPr>
      <w:r>
        <w:rPr>
          <w:b w:val="0"/>
          <w:i w:val="0"/>
        </w:rPr>
        <w:t>Con nợ có 120 ngày để nộp một kế hoạch tái tổ chức, một khoảng thời gian có thể được kéo dài tới 18 tháng trước khi các chủ nợ sau đó được phép nộp các kế hoạch cạnh tranh. Một kế hoạch tái tổ chức trình bày chi tiết các nhóm yêu cầu khác nhau và cách con nợ sẽ xử lý chúng. Nó phải được biểu quyết bởi các chủ nợ được dự kiến nhận ít hơn toàn bộ giá trị yêu cầu của họ—nhưng nó không cần sự chấp thuận đầy đủ từ các chủ nợ. Thay vào đó, nó đòi hỏi sự chấp thuận của hai phần ba theo giá trị tính bằng đô la và một nửa theo số lượng của những người nắm giữ bất kỳ nhóm nợ bị tổn hại nào đã biểu quyết.41</w:t>
      </w:r>
    </w:p>
    <w:p>
      <w:pPr>
        <w:spacing w:after="80"/>
      </w:pPr>
      <w:r>
        <w:rPr>
          <w:b w:val="0"/>
          <w:i w:val="0"/>
        </w:rPr>
        <w:t xml:space="preserve">Phần lớn nhờ vào các hồ sơ đã được đàm phán trước, ngay cả khi số lượng các cuộc tái cấu trúc đã tăng lên, thời gian từ khi nộp đơn đến khi được xác nhận đã giảm từ mức trung vị 457 ngày vào năm 2000 xuống còn 103 ngày vào năm 2020.42 Theo </w:t>
      </w:r>
      <w:r>
        <w:rPr>
          <w:b w:val="0"/>
          <w:i/>
        </w:rPr>
        <w:t>Annual Review of Financial Economics</w:t>
      </w:r>
      <w:r>
        <w:rPr>
          <w:b w:val="0"/>
          <w:i w:val="0"/>
        </w:rPr>
        <w:t>, “Trong số 1,184 hồ sơ Chương 11 tính đến tháng 6 năm 2022 của các công ty có ít nhất 100 triệu đô la tài sản, các vụ phá sản đã sắp xếp trước hoặc đóng gói trước—phần lớn được thỏa thuận với các chủ nợ trước khi nộp đơn lên tòa—chiếm 26% số hồ sơ trong giai đoạn 1980 đến 2009 so với 54% số hồ sơ trong giai đoạn 2010 và sau đó.”43</w:t>
      </w:r>
    </w:p>
    <w:p>
      <w:pPr>
        <w:spacing w:after="80"/>
      </w:pPr>
      <w:r>
        <w:rPr>
          <w:b w:val="0"/>
          <w:i w:val="0"/>
        </w:rPr>
        <w:t>Những sắp xếp này đã làm cho quy trình trở nên dễ dàng và nhanh chóng hơn. Là sự kết hợp giữa quy trình ngoài tòa án và trong tòa án, một hồ sơ sắp xếp trước có nghĩa là một thỏa thuận chung đã được đạt được giữa con nợ và các chủ nợ, trong khi một vụ phá sản đóng gói trước có nghĩa là một thỏa thuận đã được đạt được và con nợ có đủ số phiếu để phê chuẩn một kế hoạch tái tổ chức. Nói cách khác, công ty bước vào Chương 11 với một kế hoạch gần như đã sẵn sàng trong trường hợp phá sản sắp xếp trước, hoặc đã được phê chuẩn trong trường hợp phá sản đóng gói trước. Điều này tránh một quy trình tòa án kéo dài nhưng vẫn cho phép các công ty sử dụng những đặc điểm có lợi của việc nộp đơn phá sản theo Chương 11.</w:t>
      </w:r>
    </w:p>
    <w:p>
      <w:pPr>
        <w:spacing w:after="80"/>
      </w:pPr>
      <w:r>
        <w:rPr>
          <w:b w:val="0"/>
          <w:i w:val="0"/>
        </w:rPr>
        <w:t>Thông thường, một công ty gặp khó khăn sẽ thuê các cố vấn pháp lý, và thường là cả các cố vấn ngân hàng đầu tư và tài chính, để giúp chuẩn bị và điều hướng một cuộc tái cấu trúc. Như hướng dẫn của Bộ Tư pháp nêu rõ, việc thuê “luật sư, kế toán, cố vấn tài chính, chuyên gia xoay chuyển tình thế, và các chuyên gia khác” được luật phá sản cho phép.44</w:t>
      </w:r>
    </w:p>
    <w:p>
      <w:pPr>
        <w:spacing w:after="80"/>
      </w:pPr>
      <w:r>
        <w:rPr>
          <w:b w:val="0"/>
          <w:i w:val="0"/>
        </w:rPr>
        <w:t>Các thành viên hội đồng quản trị và CEO, ngay cả những người có nhiều kinh nghiệm, thường có ít hiểu biết về quy trình tái cấu trúc cho đến khi công ty của họ trải qua nó. Tôi đã nói chuyện với Dave Brandon, người, trong số những vai trò lãnh đạo cấp cao khác, từng là CEO của Toys“R”Us, nơi ông được thuê trong một tình huống rắc rối và công ty sớm nộp đơn phá sản theo Chương 11. Tôi là một giám đốc độc lập của một công ty con lớn của Toys“R”Us trong quá trình này. “Tôi đã từng là một người xoay chuyển tình thế ở một mức độ nào đó,” Brandon nói với tôi, “nhưng chưa bao giờ đến mức mà việc thanh lý hay phá sản từng là một cân nhắc, và tôi ngây thơ biết rằng nó sẽ lộn xộn, và tôi biết chúng tôi sẽ phải tái cấu trúc, nhưng tôi chưa bao giờ tưởng tượng rằng nó sẽ mang hình dạng của một hồ sơ công khai và tôi không có kinh nghiệm đó. Bạn bắt đầu hiểu thêm về các rủi ro và trách nhiệm, sự phức tạp của những khoản vay và chuyển giao giữa các công ty này. Với tôi thì khá rõ tại sao chúng tôi cần đưa những chuyên gia giàu kinh nghiệm này vào để giúp dẫn dắt chúng tôi.”</w:t>
      </w:r>
    </w:p>
    <w:p>
      <w:pPr>
        <w:spacing w:after="80"/>
      </w:pPr>
      <w:r>
        <w:rPr>
          <w:b w:val="0"/>
          <w:i w:val="0"/>
        </w:rPr>
        <w:t>Sussberg tóm tắt khá hay vai trò của các cố vấn trong quy trình: “Ngân hàng đầu tư ở đó để thực sự giúp dẫn dắt một giao dịch, bất kể giao dịch đó trông như thế nào—tìm nguồn tài chính, điều hành một quy trình bán hàng và sau đó cố gắng tổ chức một cuộc tái cấu trúc độc lập. Các cố vấn tài chính ở đó để giúp bổ trợ cho ban quản lý và giúp đỡ với dòng tiền hàng ngày, dự báo, các yêu cầu báo cáo, thu thập thông tin, và thực sự là cầu nối tài chính với tất cả các bên khác. Và sau đó các luật sư ở đó để tạo điều kiện cho tất cả các bên đó có thể thực hiện các quan điểm tài chính, vận hành, và tái cấu trúc tổng thể khác nhau và giúp xử lý tất cả các bên liên quan khác nhau.”</w:t>
      </w:r>
    </w:p>
    <w:p>
      <w:pPr>
        <w:spacing w:after="80"/>
      </w:pPr>
      <w:r>
        <w:rPr>
          <w:b w:val="0"/>
          <w:i w:val="0"/>
        </w:rPr>
        <w:t>Tất nhiên, có những mặt trái đối với một thủ tục Chương 11. Doanh nghiệp có thể không thể phục hồi. Ít nhất, việc công chúng biết rằng một công ty đang trong Chương 11 có thể khiến khách hàng, nhân viên, và các bên liên quan khác tìm nơi khác nếu có những lựa chọn khác sẵn có cho họ—dù Jared Ellias, Giáo sư Luật Scott C. Collins tại Trường Luật Harvard, đã phản bác quan điểm này liên quan đến nhân viên. Ellias, người đã giải thích với tôi rằng ông “nghiên cứu ở giao điểm của luật và kinh tế” với trọng tâm là phá sản, đã phát hiện, khi nghiên cứu dữ liệu liên quan, rằng nhân viên biết khi mọi thứ không diễn ra tốt đẹp và rời đi bất kể có nộp đơn phá sản hay không. “Những sự ra đi sau khi nộp đơn phá sản có lẽ được hiểu đúng nhất như là sự tiếp diễn của các xu hướng đã có từ trước,” ông viết, “[và] sau khi phá sản, các công ty Chương 11 tái tổ chức trông giống hệt mọi người khác—họ không mất nhân viên với tỷ lệ cao hơn đáng kể so với những người khác trong ngành của họ.” Ông lập luận rằng phá sản, trên thực tế, ổn định hóa các tổn thất.45</w:t>
      </w:r>
    </w:p>
    <w:p>
      <w:pPr>
        <w:pStyle w:val="Heading2"/>
      </w:pPr>
      <w:r>
        <w:rPr>
          <w:rFonts w:ascii="Calibri" w:hAnsi="Calibri"/>
          <w:b/>
          <w:i w:val="0"/>
          <w:sz w:val="32"/>
        </w:rPr>
        <w:t>Những hàm ý đối với trách nhiệm ủy thác của các giám đốc</w:t>
      </w:r>
    </w:p>
    <w:p>
      <w:pPr>
        <w:spacing w:after="80"/>
      </w:pPr>
      <w:r>
        <w:rPr>
          <w:b w:val="0"/>
          <w:i w:val="0"/>
        </w:rPr>
        <w:t>Tất nhiên, các giám đốc có trách nhiệm giám sát công ty thay mặt cho các cổ đông hoặc các bên liên quan. Nghĩa vụ giám sát này vẫn tiếp tục trong quá trình tái cấu trúc ngoài tòa án hoặc tại tòa án. Sussberg khuyên rằng,</w:t>
      </w:r>
    </w:p>
    <w:p>
      <w:pPr>
        <w:spacing w:after="80"/>
      </w:pPr>
      <w:r>
        <w:rPr>
          <w:b w:val="0"/>
          <w:i w:val="0"/>
        </w:rPr>
        <w:t>Với tư cách là một giám đốc, một trong những cách bạn hoàn thành nghĩa vụ cẩn trọng (duty of care) của mình là dựa vào các cố vấn của bạn. Điều đó không có nghĩa là các giám đốc không nên phản biện, thách thức lời khuyên và đặt câu hỏi về những gì đang diễn ra. Họ tuyệt đối nên làm vậy; đó là quy trình tốt nhất. Suy cho cùng, các quyết định của bạn không phải lúc nào cũng phải là những quyết định đúng đắn. Nhưng nếu bạn tuân theo đúng quy trình, dựa vào lời khuyên, thực sự nhìn vào và dành thời gian cho các chỉ số, và hiểu mọi thứ đang đi vào quá trình này, thì bạn không nhất thiết phải đúng vào cuối ngày. Bạn chỉ cần đưa ra quyết định theo cách thức phù hợp.</w:t>
      </w:r>
    </w:p>
    <w:p>
      <w:pPr>
        <w:spacing w:after="80"/>
      </w:pPr>
      <w:r>
        <w:rPr>
          <w:b w:val="0"/>
          <w:i w:val="0"/>
        </w:rPr>
        <w:t>Đôi khi người ta vẫn giả định rằng một hàm ý lớn đối với các giám đốc khi công ty gặp khó khăn về tài chính là: khi công ty còn khả năng thanh toán (solvent), các giám đốc chỉ có trách nhiệm ủy thác với các cổ đông, còn khi công ty gần hoặc "trong vùng" mất khả năng thanh toán (zone of insolvency), các giám đốc phải chịu trách nhiệm với các chủ nợ. Thực tế không phải vậy. Các giám đốc chỉ có nghĩa vụ ủy thác với công ty và các cổ đông của công ty, chứ không phải trực tiếp với các chủ nợ, ngay cả khi công ty tiến gần đến tình trạng mất khả năng thanh toán hoặc thực tế đã mất khả năng thanh toán.46</w:t>
      </w:r>
    </w:p>
    <w:p>
      <w:pPr>
        <w:spacing w:after="80"/>
      </w:pPr>
      <w:r>
        <w:rPr>
          <w:b w:val="0"/>
          <w:i w:val="0"/>
        </w:rPr>
        <w:t xml:space="preserve">Trong vụ </w:t>
      </w:r>
      <w:r>
        <w:rPr>
          <w:b w:val="0"/>
          <w:i/>
        </w:rPr>
        <w:t>North American Catholic Educational Programming Foundation, Inc. v. Gheewalla</w:t>
      </w:r>
      <w:r>
        <w:rPr>
          <w:b w:val="0"/>
          <w:i w:val="0"/>
        </w:rPr>
        <w:t>, Tòa án Tối cao Delaware đã phán quyết rằng "khi một công ty còn khả năng thanh toán đang di chuyển trong vùng mất khả năng thanh toán, trọng tâm đối với các giám đốc Delaware không thay đổi: các giám đốc phải tiếp tục thực hiện nghĩa vụ ủy thác của mình với công ty và các cổ đông bằng cách thực thi phán đoán kinh doanh (business judgment) vì lợi ích tốt nhất của công ty, vì lợi ích của các chủ sở hữu cổ đông."47</w:t>
      </w:r>
    </w:p>
    <w:p>
      <w:pPr>
        <w:spacing w:after="80"/>
      </w:pPr>
      <w:r>
        <w:rPr>
          <w:b w:val="0"/>
          <w:i w:val="0"/>
        </w:rPr>
        <w:t>Scott Greenberg là chủ tịch toàn cầu mảng Tái cấu trúc và Tổ chức lại Kinh doanh của Gibson, Dunn &amp; Crutcher, đồng thời là thành viên ủy ban điều hành của hãng. Ông đặc biệt tập trung vào việc cố vấn cho các chủ nợ trong các thương vụ tái cấu trúc. Trước đây, ông là đối tác tại Jones Day, nơi ông đồng lãnh đạo mảng Tái cấu trúc &amp; Tổ chức lại Kinh doanh của Jones Day. Ông đã đơn giản hóa nghĩa vụ của các giám đốc trong một cuộc trò chuyện với tôi: "Khá đơn giản: các giám đốc nên cố gắng tối đa hóa giá trị cho các bên liên quan, và giá trị đó sẽ được phân phối theo thứ tự ưu tiên (waterfall of priorities). Chắc chắn rồi, trong tình huống khó khăn, các giám đốc nên có ý thức cao hơn về những hàm ý từ hành động của mình."</w:t>
      </w:r>
    </w:p>
    <w:p>
      <w:pPr>
        <w:spacing w:after="80"/>
      </w:pPr>
      <w:r>
        <w:rPr>
          <w:b w:val="0"/>
          <w:i w:val="0"/>
        </w:rPr>
        <w:t>Điều này không có nghĩa là các chủ nợ không có cách khiếu nại nếu họ cảm thấy công ty đã đối xử sai với họ. Nếu một công ty mất khả năng thanh toán, các chủ nợ trở thành những bên liên quan còn lại (residual stakeholders) trong công ty. Như vậy, họ có quyền đứng ra khởi kiện các giám đốc vi phạm nghĩa vụ ủy thác bằng các khiếu nại phái sinh (derivative) — khác với khiếu nại trực tiếp (direct).48 Đơn kiện phái sinh là đơn được nộp thay mặt cho công ty, còn đơn kiện trực tiếp là đơn được nộp thay mặt cho chính các chủ nợ. Vì không có nghĩa vụ ủy thác nào được nợ trực tiếp với các chủ nợ, họ chỉ có thể nộp đơn thay mặt cho công ty.</w:t>
      </w:r>
    </w:p>
    <w:p>
      <w:pPr>
        <w:spacing w:after="80"/>
      </w:pPr>
      <w:r>
        <w:rPr>
          <w:b w:val="0"/>
          <w:i w:val="0"/>
        </w:rPr>
        <w:t>Trong nhiều trường hợp, có câu hỏi về việc liệu một công ty có mất khả năng thanh toán hay không. Một hãng ngân hàng đầu tư hoặc cố vấn tài chính có thể thực hiện phân tích khả năng thanh toán (solvency analysis). Việc này thường bao gồm một bài kiểm tra bảng cân đối kế toán (balance sheet test), tức định giá tất cả tài sản và nợ phải trả theo giá thị trường hiện tại và xem liệu tổng tài sản có vượt tổng nợ phải trả hay không, cùng một bài kiểm tra dòng tiền hoặc thanh khoản (cash flow or liquidity test) nhằm xác định liệu công ty có khả năng đáp ứng các khoản nợ khi đến hạn hay không.49</w:t>
      </w:r>
    </w:p>
    <w:p>
      <w:pPr>
        <w:spacing w:after="80"/>
      </w:pPr>
      <w:r>
        <w:rPr>
          <w:b w:val="0"/>
          <w:i w:val="0"/>
        </w:rPr>
        <w:t>Ngoài công việc về khả năng thanh toán, một hãng ngân hàng đầu tư có thể được yêu cầu cung cấp thêm công việc định giá cho hội đồng quản trị và công ty, bao gồm định giá tài sản thế chấp (collateral) và liệu giá trị tài sản thế chấp có được bảo vệ đầy đủ trong suốt vụ án hay không, cũng như định giá doanh nghiệp để giúp xác định việc phân phối giá trị cuối cùng cho các tầng lớp khác nhau trong cấu trúc vốn — những phân tích quan trọng để các giám đốc hiểu và cân nhắc kỹ lưỡng khi đưa ra các quyết định then chốt.</w:t>
      </w:r>
    </w:p>
    <w:p>
      <w:pPr>
        <w:spacing w:after="80"/>
      </w:pPr>
      <w:r>
        <w:rPr>
          <w:b w:val="0"/>
          <w:i w:val="0"/>
        </w:rPr>
        <w:t xml:space="preserve">Điều quan trọng cần nhớ là các giám đốc nên giữ được sự bảo vệ của quy tắc phán đoán kinh doanh (business judgment rule) dù công ty còn khả năng thanh toán hay đã mất khả năng thanh toán. Như đã thảo luận trước đó, miễn là các giám đốc hoàn thành nghĩa vụ cẩn trọng và trung thành (duties of care and loyalty), họ có thể mong được miễn trách nhiệm cho các hành động được thực hiện với thiện chí (good faith) dựa trên niềm tin rằng họ đang hành động vì lợi ích tốt nhất của công ty. Tòa án Đại chưởng Delaware (Delaware Court of Chancery) đã viết trong vụ </w:t>
      </w:r>
      <w:r>
        <w:rPr>
          <w:b w:val="0"/>
          <w:i/>
        </w:rPr>
        <w:t>Quadrant v. Vertin</w:t>
      </w:r>
      <w:r>
        <w:rPr>
          <w:b w:val="0"/>
          <w:i w:val="0"/>
        </w:rPr>
        <w:t xml:space="preserve"> rằng các giám đốc không phải chịu trách nhiệm vì "tiếp tục vận hành [một] thực thể mất khả năng thanh toán với niềm tin thiện chí rằng họ có thể đạt được lợi nhuận, ngay cả khi các quyết định của họ cuối cùng dẫn đến tổn thất lớn hơn cho các chủ nợ."50 Tất nhiên, việc các giám đốc của các công ty gặp khó khăn — bao gồm cả những công ty sắp nộp đơn tái cấu trúc tại tòa án — xác nhận rằng có một lượng bảo hiểm D&amp;O phù hợp được cung cấp bởi các bên có uy tín tín dụng là điều khôn ngoan.</w:t>
      </w:r>
    </w:p>
    <w:p>
      <w:pPr>
        <w:pStyle w:val="Heading2"/>
      </w:pPr>
      <w:r>
        <w:rPr>
          <w:rFonts w:ascii="Calibri" w:hAnsi="Calibri"/>
          <w:b/>
          <w:i w:val="0"/>
          <w:sz w:val="32"/>
        </w:rPr>
        <w:t>Tầm quan trọng của các giám đốc độc lập</w:t>
      </w:r>
    </w:p>
    <w:p>
      <w:pPr>
        <w:spacing w:after="80"/>
      </w:pPr>
      <w:r>
        <w:rPr>
          <w:b w:val="0"/>
          <w:i w:val="0"/>
        </w:rPr>
        <w:t>Trong tình huống khó khăn, các giám đốc độc lập thường được bổ nhiệm vào một công ty mẹ và/hoặc các công ty con khác nhau để giúp tránh xung đột lợi ích khi công ty đưa ra các quyết định tài chính có thể có lợi cho chủ nợ này hơn chủ nợ khác, hoặc giải quyết lợi ích của một chủ sở hữu là hãng đầu tư, tạo dựng hồ sơ quản trị công ty tốt, và duy trì tiêu chuẩn phán đoán kinh doanh. Ngoài ra, hầu hết các giám đốc công ty không có kinh nghiệm tái cấu trúc, và việc có một hoặc nhiều giám đốc độc lập hiểu rõ quy trình và có thể giúp hội đồng quản trị và ban điều hành là điều có giá trị. Điều này có thể đúng ngay cả khi việc nộp đơn theo Chương 11 (Chapter 11) còn chưa chắc chắn.</w:t>
      </w:r>
    </w:p>
    <w:p>
      <w:pPr>
        <w:spacing w:after="80"/>
      </w:pPr>
      <w:r>
        <w:rPr>
          <w:b w:val="0"/>
          <w:i w:val="0"/>
        </w:rPr>
        <w:t>Thẩm phán Drain thấy giá trị to lớn ở các giám đốc độc lập, miễn là họ hoàn thành nghĩa vụ ủy thác của mình và không hành động vì lợi ích của một bên liên quan cụ thể đã chịu trách nhiệm bổ nhiệm họ: "Họ đã từng trải qua chuyện này rồi. Họ biết mình có thể bắt kịp rất nhanh."</w:t>
      </w:r>
    </w:p>
    <w:p>
      <w:pPr>
        <w:spacing w:after="80"/>
      </w:pPr>
      <w:r>
        <w:rPr>
          <w:b w:val="0"/>
          <w:i w:val="0"/>
        </w:rPr>
        <w:t xml:space="preserve">Vào mùa thu năm 2022, như một ví dụ, công ty thuốc lá điện tử Juul Labs đã bổ sung hai chuyên gia tái cấu trúc vào hội đồng quản trị khi công ty tìm kiếm một giải pháp cứu trợ tài chính. Công ty nói với </w:t>
      </w:r>
      <w:r>
        <w:rPr>
          <w:b w:val="0"/>
          <w:i/>
        </w:rPr>
        <w:t>Wall Street Journal</w:t>
      </w:r>
      <w:r>
        <w:rPr>
          <w:b w:val="0"/>
          <w:i w:val="0"/>
        </w:rPr>
        <w:t xml:space="preserve">: "[Kinh nghiệm] rộng rãi của các giám đốc độc lập với các công ty đang khám phá các lựa chọn chiến lược sẽ giúp xác định con đường nào là tốt nhất cho công ty chúng tôi."51 Đến tháng 1 năm 2024, công ty vẫn chưa nộp đơn phá sản và đã huy động được 1,27 tỷ đô la vốn mới. Vào cuối năm 2023, "WeWork đã cải tổ hội đồng quản trị sau khi ba giám đốc từ chức vì bất đồng về quản trị và chiến lược," theo báo cáo của </w:t>
      </w:r>
      <w:r>
        <w:rPr>
          <w:b w:val="0"/>
          <w:i/>
        </w:rPr>
        <w:t>Wall Street Journal</w:t>
      </w:r>
      <w:r>
        <w:rPr>
          <w:b w:val="0"/>
          <w:i w:val="0"/>
        </w:rPr>
        <w:t>, "thay thế họ bằng các chuyên gia phá sản doanh nghiệp khi công ty đặt dấu hỏi về khả năng tồn tại trước những biến động trên thị trường tòa nhà văn phòng. . . . Các giám đốc độc lập có trọng lượng tại tòa án phá sản, nơi các thẩm phán có xu hướng tin theo kết luận của họ về cách tái cấu trúc doanh nghiệp một cách công bằng."52</w:t>
      </w:r>
    </w:p>
    <w:p>
      <w:pPr>
        <w:spacing w:after="80"/>
      </w:pPr>
      <w:r>
        <w:rPr>
          <w:b w:val="0"/>
          <w:i w:val="0"/>
        </w:rPr>
        <w:t>Thẩm phán Drain tin rằng "các giám đốc độc lập có kinh nghiệm liên quan có thể giúp phần còn lại của hội đồng quản trị đi qua quy trình và gánh bớt một phần gánh nặng cho phần còn lại của hội đồng quản trị và ban điều hành để doanh nghiệp có thể tiếp tục vận hành trơn tru. Họ cũng có thể điều phối liên lạc và giám sát các cố vấn theo cách có thể hỗ trợ quy trình."</w:t>
      </w:r>
    </w:p>
    <w:p>
      <w:pPr>
        <w:spacing w:after="80"/>
      </w:pPr>
      <w:r>
        <w:rPr>
          <w:b w:val="0"/>
          <w:i w:val="0"/>
        </w:rPr>
        <w:t>Thẩm phán Shelley Chapman là cố vấn cấp cao trong Phòng Tổ chức lại và Tái cấu trúc Kinh doanh, đồng thời là chủ tịch nhóm thực hành Giải quyết Tranh chấp Thay thế (Alternative Dispute Resolution) tại Willkie, nơi bà từng là đối tác từ năm 2001 đến năm 2010. Trước khi trở lại Willkie vào năm 2022, bà đã là thẩm phán phá sản liên bang cho Quận Nam New York trong 12 năm. Trong số các vụ án khác, bà đã giám sát vụ phá sản Lehman Brothers, vụ phá sản lớn nhất trong lịch sử. Tôi đã làm chứng trước bà khá lâu trong vụ Sabine Oil &amp; Gas theo Chương 11 với tư cách là giám đốc độc lập của Sabine. Trong vụ đó, ủy ban chủ nợ tìm kiếm quyền hoặc "tư cách đứng kiện" (standing) để khởi tố nhiều khiếu nại khác nhau thay mặt cho công ty mà hội đồng quản trị Sabine đã đánh giá và quyết định không theo đuổi. Thẩm phán Chapman đã phán quyết ủng hộ công ty và chống lại các chủ nợ về tất cả các khiếu nại, và thật tốt khi bà đã nói trong ý kiến của mình rằng "lời khai của ông Foster cho thấy sự nắm bắt thành thạo các khiếu nại tiềm tàng phức tạp và đa dạng đang được bàn đến."</w:t>
      </w:r>
    </w:p>
    <w:p>
      <w:pPr>
        <w:spacing w:after="80"/>
      </w:pPr>
      <w:r>
        <w:rPr>
          <w:b w:val="0"/>
          <w:i w:val="0"/>
        </w:rPr>
        <w:t>“Làm giám đốc của một công ty đang gặp khó khăn là một thách thức và trách nhiệm rất lớn,” bà nói với tôi. Ellias đồng ý với Thẩm phán Drain và Chapman: “Việc đưa một chuyên gia độc lập vào hội đồng quản trị trước khi phá sản để giúp dẫn dắt quá trình đã trở thành một chuẩn mực, nhưng tôi nghĩ nó sẽ trở thành chuẩn mực phổ quát trong vài năm tới, giống như cách các công ty được tư vấn kỹ lưỡng nộp đơn phá sản với kế hoạch tài chính và kế hoạch khuyến khích nhân viên chủ chốt cho ban lãnh đạo cấp cao đã sẵn sàng.”</w:t>
      </w:r>
    </w:p>
    <w:p>
      <w:pPr>
        <w:spacing w:after="80"/>
      </w:pPr>
      <w:r>
        <w:rPr>
          <w:b w:val="0"/>
          <w:i w:val="0"/>
        </w:rPr>
        <w:t>Tôi nên lưu ý rằng Giáo sư Ellias thích thuật ngữ “giám đốc phá sản” (bankruptcy director) hơn “giám đốc độc lập” (independent director). Ông giải thích rằng ông “thấy thuật ngữ giám đốc độc lập gây nhầm lẫn, vì bình thường chúng ta nghĩ về giám đốc độc lập như những người bảo vệ không sợ hãi cho lợi ích của cổ đông, trong khi giám đốc phá sản thường tự nhận mình là những chuyên gia khách quan chỉ đang cố làm điều đúng đắn.” Đây là một điểm hay.</w:t>
      </w:r>
    </w:p>
    <w:p>
      <w:pPr>
        <w:spacing w:after="80"/>
      </w:pPr>
      <w:r>
        <w:rPr>
          <w:b w:val="0"/>
          <w:i w:val="0"/>
        </w:rPr>
        <w:t>Đồng thời, gần đây đã có một số nghi vấn về các giám đốc độc lập trong các cuộc tái cấu trúc. Thực tế, ban đầu tôi liên hệ với Giáo sư Ellias vì tôi không đồng ý với một bài báo mà ông viết cùng Ehud Kamar và Kobi Kastiel của Đại học Tel Aviv, trong đó lập luận rằng “những người ủng hộ [giám đốc độc lập hoặc giám đốc phá sản] ca ngợi kinh nghiệm và khả năng của họ trong việc đẩy nhanh quá trình tái tổ chức và do đó bảo vệ khả năng tồn tại của công ty cũng như việc làm của nhân viên. Những người phản đối lập luận rằng họ mắc phải xung đột lợi ích gây tổn hại cho các chủ nợ.”53 Bài viết này đã được nhiều người trong hệ sinh thái tái cấu trúc đọc với sự quan tâm thực sự—bao gồm cả tôi.</w:t>
      </w:r>
    </w:p>
    <w:p>
      <w:pPr>
        <w:spacing w:after="80"/>
      </w:pPr>
      <w:r>
        <w:rPr>
          <w:b w:val="0"/>
          <w:i w:val="0"/>
        </w:rPr>
        <w:t>Trong bài báo này, Ellias và các đồng nghiệp báo cáo rằng họ phát hiện tỷ lệ thu hồi cho các chủ nợ không được bảo đảm trung bình thấp hơn khoảng 20 phần trăm khi có một giám đốc phá sản. Họ cũng tìm thấy lý do để nghi ngờ xu hướng thiên vị cổ đông, ở chỗ các cổ đông (thường là các công ty cổ phần tư nhân) thường bổ nhiệm những giám đốc này mà không tham khảo ý kiến chủ nợ, và hệ sinh thái này tương đối nhỏ, với cùng những giám đốc được bổ nhiệm hết lần này đến lần khác. Họ xác định “sức hấp dẫn của các hợp đồng trong tương lai” là một xung đột tiềm ẩn đối với những giám đốc này.</w:t>
      </w:r>
    </w:p>
    <w:p>
      <w:pPr>
        <w:spacing w:after="80"/>
      </w:pPr>
      <w:r>
        <w:rPr>
          <w:b w:val="0"/>
          <w:i w:val="0"/>
        </w:rPr>
        <w:t>Là một giám đốc độc lập có kinh nghiệm trong các cuộc tái cấu trúc, tôi không đặt nhiều niềm tin vào nghiên cứu này và không đồng ý với cáo buộc “sức hấp dẫn của các hợp đồng trong tương lai”. Có vô số lý do khiến các chủ nợ có thể thu hồi nhiều hơn hoặc ít hơn, và những điều này chắc chắn nằm ngoài tầm kiểm soát của các giám đốc độc lập tại công ty mẹ và bất kỳ công ty con nào. Thường chỉ có một hoặc hai giám đốc độc lập tại những công ty này, không phải đa số. Do đó, một nghiên cứu tìm cách đánh giá các giám đốc độc lập ít nhất một phần dựa trên tỷ lệ thu hồi của chủ nợ có vẻ ít có ý nghĩa đối với tôi.</w:t>
      </w:r>
    </w:p>
    <w:p>
      <w:pPr>
        <w:spacing w:after="80"/>
      </w:pPr>
      <w:r>
        <w:rPr>
          <w:b w:val="0"/>
          <w:i w:val="0"/>
        </w:rPr>
        <w:t>Giáo sư Ellias đã nói chuyện với tôi rất lâu. Ông làm rõ rằng phát hiện của ông về tỷ lệ thu hồi thấp hơn khi có giám đốc phá sản không có nghĩa là “có mối quan hệ nhân quả nào đó giữa giám đốc và tỷ lệ thu hồi của chủ nợ.” Nhiều khả năng hơn, “các giám đốc phá sản có mặt trong những tình huống khó khăn hơn, và tôi nghĩ đó là những gì bạn thấy khi phát hiện rằng tỷ lệ thu hồi của chủ nợ tương đối thấp hơn. Những giám đốc này về cơ bản là những bác sĩ phẫu thuật chấn thương chuyên môn được đưa đến khi bệnh nhân bị thương đặc biệt nặng.”</w:t>
      </w:r>
    </w:p>
    <w:p>
      <w:pPr>
        <w:spacing w:after="80"/>
      </w:pPr>
      <w:r>
        <w:rPr>
          <w:b w:val="0"/>
          <w:i w:val="0"/>
        </w:rPr>
        <w:t>Về “sức hấp dẫn của hợp đồng” và hàm ý rằng các giám đốc độc lập không có đạo đức cao, điều không đúng với kinh nghiệm của tôi và là một khẳng định tôi thấy bất công, Ellias cũng đã làm rõ:</w:t>
      </w:r>
    </w:p>
    <w:p>
      <w:pPr>
        <w:spacing w:after="80"/>
      </w:pPr>
      <w:r>
        <w:rPr>
          <w:b w:val="0"/>
          <w:i w:val="0"/>
        </w:rPr>
        <w:t>Câu hỏi chúng tôi đặt ra là những động cơ lệch lạc nào có thể bóp méo các quyết định của giám đốc độc lập. Điều đó không có nghĩa là mọi quyết định của giám đốc độc lập đều bị bóp méo bởi những động cơ đó, mà thay vào đó là, những điều chúng ta cần nghĩ đến để phòng ngừa là gì? Chúng tôi không giả định rằng mọi người sẽ luôn làm điều đúng đắn. Luật doanh nghiệp không đưa ra giả định đó; luật doanh nghiệp tin rằng bạn cần có những rào chắn bảo vệ. Động lực người chơi lặp lại không chỉ riêng có ở các giám đốc độc lập trong Chương 11. Các luật sư phá sản, các thẩm phán phá sản, toàn bộ Chương 11 là một thế giới của những người chơi lặp lại, và theo nhiều cách, điều đó rất lành mạnh. Chúng ta có các quy tắc công bố thông tin nói chung, nhưng vì bộ luật [phá sản] không dự liệu vai trò giám đốc phá sản này, nên không có quy tắc xung đột đạo đức nào ở đây, và đó là điều tôi nghĩ các thẩm phán cần xem xét.</w:t>
      </w:r>
    </w:p>
    <w:p>
      <w:pPr>
        <w:spacing w:after="80"/>
      </w:pPr>
      <w:r>
        <w:rPr>
          <w:b w:val="0"/>
          <w:i w:val="0"/>
        </w:rPr>
        <w:t>Đó là một điểm hợp lý.</w:t>
      </w:r>
    </w:p>
    <w:p>
      <w:pPr>
        <w:spacing w:after="80"/>
      </w:pPr>
      <w:r>
        <w:rPr>
          <w:b w:val="0"/>
          <w:i w:val="0"/>
        </w:rPr>
        <w:t>Tất nhiên, “sức hấp dẫn của hợp đồng” tồn tại trong nhiều tình huống ngoài phá sản. Ví dụ, một chuyên gia ngân hàng đầu tư có thể bị cáo buộc khuyến khích một giao dịch không hấp dẫn để kiếm phí tùy thuộc hoặc phí thành công từ khách hàng, và một giám đốc của công ty đại chúng có thể bị cáo buộc phê duyệt mức thù lao cao cho một CEO để khuyến khích việc giám đốc đó liên tục được tái bổ nhiệm vào hội đồng quản trị.</w:t>
      </w:r>
    </w:p>
    <w:p>
      <w:pPr>
        <w:spacing w:after="80"/>
      </w:pPr>
      <w:r>
        <w:rPr>
          <w:b w:val="0"/>
          <w:i w:val="0"/>
        </w:rPr>
        <w:t>“Tôi nghĩ rằng các tòa án,” Thẩm phán Drain nói thêm, “ngay cả trước khi bài báo đó ra đời, đã nhận thức được mối lo ngại đó và đang tập trung vào các lập trường mà các giám đốc độc lập đang đưa ra thay vì danh tính của họ. Bạn thiết lập tông điệu với những giám đốc đó và nói với họ, này, đây là những gì chúng tôi mong đợi ở đây. Chúng tôi sẽ không thể điều hành vụ án này nếu bạn đến với bất cứ điều gì khác ngoài nhiệm vụ đạt được thỏa thuận tốt nhất, xét đến tất cả các yếu tố mà bạn phải cân nhắc.”</w:t>
      </w:r>
    </w:p>
    <w:p>
      <w:pPr>
        <w:spacing w:after="80"/>
      </w:pPr>
      <w:r>
        <w:rPr>
          <w:b w:val="0"/>
          <w:i w:val="0"/>
        </w:rPr>
        <w:t>Thực tế là chắc chắn có một số chuyên gia trong các bối cảnh khác nhau không làm tốt công việc của họ, nhưng như đã thảo luận xuyên suốt cuốn sách này, quản trị đã cải thiện rất đáng kể theo thời gian. Ngoài ra, như trong bất kỳ doanh nghiệp nào, các nhóm liên quan khác nhau, từ cổ đông đến cố vấn công ty đến chủ nợ và những người khác, đều biết ai là những giám đốc độc lập hiệu quả nhất. Tôi thường được các luật sư và chủ nợ giới thiệu nhưng luôn được bổ nhiệm bởi công ty hoặc con nợ. Cuối cùng, tôi chỉ tham gia vào các cuộc tái cấu trúc cho nhiều công ty thuộc sở hữu của cùng một công ty cổ phần tư nhân ba lần.</w:t>
      </w:r>
    </w:p>
    <w:p>
      <w:pPr>
        <w:spacing w:after="80"/>
      </w:pPr>
      <w:r>
        <w:rPr>
          <w:b w:val="0"/>
          <w:i w:val="0"/>
        </w:rPr>
        <w:t>Trong số các vấn đề chính mà một giám đốc độc lập thường giải quyết trong một cuộc tái cấu trúc là liệu tài sản phá sản có khiếu nại pháp lý có cơ sở hoặc có khả năng thành công chống lại một hoặc nhiều bên mà sẽ là tài sản tiềm năng của tài sản phá sản hay không, và liệu các bên thứ ba không phải con nợ khác nhau có nên được giải phóng khỏi bất kỳ trách nhiệm tiềm ẩn nào sau khi thoát khỏi phá sản hay không. Một cuộc điều tra thường được thực hiện bởi một công ty luật độc lập do một hoặc nhiều giám đốc độc lập giám sát.</w:t>
      </w:r>
    </w:p>
    <w:p>
      <w:pPr>
        <w:spacing w:after="80"/>
      </w:pPr>
      <w:r>
        <w:rPr>
          <w:b w:val="0"/>
          <w:i w:val="0"/>
        </w:rPr>
        <w:t>Trong vụ phá sản GenesisCare, nơi tôi là giám đốc độc lập duy nhất và do đó là thành viên duy nhất của ủy ban đặc biệt cũng như chủ tịch công ty mẹ, tôi đã giám sát một cuộc điều tra chi tiết kéo dài nhiều tháng do cố vấn đặc biệt thực hiện. Sau nhiều công việc và thảo luận sâu rộng, ủy ban đặc biệt đã đề xuất, và công ty đã đồng ý, không cấp cho một số cựu quan chức và giám đốc sự giải phóng khỏi trách nhiệm tiềm ẩn theo kế hoạch tái tổ chức.</w:t>
      </w:r>
    </w:p>
    <w:p>
      <w:pPr>
        <w:spacing w:after="80"/>
      </w:pPr>
      <w:r>
        <w:rPr>
          <w:b w:val="0"/>
          <w:i w:val="0"/>
        </w:rPr>
        <w:t>Việc giải phóng cũng gây chú ý trên truyền thông vào tháng 2 năm 2024 trong một vụ án mà Boy Scouts đã đạt được thỏa thuận dàn xếp 2,5 tỷ đô la với hơn 82.000 nạn nhân liên quan đến các khiếu nại về lạm dụng tình dục trong nhiều thập kỷ. Thỏa thuận dàn xếp đã bị đình chỉ sau khi 144 người khiếu nại kháng cáo, khẳng định rằng thỏa thuận không nên ngăn cản các khiếu nại trong tương lai chống lại các tổ chức hợp tác với Boy Scouts, bao gồm các nhà thờ, các hội đồng Boy Scouts địa phương, và các công ty bảo hiểm đã cung cấp bảo hiểm cho tổ chức này.54</w:t>
      </w:r>
    </w:p>
    <w:p>
      <w:pPr>
        <w:spacing w:after="80"/>
      </w:pPr>
      <w:r>
        <w:rPr>
          <w:b w:val="0"/>
          <w:i w:val="0"/>
        </w:rPr>
        <w:t>Nhiều người tin rằng mặc dù một số việc giải phóng có vẻ khó chịu, chúng có thể mang lại giá trị thực sự. “Tôi nghĩ rằng nếu ai đó đang đóng góp có ý nghĩa và đáng kể để giúp tạo điều kiện cho một cuộc tái tổ chức,” Sussberg nói, “mà nếu không có sự bảo vệ của việc giải phóng thì sẽ không có được, bạn phải xem xét điều đó trong những hoàn cảnh và tình huống đó bởi vì nó có nghĩa là có thể ai đó được thu hồi hoặc có thể ai đó không.”</w:t>
      </w:r>
    </w:p>
    <w:p>
      <w:pPr>
        <w:spacing w:after="80"/>
      </w:pPr>
      <w:r>
        <w:rPr>
          <w:b w:val="0"/>
          <w:i w:val="0"/>
        </w:rPr>
        <w:t>Trong trường hợp của Purdue Pharma, hãng sản xuất loại thuốc giảm đau bị chỉ trích nặng nề Oxycontin đã nộp đơn xin phá sản vào năm 2019, hàng nghìn vụ kiện chống lại công ty đã được giải quyết trong một thỏa thuận năm 2022 với số tiền hơn 10 tỷ đô la (bao gồm tới 6 tỷ đô la trực tiếp từ gia đình Sackler—những người trước đây đã kiểm soát công ty và đã rút tới 11 tỷ đô la khỏi công ty trong nhiều năm55) để chi cho việc điều trị và phòng ngừa opioid, đồng thời gia đình Sackler được giải phóng, hay miễn trừ, khỏi các vụ kiện dân sự.56 Vấn đề đặt ra là liệu trong một cuộc tái cấu trúc phá sản, các bên thứ ba không phải con nợ như gia đình Sackler, những người đã phủ nhận mọi hành vi sai trái, có thể được bảo vệ khỏi các vụ kiện dân sự trong tương lai do các bên thứ ba khác (khác với khối tài sản phá sản) đưa ra như một phần của kế hoạch tái tổ chức theo Chương 11 hay không. Lập luận chống lại điều này xoay quanh việc hệ thống phá sản vượt quá thẩm quyền khi cho phép các cá nhân được giải phóng khỏi trách nhiệm pháp lý từ các bên thứ ba, chứ không chỉ các công ty được giải phóng khỏi các nghĩa vụ có thể phải trả cho các bên thứ ba. Với 40 nghìn tỷ đô la tiền kiện tụng hiện đang chờ xử lý chống lại Purdue Pharma và gia đình Sackler, các nạn nhân lo ngại rằng việc chấp nhận thỏa thuận sẽ ngăn cản một khoản bồi thường tiềm năng lớn hơn.57 Những người ủng hộ thỏa thuận nói rằng giải pháp thay thế là nhiều năm kiện tụng không mang lại kết quả.58</w:t>
      </w:r>
    </w:p>
    <w:p>
      <w:pPr>
        <w:spacing w:after="80"/>
      </w:pPr>
      <w:r>
        <w:rPr>
          <w:b w:val="0"/>
          <w:i w:val="0"/>
        </w:rPr>
        <w:t xml:space="preserve">Vụ án này đã lên tới Tòa án Tối cao và nhận được lượng lớn tin tức đưa tin. "Có những hệ lụy khổng lồ đối với toàn bộ hoạt động phá sản doanh nghiệp [với vụ Purdue Pharma]," giáo sư luật Anthony J. Casey của Đại học Chicago nói với </w:t>
      </w:r>
      <w:r>
        <w:rPr>
          <w:b w:val="0"/>
          <w:i/>
        </w:rPr>
        <w:t>New York Times</w:t>
      </w:r>
      <w:r>
        <w:rPr>
          <w:b w:val="0"/>
          <w:i w:val="0"/>
        </w:rPr>
        <w:t xml:space="preserve"> trước khi có phán quyết. "Tôi nghĩ đây có lẽ là vụ phá sản quan trọng nhất được đưa ra trước tòa trong 30, có thể là 40 năm."59</w:t>
      </w:r>
    </w:p>
    <w:p>
      <w:pPr>
        <w:spacing w:after="80"/>
      </w:pPr>
      <w:r>
        <w:rPr>
          <w:b w:val="0"/>
          <w:i w:val="0"/>
        </w:rPr>
        <w:t>Vào tháng 6 năm 2024, Tòa án Tối cao đã ra phán quyết, với tỷ lệ 5–4, rằng gia đình Sackler thực tế không thể được che chắn khỏi các vụ kiện như một phần của thỏa thuận. Điều này có thể gây nguy hiểm cho thỏa thuận—và rất có thể là việc bồi thường kịp thời cho các nạn nhân—cũng như ảnh hưởng đến các vụ án khác đã dựa vào những lá chắn trách nhiệm tương tự.60 "Gia đình Sackler đã không nộp đơn xin phá sản và đã không đặt gần như toàn bộ tài sản của họ lên bàn để phân phối cho các chủ nợ, vậy mà họ lại tìm kiếm thứ về cơ bản tương đương với việc được xóa nợ," Thẩm phán Neil Gorsuch viết trong ý kiến của phe đa số. "Họ hy vọng giành được một lệnh tư pháp giải phóng các khiếu nại đang chờ xử lý chống lại họ do các nạn nhân opioid đưa ra. Họ tìm kiếm một lệnh cấm 'vĩnh viễn và mãi mãi' ngăn chặn các vụ kiện tương tự trong tương lai. Và họ tìm kiếm tất cả những điều này mà không có sự đồng ý của những người bị ảnh hưởng. Vậy nên câu hỏi chúng ta đối mặt rút gọn lại là liệu một tòa án trong thủ tục phá sản có thể thực sự mở rộng cho những người không phải con nợ những lợi ích của việc xóa nợ theo Chương 11 vốn thường dành riêng cho con nợ hay không. . . . Không có gì trong luật hiện hành cho phép việc xóa nợ cho Sackler."61</w:t>
      </w:r>
    </w:p>
    <w:p>
      <w:pPr>
        <w:spacing w:after="80"/>
      </w:pPr>
      <w:r>
        <w:rPr>
          <w:b w:val="0"/>
          <w:i w:val="0"/>
        </w:rPr>
        <w:t>Viết thay cho bốn thẩm phán bất đồng quan điểm, bao gồm Chánh án John Roberts, Thẩm phán Brett Kavanaugh tuyên bố, "Phán quyết hôm nay sai về mặt pháp lý và tàn khốc đối với hơn 100.000 nạn nhân opioid và gia đình họ. Phán quyết của Tòa viết lại nội dung của Bộ luật Phá sản Hoa Kỳ và hạn chế thẩm quyền lâu đời của các tòa án phá sản trong việc đưa ra biện pháp khắc phục công bằng và hợp lý cho các nạn nhân của các vụ xâm hại hàng loạt."62 Tuy nhiên, tòa án cao nhất của đất nước chúng ta đã ra phán quyết về vấn đề then chốt này trong nhiều vụ phá sản.</w:t>
      </w:r>
    </w:p>
    <w:p>
      <w:pPr>
        <w:spacing w:after="80"/>
      </w:pPr>
      <w:r>
        <w:rPr>
          <w:b w:val="0"/>
          <w:i w:val="0"/>
        </w:rPr>
        <w:t>Vào ngày 18 tháng 3 năm 2025, Purdue Pharma đã nộp một kế hoạch tái tổ chức mới trị giá 7,4 tỷ đô la. Các chủ nợ có thể chọn tham gia để ủng hộ việc giải phóng cho gia đình Sackler và do đó thu được một khoản thanh toán dàn xếp từ gia đình này, hoặc họ có thể chọn không tham gia thỏa thuận và giữ khả năng khởi kiện gia đình này. Gia đình Sackler sẽ đóng góp thêm tới 1 tỷ đô la vào kế hoạch tái tổ chức này so với số họ sẽ đóng góp vào kế hoạch được đề xuất trước đó. Công ty hy vọng sẽ thoát khỏi tình trạng phá sản vào mùa hè năm 2025.63</w:t>
      </w:r>
    </w:p>
    <w:p>
      <w:pPr>
        <w:spacing w:after="80"/>
      </w:pPr>
      <w:r>
        <w:rPr>
          <w:b w:val="0"/>
          <w:i w:val="0"/>
        </w:rPr>
        <w:t>Nhìn chung, vẫn còn thiếu rõ ràng về cách xử lý các trường hợp giải phóng cho bên thứ ba. Mặc dù rõ ràng rằng các trường hợp giải phóng cho bên thứ ba không có sự đồng ý thường không được phép, vẫn có cuộc tranh luận tiếp diễn về việc điều gì cấu thành "sự đồng ý" để cấp một trường hợp giải phóng cho bên thứ ba mà không vi phạm phán quyết của Tòa án Tối cao. Khi giải quyết vấn đề đồng ý, hầu hết các thẩm phán trước và sau vụ Purdue Pharma đều cho phép một cấu trúc giải phóng gọi là "chọn không tham gia" (opt-out) miễn là các chủ nợ có cơ hội thực sự để thực hiện quyền chọn không tham gia của họ. Theo cấu trúc này, một chủ nợ bỏ phiếu về một kế hoạch và nộp lại phiếu bầu nhưng không đánh dấu vào ô để chọn không tham gia một trường hợp giải phóng có thể được coi là đã chấp thuận việc giải phóng cho các bên thứ ba. Mặt khác, một số thẩm phán yêu cầu một cấu trúc "chọn tham gia" (opt-in) đòi hỏi hành động khẳng định của các chủ nợ để đồng ý với một trường hợp giải phóng, chẳng hạn như đánh dấu vào ô trên phiếu bầu của họ để chọn tham gia vào việc giải phóng cho các bên thứ ba.</w:t>
      </w:r>
    </w:p>
    <w:p>
      <w:pPr>
        <w:spacing w:after="80"/>
      </w:pPr>
      <w:r>
        <w:rPr>
          <w:b w:val="0"/>
          <w:i w:val="0"/>
        </w:rPr>
        <w:t>Liên quan đến việc giải phóng nhưng ít gây tranh cãi hơn là các trường hợp miễn trừ trách nhiệm (exculpations) loại bỏ trách nhiệm pháp lý cho những người tham gia vào quá trình phá sản trong một vụ án theo Chương 11, khác với hành vi trước khi có vụ án phá sản. Thẩm phán Drain lưu ý, "Tôi nghĩ các trường hợp miễn trừ trách nhiệm nên khá thường quy, đặc biệt nếu đó là vụ án mà có một nhóm chủ nợ tích cực và các giao dịch đã được tòa án phê duyệt."</w:t>
      </w:r>
    </w:p>
    <w:p>
      <w:pPr>
        <w:spacing w:after="80"/>
      </w:pPr>
      <w:r>
        <w:rPr>
          <w:b w:val="0"/>
          <w:i w:val="0"/>
        </w:rPr>
        <w:t>Tái cấu trúc là một phần quan trọng trong vòng đời của một số công ty, và điều quan trọng đối với các thành viên hội đồng quản trị là phải hiểu những vấn đề chính liên quan đến các thủ tục này. Ridings cảnh báo về việc phá sản lặp lại nếu các công ty không làm đúng: "Đó là một thách thức đối với hội đồng quản trị để có được cơ cấu vốn tốt nhất khi bạn thoát khỏi quá trình tái cấu trúc, dù là trong tòa án hay ngoài tòa án, bởi vì rất nhiều lần chúng ta thấy các công ty nộp đơn phá sản nhiều hơn một lần."</w:t>
      </w:r>
    </w:p>
    <w:p>
      <w:pPr>
        <w:spacing w:after="80"/>
      </w:pPr>
      <w:r>
        <w:rPr>
          <w:b w:val="0"/>
          <w:i w:val="0"/>
        </w:rPr>
        <w:t>Thẩm phán Chapman nói thêm, "Nhiều lần bạn sẽ nhìn vào một bộ dự báo và bạn sẽ nhìn vào những gì đã xảy ra. Và bạn sẽ hỏi, 'Họ đã nghĩ cái quái gì vậy?' Bạn tìm kiếm những lời giải thích hợp lý vì bạn giả định có thiện chí và làm việc chăm chỉ, nhưng điều quan trọng là cũng phải trình bày kịch bản xấu."</w:t>
      </w:r>
    </w:p>
    <w:p>
      <w:pPr>
        <w:spacing w:after="80"/>
      </w:pPr>
      <w:r>
        <w:rPr>
          <w:b w:val="0"/>
          <w:i w:val="0"/>
        </w:rPr>
        <w:t>Quản trị sau tái tổ chức cũng rất quan trọng. Khi còn là thẩm phán, Drain thường "sửng sốt trước thực tế rằng các bên sẽ bỏ rất nhiều công sức để đưa kế hoạch được phê chuẩn rồi sau đó lại rất ít công sức và suy nghĩ về quản trị doanh nghiệp sau đó. Họ quá tập trung vào việc thoát ra đến mức không nghĩ đến bước tiếp theo hiển nhiên."</w:t>
      </w:r>
    </w:p>
    <w:p>
      <w:pPr>
        <w:spacing w:after="80"/>
      </w:pPr>
      <w:r>
        <w:rPr>
          <w:b w:val="0"/>
          <w:i w:val="0"/>
        </w:rPr>
        <w:t>Theo nhiều cách, tái cấu trúc có thể mang lại giá trị to lớn cho nền kinh tế Hoa Kỳ. "Chúng tôi giỏi về tính minh bạch," Thẩm phán Chapman nói. "Chúng tôi giỏi về thủ tục tố tụng đúng đắn. Nhìn chung, đây là một hệ thống rất tốt."</w:t>
      </w:r>
    </w:p>
    <w:p>
      <w:pPr>
        <w:spacing w:after="80"/>
      </w:pPr>
      <w:r>
        <w:rPr>
          <w:b w:val="0"/>
          <w:i w:val="0"/>
        </w:rPr>
        <w:t>"Tôi nghĩ luận điểm đằng sau bộ luật phá sản là một công ty còn sống có giá trị hơn một công ty đã chết," Sussberg nói thêm. "Và chúng ta đã thấy điều đó hết lần này đến lần khác. Khi các công ty thanh lý, có ít việc làm hơn, ít thương mại hơn, và ít khả năng hơn để mọi người có thể thu hồi những gì họ có thể đã mất theo thời gian. Có rất nhiều, rất nhiều công ty, một số công ty lớn nhất thế giới, đã tái tổ chức theo Chương 11 vì nhiều lý do khác nhau và tiếp tục hoạt động, tiếp tục tạo ra giá trị và cung cấp dịch vụ cho hàng triệu, hàng triệu, hàng triệu người. Và vì vậy tôi nghĩ bộ luật phá sản đang hoạt động hiệu quả."</w:t>
      </w:r>
    </w:p>
    <w:p>
      <w:pPr>
        <w:pStyle w:val="Heading1"/>
      </w:pPr>
      <w:r>
        <w:rPr>
          <w:rFonts w:ascii="Calibri" w:hAnsi="Calibri"/>
          <w:b/>
          <w:i w:val="0"/>
          <w:sz w:val="40"/>
        </w:rPr>
        <w:t>Chương 10</w:t>
      </w:r>
    </w:p>
    <w:p>
      <w:pPr>
        <w:pStyle w:val="Heading1"/>
      </w:pPr>
      <w:r>
        <w:rPr>
          <w:rFonts w:ascii="Calibri" w:hAnsi="Calibri"/>
          <w:b/>
          <w:i w:val="0"/>
          <w:sz w:val="40"/>
        </w:rPr>
        <w:t>Các vấn đề Môi trường, Xã hội và Quản trị</w:t>
      </w:r>
    </w:p>
    <w:p>
      <w:pPr>
        <w:spacing w:after="80"/>
      </w:pPr>
      <w:r>
        <w:rPr>
          <w:b w:val="0"/>
          <w:i w:val="0"/>
        </w:rPr>
        <w:t>Như đã đề cập lần đầu trong chương 2, đó là năm 1970 khi nhà kinh tế học Milton Friedman viết rằng trách nhiệm duy nhất của doanh nghiệp là tăng lợi nhuận. Tuy nhiên, bất kỳ giám đốc, lãnh đạo điều hành hay nhà đầu tư nào trong hơn 30 năm qua sẽ là thiếu sót nếu bỏ qua sự trỗi dậy—và có lẽ là sự suy tàn, hoặc ít nhất là sự suy yếu nếu bạn nhìn vào các xu hướng gần đây nhất—của ESG và cách những lo ngại về môi trường (E) và các vấn đề xã hội (S) và quản trị doanh nghiệp (G) đã trở thành một phần quan trọng trong các cuộc trò chuyện tại phòng họp hội đồng quản trị, tại các hội nghị nhà đầu tư và trong các diễn đàn liên quan.</w:t>
      </w:r>
    </w:p>
    <w:p>
      <w:pPr>
        <w:spacing w:after="80"/>
      </w:pPr>
      <w:r>
        <w:rPr>
          <w:b w:val="0"/>
          <w:i w:val="0"/>
        </w:rPr>
        <w:t>Các vấn đề ESG mà nhà đầu tư chú ý nhất đã phát triển qua những năm gần đây—từ nhân quyền đến biến đổi khí hậu và các vấn đề về đa dạng, bao gồm công lý chủng tộc—nhưng đồng thời, tiền đề của ESG cũng đã phát triển. Ba mươi năm trước, ESG được thúc đẩy bởi ý tưởng rằng các công ty nên quan tâm đến những vấn đề ngoài lợi nhuận. Giờ đây, những người ủng hộ phong trào ESG lập luận rằng việc quan tâm đến những vấn đề này, và hành động theo cách thể hiện sự quan tâm đó, thực tế dẫn đến lợi nhuận cao hơn và rằng việc cải thiện hiệu quả về các chủ đề ESG không chỉ là một lợi ích công cộng mà còn có thể là một lợi thế cạnh tranh.</w:t>
      </w:r>
    </w:p>
    <w:p>
      <w:pPr>
        <w:spacing w:after="80"/>
      </w:pPr>
      <w:r>
        <w:rPr>
          <w:b w:val="0"/>
          <w:i w:val="0"/>
        </w:rPr>
        <w:t>Nhưng lại có những người khác nói rằng chúng ta đã đi quá xa và rằng ESG không chỉ bất khả thi để đo lường một cách khách quan—với các thước đo khác nhau tạo ra những danh sách công ty hoạt động tốt nhất mâu thuẫn nhau—mà còn kéo hội đồng quản trị và ban lãnh đạo rời xa trách nhiệm tối hậu của họ là mang lại lợi nhuận cho cổ đông.</w:t>
      </w:r>
    </w:p>
    <w:p>
      <w:pPr>
        <w:spacing w:after="80"/>
      </w:pPr>
      <w:r>
        <w:rPr>
          <w:b w:val="0"/>
          <w:i w:val="0"/>
        </w:rPr>
        <w:t>Trong chương này, tôi sẽ phác họa sự trỗi dậy của ESG và làn sóng phản đối gần đây chống lại nó, rồi sau đó thảo luận về vấn đề rộng lớn hơn là chủ nghĩa tư bản cổ đông so với chủ nghĩa tư bản các bên liên quan và những hàm ý đối với các giám đốc ngày nay: Liệu họ nên tìm cách tối đa hóa giá trị cho cổ đông hay cho các bên liên quan rộng hơn?</w:t>
      </w:r>
    </w:p>
    <w:p>
      <w:pPr>
        <w:pStyle w:val="Heading2"/>
      </w:pPr>
      <w:r>
        <w:rPr>
          <w:rFonts w:ascii="Calibri" w:hAnsi="Calibri"/>
          <w:b/>
          <w:i w:val="0"/>
          <w:sz w:val="32"/>
        </w:rPr>
        <w:t>Sự trỗi dậy của ESG</w:t>
      </w:r>
    </w:p>
    <w:p>
      <w:pPr>
        <w:spacing w:after="80"/>
      </w:pPr>
      <w:r>
        <w:rPr>
          <w:b w:val="0"/>
          <w:i w:val="0"/>
        </w:rPr>
        <w:t>Phong trào ESG phát triển từ làn sóng rộng lớn hơn hướng tới trách nhiệm xã hội của doanh nghiệp, khởi đầu vào những năm 1970—một thời kỳ cải cách xã hội nói chung—khi chính phủ Hoa Kỳ bắt đầu điều tiết thương mại theo những cách quan tâm đến xã hội mà trước đây chưa từng có, thành lập Cơ quan Bảo vệ Môi trường (Environmental Protection Agency), Ủy ban An toàn Sản phẩm Tiêu dùng (Consumer Product Safety Commission), Cơ quan Quản lý An toàn và Sức khỏe Nghề nghiệp (Occupational Safety and Health Administration), và các tổ chức tương tự khác.1 Các tập đoàn được kỳ vọng sẽ nhìn nhận tác động của mình một cách rộng hơn, không chỉ qua lăng kính cổ đông đơn thuần mà còn xem xét cách hành vi của họ ảnh hưởng đến tất cả các bên liên quan (nhân viên, khách hàng, cộng đồng, v.v.).</w:t>
      </w:r>
    </w:p>
    <w:p>
      <w:pPr>
        <w:spacing w:after="80"/>
      </w:pPr>
      <w:r>
        <w:rPr>
          <w:b w:val="0"/>
          <w:i w:val="0"/>
        </w:rPr>
        <w:t>Chính quyền Reagan vào những năm 1980 đã đưa trọng tâm trở lại với việc doanh nghiệp tự điều chỉnh, vì các mệnh lệnh của chính phủ không được ưa chuộng về mặt chính trị, nhưng những thảm họa công nghiệp như vụ nổ nhà máy Union Carbide ở Ấn Độ khiến hàng nghìn người thiệt mạng và, cùng thời điểm đó, một động thái cấm đầu tư của Hoa Kỳ vào Nam Phi do lo ngại về chế độ apartheid đã khiến các nhà đầu tư khăng khăng rằng các tập đoàn phải có trách nhiệm hơn chứ không chỉ tập trung vào lợi nhuận.2</w:t>
      </w:r>
    </w:p>
    <w:p>
      <w:pPr>
        <w:spacing w:after="80"/>
      </w:pPr>
      <w:r>
        <w:rPr>
          <w:b w:val="0"/>
          <w:i w:val="0"/>
        </w:rPr>
        <w:t>Đà phát triển dẫn đến phong trào ESG ngày nay bắt đầu tích tụ. Năm 1990, chỉ số đầu tư có trách nhiệm xã hội đầu tiên được MSCI ra mắt, một công ty đại chúng độc lập mà ban đầu là Morgan Stanley Capital International trước khi được tách ra vào năm 2009.3 Năm 1992, Chương trình Môi trường Liên Hợp Quốc ban hành Tuyên bố Cam kết của các Tổ chức Tài chính về Phát triển Bền vững. Các ngân hàng lớn, bao gồm Deutsche Bank, HSBC, NatWest, Royal Bank of Canada, và Westpac đã ký kết một loạt cam kết, trong đó có việc “khuyến nghị rằng các tổ chức tài chính xây dựng và công bố tuyên bố về chính sách bền vững của mình và định kỳ báo cáo về các bước họ đã thực hiện để thúc đẩy việc lồng ghép các cân nhắc về môi trường và xã hội vào hoạt động của mình.”4</w:t>
      </w:r>
    </w:p>
    <w:p>
      <w:pPr>
        <w:spacing w:after="80"/>
      </w:pPr>
      <w:r>
        <w:rPr>
          <w:b w:val="0"/>
          <w:i w:val="0"/>
        </w:rPr>
        <w:t>Năm 1994, nhà tư vấn và nhà tư tưởng tiên phong John Elkington đặt ra thuật ngữ “Triple Bottom Line” (Ba Điểm Mấu Chốt), một khuôn khổ bền vững “xem xét tác động xã hội, môi trường và kinh tế của một công ty,” tiền thân của ESG.5 Thuật ngữ ESG được công bố lần đầu trong một báo cáo của Liên Hợp Quốc (UN) năm 2004 có tựa đề “Who Cares Wins.” Báo cáo này, một sáng kiến chung giữa một số tổ chức tài chính lớn nhất thế giới, bao gồm Credit Suisse, Deutsche Bank, Goldman Sachs, Morgan Stanley, UBS, và nhiều tổ chức khác—18 tổ chức tài chính từ chín quốc gia, với tổng tài sản quản lý vượt 6 nghìn tỷ đô la—đã khuyến khích các nhà phân tích sử dụng các yếu tố ESG trong nghiên cứu của họ, các tổ chức tài chính lồng ghép chúng vào quy trình đầu tư, các nhà đầu tư tưởng thưởng cho các hành vi ESG, và các công ty “[thực hiện] các nguyên tắc và chính sách về môi trường, xã hội và quản trị doanh nghiệp và . . . ưu tiên các vấn đề môi trường, xã hội và quản trị cho phù hợp.”6</w:t>
      </w:r>
    </w:p>
    <w:p>
      <w:pPr>
        <w:spacing w:after="80"/>
      </w:pPr>
      <w:r>
        <w:rPr>
          <w:b w:val="0"/>
          <w:i w:val="0"/>
        </w:rPr>
        <w:t>Sau báo cáo đó, vào năm 2006, UN ban hành Các Nguyên tắc Đầu tư Có Trách nhiệm (Principles for Responsible Investment), yêu cầu các bên ký kết “lồng ghép các vấn đề ESG vào quá trình phân tích đầu tư và ra quyết định.”7 Dù những nỗ lực này đáng chú ý, bước tiếp theo là chuyển từ nguyên tắc sang thực hành và tìm ra cách đo lường, theo dõi hiệu quả các nỗ lực ESG của công ty để có thể xác định liệu những cam kết đã đưa ra có thực sự được thực hiện hay không.</w:t>
      </w:r>
    </w:p>
    <w:p>
      <w:pPr>
        <w:spacing w:after="80"/>
      </w:pPr>
      <w:r>
        <w:rPr>
          <w:b w:val="0"/>
          <w:i w:val="0"/>
        </w:rPr>
        <w:t>Trong thập kỷ tiếp theo, ngày càng nhiều công ty bắt đầu báo cáo về hoạt động liên quan đến ESG của mình, ngày càng nhiều quỹ đầu tư tập trung vào ESG được ra mắt, và ý tưởng rằng không thể bỏ qua các vấn đề ESG ngày càng được chấp nhận rộng rãi hơn.</w:t>
      </w:r>
    </w:p>
    <w:p>
      <w:pPr>
        <w:spacing w:after="80"/>
      </w:pPr>
      <w:r>
        <w:rPr>
          <w:b w:val="0"/>
          <w:i w:val="0"/>
        </w:rPr>
        <w:t>Như đã đề cập trong chương 8, BlackRock, được thành lập năm 1988 bởi một nhóm do Larry Fink dẫn đầu, là công ty quản lý tài sản lớn nhất thế giới. Những lá thư thường niên của Fink gửi cộng đồng doanh nghiệp ban đầu chủ yếu tập trung vào các vấn đề quản trị, nhưng trong những năm gần đây, chúng đưa ra những khuyến nghị rộng hơn về tầm quan trọng của việc nhìn xa hơn hiệu quả tài chính, bao gồm cả các vấn đề môi trường (như biến đổi khí hậu) và xã hội.8 Sự chuyển hướng này bắt đầu theo nhiều cách vào năm 2018, khi lá thư thường niên của Fink tuyên bố rằng các công ty phải hoàn thành một mục đích rộng hơn chứ không chỉ là hiệu quả tài chính mạnh mẽ:</w:t>
      </w:r>
    </w:p>
    <w:p>
      <w:pPr>
        <w:spacing w:after="80"/>
      </w:pPr>
      <w:r>
        <w:rPr>
          <w:b w:val="0"/>
          <w:i w:val="0"/>
        </w:rPr>
        <w:t>Để phát triển thịnh vượng theo thời gian, mỗi công ty không chỉ phải mang lại hiệu quả tài chính mà còn phải cho thấy cách mình đóng góp tích cực cho xã hội. Các công ty phải mang lại lợi ích cho tất cả các bên liên quan, bao gồm cổ đông, nhân viên, khách hàng, và cộng đồng nơi họ hoạt động. Không có ý thức về mục đích, không công ty nào, dù đại chúng hay tư nhân, có thể đạt được tiềm năng đầy đủ của mình. Cuối cùng nó sẽ mất giấy phép hoạt động từ các bên liên quan chủ chốt. Nó sẽ khuất phục trước những áp lực ngắn hạn để phân phối thu nhập, và trong quá trình đó, hy sinh các khoản đầu tư vào phát triển nhân viên, đổi mới sáng tạo, và chi tiêu vốn cần thiết cho tăng trưởng dài hạn.9</w:t>
      </w:r>
    </w:p>
    <w:p>
      <w:pPr>
        <w:spacing w:after="80"/>
      </w:pPr>
      <w:r>
        <w:rPr>
          <w:b w:val="0"/>
          <w:i w:val="0"/>
        </w:rPr>
        <w:t xml:space="preserve">Tờ </w:t>
      </w:r>
      <w:r>
        <w:rPr>
          <w:b w:val="0"/>
          <w:i/>
        </w:rPr>
        <w:t>New York Times</w:t>
      </w:r>
      <w:r>
        <w:rPr>
          <w:b w:val="0"/>
          <w:i w:val="0"/>
        </w:rPr>
        <w:t xml:space="preserve"> ca ngợi lá thư năm 2018 của Fink là một “khoảnh khắc bước ngoặt trên Phố Wall, một khoảnh khắc đặt ra đủ loại câu hỏi về chính bản chất của chủ nghĩa tư bản. . . . Việc nhà đầu tư lớn nhất thế giới nói [điều này] thành lời—và tuyên bố rằng ông dự định buộc các công ty phải chịu trách nhiệm—là một ví dụ sắc nét về sự tiến hóa của doanh nghiệp Hoa Kỳ.”10</w:t>
      </w:r>
    </w:p>
    <w:p>
      <w:pPr>
        <w:spacing w:after="80"/>
      </w:pPr>
      <w:r>
        <w:rPr>
          <w:b w:val="0"/>
          <w:i w:val="0"/>
        </w:rPr>
        <w:t>Áp lực đã tích tụ buộc các công ty phải giải quyết các mối quan ngại về ESG, đặc biệt là các vấn đề biến đổi khí hậu, và câu hỏi liệu các công ty nên phục vụ chỉ cổ đông hay các bên liên quan rộng hơn bắt đầu được đặt ra thường xuyên hơn.</w:t>
      </w:r>
    </w:p>
    <w:p>
      <w:pPr>
        <w:spacing w:after="80"/>
      </w:pPr>
      <w:r>
        <w:rPr>
          <w:b w:val="0"/>
          <w:i w:val="0"/>
        </w:rPr>
        <w:t>Mười tám tháng sau, Business Roundtable, một hiệp hội phi lợi nhuận gồm các CEO của nhiều công ty lớn nhất thế giới, với ban điều hành bao gồm Tim Cook của Apple, Jamie Dimon của JPMorganChase, và Mary Barra của General Motors, đã ban hành Tuyên bố năm 2019 về Mục đích của một Công ty “được ký bởi 181 CEO cam kết lãnh đạo công ty của họ vì lợi ích của tất cả các bên liên quan—khách hàng, nhân viên, nhà cung cấp, cộng đồng và cổ đông,”11 đảo ngược 22 năm trong đó tổ chức này và các thành viên của nó đã tuyên bố rằng mục đích chính của một công ty là tối đa hóa lợi nhuận cho cổ đông. Tuyên bố mới nói rằng “các công ty nên phục vụ không chỉ cổ đông của mình mà còn mang lại giá trị cho khách hàng, đầu tư vào nhân viên, đối xử công bằng với nhà cung cấp và hỗ trợ các cộng đồng nơi họ hoạt động.”12 “Dù mỗi công ty riêng lẻ của chúng ta phục vụ mục đích doanh nghiệp của riêng mình,” tuyên bố tiếp tục, “chúng ta chia sẻ một cam kết nền tảng với tất cả các bên liên quan của mình.”13</w:t>
      </w:r>
    </w:p>
    <w:p>
      <w:pPr>
        <w:spacing w:after="80"/>
      </w:pPr>
      <w:r>
        <w:rPr>
          <w:b w:val="0"/>
          <w:i w:val="0"/>
        </w:rPr>
        <w:t>Đây có lẽ là thời điểm đánh dấu việc ESG tiến lên vị trí hàng đầu trong ý thức doanh nghiệp. Đến năm 2020, 88 phần trăm các công ty đại chúng đã có các sáng kiến ESG.14 Và tính đến năm 2023, hơn ba phần tư các công ty trong S&amp;P 500 đã lồng ghép các chỉ số ESG vào kế hoạch thù lao cho ban điều hành, tăng từ mức chưa đến hai phần ba chỉ hai năm trước đó.15</w:t>
      </w:r>
    </w:p>
    <w:p>
      <w:pPr>
        <w:spacing w:after="80"/>
      </w:pPr>
      <w:r>
        <w:rPr>
          <w:b w:val="0"/>
          <w:i w:val="0"/>
        </w:rPr>
        <w:t>Năm 2021, một cuộc khảo sát của Coller Capital phát hiện rằng 47 phần trăm các nhà đầu tư vốn cổ phần tư nhân tin rằng một chính sách ESG vững mạnh sẽ cải thiện lợi nhuận dài hạn. “Việc một nửa số nhà đầu tư vốn cổ phần tư nhân nghĩ rằng đầu tư ESG tự nó sẽ thúc đẩy lợi nhuận danh mục đầu tư của họ nên là một hồi chuông cảnh tỉnh cho bất kỳ ai vẫn nghĩ ESG là một thứ ‘có thì tốt’ hay một công cụ PR,” Jeremy Coller, người sáng lập Coller Capital, nói.16</w:t>
      </w:r>
    </w:p>
    <w:p>
      <w:pPr>
        <w:spacing w:after="80"/>
      </w:pPr>
      <w:r>
        <w:rPr>
          <w:b w:val="0"/>
          <w:i w:val="0"/>
        </w:rPr>
        <w:t>Vào tháng 12 năm 2022, Deloitte, một trong những công ty kế toán thuộc “Big Four” với khoảng 450.000 nhân viên trên toàn thế giới, đã công bố một cuộc khảo sát về các công ty và việc công bố thông tin ESG của họ, phát hiện rằng các doanh nghiệp “đang bắt đầu nhìn thấy những lợi ích chiến lược có thể đạt được thông qua việc tăng cường quản trị, kiểm soát và công bố thông tin ESG.”17 Cuộc khảo sát của Deloitte cho thấy các nỗ lực ESG đã thấm nhuần khắp hầu hết các công ty, với một loạt lợi ích được kỳ vọng. Gần như tất cả các công ty (99 phần trăm) bày tỏ “sự sẵn lòng đầu tư vào các công nghệ và công cụ mới để sẵn sàng đáp ứng kỳ vọng của các bên liên quan.”18 Trong số các kết quả kinh doanh được kỳ vọng từ việc tăng cường báo cáo ESG có việc thu hút và giữ chân nhân tài, tăng hiệu quả và lợi tức đầu tư, tăng cường niềm tin với các bên liên quan, định giá sản phẩm cao cấp, nâng cao thương hiệu/uy tín, và giảm thiểu rủi ro.19</w:t>
      </w:r>
    </w:p>
    <w:p>
      <w:pPr>
        <w:spacing w:after="80"/>
      </w:pPr>
      <w:r>
        <w:rPr>
          <w:b w:val="0"/>
          <w:i w:val="0"/>
        </w:rPr>
        <w:t>Về điểm đó, cựu CEO của Caterpillar, Doug Oberhelman, nói với tôi rằng, “một công ty sẽ không tồn tại được lâu nếu không chú ý đến môi trường, chú ý đến quản trị của mình, và quan tâm đến cách mình được nhìn nhận về mặt xã hội.” Các cổ đông lớn ngày càng đòi hỏi sự chú ý đến các vấn đề ESG, trong khi các nhóm vận động ngày càng thường xuyên tấn công những công ty mà họ cho là không giải quyết những vấn đề này một cách thỏa đáng. Nhân viên và thậm chí cả khách hàng ngày càng lên tiếng về kỳ vọng của họ đối với điều gì tạo nên hành vi doanh nghiệp tốt.</w:t>
      </w:r>
    </w:p>
    <w:p>
      <w:pPr>
        <w:spacing w:after="80"/>
      </w:pPr>
      <w:r>
        <w:rPr>
          <w:b w:val="0"/>
          <w:i w:val="0"/>
        </w:rPr>
        <w:t>Sự chú ý đến các nỗ lực ESG này có thể được thấy qua việc xem xét các công ty và cả việc nhìn vào xu hướng của nhà đầu tư. Những vấn đề liên quan đến ESG nào là phù hợp cho bất kỳ công ty cụ thể nào thì khác nhau. Kristy Balsanek, đồng chủ tịch toàn cầu về Môi trường, Xã hội và Quản trị (ESG), và là đối tác tại công ty luật DLA Piper, nói với tôi rằng “mối quan tâm của mỗi công ty là khác nhau, bởi vì mỗi công ty cần đánh giá điều gì là trọng yếu đối với họ dựa trên kỳ vọng của các bên liên quan, cũng như ban lãnh đạo và chiến lược của họ là gì, nhân viên của họ là ai, và họ đang tìm cách đạt được điều gì. Phần quản trị thường bị bỏ qua, nhưng đó thực sự là chìa khóa để đảm bảo có sự giám sát, trách nhiệm và nhận thức hiệu quả trong toàn bộ doanh nghiệp.”</w:t>
      </w:r>
    </w:p>
    <w:p>
      <w:pPr>
        <w:spacing w:after="80"/>
      </w:pPr>
      <w:r>
        <w:rPr>
          <w:b w:val="0"/>
          <w:i w:val="0"/>
        </w:rPr>
        <w:t>Về các nhà đầu tư và đầu tư, tính đến năm 2023, có hơn 14.000 quỹ đầu tư ESG nắm giữ hơn 7 nghìn tỷ đô la tài sản.20 Rộng hơn, dữ liệu cho thấy có hơn 30 nghìn tỷ đô la được đầu tư vào tài sản ESG tính đến năm 2022, mặc dù con số đó đã giảm từ 35 nghìn tỷ đô la hai năm trước đó.21</w:t>
      </w:r>
    </w:p>
    <w:p>
      <w:pPr>
        <w:spacing w:after="80"/>
      </w:pPr>
      <w:r>
        <w:rPr>
          <w:b w:val="0"/>
          <w:i w:val="0"/>
        </w:rPr>
        <w:t>Ba nhánh của ESG—môi trường, xã hội và quản trị—mỗi nhánh bao gồm những vấn đề rất khác nhau, và mỗi thành phần đều đáng được xem xét chi tiết hơn.</w:t>
      </w:r>
    </w:p>
    <w:p>
      <w:pPr>
        <w:pStyle w:val="Heading2"/>
      </w:pPr>
      <w:r>
        <w:rPr>
          <w:rFonts w:ascii="Calibri" w:hAnsi="Calibri"/>
          <w:b/>
          <w:i w:val="0"/>
          <w:sz w:val="32"/>
        </w:rPr>
        <w:t>Môi trường</w:t>
      </w:r>
    </w:p>
    <w:p>
      <w:pPr>
        <w:spacing w:after="80"/>
      </w:pPr>
      <w:r>
        <w:rPr>
          <w:b w:val="0"/>
          <w:i w:val="0"/>
        </w:rPr>
        <w:t>Phần môi trường của ESG liên quan đến tác động của một công ty lên hành tinh và những vấn đề mà các công ty nên giải quyết để giúp duy trì một thế giới bền vững, nơi họ có thể hoạt động hiệu quả và hiệu suất cao.</w:t>
      </w:r>
    </w:p>
    <w:p>
      <w:pPr>
        <w:spacing w:after="80"/>
      </w:pPr>
      <w:r>
        <w:rPr>
          <w:b w:val="0"/>
          <w:i w:val="0"/>
        </w:rPr>
        <w:t>Các vấn đề môi trường là vấn đề đầu tiên trong bộ ba ESG đạt đến điểm tới hạn trong nhận thức cộng đồng. Thượng nghị sĩ Gaylord Nelson đã tổ chức Ngày Trái Đất đầu tiên vào năm 1970, với 10 phần trăm dân số Hoa Kỳ (ước tính 20 triệu người) tham dự các sự kiện liên quan đến Ngày Trái Đất.22 Cơ quan Bảo vệ Môi trường được thành lập sau đó cùng năm.23</w:t>
      </w:r>
    </w:p>
    <w:p>
      <w:pPr>
        <w:spacing w:after="80"/>
      </w:pPr>
      <w:r>
        <w:rPr>
          <w:b w:val="0"/>
          <w:i w:val="0"/>
        </w:rPr>
        <w:t>Theo Ủy ban Tiêu chuẩn Kế toán Bền vững (SASB), một tổ chức phi lợi nhuận được thành lập vào năm 2011, những vấn đề môi trường liên quan nhất ngày nay là phát thải khí nhà kính, chất lượng không khí, quản lý năng lượng, quản lý nước và nước thải, quản lý chất thải và vật liệu nguy hại, và các tác động sinh thái.24</w:t>
      </w:r>
    </w:p>
    <w:p>
      <w:pPr>
        <w:spacing w:after="80"/>
      </w:pPr>
      <w:r>
        <w:rPr>
          <w:b w:val="0"/>
          <w:i w:val="0"/>
        </w:rPr>
        <w:t xml:space="preserve">Trong khi nhiều công ty đã xem trọng những vấn đề này trong nhiều năm, </w:t>
      </w:r>
      <w:r>
        <w:rPr>
          <w:b w:val="0"/>
          <w:i/>
        </w:rPr>
        <w:t>Harvard Business Review</w:t>
      </w:r>
      <w:r>
        <w:rPr>
          <w:b w:val="0"/>
          <w:i w:val="0"/>
        </w:rPr>
        <w:t xml:space="preserve"> đã viết vào năm 2023 rằng ngay cả những “ngành được gọi là ‘khó giảm phát thải’ như xi măng, thép và nhôm . . . cũng đang bắt đầu chuyển hướng,” dẫn chứng, ví dụ, các quan hệ đối tác để phát triển công nghệ sản xuất ít hoặc không phát thải carbon.25</w:t>
      </w:r>
    </w:p>
    <w:p>
      <w:pPr>
        <w:spacing w:after="80"/>
      </w:pPr>
      <w:r>
        <w:rPr>
          <w:b w:val="0"/>
          <w:i w:val="0"/>
        </w:rPr>
        <w:t>Đã có sự chú ý đặc biệt dành cho việc công bố thông tin môi trường, khi Liên minh Châu Âu (EU) đã bắt buộc một số công bố nhất định về rủi ro khí hậu, ô nhiễm, đa dạng sinh học, và hơn thế nữa,26 và California đã trở thành tiểu bang đầu tiên của Hoa Kỳ bắt buộc các công bố tương tự—về rủi ro liên quan đến khí hậu và ô nhiễm trong toàn bộ chuỗi cung ứng và chuỗi giá trị—đối với các công ty có doanh thu hàng năm vượt quá 500 triệu đô la (đối với rủi ro tài chính liên quan đến khí hậu) và 1 tỷ đô la (đối với phát thải khí nhà kính) bắt đầu từ năm 2026.27</w:t>
      </w:r>
    </w:p>
    <w:p>
      <w:pPr>
        <w:spacing w:after="80"/>
      </w:pPr>
      <w:r>
        <w:rPr>
          <w:b w:val="0"/>
          <w:i w:val="0"/>
        </w:rPr>
        <w:t>“Hiện nay có một sự chuyển dịch trong việc công bố và báo cáo từ các khuôn khổ tự nguyện sang các yêu cầu bắt buộc,” Balsanek giải thích, “và phần lớn điều đó được thúc đẩy bởi các công ty EU hoạt động đa quốc gia [mà] hiện được yêu cầu phải báo cáo, và tại Hoa Kỳ, California thực sự đang dẫn đầu, nhưng các tiểu bang khác cũng đang có những nỗ lực trong lộ trình.”</w:t>
      </w:r>
    </w:p>
    <w:p>
      <w:pPr>
        <w:spacing w:after="80"/>
      </w:pPr>
      <w:r>
        <w:rPr>
          <w:b w:val="0"/>
          <w:i w:val="0"/>
        </w:rPr>
        <w:t>SEC đã công bố các yêu cầu công bố thông tin của mình vào tháng 3 năm 2024 để có hiệu lực bắt đầu từ năm tài chính 2025, theo đó các công ty đại chúng phải công bố phát thải khí nhà kính của họ. Tuy nhiên, những quy định này đã bị tạm dừng ngay sau khi được công bố, khi nhiều nhóm ngành công nghiệp thách thức chúng và nhiều tổng chưởng lý tiểu bang đã kiện SEC với lý do rằng cơ quan này đã vượt quá thẩm quyền theo luật định của mình.28</w:t>
      </w:r>
    </w:p>
    <w:p>
      <w:pPr>
        <w:spacing w:after="80"/>
      </w:pPr>
      <w:r>
        <w:rPr>
          <w:b w:val="0"/>
          <w:i w:val="0"/>
        </w:rPr>
        <w:t>Ngay cả khi được ban hành, các quy định mới vẫn sẽ còn kém xa so với đề xuất ban đầu của SEC, vốn sẽ yêu cầu các công ty báo cáo không chỉ phát thải trực tiếp mà còn cả một số phát thải gián tiếp nhất định. Những phát thải này được gọi là phát thải “Scope 3”, và việc đưa chúng vào kế hoạch ban đầu tháng 3 năm 2022 đã bị các công ty phản đối gay gắt với lý do rằng việc báo cáo sẽ quá nặng nề. Các công bố Scope 3 không có trong các yêu cầu cuối cùng của SEC.</w:t>
      </w:r>
    </w:p>
    <w:p>
      <w:pPr>
        <w:spacing w:after="80"/>
      </w:pPr>
      <w:r>
        <w:rPr>
          <w:b w:val="0"/>
          <w:i w:val="0"/>
        </w:rPr>
        <w:t>Giải thích ngắn gọn, phát thải Scope 1, 2 và 3 khá đơn giản: phát thải Scope 1 là từ các nguồn mà một công ty sở hữu hoặc kiểm soát (tức là nhiên liệu đốt trong lò sưởi của một tòa nhà); phát thải Scope 2 được tạo ra gián tiếp bởi các giao dịch mua của một công ty (tức là mua điện cho các cơ sở của mình); và phát thải Scope 3 là những phát thải xuất hiện ở đâu đó trong chuỗi giá trị của công ty, xảy ra do các hoạt động của công ty nhưng không phải từ các nguồn do doanh nghiệp sở hữu hoặc kiểm soát (ví dụ: đi lại công tác).29</w:t>
      </w:r>
    </w:p>
    <w:p>
      <w:pPr>
        <w:spacing w:after="80"/>
      </w:pPr>
      <w:r>
        <w:rPr>
          <w:b w:val="0"/>
          <w:i w:val="0"/>
        </w:rPr>
        <w:t>Tổ chức phi lợi nhuận về bền vững Ceres đã vận động cho việc công bố thông tin bắt buộc trong nhiều năm. “Nếu không có các công bố thông tin khí hậu rõ ràng và có thể so sánh được từ các công ty,” tổ chức này viết, “các nhà đầu tư không thể đánh giá rủi ro khí hậu cho từng khoản nắm giữ hoặc lập kế hoạch để giải quyết các rủi ro mang tính hệ thống của biến đổi khí hậu trên toàn bộ danh mục đầu tư của họ và nền kinh tế thực. . . . Việc đưa công bố rủi ro khí hậu trở thành một phần của các hồ sơ tài chính bắt buộc sẽ cải thiện đáng kể chất lượng dữ liệu cho các nhà đầu tư.”30</w:t>
      </w:r>
    </w:p>
    <w:p>
      <w:pPr>
        <w:spacing w:after="80"/>
      </w:pPr>
      <w:r>
        <w:rPr>
          <w:b w:val="0"/>
          <w:i w:val="0"/>
        </w:rPr>
        <w:t>Mặt khác, các tổ chức như Phòng Thương mại Hoa Kỳ (US Chamber of Commerce) lập luận rằng việc công bố thông tin bắt buộc là tốn kém và không khả thi, có thể quá rộng và dễ gây nhầm lẫn cho nhà đầu tư nếu thông tin thực tế không trọng yếu đối với thành công tài chính của công ty. Có một điều khoản trong quy định mới của SEC giới hạn việc công bố Phạm vi 2 (Scope 2) chỉ ở những gì được coi là trọng yếu.31 “Trong quy định đề xuất về công bố thông tin khí hậu,” Phòng Thương mại viết, “ước tính của chính SEC [cho thấy] rằng các công bố đề xuất từ chỉ một quy định này sẽ tốn kém gấp hai lần rưỡi so với tất cả các công bố hiện tại mà các công ty thực hiện, cộng lại, nâng tổng gánh nặng chi phí liên quan đến các biểu mẫu của mình từ 3,9 tỷ USD lên 10,2 tỷ USD.”32 Những phản đối như vậy đã dẫn đến các quy định cuối cùng bị làm yếu đi.</w:t>
      </w:r>
    </w:p>
    <w:p>
      <w:pPr>
        <w:spacing w:after="80"/>
      </w:pPr>
      <w:r>
        <w:rPr>
          <w:b w:val="0"/>
          <w:i w:val="0"/>
        </w:rPr>
        <w:t>Điều thú vị là không rõ liệu việc công bố bắt buộc có làm tăng lượng thông tin mà các công ty cung cấp hay không. “Tôi nghĩ sẽ có sự sụt giảm,” Balsanek dự đoán, “bởi vì trong thời gian dài theo khuôn khổ tự nguyện, mọi người đã tung ra càng nhiều thông tin càng tốt. Nhưng một khi bạn bước vào khuôn khổ bắt buộc, các công ty sẽ phải rất cẩn thận và nghiêm ngặt, và có lẽ sẽ cung cấp ít thông tin hơn nói chung.” Tất nhiên, thông tin được SEC yêu cầu và cung cấp trong các hồ sơ SEC phải có chất lượng cao hơn.</w:t>
      </w:r>
    </w:p>
    <w:p>
      <w:pPr>
        <w:pStyle w:val="Heading2"/>
      </w:pPr>
      <w:r>
        <w:rPr>
          <w:rFonts w:ascii="Calibri" w:hAnsi="Calibri"/>
          <w:b/>
          <w:i w:val="0"/>
          <w:sz w:val="32"/>
        </w:rPr>
        <w:t>Xã hội</w:t>
      </w:r>
    </w:p>
    <w:p>
      <w:pPr>
        <w:spacing w:after="80"/>
      </w:pPr>
      <w:r>
        <w:rPr>
          <w:b w:val="0"/>
          <w:i w:val="0"/>
        </w:rPr>
        <w:t>Thành phần xã hội (social) của ESG thường xoay quanh tác động của công ty đối với nhân viên, khách hàng, nhà cung cấp và cộng đồng. SASB theo dõi một số chỉ số xã hội: nhân quyền và quan hệ cộng đồng, quyền riêng tư của khách hàng, bảo mật dữ liệu, khả năng tiếp cận và chi phí phải chăng, chất lượng và an toàn sản phẩm, phúc lợi khách hàng, thực hành bán hàng và dán nhãn sản phẩm, vốn con người, thực hành lao động, sức khỏe và an toàn của nhân viên, và sự gắn kết của nhân viên, cũng như đa dạng, công bằng và hòa nhập (DEI).33 Một nghiên cứu toàn cầu năm 2021 của BNP Paribas về ESG cho thấy 51 phần trăm trong số 356 nhà đầu tư tổ chức được khảo sát cảm thấy rằng trụ cột xã hội của ESG là khó phân tích nhất do khó khăn trong việc thu thập dữ liệu và thiếu các chỉ số chuẩn.34</w:t>
      </w:r>
    </w:p>
    <w:p>
      <w:pPr>
        <w:spacing w:after="80"/>
      </w:pPr>
      <w:r>
        <w:rPr>
          <w:b w:val="0"/>
          <w:i w:val="0"/>
        </w:rPr>
        <w:t xml:space="preserve">DEI, đặc biệt, đã là một trọng tâm to lớn của chữ </w:t>
      </w:r>
      <w:r>
        <w:rPr>
          <w:b w:val="0"/>
          <w:i/>
        </w:rPr>
        <w:t>S</w:t>
      </w:r>
      <w:r>
        <w:rPr>
          <w:b w:val="0"/>
          <w:i w:val="0"/>
        </w:rPr>
        <w:t xml:space="preserve"> trong ESG. Khi thảo luận về ủy ban đề cử và quản trị trong chương 4, tôi đã đề cập đến vấn đề đa dạng ở cấp hội đồng quản trị, luật năm 2018 của California (đã bị bãi bỏ) yêu cầu hội đồng quản trị phải có một số lượng nữ giám đốc nhất định, và các nhà đầu tư tổ chức lớn tuyên bố kỳ vọng rằng hội đồng quản trị nên tăng cường đa dạng. Trong chương 11, tôi sẽ thảo luận chi tiết hơn về đa dạng hội đồng quản trị, và trong chương 12, tôi sẽ nói về đa dạng trong bối cảnh tìm kiếm CEO, nhưng tất nhiên, các nỗ lực đa dạng phải vươn xa hơn nhiều so với hội đồng quản trị và CEO.</w:t>
      </w:r>
    </w:p>
    <w:p>
      <w:pPr>
        <w:spacing w:after="80"/>
      </w:pPr>
      <w:r>
        <w:rPr>
          <w:b w:val="0"/>
          <w:i w:val="0"/>
        </w:rPr>
        <w:t>Trong một thời gian, hầu hết các hội đồng quản trị và đội ngũ quản lý của các công ty đại chúng lớn, cũng như ban lãnh đạo tại nhiều công ty và tổ chức khác, ngày càng tập trung vào việc cải thiện tính đa dạng của lực lượng lao động, phát triển nguồn ứng viên lãnh đạo cấp cao đa dạng, và cố gắng đảm bảo trả lương tương đương cho công việc tương đương ở mọi cấp độ bất kể giới tính, chủng tộc, tuổi tác và các yếu tố khác.</w:t>
      </w:r>
    </w:p>
    <w:p>
      <w:pPr>
        <w:spacing w:after="80"/>
      </w:pPr>
      <w:r>
        <w:rPr>
          <w:b w:val="0"/>
          <w:i w:val="0"/>
        </w:rPr>
        <w:t>Paula Sneed đã dành phần lớn sự nghiệp của mình để suy nghĩ về những vấn đề này. “Đã có sự tập trung lâu dài của quản trị công ty vào cả đa dạng giới tính và chủng tộc ở hội đồng quản trị. Tuy nhiên, chưa có nhiều sự tập trung vào đa dạng ở cấp C-suite (ban điều hành),” bà nói với tôi. “Đa dạng trong phòng họp hội đồng quản trị thì hữu hình vì bạn thấy hình ảnh trong các tài liệu ủy quyền. Tóm lại, tiến bộ trong đa dạng hội đồng quản trị còn hạn chế, và tiến bộ trong đa dạng cấp C-suite thì chậm chạp, đáng thất vọng và gây bực bội.”</w:t>
      </w:r>
    </w:p>
    <w:p>
      <w:pPr>
        <w:spacing w:after="80"/>
      </w:pPr>
      <w:r>
        <w:rPr>
          <w:b w:val="0"/>
          <w:i w:val="0"/>
        </w:rPr>
        <w:t>Tuy nhiên, đôi khi những lo ngại về đa dạng và cải thiện các số liệu thống kê về chủ đề này có thể khuyến khích việc cố gắng đáp ứng chỉ tiêu hơn là suy nghĩ rộng hơn. Như Mario Carbone nói với tôi, “Tôi muốn người giỏi nhất tuyệt đối, và tôi không quan tâm bạn là ai hay bạn đến từ đâu.” Bằng cách mở rộng tìm kiếm cho bất kỳ nhân viên mới nào và tìm kiếm sự đa dạng của ứng viên, kỳ vọng là sẽ tăng cường đa dạng một cách tự nhiên.</w:t>
      </w:r>
    </w:p>
    <w:p>
      <w:pPr>
        <w:spacing w:after="80"/>
      </w:pPr>
      <w:r>
        <w:rPr>
          <w:b w:val="0"/>
          <w:i w:val="0"/>
        </w:rPr>
        <w:t>Như đã đề cập trong chương 4, chính quyền và Quốc hội hiện tại đang nhanh chóng đảo ngược nhiều nỗ lực đa dạng khác nhau. Các bước tiếp theo của Nhà Trắng và Quốc hội nhằm ngăn cản hoặc cấm các sáng kiến DEI được dự kiến sẽ diễn ra. Đã có những phản ứng đáng kể. Ví dụ, ISS thông báo vào ngày 11 tháng 2 năm 2025 rằng “đối với các báo cáo cuộc họp cổ đông được công bố vào hoặc sau ngày 25 tháng 2, ISS sẽ không còn xem xét đa dạng giới tính và chủng tộc và/hoặc sắc tộc của hội đồng quản trị công ty khi đưa ra khuyến nghị bỏ phiếu liên quan đến việc bầu hoặc tái bầu giám đốc tại các công ty Hoa Kỳ.”35 Ngoài ra, một số công ty, từ JetBlue đến KKR, đã đưa DEI vào như một “yếu tố rủi ro” trong các hồ sơ SEC của họ. Các bình luận bao gồm những lo ngại về rủi ro pháp lý, danh tiếng, tuyển dụng, giữ chân nhân viên, đầu tư và huy động vốn nếu những kỳ vọng khác nhau giữa các bên liên quan không được quản lý hiệu quả.</w:t>
      </w:r>
    </w:p>
    <w:p>
      <w:pPr>
        <w:spacing w:after="80"/>
      </w:pPr>
      <w:r>
        <w:rPr>
          <w:b w:val="0"/>
          <w:i w:val="0"/>
        </w:rPr>
        <w:t>Mặc dù SEC hiện không bắt buộc công bố thông tin về các vấn đề xã hội, bao gồm đa dạng, điều này có thể sắp đến. “Chúng tôi đã thêm các công bố xung quanh thảo luận và phân tích của ban quản lý [về kết quả tài chính] khoảng 40 đến 50 năm trước,” Gary Gensler, khi đó là chủ tịch SEC, nói vào năm 2023. “Chúng tôi đã thêm các công bố về môi trường vào những năm 1970; chúng tôi đã thêm các công bố về thù lao điều hành, v.v. Điều đó có ý nghĩa gì đối với những năm 2020? Có hàng chục nghìn tỷ đô la tài sản được quản lý và các nhà đầu tư đang mong đợi các công ty công bố thông tin về rủi ro khí hậu và rủi ro mạng. Dựa trên công việc của những người tiền nhiệm ở vị trí này, chúng tôi cũng đang xem xét các công bố về lực lượng lao động hay cái mà người ta có thể gọi là ‘vốn con người’. . . . Có lợi ích từ một số tiêu chuẩn hóa, để đạt được tính nhất quán, khả năng so sánh và tính hữu ích cho việc ra quyết định.”36 Tuy nhiên, môi trường chính trị đã thay đổi đáng kể.</w:t>
      </w:r>
    </w:p>
    <w:p>
      <w:pPr>
        <w:pStyle w:val="Heading2"/>
      </w:pPr>
      <w:r>
        <w:rPr>
          <w:rFonts w:ascii="Calibri" w:hAnsi="Calibri"/>
          <w:b/>
          <w:i w:val="0"/>
          <w:sz w:val="32"/>
        </w:rPr>
        <w:t>Quản trị</w:t>
      </w:r>
    </w:p>
    <w:p>
      <w:pPr>
        <w:spacing w:after="80"/>
      </w:pPr>
      <w:r>
        <w:rPr>
          <w:b w:val="0"/>
          <w:i w:val="0"/>
        </w:rPr>
        <w:t>Trụ cột quản trị (governance) của ESG liên quan đến quản trị công ty nói chung, đạo đức kinh doanh, quản lý rủi ro và các vấn đề tuân thủ.37 Suy cho cùng, một công ty được quản trị tốt là nơi hội đồng quản trị thực hiện đúng nghĩa vụ của mình. Sự trỗi dậy của ESG đã có nghĩa là tăng cường chú ý đến các vấn đề quản trị như đa dạng hội đồng quản trị, các cơ chế phòng vệ công ty, thù lao điều hành, giới hạn nhiệm kỳ và độ tuổi nghỉ hưu.</w:t>
      </w:r>
    </w:p>
    <w:p>
      <w:pPr>
        <w:spacing w:after="80"/>
      </w:pPr>
      <w:r>
        <w:rPr>
          <w:b w:val="0"/>
          <w:i w:val="0"/>
        </w:rPr>
        <w:t>Các nguyên tắc quản trị toàn cầu của ISS tập trung vào bốn ý tưởng: trách nhiệm giải trình, quản lý ủy thác, độc lập và minh bạch. ISS tin rằng hội đồng quản trị nên chịu trách nhiệm trước cổ đông thông qua các cuộc bầu cử hội đồng quản trị thường xuyên và bằng cách phản hồi ý kiến của nhà đầu tư. Tổ chức này ủng hộ việc cổ đông cần một cuộc bỏ phiếu đa số đơn giản để thay đổi các điều khoản quản trị hoặc phê duyệt các giao dịch. Tổ chức tin rằng các công ty nên vượt qua các quy định và tiêu chuẩn ngành nói chung về ESG. Tổ chức cho rằng hội đồng quản trị nên độc lập, với một người lãnh đạo độc lập và các ủy ban đủ độc lập. Và tổ chức lập luận cần đủ minh bạch để cổ đông đưa ra quyết định bỏ phiếu sáng suốt.38 Ngoài ra, các hướng dẫn bỏ phiếu ủy quyền của tổ chức ủng hộ việc thực hiện các bước để giảm thiểu rủi ro liên quan đến khí hậu, giảm việc sử dụng thuốc độc (poison pills), và giảm các chương trình thù lao điều hành dựa trên hiệu suất không có vấn đề, cùng nhiều vấn đề khác.39</w:t>
      </w:r>
    </w:p>
    <w:p>
      <w:pPr>
        <w:spacing w:after="80"/>
      </w:pPr>
      <w:r>
        <w:rPr>
          <w:b w:val="0"/>
          <w:i w:val="0"/>
        </w:rPr>
        <w:t>Các Nguyên tắc Đầu tư Có trách nhiệm của Liên Hợp Quốc tập trung vào một số vấn đề quản trị chính: công bằng thuế, tham gia chính trị có trách nhiệm, an ninh mạng, thù lao điều hành, mục đích công ty, chống tham nhũng, tố giác, và đề cử giám đốc.40 Diễn đàn Kinh tế Thế giới ủng hộ một danh sách tương tự, bổ sung thêm các ý tưởng về minh bạch và thực hành cạnh tranh công bằng.41</w:t>
      </w:r>
    </w:p>
    <w:p>
      <w:pPr>
        <w:spacing w:after="80"/>
      </w:pPr>
      <w:r>
        <w:rPr>
          <w:b w:val="0"/>
          <w:i w:val="0"/>
        </w:rPr>
        <w:t>Một trong những vấn đề quản trị mà hội đồng quản trị ngày nay phải suy nghĩ là làm thế nào để giám sát các vấn đề ESG. Đây là một lĩnh vực mà nhiều công ty vẫn đang vật lộn, và có nhiều cách tiếp cận khác nhau mà các hội đồng quản trị và đội ngũ quản lý khác nhau đã thực hiện.</w:t>
      </w:r>
    </w:p>
    <w:p>
      <w:pPr>
        <w:spacing w:after="80"/>
      </w:pPr>
      <w:r>
        <w:rPr>
          <w:b w:val="0"/>
          <w:i w:val="0"/>
        </w:rPr>
        <w:t>Tất nhiên, việc giám sát ESG có thể được xử lý ở cấp hội đồng quản trị. Mặc dù theo truyền thống chưa có một ủy ban hội đồng quản trị dành riêng cho ESG, đôi khi có một ủy ban như vậy, và các công ty ngày càng thêm trách nhiệm này vào ủy ban đề cử và quản trị và thậm chí sử dụng tên mới cho ủy ban này, chẳng hạn như ủy ban quản trị và bền vững tại Lear.</w:t>
      </w:r>
    </w:p>
    <w:p>
      <w:pPr>
        <w:spacing w:after="80"/>
      </w:pPr>
      <w:r>
        <w:rPr>
          <w:b w:val="0"/>
          <w:i w:val="0"/>
        </w:rPr>
        <w:t>Một lựa chọn tốt khác là chia nhỏ các nỗ lực ESG cho ba ủy ban chính, chẳng hạn như ủy ban kiểm toán chịu trách nhiệm về an ninh mạng, đạo đức và tuân thủ; ủy ban lương thưởng xử lý các vấn đề quản lý vốn nhân lực và DEI; và ủy ban quản trị (có thể được đổi tên thành ủy ban quản trị và phát triển bền vững) giám sát các vấn đề quản trị, an toàn và môi trường.</w:t>
      </w:r>
    </w:p>
    <w:p>
      <w:pPr>
        <w:spacing w:after="80"/>
      </w:pPr>
      <w:r>
        <w:rPr>
          <w:b w:val="0"/>
          <w:i w:val="0"/>
        </w:rPr>
        <w:t>Ở cấp quản lý, Balsanek khẳng định rằng điều quan trọng là các công ty phải có sự giám sát ESG liên chức năng để đảm bảo rằng các hành động phối hợp, hiệu quả đang được thực hiện: “Vấn đề là phải đảm bảo nó cũng được quản lý trên cơ sở hàng ngày. Bạn cần một ủy ban ESG ở cấp điều hành và sau đó là những người ủng hộ ESG hoặc đầu mối liên lạc trong các nhóm khác nhau.”</w:t>
      </w:r>
    </w:p>
    <w:p>
      <w:pPr>
        <w:spacing w:after="80"/>
      </w:pPr>
      <w:r>
        <w:rPr>
          <w:b w:val="0"/>
          <w:i w:val="0"/>
        </w:rPr>
        <w:t>Nhiều công ty, bao gồm một số công ty tôi có tham gia, xử lý ESG ở cấp quản lý theo cách này: nhánh môi trường do một nhóm chuyên trách ESG đảm nhiệm, các vấn đề xã hội do nhóm nhân sự xử lý, và quản trị thuộc thẩm quyền của văn phòng tổng cố vấn. Nhóm ESG cũng đóng vai trò điều phối: theo dõi luật pháp, các yêu cầu về tuân thủ và quản lý rủi ro; phản hồi các yêu cầu từ khách hàng và người tiêu dùng; thúc đẩy báo cáo phát triển bền vững hàng năm (sẽ nói thêm về báo cáo này sau); và theo dõi các đối thủ cùng ngành và các xếp hạng. Nhóm này cũng làm việc với các đơn vị kinh doanh để thúc đẩy toàn bộ công ty theo hướng bền vững hơn.</w:t>
      </w:r>
    </w:p>
    <w:p>
      <w:pPr>
        <w:spacing w:after="80"/>
      </w:pPr>
      <w:r>
        <w:rPr>
          <w:b w:val="0"/>
          <w:i w:val="0"/>
        </w:rPr>
        <w:t>Khảo sát tháng 12 năm 2022 của Deloitte cho thấy, ở cấp quản lý, các nỗ lực ESG tại các công ty thường được dẫn dắt bởi giám đốc phát triển bền vững (42 phần trăm), CFO (37 phần trăm), hoặc giám đốc chiến lược (29 phần trăm).42 Về mặt giám sát ở cấp hội đồng quản trị, 55 phần trăm trong số 300 công ty được khảo sát giao ít nhất một phần trách nhiệm về ESG cho một ủy ban ESG/phát triển bền vững, 39 phần trăm cho ủy ban lương thưởng, 37 phần trăm cho ủy ban đề cử và quản trị, 30 phần trăm cho toàn bộ hội đồng quản trị, và 30 phần trăm cho ủy ban kiểm toán.43 (Những con số này cộng lại nhiều hơn 100 phần trăm vì các công ty giao trách nhiệm cho nhiều ủy ban.)</w:t>
      </w:r>
    </w:p>
    <w:p>
      <w:pPr>
        <w:spacing w:after="80"/>
      </w:pPr>
      <w:r>
        <w:rPr>
          <w:b w:val="0"/>
          <w:i w:val="0"/>
        </w:rPr>
        <w:t>Đối với hội đồng quản trị trong mọi trường hợp, bất kể các giám đốc chọn cách giải quyết trách nhiệm ESG như thế nào—dù là giám sát ở cấp hội đồng quản trị; chia tách E, S và G cho các ủy ban hiện có; thêm ESG vào một ủy ban hiện có; hay thành lập một ủy ban ESG mới—việc luôn đặt ESG lên hàng đầu đã là một sự thay đổi quan trọng.</w:t>
      </w:r>
    </w:p>
    <w:p>
      <w:pPr>
        <w:pStyle w:val="Heading2"/>
      </w:pPr>
      <w:r>
        <w:rPr>
          <w:rFonts w:ascii="Calibri" w:hAnsi="Calibri"/>
          <w:b/>
          <w:i w:val="0"/>
          <w:sz w:val="32"/>
        </w:rPr>
        <w:t>Những thách thức về đo lường và báo cáo</w:t>
      </w:r>
    </w:p>
    <w:p>
      <w:pPr>
        <w:spacing w:after="80"/>
      </w:pPr>
      <w:r>
        <w:rPr>
          <w:b w:val="0"/>
          <w:i w:val="0"/>
        </w:rPr>
        <w:t>Một trong những thách thức lớn nhất khi nói đến ESG là làm thế nào để đo lường nó. Đây là vấn đề có thể được SEC giải quyết ở một mức độ nào đó nếu và khi cơ quan này bắt buộc một số công bố nhất định, nhưng vấn đề còn rộng hơn thế. Có hai mối quan ngại riêng biệt đang diễn ra. Một là những chỉ số nào là quan trọng để đo lường các cam kết và tiến độ—điều mà thường có rất ít sự đồng thuận. Brian Tayan của Đại học Stanford, chẳng hạn, đã phát hiện ra mối tương quan thấp giữa các nhà cung cấp xếp hạng ESG khác nhau.44 Nhưng có lẽ mối quan ngại lớn hơn là tính hữu ích của các chỉ số. Trong cùng báo cáo đó, Tayan nhận thấy rằng “xếp hạng ESG có mối liên hệ thấp với các kết quả về môi trường và xã hội.”45</w:t>
      </w:r>
    </w:p>
    <w:p>
      <w:pPr>
        <w:spacing w:after="80"/>
      </w:pPr>
      <w:r>
        <w:rPr>
          <w:b w:val="0"/>
          <w:i w:val="0"/>
        </w:rPr>
        <w:t>Những vấn đề này tồn tại bất chấp thực tế rằng ngành công nghiệp chỉ số phát triển bền vững đã bùng nổ. Xếp hạng phát triển bền vững đã phát triển từ các báo cáo thủ công, tùy hứng thành một ngành kinh doanh lớn, với một số tổ chức cố gắng tạo ra các chỉ số mà họ hy vọng sẽ được áp dụng rộng rãi. Năm 2023, Ethan Rouen của Trường Kinh doanh Harvard, Kunal Sachdeva của Đại học Rice, và Aaron Yoon của Đại học Northwestern đã công bố một bài báo giải thích rằng các báo cáo ESG đã trở thành “một trong những công bố tự nguyện phát triển nhanh nhất trong lịch sử.”46 Từ hầu như không có báo cáo nào vào đầu thế kỷ 21, các báo cáo đã trở nên “gần như phổ biến khắp nơi,” vậy mà vẫn không có sự chuẩn hóa và thiếu hụt đáng kể việc kiểm toán.47</w:t>
      </w:r>
    </w:p>
    <w:p>
      <w:pPr>
        <w:spacing w:after="80"/>
      </w:pPr>
      <w:r>
        <w:rPr>
          <w:b w:val="0"/>
          <w:i w:val="0"/>
        </w:rPr>
        <w:t xml:space="preserve">Việc tìm ra cần đo lường cái gì, đo lường như thế nào, và liệu ngay cả ở mức cao nhất, một công ty là “tốt” hay “xấu” về mặt ESG, đã rất khó khăn. Như tờ </w:t>
      </w:r>
      <w:r>
        <w:rPr>
          <w:b w:val="0"/>
          <w:i/>
        </w:rPr>
        <w:t>Wall Street Journal</w:t>
      </w:r>
      <w:r>
        <w:rPr>
          <w:b w:val="0"/>
          <w:i w:val="0"/>
        </w:rPr>
        <w:t xml:space="preserve"> đã viết vào tháng 8 năm 2023, “Tesla có thể là hình mẫu cho sự nhầm lẫn xung quanh xếp hạng ESG. Liệu hãng sản xuất ô tô này nên có điểm ESG cao vì sản xuất xe điện, điểm thấp vì một số thực hành lao động và rủi ro hệ thống tự lái, hay điểm trung bình để cân bằng mọi thứ? Các công ty xếp hạng khác nhau đưa ra câu trả lời khác nhau và đó chính là vấn đề: Nhiều nhà đầu tư coi điểm ESG như một cách dễ dàng để so sánh các công ty dựa trên thực hành môi trường, xã hội và quản trị của họ, nhưng cho đến nay chúng phần lớn đã thất bại trong việc mang lại điều đó.”48</w:t>
      </w:r>
    </w:p>
    <w:p>
      <w:pPr>
        <w:spacing w:after="80"/>
      </w:pPr>
      <w:r>
        <w:rPr>
          <w:b w:val="0"/>
          <w:i w:val="0"/>
        </w:rPr>
        <w:t>SASB đã đứng sau phần lớn phong trào tìm ra những kết quả ESG nào là quan trọng—về mức độ liên quan đến các bên liên quan—đối với những công ty nào và cách đo lường chúng. Cốt lõi trong công việc của tổ chức này là ý tưởng về tính trọng yếu tài chính: những yếu tố nào là quan trọng đối với các công ty trong các ngành cụ thể và thực sự thúc đẩy lợi ích kinh tế. Chẳng hạn, chất lượng không khí và khí thải là những yếu tố trọng yếu đối với các công ty trong ngành vận tải nhưng có thể không phải đối với các công ty trong ngành chăm sóc sức khỏe.49</w:t>
      </w:r>
    </w:p>
    <w:p>
      <w:pPr>
        <w:spacing w:after="80"/>
      </w:pPr>
      <w:r>
        <w:rPr>
          <w:b w:val="0"/>
          <w:i w:val="0"/>
        </w:rPr>
        <w:t xml:space="preserve">Tuy nhiên, SASB chỉ là một trong số nhiều tổ chức đang tạo ra và ủng hộ các bộ chỉ số khác nhau mà thường không khớp với nhau. </w:t>
      </w:r>
      <w:r>
        <w:rPr>
          <w:b w:val="0"/>
          <w:i/>
        </w:rPr>
        <w:t>Harvard Business Review</w:t>
      </w:r>
      <w:r>
        <w:rPr>
          <w:b w:val="0"/>
          <w:i w:val="0"/>
        </w:rPr>
        <w:t xml:space="preserve"> viết rằng có “ít nhất bảy khuôn khổ và tiêu chuẩn báo cáo phát triển bền vững nổi tiếng hiện có, mỗi khuôn khổ được hậu thuẫn bởi các tổ chức đáng tin cậy với những cá nhân có uy tín trong Ban lãnh đạo.”50 Những khuôn khổ này bao gồm SASB cùng với Carbon Disclosure Project, Climate Disclosure Standards Board, Global Reporting Initiative, International Integrated Reporting Council, Taskforce on Climate Related Financial Disclosures (TCFD), và World Economic Forum International Business Council.51 Do luật pháp của EU và California cùng các quy định đang chờ xử lý của SEC, các chỉ số TCFD—mà cả ba cơ quan đó đều đang hướng tới—đã trở nên rất quan trọng.</w:t>
      </w:r>
    </w:p>
    <w:p>
      <w:pPr>
        <w:spacing w:after="80"/>
      </w:pPr>
      <w:r>
        <w:rPr>
          <w:b w:val="0"/>
          <w:i w:val="0"/>
        </w:rPr>
        <w:t>Bất chấp sự thiếu nhất quán và mối liên hệ rõ ràng với các kết quả, sự quan tâm và nhu cầu đối với báo cáo ESG vẫn tiếp tục tăng. Theo nghiên cứu năm 2023 của McKinsey, hơn 95 phần trăm các công ty trong S&amp;P 500 hiện phát hành báo cáo phát triển bền vững.52 Những tài liệu này đã trở nên phổ biến khắp nơi, vậy mà không có tiêu chuẩn xác định nào cho chúng. Báo cáo phát triển bền vững mô tả các tác động ESG từ hoạt động của một công ty và thường thảo luận về các rủi ro ESG và cách chúng đang được quản lý. Hơn bất cứ điều gì, đây là một công cụ truyền thông được các công ty sử dụng để mô tả lập trường, thành tựu và cam kết ESG của họ.</w:t>
      </w:r>
    </w:p>
    <w:p>
      <w:pPr>
        <w:spacing w:after="80"/>
      </w:pPr>
      <w:r>
        <w:rPr>
          <w:b w:val="0"/>
          <w:i w:val="0"/>
        </w:rPr>
        <w:t>Công ty tư vấn và cố vấn Teneo đã phân tích 200 báo cáo phát triển bền vững từ các công ty trong S&amp;P 500 vào năm 2022, phát hiện rằng độ dài dao động từ 11 trang đến 273 trang, với trung bình là 77 trang; một nửa số báo cáo đề cập đến ý tưởng rằng “một đánh giá trọng yếu chính thức đã được tiến hành để giúp xác định các ưu tiên ESG”; và chỉ hơn một nửa cho biết ít nhất một số dữ liệu trong báo cáo đã được đảm bảo hoặc xác minh bên ngoài.53</w:t>
      </w:r>
    </w:p>
    <w:p>
      <w:pPr>
        <w:spacing w:after="80"/>
      </w:pPr>
      <w:r>
        <w:rPr>
          <w:b w:val="0"/>
          <w:i w:val="0"/>
        </w:rPr>
        <w:t>Không rõ ai đang đọc những báo cáo này và chúng đang có tác động gì. Dữ liệu cho thấy có tới 89 phần trăm nhà đầu tư xem xét các vấn đề ESG trong lựa chọn đầu tư của họ, nhưng không rõ điều này có nghĩa gì trên thực tế và các nhà đầu tư đang tham khảo những nguồn lực nào để đưa ra các phán đoán liên quan đến ESG của họ.54</w:t>
      </w:r>
    </w:p>
    <w:p>
      <w:pPr>
        <w:pStyle w:val="Heading2"/>
      </w:pPr>
      <w:r>
        <w:rPr>
          <w:rFonts w:ascii="Calibri" w:hAnsi="Calibri"/>
          <w:b/>
          <w:i w:val="0"/>
          <w:sz w:val="32"/>
        </w:rPr>
        <w:t>Sự phản đối đối với ESG</w:t>
      </w:r>
    </w:p>
    <w:p>
      <w:pPr>
        <w:spacing w:after="80"/>
      </w:pPr>
      <w:r>
        <w:rPr>
          <w:b w:val="0"/>
          <w:i w:val="0"/>
        </w:rPr>
        <w:t xml:space="preserve">Có lẽ mới gần đây vào năm 2022, thật khó để lập luận rằng sự tập trung vào ESG đang đi theo bất cứ hướng nào ngoài quỹ đạo đi lên. Điều này bất chấp thực tế rằng rất khó tìm được bằng chứng thuyết phục rằng các nỗ lực ESG mang lại alpha hay lợi nhuận đầu tư vượt trội.55 Thật vậy, tờ </w:t>
      </w:r>
      <w:r>
        <w:rPr>
          <w:b w:val="0"/>
          <w:i/>
        </w:rPr>
        <w:t>Financial Times</w:t>
      </w:r>
      <w:r>
        <w:rPr>
          <w:b w:val="0"/>
          <w:i w:val="0"/>
        </w:rPr>
        <w:t xml:space="preserve"> đã đưa tin vào năm 2021 về Felix Goltz của dịch vụ đầu tư Scientific Beta và những phát hiện của ông: “‘Những tuyên bố về alpha [ESG] tích cực trong các ấn phẩm ngành phổ biến là không hợp lệ vì phân tích làm cơ sở cho những tuyên bố này có sai sót,’ với các lỗi phân tích ‘cho phép ghi nhận hiệu suất vượt trội [ESG] trong khi thực tế không hề có.’”56</w:t>
      </w:r>
    </w:p>
    <w:p>
      <w:pPr>
        <w:spacing w:after="80"/>
      </w:pPr>
      <w:r>
        <w:rPr>
          <w:b w:val="0"/>
          <w:i w:val="0"/>
        </w:rPr>
        <w:t>Tuy nhiên, đến năm 2023, ESG dường như chững lại. Một phần là do áp lực chính trị từ phe cánh hữu, ví dụ như Thống đốc bang Florida Ron DeSantis đã ký luật để "bảo vệ" bang của mình khỏi ESG, cấm các quan chức bang đầu tư tiền công vào các mục tiêu ESG, và dừng việc bán trái phiếu ESG.57 Tương tự, tổng chưởng lý bang Tennessee, Jonathan Skrmetti, đã kiện BlackRock, cáo buộc công ty này vi phạm luật bảo vệ người tiêu dùng khi ưu tiên các mối quan tâm ESG hơn lợi nhuận đầu tư mà không thông báo đầy đủ cho nhà đầu tư. "Trong nhiều năm . . . BlackRock đã đánh lừa người tiêu dùng về phạm vi và tác động của hoạt động ESG rộng khắp của mình," theo đơn kiện.58 BlackRock đã bác bỏ những cáo buộc này.59</w:t>
      </w:r>
    </w:p>
    <w:p>
      <w:pPr>
        <w:spacing w:after="80"/>
      </w:pPr>
      <w:r>
        <w:rPr>
          <w:b w:val="0"/>
          <w:i w:val="0"/>
        </w:rPr>
        <w:t>Trong một báo cáo giữa năm 2023, Leah Malone và Emily Holland của hãng luật Simpson Thacher &amp; Bartlett viết: "Hơn một phần ba các bang đã thông qua luật chống ESG trong năm 2023, hầu hết các đề xuất của cổ đông liên quan đến ESG đều không giành được sự ủng hộ đa số, các vụ kiện mới đã được đệ trình thách thức các hoạt động và quyết định liên quan đến ESG của doanh nghiệp, và một số công ty dường như đang tách mình khỏi chính thuật ngữ 'ESG'."60</w:t>
      </w:r>
    </w:p>
    <w:p>
      <w:pPr>
        <w:spacing w:after="80"/>
      </w:pPr>
      <w:r>
        <w:rPr>
          <w:b w:val="0"/>
          <w:i w:val="0"/>
        </w:rPr>
        <w:t>Ngoài ra, các nhà đầu tư đã rút hơn 13 tỷ đô la khỏi các quỹ ESG trong năm 2023, chỉ chưa đầy 5 phần trăm trong tổng số 323 tỷ đô la tài sản ESG, theo Morningstar.61</w:t>
      </w:r>
    </w:p>
    <w:p>
      <w:pPr>
        <w:spacing w:after="80"/>
      </w:pPr>
      <w:r>
        <w:rPr>
          <w:b w:val="0"/>
          <w:i w:val="0"/>
        </w:rPr>
        <w:t>Câu chuyện của Exxon và quỹ đầu cơ hoạt động Engine No. 1 phần nào minh họa cho sự trỗi dậy và suy tàn của ESG. Năm 2021, Exxon bị Engine No. 1 thúc ép phải hành động nhiều hơn để chống biến đổi khí hậu, và quỹ đầu cơ này đã giành được ba ghế trong hội đồng quản trị của công ty, bao gồm cả ghế của Oberhelman.</w:t>
      </w:r>
    </w:p>
    <w:p>
      <w:pPr>
        <w:spacing w:after="80"/>
      </w:pPr>
      <w:r>
        <w:rPr>
          <w:b w:val="0"/>
          <w:i w:val="0"/>
        </w:rPr>
        <w:t xml:space="preserve">Ba năm sau, vào năm 2024, nhận thấy tâm thế đã thay đổi, Exxon cáo buộc một số nhà hoạt động đang "thúc đẩy các chương trình nghị sự về môi trường mà theo gã khổng lồ dầu mỏ này nói là chẳng giúp ích gì cho hiệu quả kinh tế của công ty hay tạo ra giá trị cho cổ đông," theo </w:t>
      </w:r>
      <w:r>
        <w:rPr>
          <w:b w:val="0"/>
          <w:i/>
        </w:rPr>
        <w:t>New York Times</w:t>
      </w:r>
      <w:r>
        <w:rPr>
          <w:b w:val="0"/>
          <w:i w:val="0"/>
        </w:rPr>
        <w:t>.62 Thực tế, Exxon đã kiện một số nhà đầu tư để giữ các đề xuất về khí hậu của họ khỏi lá phiếu cổ đông, "lập luận rằng luật chứng khoán Hoa Kỳ cho phép công ty loại bỏ những kiến nghị 'liên quan đến các hoạt động kinh doanh thông thường của công ty.'"63 Vụ kiện đã bị bác bỏ sau khi các đề xuất được rút lại. Mark van Baal của tổ chức phi lợi nhuận tập trung vào khí hậu Follow This, một trong những "nhà hoạt động" mà Exxon đã kiện, nói: "Nếu được phép tiếp tục, vụ án này có thể đã gây ảnh hưởng tiêu cực đến các đề xuất cổ đông tập trung vào khí hậu."64</w:t>
      </w:r>
    </w:p>
    <w:p>
      <w:pPr>
        <w:spacing w:after="80"/>
      </w:pPr>
      <w:r>
        <w:rPr>
          <w:b w:val="0"/>
          <w:i w:val="0"/>
        </w:rPr>
        <w:t xml:space="preserve">Dù sao đi nữa, rõ ràng là sự ủng hộ rộng rãi dành cho ESG đã giảm sút. Ngay cả Fink của BlackRock cũng đã dần rút lui khỏi sự nhiệt tình của mình với ESG, hoặc ít nhất là sự nhiệt tình với cái tên này, khi phát biểu tại Aspen Ideas Festival năm 2023 rằng ông không còn dùng thuật ngữ </w:t>
      </w:r>
      <w:r>
        <w:rPr>
          <w:b w:val="0"/>
          <w:i/>
        </w:rPr>
        <w:t>ESG</w:t>
      </w:r>
      <w:r>
        <w:rPr>
          <w:b w:val="0"/>
          <w:i w:val="0"/>
        </w:rPr>
        <w:t xml:space="preserve"> nữa vì nó đã bị "vũ khí hóa" về mặt chính trị, và ông "xấu hổ" khi tham gia vào một cuộc tranh luận về nó.65</w:t>
      </w:r>
    </w:p>
    <w:p>
      <w:pPr>
        <w:spacing w:after="80"/>
      </w:pPr>
      <w:r>
        <w:rPr>
          <w:b w:val="0"/>
          <w:i w:val="0"/>
        </w:rPr>
        <w:t xml:space="preserve">Nhà quản lý quỹ đầu cơ Boaz Weinstein của Saba Capital Management đã công kích BlackRock vì bỏ qua các khuyến nghị quản trị liên quan đến ESG trong việc điều hành các quỹ của mình, lập luận rằng hội đồng quản trị phân kỳ nhiệm kỳ tại các quỹ của công ty và quyền biểu quyết hạn chế của một số cổ đông đi ngược lại với những gì công ty rao giảng. "Sau khi định nghĩa rõ ràng các tiêu chuẩn E.S.G. mà mình đòi hỏi với tư cách cổ đông và tuyên bố đặt ra chuẩn mực cho cả ngành, người ta sẽ kỳ vọng BlackRock tự giữ mình ở tiêu chuẩn thậm chí còn cao hơn," Weinstein nói với DealBook của </w:t>
      </w:r>
      <w:r>
        <w:rPr>
          <w:b w:val="0"/>
          <w:i/>
        </w:rPr>
        <w:t>New York Times</w:t>
      </w:r>
      <w:r>
        <w:rPr>
          <w:b w:val="0"/>
          <w:i w:val="0"/>
        </w:rPr>
        <w:t>. "Nhưng hóa ra, công ty làm hoàn toàn ngược lại khi nói đến các quỹ của chính mình."66</w:t>
      </w:r>
    </w:p>
    <w:p>
      <w:pPr>
        <w:spacing w:after="80"/>
      </w:pPr>
      <w:r>
        <w:rPr>
          <w:b w:val="0"/>
          <w:i w:val="0"/>
        </w:rPr>
        <w:t xml:space="preserve">Vào tháng 2 năm 2024, JPMorganChase và State Street rời khỏi nhóm nhà đầu tư Climate Action 100+, và BlackRock cắt giảm sự ủng hộ của mình, "làm suy yếu kế hoạch của nhóm khí hậu trong việc dùng ảnh hưởng cổ đông để gia tăng áp lực lên các công ty gây ô nhiễm nhằm giảm phát thải carbon," theo </w:t>
      </w:r>
      <w:r>
        <w:rPr>
          <w:b w:val="0"/>
          <w:i/>
        </w:rPr>
        <w:t>Financial Times</w:t>
      </w:r>
      <w:r>
        <w:rPr>
          <w:b w:val="0"/>
          <w:i w:val="0"/>
        </w:rPr>
        <w:t>.67 Mặt khác, vào tháng 3 năm 2024, JPMorganChase đồng ý bắt đầu công bố tỷ lệ tài trợ cho năng lượng sạch so với nhiên liệu hóa thạch để giúp nhà đầu tư hiểu rõ hơn về cam kết của mình với các nỗ lực khí hậu.68</w:t>
      </w:r>
    </w:p>
    <w:p>
      <w:pPr>
        <w:spacing w:after="80"/>
      </w:pPr>
      <w:r>
        <w:rPr>
          <w:b w:val="0"/>
          <w:i w:val="0"/>
        </w:rPr>
        <w:t>Tất nhiên, với việc Donald Trump đắc cử tổng thống năm 2024 và Quốc hội do đảng Cộng hòa kiểm soát, các vấn đề ESG có thể sẽ tiếp tục thụt lùi. Ví dụ, Trump đã đi xa đến mức nói rằng biến đổi khí hậu là một trò lừa bịp.69</w:t>
      </w:r>
    </w:p>
    <w:p>
      <w:pPr>
        <w:spacing w:after="80"/>
      </w:pPr>
      <w:r>
        <w:rPr>
          <w:b w:val="0"/>
          <w:i w:val="0"/>
        </w:rPr>
        <w:t>Đồng thời, có thể ít nhất một phần là do một số phản ứng dữ dội chống lại ESG đã bị phóng đại, và các công ty (cùng nhà đầu tư) vẫn cam kết với nhiều mục tiêu khác nhau nhưng đang rời xa cái từ viết tắt ESG có lẽ giờ đã bị mang tiếng xấu.</w:t>
      </w:r>
    </w:p>
    <w:p>
      <w:pPr>
        <w:spacing w:after="80"/>
      </w:pPr>
      <w:r>
        <w:rPr>
          <w:b w:val="0"/>
          <w:i w:val="0"/>
        </w:rPr>
        <w:t xml:space="preserve">"Tôi nghĩ các công ty có thể sẽ ngừng dùng thuật ngữ ESG vì nó đã trở nên quá chính trị hóa," Balsanek nói, "nhưng tôi không nghĩ những mối quan tâm cốt lõi sẽ biến mất. Tôi nghĩ các công ty nhận ra rằng làm tốt về môi trường, xã hội và quản trị thực sự tạo ra giá trị dài hạn, đó mới là mục tiêu cuối cùng." Balsanek giới thiệu cho tôi thuật ngữ </w:t>
      </w:r>
      <w:r>
        <w:rPr>
          <w:b w:val="0"/>
          <w:i/>
        </w:rPr>
        <w:t>green-hushing</w:t>
      </w:r>
      <w:r>
        <w:rPr>
          <w:b w:val="0"/>
          <w:i w:val="0"/>
        </w:rPr>
        <w:t xml:space="preserve"> (im lặng xanh), trong đó có ít thảo luận công khai hơn nhưng có lẽ vẫn được chú ý riêng tư nhiều như vậy—và cũng có tác động cuối cùng tương đương.</w:t>
      </w:r>
    </w:p>
    <w:p>
      <w:pPr>
        <w:pStyle w:val="Heading2"/>
      </w:pPr>
      <w:r>
        <w:rPr>
          <w:rFonts w:ascii="Calibri" w:hAnsi="Calibri"/>
          <w:b/>
          <w:i w:val="0"/>
          <w:sz w:val="32"/>
        </w:rPr>
        <w:t>Giám đốc và ESG</w:t>
      </w:r>
    </w:p>
    <w:p>
      <w:pPr>
        <w:spacing w:after="80"/>
      </w:pPr>
      <w:r>
        <w:rPr>
          <w:b w:val="0"/>
          <w:i w:val="0"/>
        </w:rPr>
        <w:t>Tổ chức phi lợi nhuận về phát triển bền vững Ceres lập luận rằng việc hội đồng quản trị giám sát ESG nên bao gồm việc nhận diện, đánh giá và giảm thiểu rủi ro, cũng như xác định những biện pháp cần thực hiện để hỗ trợ phát triển bền vững dài hạn.70 Hội đồng quản trị cần xác định vấn đề nào là trọng yếu đối với công ty mình và đảm bảo rằng hành động của họ phù hợp với việc tạo ra giá trị cổ đông dài hạn.</w:t>
      </w:r>
    </w:p>
    <w:p>
      <w:pPr>
        <w:spacing w:after="80"/>
      </w:pPr>
      <w:r>
        <w:rPr>
          <w:b w:val="0"/>
          <w:i w:val="0"/>
        </w:rPr>
        <w:t>"Tác động của các nỗ lực ESG được hiện thực hóa trong khoảng thời gian dài hơn nhiều so với chân trời đầu tư điển hình từ một đến ba năm," Muir Paterson của Citi nói với tôi. "Vì vậy nhiều nhà đầu tư thường có thể đánh giá thấp ESG so với các yếu tố truyền thống hơn, nhưng rất quan trọng là không được bỏ qua nó." Ví dụ, việc cam kết nguồn lực và vốn của công ty để tăng cường sử dụng năng lượng tái tạo chắc chắn có thời gian hoàn vốn tài chính dài hơn năm năm—khoảng thời gian mà chi tiêu vốn thường được đánh giá. Ngoài ra, dù việc giảm sử dụng nhiên liệu hóa thạch của một công ty có thể tốt cho xã hội, vẫn chưa rõ cách đo lường liệu nhân viên có hào hứng làm việc cho công ty như vậy hơn không và liệu nhà đầu tư có thưởng cho công ty vì những nỗ lực này không. Paterson nói thêm: "Tối đa hóa giá trị không chỉ nên tập trung vào lợi nhuận ngắn hạn mà còn vào rủi ro dài hạn. Bạn cần tối ưu hóa giá trị cho hồ sơ rủi ro bền vững mà bạn với tư cách công ty muốn hoạt động theo, và mà bạn nghĩ mình có thể bán một cách đáng tin cậy cho đủ nhiều nhà đầu tư, để có được vốn thực thi." Nói cách khác, một công ty gây ô nhiễm môi trường đang làm hại, và có thể còn giúp hủy hoại, chính thị trường mà nó đang cố gắng phát triển trong đó.</w:t>
      </w:r>
    </w:p>
    <w:p>
      <w:pPr>
        <w:pStyle w:val="Heading2"/>
      </w:pPr>
      <w:r>
        <w:rPr>
          <w:rFonts w:ascii="Calibri" w:hAnsi="Calibri"/>
          <w:b/>
          <w:i w:val="0"/>
          <w:sz w:val="32"/>
        </w:rPr>
        <w:t>Cổ đông với Các bên liên quan</w:t>
      </w:r>
    </w:p>
    <w:p>
      <w:pPr>
        <w:spacing w:after="80"/>
      </w:pPr>
      <w:r>
        <w:rPr>
          <w:b w:val="0"/>
          <w:i w:val="0"/>
        </w:rPr>
        <w:t>Cuộc tranh luận về ESG nói lên vấn đề rộng lớn hơn về việc một công ty nên phục vụ ai—chỉ những cổ đông đầu tư vào cổ phiếu của công ty hay các bên liên quan rộng hơn—và liệu vai trò của một tập đoàn chỉ là kiếm càng nhiều tiền càng tốt hay là vừa tạo lợi nhuận vừa tác động tích cực đến thế giới.</w:t>
      </w:r>
    </w:p>
    <w:p>
      <w:pPr>
        <w:spacing w:after="80"/>
      </w:pPr>
      <w:r>
        <w:rPr>
          <w:b w:val="0"/>
          <w:i w:val="0"/>
        </w:rPr>
        <w:t xml:space="preserve">Theo công ty luật Skadden, thuật ngữ rộng hơn </w:t>
      </w:r>
      <w:r>
        <w:rPr>
          <w:b w:val="0"/>
          <w:i/>
        </w:rPr>
        <w:t>stakeholder</w:t>
      </w:r>
      <w:r>
        <w:rPr>
          <w:b w:val="0"/>
          <w:i w:val="0"/>
        </w:rPr>
        <w:t xml:space="preserve"> (các bên liên quan) chính thức dùng để chỉ “một số nhóm không phải cổ đông được nêu tên trong ‘các đạo luật về nhóm cử tri’ chống thâu tóm được hơn 30 bang thông qua từ đầu những năm 1980, mà hội đồng quản trị được phép xem xét như những đối tượng có thể có lợi ích trong một công ty; những nhóm này bao gồm nhân viên, khách hàng, nhà cung cấp và cộng đồng đã nói ở trên.”71 Mỗi nhóm có những yêu cầu và mối quan tâm khác nhau.72</w:t>
      </w:r>
    </w:p>
    <w:p>
      <w:pPr>
        <w:spacing w:after="80"/>
      </w:pPr>
      <w:r>
        <w:rPr>
          <w:b w:val="0"/>
          <w:i w:val="0"/>
        </w:rPr>
        <w:t>Suy cho cùng, câu hỏi then chốt đối với các giám đốc là họ phải chịu trách nhiệm trước ai. Có thể có tranh luận về mặt đạo đức, nhưng pháp luật thì khá rõ ràng. Mike Allen của công ty luật Richards Layton &amp; Finger ở Delaware nói rằng khi nói đến cuộc tranh luận giữa cổ đông và các bên liên quan, “ngôn từ đơn giản [của luật] đối với một công ty Delaware là bạn nên tập trung vào giá trị cho cổ đông. Tuy nhiên, điều đó không có nghĩa là bạn không thể xem xét các nhóm khác, như nhân viên, khách hàng và cộng đồng, miễn là việc đó nhất quán với nghĩa vụ ủy thác của bạn đối với các cổ đông công ty.” Allen giải thích thêm: “Ví dụ, hầu hết các công ty đại chúng đều làm công tác từ thiện mà rõ ràng không trực tiếp mang lại lợi ích cho cổ đông, nhưng hãy tự hỏi liệu cuối cùng có lợi ích nào cho cổ đông khi trở thành một công dân doanh nghiệp tốt và nâng cao thương hiệu hay không. Thường thì có một con đường để đạt được điều đó một cách rõ ràng trong khuôn khổ pháp luật.”</w:t>
      </w:r>
    </w:p>
    <w:p>
      <w:pPr>
        <w:spacing w:after="80"/>
      </w:pPr>
      <w:r>
        <w:rPr>
          <w:b w:val="0"/>
          <w:i w:val="0"/>
        </w:rPr>
        <w:t>Daniel Slifkin của Cravath có quan điểm tương tự: “Một hội đồng quản trị đủ năng lực có thể dễ dàng nói rằng để tối đa hóa giá trị trong dài hạn, tôi không nên xả chất ô nhiễm vào nguồn nước và gây hại cho nhân viên của mình hay tự đẩy mình vào những khoản nợ phải trả khổng lồ trong tương lai. Thay vào đó, tôi nên xây dựng công viên cho nhân viên, vì họ sẽ muốn làm việc ở đây. Họ sẽ muốn làm việc chăm chỉ hơn. Khi Paul O’Neill trở thành chủ tịch của Alcoa, ông tập trung vào an toàn tại nơi làm việc, nhất quyết rằng không thể có bất kỳ ca tử vong nào tại bất kỳ cơ sở nào của công ty. Nhờ tập trung vào điều đó, ông thực sự đã tiếp thêm sinh lực cho lực lượng lao động.”</w:t>
      </w:r>
    </w:p>
    <w:p>
      <w:pPr>
        <w:spacing w:after="80"/>
      </w:pPr>
      <w:r>
        <w:rPr>
          <w:b w:val="0"/>
          <w:i w:val="0"/>
        </w:rPr>
        <w:t>Tòa án Chancery của Delaware đã làm rõ những vấn đề này vào tháng 4 năm 2024, khi bác bỏ một vụ kiện do một nhà đầu tư hoạt động (activist investor) đệ trình chống lại Meta, lập luận rằng các giám đốc nên điều hành công ty dựa trên tác động xã hội rộng lớn.73 Phó Chánh án J. Travis Laster tuyên bố dứt khoát rằng luật Delaware yêu cầu nghĩa vụ ủy thác đối với các cổ đông của công ty chứ không phải đối với một tập hợp lớn hơn gồm các nhà đầu tư và các bên liên quan trong xã hội.74 Do đó, các hội đồng quản trị cần suy nghĩ theo cùng hướng đó khi đưa ra quyết định.</w:t>
      </w:r>
    </w:p>
    <w:p>
      <w:pPr>
        <w:spacing w:after="80"/>
      </w:pPr>
      <w:r>
        <w:rPr>
          <w:b w:val="0"/>
          <w:i w:val="0"/>
        </w:rPr>
        <w:t>Cũng quan trọng như các quyết định của hội đồng quản trị là cách hội đồng quản trị truyền đạt các quyết định của mình. Steve Lipin của Gladstone Place tin rằng truyền thông là chìa khóa cho thành công của ESG. “Ba mươi đến 40 năm trước,” ông nói với tôi, “nếu bạn nhìn vào thông điệp của doanh nghiệp, phần lớn là do cổ đông thúc đẩy. Giờ đây cánh cửa đã mở rộng hơn, và các công ty truyền đạt nhiều hơn về sứ mệnh của mình, những lợi ích mà họ mang lại cho cộng đồng, và lợi ích xã hội.”</w:t>
      </w:r>
    </w:p>
    <w:p>
      <w:pPr>
        <w:spacing w:after="80"/>
      </w:pPr>
      <w:r>
        <w:rPr>
          <w:b w:val="0"/>
          <w:i w:val="0"/>
        </w:rPr>
        <w:t xml:space="preserve">Như giáo sư George Serafeim của Trường Kinh doanh Harvard đã viết trong cuốn sách năm 2022 của ông, </w:t>
      </w:r>
      <w:r>
        <w:rPr>
          <w:b w:val="0"/>
          <w:i/>
        </w:rPr>
        <w:t>Purpose and Profit: How Business Can Lift Up the World</w:t>
      </w:r>
      <w:r>
        <w:rPr>
          <w:b w:val="0"/>
          <w:i w:val="0"/>
        </w:rPr>
        <w:t>, nó trở thành một vòng phản hồi tích cực, trong đó công ty càng giúp nhà đầu tư nhận ra lợi ích của ESG thì họ càng đòi hỏi nhiều nỗ lực ESG hơn, và những bước đi này càng đem lại kết quả tốt hơn trên thị trường đầu tư.75</w:t>
      </w:r>
    </w:p>
    <w:p>
      <w:pPr>
        <w:spacing w:after="80"/>
      </w:pPr>
      <w:r>
        <w:rPr>
          <w:b w:val="0"/>
          <w:i w:val="0"/>
        </w:rPr>
        <w:t>Trong khi một số người coi việc công ty theo đuổi các mục tiêu khác ngoài lợi nhuận tài chính thuần túy là một sự xao lãng, nhiều người đặt câu hỏi về giả định rằng chủ nghĩa tư bản các bên liên quan (stakeholder capitalism) phải hy sinh lợi nhuận kinh tế, đặc biệt là trong dài hạn. Suy cho cùng, một xã hội bị hủy hoại bởi biến đổi khí hậu, bất bình đẳng, tham nhũng và các mục tiêu khác trong chương trình nghị sự ESG có khả năng sẽ dẫn đến việc phá hủy một lượng lớn giá trị kinh tế cho cổ đông. Một số người, trong đó có Serafeim, cho rằng con đường tốt nhất dẫn đến lợi nhuận là giúp xây dựng một xã hội tốt đẹp hơn.76</w:t>
      </w:r>
    </w:p>
    <w:p>
      <w:pPr>
        <w:spacing w:after="80"/>
      </w:pPr>
      <w:r>
        <w:rPr>
          <w:b w:val="0"/>
          <w:i w:val="0"/>
        </w:rPr>
        <w:t>Alex Edmans, giáo sư tài chính tại Trường Kinh doanh London, và Bruce Bolger, người sáng lập Enterprise Engagement Alliance, đã viết rằng ý tưởng về chủ nghĩa tư bản các bên liên quan cần rõ ràng hơn. Họ lập luận rằng ngay cả một số người ủng hộ ESG cũng nhìn nhận nó một cách sai lầm, khi cho rằng “giá trị mà một công ty tạo ra [là] một chiếc bánh cố định, và chủ nghĩa tư bản các bên liên quan phân phối lại chiếc bánh từ cổ đông (‘họ’) sang các bên liên quan (‘chúng ta’) . . . [nghĩa là] các khuyến nghị của họ liên quan đến việc lật đổ quyền tối thượng của cổ đông—đưa người lao động vào hội đồng quản trị, hạn chế quyền của cổ đông, và buộc các công ty phải có một mục đích xã hội ràng buộc về mặt pháp lý.”77</w:t>
      </w:r>
    </w:p>
    <w:p>
      <w:pPr>
        <w:spacing w:after="80"/>
      </w:pPr>
      <w:r>
        <w:rPr>
          <w:b w:val="0"/>
          <w:i w:val="0"/>
        </w:rPr>
        <w:t>Nhưng đó không nhất thiết là cách nhìn nhận vấn đề. “Chiếc bánh không cố định,” họ khẳng định. “Chủ nghĩa tư bản các bên liên quan liên quan đến việc làm chiếc bánh lớn hơn, tạo giá trị cho cả cổ đông lẫn các bên liên quan. . . . Ví dụ, ‘100 Công ty Tốt nhất để Làm việc’ mang lại lợi nhuận cổ phiếu vượt trội so với các công ty cùng ngành từ 2,3–3,8% mỗi năm trong khoảng thời gian 28 năm. Đầu tư vào người lao động không hy sinh lợi nhuận; nó nâng cao lợi nhuận trong dài hạn.”78</w:t>
      </w:r>
    </w:p>
    <w:p>
      <w:pPr>
        <w:spacing w:after="80"/>
      </w:pPr>
      <w:r>
        <w:rPr>
          <w:b w:val="0"/>
          <w:i w:val="0"/>
        </w:rPr>
        <w:t>Marty Lipton đã chủ trương điều mà ông và công ty của ông gọi là “Mô hình Mới” (The New Paradigm), hay mối quan hệ giữa các tập đoàn và các bên liên quan của họ như một mối quan hệ hợp tác và cộng tác xoay quanh mục tiêu chung là tạo ra giá trị bền vững dài hạn.79 “Đây chính là ý nghĩa của quản trị doanh nghiệp,” Lipton nói với tôi. “Hội đồng quản trị có thẩm quyền và trách nhiệm đặt ra mục đích của công ty và cách đạt được mục đích đó, và cách duy nhất bạn có thể xử lý tất cả các bên liên quan một cách hiệu quả và đúng đắn là sử dụng phán đoán kinh doanh để quyết định. Điều này không khác gì việc hội đồng quản trị quyết định mức nợ mà một công ty sẽ gánh chịu.”</w:t>
      </w:r>
    </w:p>
    <w:p>
      <w:pPr>
        <w:spacing w:after="80"/>
      </w:pPr>
      <w:r>
        <w:rPr>
          <w:b w:val="0"/>
          <w:i w:val="0"/>
        </w:rPr>
        <w:t>Oberhelman đi đến kết luận tương tự từ một góc nhìn hơi khác: “Các cổ đông sở hữu công ty, và lòng trung thành đầu tiên của bạn với tư cách thành viên hội đồng quản trị là dành cho các cổ đông. Nhưng nếu bạn thành công với các cổ đông của mình, bạn sẽ có tiền để chi trả cho tất cả những việc khác mà bạn phải hoàn thành. Vì vậy, việc một CEO nói rằng chúng tôi không chăm lo cho tất cả các bên liên quan của mình là hoàn toàn sai.”</w:t>
      </w:r>
    </w:p>
    <w:p>
      <w:pPr>
        <w:spacing w:after="80"/>
      </w:pPr>
      <w:r>
        <w:rPr>
          <w:b w:val="0"/>
          <w:i w:val="0"/>
        </w:rPr>
        <w:t>Có nhiều quan điểm khác nhau về chủ đề quan trọng này. Giáo sư Lucian Bebchuk của Trường Luật Harvard—đối thủ của Lipton trong phần lớn công việc của ông thay mặt cho các công ty đang cố gắng đánh bại các nhà đầu tư hoạt động như đã thảo luận ở chương 7—lập luận theo phía ngược lại. Ông gọi các cam kết với các bên liên quan của các tập đoàn lớn phần lớn là “ảo tưởng.”80 Ý ông là ngay cả khi các công ty đưa ra những lời hứa vượt ra ngoài kết quả kinh tế, lượng nỗ lực và tiền bạc được dồn vào để đạt được chúng là không đáng kể.</w:t>
      </w:r>
    </w:p>
    <w:p>
      <w:pPr>
        <w:spacing w:after="80"/>
      </w:pPr>
      <w:r>
        <w:rPr>
          <w:b w:val="0"/>
          <w:i w:val="0"/>
        </w:rPr>
        <w:t>Câu hỏi cổ đông hay các bên liên quan là một vấn đề mà các hội đồng quản trị đã phải cân nhắc nhiều hơn trong những năm gần đây so với bao giờ hết, và quản trị đã bị ảnh hưởng theo những cách đáng kể. Nói rộng hơn, trong thời gian tôi phục vụ trong các hội đồng quản trị, ít có yếu tố nào thay đổi vai trò nhiều như sự trỗi dậy của các vấn đề ESG và giờ đây là sự bất định xung quanh chúng. Và vấn đề làm thế nào để giải quyết các chủ đề ESG trong khi vẫn tập trung vào giá trị cổ đông dài hạn là một trong những cân nhắc quan trọng nhất mà các hội đồng quản trị hiện đang đối mặt.</w:t>
      </w:r>
    </w:p>
    <w:p>
      <w:pPr>
        <w:pStyle w:val="Heading1"/>
      </w:pPr>
      <w:r>
        <w:rPr>
          <w:rFonts w:ascii="Calibri" w:hAnsi="Calibri"/>
          <w:b/>
          <w:i w:val="0"/>
          <w:sz w:val="40"/>
        </w:rPr>
        <w:t>Mục IV</w:t>
      </w:r>
    </w:p>
    <w:p>
      <w:pPr>
        <w:pStyle w:val="Heading1"/>
      </w:pPr>
      <w:r>
        <w:rPr>
          <w:rFonts w:ascii="Calibri" w:hAnsi="Calibri"/>
          <w:b/>
          <w:i w:val="0"/>
          <w:sz w:val="40"/>
        </w:rPr>
        <w:t>Các giám đốc có thể làm gì để thúc đẩy thành công dài hạn?</w:t>
      </w:r>
    </w:p>
    <w:p>
      <w:pPr>
        <w:pStyle w:val="Heading1"/>
      </w:pPr>
      <w:r>
        <w:rPr>
          <w:rFonts w:ascii="Calibri" w:hAnsi="Calibri"/>
          <w:b/>
          <w:i w:val="0"/>
          <w:sz w:val="40"/>
        </w:rPr>
        <w:t>Chương 11</w:t>
      </w:r>
    </w:p>
    <w:p>
      <w:pPr>
        <w:pStyle w:val="Heading1"/>
      </w:pPr>
      <w:r>
        <w:rPr>
          <w:rFonts w:ascii="Calibri" w:hAnsi="Calibri"/>
          <w:b/>
          <w:i w:val="0"/>
          <w:sz w:val="40"/>
        </w:rPr>
        <w:t>Giám đốc mới: Tuyển dụng, Đa dạng và Hội nhập</w:t>
      </w:r>
    </w:p>
    <w:p>
      <w:pPr>
        <w:spacing w:after="80"/>
      </w:pPr>
      <w:r>
        <w:rPr>
          <w:b w:val="0"/>
          <w:i w:val="0"/>
        </w:rPr>
        <w:t>Việc hội đồng quản trị nên tuyển ai—và cách hội đồng cùng ban điều hành hội nhập các giám đốc mới để họ đóng góp giá trị nhanh nhất có thể—là một vấn đề then chốt, càng trở nên quan trọng trong thời đại ngày nay khi các giám đốc luôn nằm trong tầm ngắm. Khi chúng ta bước vào phần cuối của cuốn sách này, tập trung vào những vấn đề thực tiễn mà các giám đốc cần hiểu và giải quyết thấu đáo, chương này sẽ bàn về một quy trình chất lượng cao để tuyển dụng giám đốc, sự đa dạng trong phòng họp hội đồng quản trị, và một chương trình hội nhập hiệu quả.</w:t>
      </w:r>
    </w:p>
    <w:p>
      <w:pPr>
        <w:pStyle w:val="Heading2"/>
      </w:pPr>
      <w:r>
        <w:rPr>
          <w:rFonts w:ascii="Calibri" w:hAnsi="Calibri"/>
          <w:b/>
          <w:i w:val="0"/>
          <w:sz w:val="32"/>
        </w:rPr>
        <w:t>Tuyển dụng Giám đốc mới</w:t>
      </w:r>
    </w:p>
    <w:p>
      <w:pPr>
        <w:spacing w:after="80"/>
      </w:pPr>
      <w:r>
        <w:rPr>
          <w:b w:val="0"/>
          <w:i w:val="0"/>
        </w:rPr>
        <w:t>Việc thay thế hoặc bổ sung một thành viên hội đồng quản trị mới là một công việc tốn thời gian và công sức. Ủy ban đề cử và quản trị thường dẫn dắt nỗ lực này. Tuy nhiên, đây là một quyết định quan trọng của hội đồng. Vì vậy, tôi tin rằng mỗi giám đốc nên được thông tin đầy đủ và tham gia vào nỗ lực quan trọng này, bao gồm cả việc phỏng vấn bất kỳ ứng viên cuối cùng nào. Quá trình này đòi hỏi sự cam kết đáng kể từ tất cả các giám đốc đương nhiệm.</w:t>
      </w:r>
    </w:p>
    <w:p>
      <w:pPr>
        <w:spacing w:after="80"/>
      </w:pPr>
      <w:r>
        <w:rPr>
          <w:b w:val="0"/>
          <w:i w:val="0"/>
        </w:rPr>
        <w:t>Ted Dysart, giám đốc điều hành tại công ty săn đầu người Russell Reynolds Associates, nói với tôi: "Hãy đi chậm để đi nhanh. Hãy tạo sự đồng thuận. Hãy hiểu rõ ràng về những gì bạn đang tìm kiếm."</w:t>
      </w:r>
    </w:p>
    <w:p>
      <w:pPr>
        <w:spacing w:after="80"/>
      </w:pPr>
      <w:r>
        <w:rPr>
          <w:b w:val="0"/>
          <w:i w:val="0"/>
        </w:rPr>
        <w:t>Quá trình tuyển dụng nên bắt đầu bằng việc xác định những kỹ năng mà hội đồng hiện tại còn thiếu hoặc cần được nâng cao. Mỗi hội đồng nên có một ma trận kỹ năng (skills matrix) cập nhật bao gồm các đặc điểm và năng lực của các giám đốc hiện hữu. Thường thì đó chỉ là một bảng tính đơn giản; một ví dụ là đặt tên các giám đốc ở cột ngoài cùng bên trái và danh sách các đặc điểm cùng kỹ năng ở hàng trên cùng. Các đặc điểm có thể bao gồm tuổi tác, nhiệm kỳ trong hội đồng, giới tính, các yếu tố đa dạng khác, số lượng hội đồng đang tham gia hiện tại và tổng cộng, và các vị trí trong ủy ban, bao gồm cả vai trò chủ tịch, hiện tại và tổng cộng. Các kỹ năng có thể bao gồm kinh nghiệm trong ngành cụ thể và ở nhiều chức năng khác nhau (vận hành, tài chính, pháp lý, công nghệ, an ninh mạng, ESG, nguồn nhân lực, v.v.), kinh nghiệm quốc tế, và bất kỳ kỹ năng cụ thể nào khác mà hội đồng có thể muốn, chẳng hạn như kinh nghiệm tái cấu trúc. Một số hội đồng gán điểm số cho các chỉ số khác nhau. Tôi đã từng thấy những tình huống mà, ví dụ, điểm "3" biểu thị có chút kinh nghiệm trong một lĩnh vực cụ thể, điểm "2" biểu thị kinh nghiệm đáng kể, và điểm "1" nghĩa là kinh nghiệm sâu rộng. Dù một số người có thể cho rằng một hội đồng được thông tin đầy đủ đã biết rõ thành phần giám đốc của mình, nhưng ma trận kỹ năng ghi nhớ điều đó và giữ nó luôn cập nhật, giống như ngay cả một phi công dày dạn kinh nghiệm vẫn nên có một danh sách kiểm tra để tuân theo khi lái máy bay.</w:t>
      </w:r>
    </w:p>
    <w:p>
      <w:pPr>
        <w:spacing w:after="80"/>
      </w:pPr>
      <w:r>
        <w:rPr>
          <w:b w:val="0"/>
          <w:i w:val="0"/>
        </w:rPr>
        <w:t>Bằng cách xem xét và cập nhật ma trận kỹ năng thường xuyên—thường là hàng năm và khi có một ghế trong hội đồng trống—hội đồng có thể xác định những kỹ năng hoặc đặc điểm mà các giám đốc hiện tại có và cân nhắc những gì có thể cần thiết. Công cụ này cũng là một cách tốt để lập kế hoạch cho những giám đốc có thể sắp đạt giới hạn nhiệm kỳ hoặc gần đến tuổi nghỉ hưu. Ví dụ, tôi từng là giám đốc của một công ty vừa bổ nhiệm một CEO mới. Ông ấy là một lãnh đạo rất tài ba nhưng chưa từng điều hành một công ty đại chúng. Vào thời điểm đó, hội đồng của chúng tôi không có giám đốc nào là lãnh đạo đang tại vị ở các công ty đại chúng. Chúng tôi nhận ra đây sẽ là điều có thể hữu ích, và vì vậy chúng tôi sớm bổ sung CEO của một công ty đại chúng vào hội đồng. Trong một tình huống khác, tôi ở trong hội đồng của một công ty có một đơn vị kinh doanh đang phát triển với hàm lượng công nghệ đáng kể trong một ngành đang thay đổi rất nhanh. Vào thời điểm đó, công ty không có giám đốc nào có kinh nghiệm công nghệ đáng kể lẫn giám đốc công nghệ (chief technology officer). Chúng tôi sớm bổ sung cả hai.</w:t>
      </w:r>
    </w:p>
    <w:p>
      <w:pPr>
        <w:spacing w:after="80"/>
      </w:pPr>
      <w:r>
        <w:rPr>
          <w:b w:val="0"/>
          <w:i w:val="0"/>
        </w:rPr>
        <w:t>Anna Catalano, người từng đảm nhiệm nhiều vai trò lãnh đạo tại các nhà sản xuất năng lượng BP và Amoco từ năm 1979 cho đến khi nghỉ hưu vào năm 2003 và đã tham gia khoảng 15 hội đồng quản trị doanh nghiệp kể từ đó, xem chuyên môn chức năng—chẳng hạn như trong công nghệ thông tin và nguồn nhân lực—thường là một bộ kỹ năng quan trọng đối với một hội đồng. Dù vậy, bà cảnh báo rằng các giám đốc không nên bị đóng khung trong lĩnh vực chuyên môn chức năng của mình. Bà nói với tôi: "Mọi người bạn tuyển đều nên được tuyển để trở thành một giám đốc đầy đủ, với cùng công việc và trách nhiệm pháp lý, chứ không phải người đứng đầu một chức năng cụ thể." Tôi hoàn toàn đồng ý.</w:t>
      </w:r>
    </w:p>
    <w:p>
      <w:pPr>
        <w:spacing w:after="80"/>
      </w:pPr>
      <w:r>
        <w:rPr>
          <w:b w:val="0"/>
          <w:i w:val="0"/>
        </w:rPr>
        <w:t>Thật vậy, điều này không có nghĩa là ma trận kỹ năng phải luôn là động lực chính của quá trình tuyển dụng. Và hãy nhớ rằng các giám đốc giám sát hoạt động kinh doanh, còn ban điều hành quản lý nó, nên một hay nhiều giám đốc chắc chắn không nên và không thể bù đắp cho việc ban điều hành thiếu các kỹ năng cần thiết. Một giám đốc xuất sắc với kinh nghiệm sâu rộng vẫn chỉ có lẽ khoảng 10 ngày có mặt tại chỗ và có thể 200 giờ mỗi năm dành cho công ty. Một đội ngũ mạnh làm việc mỗi ngày vào một vấn đề quan trọng với ngân sách hợp lý—cùng sự giám sát tốt của hội đồng—chính là công thức của thành công.</w:t>
      </w:r>
    </w:p>
    <w:p>
      <w:pPr>
        <w:spacing w:after="80"/>
      </w:pPr>
      <w:r>
        <w:rPr>
          <w:b w:val="0"/>
          <w:i w:val="0"/>
        </w:rPr>
        <w:t>Tôi tin rằng điều quan trọng là cân bằng giữa mong muốn có kiến thức và kinh nghiệm cụ thể với việc cân nhắc những "vận động viên giỏi nhất"—những người mà vì nhiều lý do rộng lớn và sự ăn ý nhưng không nhất thiết vì một bộ kỹ năng cụ thể, có khả năng sẽ trở thành những giám đốc xuất sắc. Và ngay cả khi hội đồng thấy rõ rằng cần có kiến thức cụ thể, điều then chốt là các ứng viên phải có sự nhạy bén kinh doanh rộng và phù hợp về văn hóa với hội đồng và ban điều hành.</w:t>
      </w:r>
    </w:p>
    <w:p>
      <w:pPr>
        <w:spacing w:after="80"/>
      </w:pPr>
      <w:r>
        <w:rPr>
          <w:b w:val="0"/>
          <w:i w:val="0"/>
        </w:rPr>
        <w:t>Fred Lynch, cựu chủ tịch kiêm CEO của Masonite, nhìn nhận chủ đề quan trọng này một cách rộng rãi và sâu sắc: "Tôi nghĩ điều tạo nên một hội đồng hiệu quả là có sự đa dạng về quan điểm và xuất thân. Bạn cần có những thành viên hội đồng tò mò về mặt trí tuệ và tự thấy mình ở đó vì một mục đích. Họ muốn làm công ty tốt hơn. Họ muốn làm ban điều hành tốt hơn. Họ thực sự muốn tạo nên sự khác biệt."</w:t>
      </w:r>
    </w:p>
    <w:p>
      <w:pPr>
        <w:spacing w:after="80"/>
      </w:pPr>
      <w:r>
        <w:rPr>
          <w:b w:val="0"/>
          <w:i w:val="0"/>
        </w:rPr>
        <w:t>Ron Lumbra, đối tác tại công ty săn đầu người Heidrick &amp; Struggles, nói với tôi rằng theo kinh nghiệm của ông, "những giám đốc giỏi nhất mang đến sự khôn ngoan, phán đoán và khả năng ra quyết định hạng nhất. Nhưng họ cũng phải làm điều đó theo cách xây dựng sự gắn kết. Họ không thể chỉ là người thông minh nhất trong phòng. Họ phải được các giám đốc đồng nghiệp tin tưởng và có mối quan hệ với các giám đốc đồng nghiệp. Họ xây dựng niềm tin đó bằng cách trở thành người biết lắng nghe, trao đổi cởi mở, và tiếp nhận những gì các giám đốc khác mang đến bàn thảo."</w:t>
      </w:r>
    </w:p>
    <w:p>
      <w:pPr>
        <w:spacing w:after="80"/>
      </w:pPr>
      <w:r>
        <w:rPr>
          <w:b w:val="0"/>
          <w:i w:val="0"/>
        </w:rPr>
        <w:t>Công ty và hội đồng hiện tại là rất quan trọng khi tìm kiếm một giám đốc mới. Bạn cần hiểu cả hai—một cách thấu đáo. Điều quan trọng là cân nhắc chiến lược của công ty: Liệu có kỹ năng và kinh nghiệm cụ thể nào cần thiết để giúp đưa ra sự giám sát và hướng dẫn hiệu quả không? Hội đồng hiện đang vận hành như thế nào? Liệu nó có cần thêm một góc nhìn cụ thể nào không? Sự ăn ý là một yếu tố cân nhắc then chốt mà sẽ không bao giờ được ghi lại chính xác trong một ma trận kỹ năng. Một hội đồng đầy những cá tính mạnh có thể không phải là nơi phù hợp cho một giám đốc trầm lặng, hướng nội—nhưng chính giám đốc đó có thể phát huy tốt trong một hội đồng ưa thảo luận dài. Dysart nhận xét: "Đó là câu hỏi về việc một người phù hợp đến mức nào trong động lực nhóm hiện hữu và liệu mục tiêu là thay đổi động lực đó hay giữ nó tương đối ổn định. Vấn đề nằm ở việc bạn hiểu rõ đến đâu cách một người đã hành xử trong quá khứ để có cảm nhận về cách họ sẽ hành xử trong phòng họp hội đồng của bạn."</w:t>
      </w:r>
    </w:p>
    <w:p>
      <w:pPr>
        <w:spacing w:after="80"/>
      </w:pPr>
      <w:r>
        <w:rPr>
          <w:b w:val="0"/>
          <w:i w:val="0"/>
        </w:rPr>
        <w:t>Doug Oberhelman, cựu CEO của Caterpillar, tin rằng các CEO đương nhiệm hoặc cựu CEO mang đến rất nhiều kinh nghiệm hữu ích cho các hội đồng. Ông nói: "Qua nhiều năm, tôi nhận thấy rằng khi các CEO đang tại vị ở trong hội đồng, xu hướng của họ là muốn giúp đỡ. Tôi luôn cảm thấy rằng khi tôi ở trong một hội đồng bên ngoài, lắng nghe CEO, tôi biết chính xác mức độ chi tiết mà họ muốn ở tôi với tư cách một thành viên hội đồng, bởi vì tôi cũng là một CEO."</w:t>
      </w:r>
    </w:p>
    <w:p>
      <w:pPr>
        <w:spacing w:after="80"/>
      </w:pPr>
      <w:r>
        <w:rPr>
          <w:b w:val="0"/>
          <w:i w:val="0"/>
        </w:rPr>
        <w:t>Lumbra giải thích rằng đôi khi các giám đốc cần có một tầm vóc nhất định để trở nên hiệu quả. Ông nói với tôi: "Hãy lấy một công ty như Exxon hay JPMorgan. Bạn có thể là một người thông minh, nhưng nếu bạn chưa có thành công trong sự nghiệp như nhiều giám đốc của họ, bạn sẽ không được coi trọng, và kết quả là bạn sẽ không hiệu quả."</w:t>
      </w:r>
    </w:p>
    <w:p>
      <w:pPr>
        <w:spacing w:after="80"/>
      </w:pPr>
      <w:r>
        <w:rPr>
          <w:b w:val="0"/>
          <w:i w:val="0"/>
        </w:rPr>
        <w:t>Dysart bổ sung rằng một điểm quan trọng và, theo kinh nghiệm của tôi, đôi khi bị bỏ qua là một phần lớn của quá trình nên là xác định không chỉ những ứng viên tuyệt vời mà còn là những ứng viên tuyệt vời phù hợp với công ty và chiến lược của nó vào thời điểm cần lấp chỗ trống. Ông nói với tôi: "Có những giám đốc phù hợp với một công ty đang tiến gần đến tình trạng mất khả năng thanh toán hoặc đang thoát ra khỏi phá sản, và có những giám đốc phù hợp hơn với một công ty đang trên đà tăng trưởng. Những bộ kỹ năng đó không nhất thiết giống nhau."</w:t>
      </w:r>
    </w:p>
    <w:p>
      <w:pPr>
        <w:spacing w:after="80"/>
      </w:pPr>
      <w:r>
        <w:rPr>
          <w:b w:val="0"/>
          <w:i w:val="0"/>
        </w:rPr>
        <w:t>Khi trò chuyện với hơn 75 người mà tôi đã phỏng vấn cho cuốn sách này và tiếp xúc với hàng trăm giám đốc với tư cách là một chuyên gia ngân hàng đầu tư kiêm giám đốc doanh nghiệp, điều liên tục xuất hiện trong các cuộc trò chuyện về việc điều gì tạo nên một giám đốc giỏi, hơn cả chuyên môn về ngành hay chức năng, chính là hai đặc điểm cơ bản: khả năng lắng nghe và khả năng làm việc hiệu quả trong một tập thể.</w:t>
      </w:r>
    </w:p>
    <w:p>
      <w:pPr>
        <w:spacing w:after="80"/>
      </w:pPr>
      <w:r>
        <w:rPr>
          <w:b w:val="0"/>
          <w:i w:val="0"/>
        </w:rPr>
        <w:t>Dysart tóm tắt: "Bạn cần một chút can đảm và khả năng quản lý bằng sức ảnh hưởng. Những giám đốc giỏi nhất đặt câu hỏi theo cách khơi gợi những hành vi nhất định theo thời gian từ ban lãnh đạo hoặc thậm chí từ các đồng nghiệp trong hội đồng quản trị."</w:t>
      </w:r>
    </w:p>
    <w:p>
      <w:pPr>
        <w:pStyle w:val="Heading2"/>
      </w:pPr>
      <w:r>
        <w:rPr>
          <w:rFonts w:ascii="Calibri" w:hAnsi="Calibri"/>
          <w:b/>
          <w:i w:val="0"/>
          <w:sz w:val="32"/>
        </w:rPr>
        <w:t>Tìm đúng người</w:t>
      </w:r>
    </w:p>
    <w:p>
      <w:pPr>
        <w:spacing w:after="80"/>
      </w:pPr>
      <w:r>
        <w:rPr>
          <w:b w:val="0"/>
          <w:i w:val="0"/>
        </w:rPr>
        <w:t>Điều quan trọng là tìm được những giám đốc vừa có kỹ năng vừa có phẩm chất cá nhân để tạo ra tác động tích cực. Jerry Rosenfeld là phó chủ tịch mảng ngân hàng đầu tư tại Lazard, đồng thời là giáo sư, học giả ưu tú và đồng giám đốc Chương trình Lãnh đạo về Luật và Kinh doanh tại Trường Luật Đại học New York. Ông giải thích: "Việc lựa chọn giám đốc ngày nay là một quá trình rất kỹ lưỡng. Trong bản công bố thông tin ủy quyền (proxy statement), các công ty bắt buộc phải đưa vào mô tả kỹ năng của từng giám đốc. Mỗi giám đốc đều phải có lý do để ngồi trong hội đồng quản trị."</w:t>
      </w:r>
    </w:p>
    <w:p>
      <w:pPr>
        <w:spacing w:after="80"/>
      </w:pPr>
      <w:r>
        <w:rPr>
          <w:b w:val="0"/>
          <w:i w:val="0"/>
        </w:rPr>
        <w:t>Việc tìm kiếm một giám đốc mới nên dựa trên quy trình—dù quy trình này có thể khác nhau tùy theo nhu cầu của tổ chức. Với những hội đồng quản trị muốn tuyển các giám đốc mang lại giá trị gia tăng, các kỹ năng mềm (như khả năng giao tiếp tốt) cũng quan trọng không kém các kỹ năng cứng (như kiến thức về ngành hay chức năng).</w:t>
      </w:r>
    </w:p>
    <w:p>
      <w:pPr>
        <w:spacing w:after="80"/>
      </w:pPr>
      <w:r>
        <w:rPr>
          <w:b w:val="0"/>
          <w:i w:val="0"/>
        </w:rPr>
        <w:t>Quá trình tìm kiếm thường bắt đầu bằng cái gọi là bản đặc tả hay "spec", một tài liệu chi tiết có thể dài tới 10 trang mô tả công ty, bao gồm ngành, hoạt động kinh doanh và vị thế cạnh tranh, cũng như kinh nghiệm và phẩm chất mong muốn ở một giám đốc mới và lịch các cuộc họp hội đồng quản trị trong vài năm tới (để không lãng phí thời gian nếu ứng viên có xung đột lợi ích nghiêm trọng). Sau đó, các ứng viên được liên hệ và phỏng vấn được tiến hành. Khác với việc tuyển lãnh đạo, khi bạn có thể phỏng vấn tới 10 ứng viên trở lên cho một vị trí trống rồi sau đó mới quyết định trao lời đề nghị cho ai, thông thường người ta phỏng vấn các ứng viên giám đốc theo thứ tự mà bạn cho là mình ưu tiên họ và cố gắng hạn chế số lượng ứng viên bị từ chối.</w:t>
      </w:r>
    </w:p>
    <w:p>
      <w:pPr>
        <w:spacing w:after="80"/>
      </w:pPr>
      <w:r>
        <w:rPr>
          <w:b w:val="0"/>
          <w:i w:val="0"/>
        </w:rPr>
        <w:t>Đôi khi, các giám đốc đương nhiệm tìm giám đốc mới từ mạng lưới của chính họ và các công cụ như LinkedIn. Thường thì các công ty tuyển dụng được sử dụng để giúp tìm nguồn và đánh giá ứng viên. Tất nhiên, các giám đốc đương nhiệm là người cuối cùng quyết định ai sẽ được thêm vào nhóm của họ. Một công ty tuyển dụng chất lượng cao, tận tâm với dự án, có thể tận dụng mạng lưới sâu rộng, năng lực nghiên cứu và phán đoán của mình để hỗ trợ rất hiệu quả.</w:t>
      </w:r>
    </w:p>
    <w:p>
      <w:pPr>
        <w:spacing w:after="80"/>
      </w:pPr>
      <w:r>
        <w:rPr>
          <w:b w:val="0"/>
          <w:i w:val="0"/>
        </w:rPr>
        <w:t>Một cuộc thảo luận thú vị liên quan đến tính độc lập của giám đốc. Trước đây, một số lãnh đạo cấp cao của công ty thường ngồi trong hội đồng quản trị. Ngày nay, hầu như luôn chỉ có CEO. Howard Ungerleider đã nghỉ hưu ở Dow với vai trò chủ tịch kiêm giám đốc tài chính (CFO) và hiện đang làm việc tại công ty cổ phần tư nhân CD&amp;R. Ông nói với tôi rằng Dow, cũng giống như nhiều công ty khác, "trước đây có CEO, CFO và trưởng bộ phận sản xuất trong hội đồng quản trị—chín giám đốc độc lập và ba giám đốc từ ban lãnh đạo. Tôi nghĩ rằng kinh nghiệm của các lãnh đạo này rốt cuộc sẽ giúp ích cho chúng tôi, cung cấp thông tin tốt hơn cho các giám đốc khác."</w:t>
      </w:r>
    </w:p>
    <w:p>
      <w:pPr>
        <w:spacing w:after="80"/>
      </w:pPr>
      <w:r>
        <w:rPr>
          <w:b w:val="0"/>
          <w:i w:val="0"/>
        </w:rPr>
        <w:t>"Tôi vẫn muốn phần lớn giám đốc là độc lập," ông nói thêm, "nhưng việc có ít nhất hai, nếu không muốn nói là ba người có chút kinh nghiệm từ bên trong công ty sẽ mang lại kết quả quản trị tốt hơn, bởi vì nếu bạn nghĩ về điều đó ngày nay, nếu CEO muốn kiểm soát câu chuyện, họ có thể làm được, bằng cách đảm bảo phần còn lại của ban lãnh đạo hiếm khi nói chuyện với hội đồng quản trị và hạn chế lượng thông tin được chia sẻ." Dysart đồng tình: "Một trong những mặt trái của Sarbanes-Oxley là chúng ta bắt đầu coi trọng tính độc lập hơn mọi thứ khác."</w:t>
      </w:r>
    </w:p>
    <w:p>
      <w:pPr>
        <w:spacing w:after="80"/>
      </w:pPr>
      <w:r>
        <w:rPr>
          <w:b w:val="0"/>
          <w:i w:val="0"/>
        </w:rPr>
        <w:t>Vậy mà tính độc lập đã trở thành quy tắc. Theo quy định của NYSE và NASDAQ, các giám đốc độc lập phải chiếm đa số trong hội đồng quản trị của một công ty đại chúng1—nhưng hầu hết còn đi xa hơn nhiều. Áp lực gia tăng tính độc lập, kết hợp với áp lực về đa dạng, đã dẫn đến sự sụt giảm số lượng giám đốc không độc lập ngoài CEO. Hội đồng quản trị trung bình của S&amp;P 500 chỉ có 1,6 giám đốc không độc lập vào năm 2023, với CEO là giám đốc không độc lập duy nhất tại 65 phần trăm hội đồng quản trị S&amp;P 500, tăng 8 phần trăm so với thập kỷ trước.2 Công ty tuyển dụng Korn Ferry đã viết rằng "các hội đồng quản trị đã trở nên chiến lược hơn trong việc lấp đầy các ghế trống bằng các giám đốc [độc lập] từ những lĩnh vực chuyên môn phù hợp với mục tiêu kinh doanh," để lại ít chỗ hơn cho các thành viên của ban lãnh đạo.3</w:t>
      </w:r>
    </w:p>
    <w:p>
      <w:pPr>
        <w:spacing w:after="80"/>
      </w:pPr>
      <w:r>
        <w:rPr>
          <w:b w:val="0"/>
          <w:i w:val="0"/>
        </w:rPr>
        <w:t>Quan điểm của tôi là việc suy nghĩ lại kỳ vọng hiện tại rằng CEO thường nên là thành viên duy nhất của ban lãnh đạo trong hội đồng quản trị sẽ rất đáng giá. Với tôi, chẳng hạn, có sự khác biệt thực sự giữa một CFO và một lãnh đạo vận hành cấp cao tham gia phần lớn thời gian vào các cuộc họp hội đồng quản trị, so với một CFO và một lãnh đạo vận hành cấp cao là đồng nghiệp trong hội đồng quản trị, được quyền tiếp cận mọi tài liệu của hội đồng và tham gia mọi cuộc thảo luận và biểu quyết của hội đồng.</w:t>
      </w:r>
    </w:p>
    <w:p>
      <w:pPr>
        <w:spacing w:after="80"/>
      </w:pPr>
      <w:r>
        <w:rPr>
          <w:b w:val="0"/>
          <w:i w:val="0"/>
        </w:rPr>
        <w:t>Việc tìm ra một sự kết hợp giám đốc hiệu quả là cực kỳ quan trọng, bởi vì hậu quả rất lớn. Những thành viên hội đồng quản trị chưa đạt yêu cầu có thể gây hại cho một tổ chức, và những thành viên hội đồng quản trị giỏi có thể mang lại giá trị thực sự. Cuối cùng, vào cuối quá trình tuyển dụng, một lời đề nghị được đưa ra và quá trình hội nhập bắt đầu. Nhưng trước khi chuyển sang cuộc thảo luận đó, điều quan trọng là dành chút thời gian nhìn vào tính đa dạng của hội đồng quản trị, một vấn đề rất quan trọng ngày nay.</w:t>
      </w:r>
    </w:p>
    <w:p>
      <w:pPr>
        <w:pStyle w:val="Heading2"/>
      </w:pPr>
      <w:r>
        <w:rPr>
          <w:rFonts w:ascii="Calibri" w:hAnsi="Calibri"/>
          <w:b/>
          <w:i w:val="0"/>
          <w:sz w:val="32"/>
        </w:rPr>
        <w:t>Tính đa dạng của hội đồng quản trị</w:t>
      </w:r>
    </w:p>
    <w:p>
      <w:pPr>
        <w:spacing w:after="80"/>
      </w:pPr>
      <w:r>
        <w:rPr>
          <w:b w:val="0"/>
          <w:i w:val="0"/>
        </w:rPr>
        <w:t>Như đã thảo luận trong chương 4 và chương 10, tính đa dạng của hội đồng quản trị là một chủ đề được nhiều nhóm liên quan bàn luận sôi nổi ngày nay. Trong bối cảnh hội đồng quản trị, tính đa dạng thường được dùng để chỉ các quan điểm và xuất thân đa dạng. Tuy nhiên, trọng tâm trong những năm gần đây chủ yếu là tăng số lượng phụ nữ trong hội đồng quản trị và, ở mức độ ít hơn một chút, là các nhóm sắc tộc và các nhóm ít được đại diện khác. Đã có áp lực từ nhiều phía trong một thời gian để có nhiều giám đốc đa dạng hơn. Nhưng áp lực đó đã giảm bớt, và có nhiều tiếng nói mạnh mẽ, kể cả từ thủ đô của đất nước chúng ta, đòi giảm đáng kể nỗ lực về đa dạng nói chung. Thật khó nói phòng họp hội đồng quản trị sẽ đi về đâu khi nói đến vấn đề giám đốc đa dạng. Như đã thảo luận trước đó nhưng xin nhắc lại, luật năm 2018 của California yêu cầu các hội đồng quản trị phải có ít nhất hai hoặc ba giám đốc nữ vào năm 2022 tùy theo quy mô hội đồng đã bị tuyên là vi hiến. Ngoài ra, BlackRock đã từng thúc giục mức đa dạng 30 phần trăm trong tất cả các hội đồng quản trị, với ít nhất hai phụ nữ và một giám đốc từ một nhóm ít được đại diện, và đã chỉ ra rằng họ sẽ bỏ phiếu chống lại các thành viên ủy ban đề cử và quản trị nếu một công ty không giải thích cách tiếp cận của mình đối với tính đa dạng trong hội đồng quản trị.4 Tuy nhiên, BlackRock không có tuyên bố nào về tính đa dạng hội đồng quản trị trong hướng dẫn biểu quyết ủy quyền năm 2025 của mình. Tôi nghi ngờ rằng kết cục của chúng ta về vấn đề này sẽ khác nhau tùy theo từng ngành và từng công ty.</w:t>
      </w:r>
    </w:p>
    <w:p>
      <w:pPr>
        <w:spacing w:after="80"/>
      </w:pPr>
      <w:r>
        <w:rPr>
          <w:b w:val="0"/>
          <w:i w:val="0"/>
        </w:rPr>
        <w:t>Cựu thủ quỹ bang California, Kathleen Brown, là đối tác tại công ty dịch vụ chuyên nghiệp Manatt và trước đây từng làm việc tại Goldman Sachs và Bank of America cũng như là ứng viên đảng Dân chủ cho chức thống đốc bang California. Bà cũng phục vụ trong một số hội đồng quản trị. Brown thúc giục xem xét tính đa dạng về độ tuổi bên cạnh tính đa dạng về giới tính và sắc tộc: "Tôi nghĩ rằng có giá trị to lớn trong việc có các nhóm làm việc đa dạng về độ tuổi, và chúng ta không thường nghĩ về điều đó. Nhưng hãy xem xét sự khôn ngoan mà các thành viên hội đồng lớn tuổi có thể mang lại, kiến thức họ có, sự kiên nhẫn, và kinh nghiệm rằng bất kỳ cuộc khủng hoảng cụ thể nào rồi cũng sẽ qua. Kết hợp với năng lượng, sự nhiệt huyết và tinh thần chấp nhận rủi ro đổi mới của thế hệ trẻ, sự kết hợp này có thể thực sự mạnh mẽ. Tôi nghĩ các nhóm đa thế hệ là điều mới mẻ thời thượng."</w:t>
      </w:r>
    </w:p>
    <w:p>
      <w:pPr>
        <w:spacing w:after="80"/>
      </w:pPr>
      <w:r>
        <w:rPr>
          <w:b w:val="0"/>
          <w:i w:val="0"/>
        </w:rPr>
        <w:t>Tôi đã không nghĩ đến tính đa dạng về độ tuổi cho đến khi Brown đề cập với tôi. Laura Carstensen là Giáo sư Fairleigh S. Dickinson Jr. về Chính sách Công tại Đại học Stanford và là giám đốc sáng lập Trung tâm Stanford về Tuổi thọ. Nghiên cứu của bà về lão hóa đã được Viện Quốc gia về Lão hóa tài trợ trong hơn 30 năm. Giáo sư Carstensen ủng hộ quan điểm coi tính đa dạng về độ tuổi là một yếu tố quan trọng cần cân nhắc trong hội đồng quản trị. Bà giải thích với tôi,</w:t>
      </w:r>
    </w:p>
    <w:p>
      <w:pPr>
        <w:spacing w:after="80"/>
      </w:pPr>
      <w:r>
        <w:rPr>
          <w:b w:val="0"/>
          <w:i w:val="0"/>
        </w:rPr>
        <w:t>Trong phần lớn quá trình tiến hóa của loài người, cuộc sống ngắn ngủi đến mức dân số hành tinh chỉ toàn là người trẻ. Ngày nay, chúng ta có số lượng trẻ 5 tuổi xấp xỉ bằng số người 65 tuổi. Hiện nay, lực lượng lao động đại diện cho khoảng thời gian sinh kéo dài 60 năm, và các thế hệ khác nhau mang đến những kỹ năng khác nhau. Người lớn tuổi có nhiều kiến thức và chuyên môn. Họ ổn định về cảm xúc hơn, có tính xã hội cao hơn, và có lẽ quan tâm hơn đến việc giúp đỡ đồng nghiệp. Người lao động trẻ làm việc độc lập, đầy tham vọng và nhanh nhẹn. Khi bạn kết hợp những kỹ năng đó lại với nhau, sự pha trộn này hẳn phải khá thú vị. Khi mọi người biết nhiều hơn, họ trở nên có giá trị hơn và có thể đóng góp nhiều hơn. Đối với các vai trò dựa trên kiến thức, như thành viên hội đồng quản trị, bằng chứng về năng suất dường như chỉ có xu hướng tăng lên.</w:t>
      </w:r>
    </w:p>
    <w:p>
      <w:pPr>
        <w:spacing w:after="80"/>
      </w:pPr>
      <w:r>
        <w:rPr>
          <w:b w:val="0"/>
          <w:i w:val="0"/>
        </w:rPr>
        <w:t>Cũng đáng chú ý là cựu thượng nghị sĩ bang Connecticut kiêm giám đốc doanh nghiệp Ted Kennedy Jr. đã thúc đẩy các hội đồng quản trị coi khuyết tật là một đặc điểm đa dạng nữa. Kennedy, người mất một chân vì ung thư năm 12 tuổi, nói: "Lý do kinh doanh cho việc hòa nhập người khuyết tật rất mạnh mẽ. . . . Những thách thức mà người khuyết tật phải đối mặt khiến họ trở thành những người giải quyết vấn đề chuyên nghiệp. Người khuyết tật luôn phải thích nghi, phân tích và vượt qua các tình huống suốt cả ngày . . . [và] mang đến cho Hội đồng quản trị một góc nhìn bổ sung dẫn đến việc ra quyết định tốt hơn."5 Trong số 485 công ty được khảo sát trong một báo cáo năm 2023, chỉ 7 phần trăm có một giám đốc khuyết tật trong hội đồng quản trị của họ.6</w:t>
      </w:r>
    </w:p>
    <w:p>
      <w:pPr>
        <w:spacing w:after="80"/>
      </w:pPr>
      <w:r>
        <w:rPr>
          <w:b w:val="0"/>
          <w:i w:val="0"/>
        </w:rPr>
        <w:t>Đô đốc Mike Mullen từ lâu đã là người ủng hộ mạnh mẽ cho sự đa dạng: "Tôi nghĩ tất cả chúng ta cần nhớ rằng xét từ góc độ lợi nhuận, một đội ngũ lãnh đạo đa dạng sẽ tạo ra kết quả, và vì vậy đó là một điều tuyệt vời."</w:t>
      </w:r>
    </w:p>
    <w:p>
      <w:pPr>
        <w:spacing w:after="80"/>
      </w:pPr>
      <w:r>
        <w:rPr>
          <w:b w:val="0"/>
          <w:i w:val="0"/>
        </w:rPr>
        <w:t xml:space="preserve">Thật vậy, có nghiên cứu của McKinsey từ năm 2023 cho thấy cơ hội đạt hiệu suất vượt trội tăng 39 phần trăm đối với các công ty nằm trong nhóm 25 phần trăm hàng đầu về đa dạng sắc tộc và giới tính so với những công ty trong nhóm 25 phần trăm cuối. "Phân tích mới nhất của chúng tôi cho thấy các công ty có sự đa dạng lớn hơn trong Hội đồng quản trị có nhiều khả năng đạt hiệu suất tài chính vượt trội hơn. . . . Các công ty trong nhóm tứ phân vị cao nhất về đa dạng giới tính trong Hội đồng quản trị có khả năng đạt hiệu suất tài chính vượt trội cao hơn 27 phần trăm so với những công ty trong nhóm tứ phân vị thấp nhất. Tương tự, các công ty trong nhóm tứ phân vị cao nhất về Hội đồng quản trị đa dạng sắc tộc có khả năng đạt hiệu suất vượt trội cao hơn 13 phần trăm so với những công ty trong nhóm tứ phân vị thấp nhất," McKinsey viết trong báo cáo năm 2023 của mình, </w:t>
      </w:r>
      <w:r>
        <w:rPr>
          <w:b w:val="0"/>
          <w:i/>
        </w:rPr>
        <w:t>Diversity Matters Even More: The Case for Holistic Impact</w:t>
      </w:r>
      <w:r>
        <w:rPr>
          <w:b w:val="0"/>
          <w:i w:val="0"/>
        </w:rPr>
        <w:t>.7</w:t>
      </w:r>
    </w:p>
    <w:p>
      <w:pPr>
        <w:spacing w:after="80"/>
      </w:pPr>
      <w:r>
        <w:rPr>
          <w:b w:val="0"/>
          <w:i w:val="0"/>
        </w:rPr>
        <w:t>Mặt khác, nghiên cứu không hoàn toàn tích cực. Giáo sư Katherine Klein của Trường Wharton thuộc Đại học Pennsylvania đã tìm thấy những kết quả không nhất quán hơn: "Các nghiên cứu nghiêm ngặt, được bình duyệt cho thấy các công ty không hoạt động tốt hơn khi có phụ nữ trong hội đồng quản trị. Cũng không hoạt động kém hơn. Tùy thuộc vào phân tích tổng hợp mà bạn đọc, đa dạng giới tính trong hội đồng quản trị hoặc có mối quan hệ rất yếu với hiệu suất hội đồng quản trị hoặc không có mối quan hệ nào cả."8 Sau khi xem xét hơn 100 nghiên cứu, bà nhận thấy "không có bằng chứng nào cho thấy việc bổ sung, hay sự hiện diện, của phụ nữ trong hội đồng quản trị thực sự gây ra sự thay đổi trong hiệu suất công ty . . . [và do đó] không có lý do kinh doanh để—hoặc chống lại—việc bổ nhiệm phụ nữ vào hội đồng quản trị doanh nghiệp. Phụ nữ nên được bổ nhiệm vào hội đồng quản trị vì lý do bình đẳng giới, nhưng không phải vì sự đa dạng giới tính trong hội đồng quản trị dẫn đến cải thiện hiệu suất công ty."9 Lời giải thích của bà? "Không rõ rằng các thành viên hội đồng quản trị nam và nữ khác biệt nhiều đến vậy về giá trị, kinh nghiệm và kiến thức của họ."10</w:t>
      </w:r>
    </w:p>
    <w:p>
      <w:pPr>
        <w:spacing w:after="80"/>
      </w:pPr>
      <w:r>
        <w:rPr>
          <w:b w:val="0"/>
          <w:i w:val="0"/>
        </w:rPr>
        <w:t>Tuy nhiên, ngoài nghiên cứu, những người hành nghề vẫn thấy giá trị của sự đa dạng. "Có những lý do thực sự chính đáng để có sự đa dạng này," Lumbra nói với tôi. "Giả sử một phần ba lực lượng lao động của bạn là người gốc Tây Ban Nha hoặc người Da đen, hoặc 75 phần trăm khách hàng của bạn là phụ nữ. Có lẽ sẽ tốt cho bạn nếu có góc nhìn đó trong phòng họp hội đồng quản trị."</w:t>
      </w:r>
    </w:p>
    <w:p>
      <w:pPr>
        <w:spacing w:after="80"/>
      </w:pPr>
      <w:r>
        <w:rPr>
          <w:b w:val="0"/>
          <w:i w:val="0"/>
        </w:rPr>
        <w:t>Trong số các giám đốc mới, những năm gần đây đã có sự đa dạng đáng kể hơn so với trước đây. Năm 2023, 67 phần trăm các vị trí giám đốc mới trong S&amp;P 500 được bổ nhiệm bởi các ứng viên đa dạng (46 phần trăm là phụ nữ và 36 phần trăm là nhóm thiểu số ít được đại diện, với 15 phần trăm giám đốc mới thuộc cả hai nhóm đó), giảm nhẹ so với 72 phần trăm vào năm 2022 và 2021 nhưng tăng so với 50 phần trăm và 38 phần trăm vào năm 2018 và 2013.11 Tuy nhiên, vì nhiệm kỳ hội đồng quản trị trung bình gần tám năm, các số liệu thống kê về đa dạng thay đổi khá chậm. Ba mươi ba phần trăm giám đốc S&amp;P 500 là nữ (tăng 83 phần trăm so với năm 2013), và 24 phần trăm là nhóm thiểu số ít được đại diện.12 Tính đến năm 2022, tất cả các hội đồng quản trị S&amp;P 500 đều có ít nhất một nữ giám đốc, và 98 phần trăm có nhiều hơn một (so với 61 phần trăm vào năm 2012).13 Bốn phần trăm giám đốc S&amp;P 500 tự nhận mình là LGBTQ+.14</w:t>
      </w:r>
    </w:p>
    <w:p>
      <w:pPr>
        <w:spacing w:after="80"/>
      </w:pPr>
      <w:r>
        <w:rPr>
          <w:b w:val="0"/>
          <w:i w:val="0"/>
        </w:rPr>
        <w:t>Như đã đề cập trong chương 4, mùa hè năm 2020—và vụ sát hại George Floyd—là bước ngoặt cho các vấn đề đa dạng trong hội đồng quản trị đương đại.15 ISS và Glass Lewis sau đó đã ban hành các yêu cầu về đa dạng. Ví dụ, trong các khuyến nghị năm 2023 của mình, ISS kỳ vọng có ít nhất một thành viên hội đồng quản trị là nữ và ít nhất một giám đốc đa dạng về chủng tộc/sắc tộc tại các công ty thuộc Russell 3000 và S&amp;P 1500.16 Tuy nhiên, họ không tiếp tục cách tiếp cận đó vào năm 2025.17</w:t>
      </w:r>
    </w:p>
    <w:p>
      <w:pPr>
        <w:spacing w:after="80"/>
      </w:pPr>
      <w:r>
        <w:rPr>
          <w:b w:val="0"/>
          <w:i w:val="0"/>
        </w:rPr>
        <w:t>NASDAQ đã thúc đẩy việc các công ty niêm yết công bố nhiều thông tin hơn về sự đa dạng trong hội đồng quản trị. Vào tháng 12 năm 2023, các quy tắc mới cuối cùng đã có hiệu lực—sau hai năm thách thức pháp lý không thành công—yêu cầu các công ty phải có thành viên hội đồng quản trị là nữ, người thiểu số ít được đại diện, hoặc LGBTQ+, hoặc có thông tin trong bản tuyên bố ủy quyền hoặc trên trang web của họ giải thích lý do tại sao họ không có.18 Những yêu cầu này sẽ tăng lên trong vài năm tới, tùy thuộc vào quy mô công ty và tầng thị trường NASDAQ mà công ty được niêm yết, cuối cùng yêu cầu nhiều giám đốc đa dạng.19 Tuy nhiên, vào tháng 12 năm 2024, Tòa án Phúc thẩm Hoa Kỳ đã bác bỏ các nỗ lực đa dạng của NASDAQ khi phát hiện rằng SEC đã mắc sai lầm khi phê duyệt các quy tắc liên quan. Có thể sẽ có kháng cáo lên Tòa án Tối cao.20</w:t>
      </w:r>
    </w:p>
    <w:p>
      <w:pPr>
        <w:spacing w:after="80"/>
      </w:pPr>
      <w:r>
        <w:rPr>
          <w:b w:val="0"/>
          <w:i w:val="0"/>
        </w:rPr>
        <w:t>Mặt khác, NYSE đã chọn cách tiếp cận mà họ gọi là "do định hướng thị trường" và không có yêu cầu công bố thông tin cụ thể.21</w:t>
      </w:r>
    </w:p>
    <w:p>
      <w:pPr>
        <w:spacing w:after="80"/>
      </w:pPr>
      <w:r>
        <w:rPr>
          <w:b w:val="0"/>
          <w:i w:val="0"/>
        </w:rPr>
        <w:t>Điều quan trọng cần lưu ý là một số nguồn mà nhiều giám đốc được chọn ra vẫn thiếu sự đa dạng đáng kể, điều này có thể khiến việc tuyển dụng giám đốc đa dạng trở nên khó khăn. Ví dụ, xem xét 674 công ty riêng biệt trong S&amp;P 500 hoặc Fortune 500 vào năm 2023 (có nhiều công ty nằm trong cả hai danh sách, nên việc loại bỏ các công ty trùng lặp cho ra tổng danh sách 674 công ty), chỉ 9 phần trăm CEO đương nhiệm và 19 phần trăm CFO là nữ, với 13 phần trăm CEO và 13 phần trăm CFO là người đa dạng về chủng tộc hoặc sắc tộc.22 Những con số này thấp hơn mức độ đa dạng của hội đồng quản trị và chắc chắn cần được giải quyết.</w:t>
      </w:r>
    </w:p>
    <w:p>
      <w:pPr>
        <w:spacing w:after="80"/>
      </w:pPr>
      <w:r>
        <w:rPr>
          <w:b w:val="0"/>
          <w:i w:val="0"/>
        </w:rPr>
        <w:t xml:space="preserve">"Sự đa dạng trong hội đồng quản trị vượt trội hơn sự đa dạng ở cấp C, và nó vượt trội vì nó dễ đo lường hơn nhiều và cực kỳ dễ thấy," Lumbra nói. Paula Sneed, một giám đốc giàu kinh nghiệm và bản thân là một phụ nữ Da đen, đã chia sẻ với tôi một góc nhìn bổ sung, đặc biệt về nhu cầu các hội đồng quản trị trở nên dễ thấy hơn đối với phụ nữ trẻ và người thiểu số để những nhóm này thậm chí có thể biết rằng việc phục vụ trong hội đồng quản trị là một lựa chọn. "Năm 1990, tôi đọc một bài báo trên </w:t>
      </w:r>
      <w:r>
        <w:rPr>
          <w:b w:val="0"/>
          <w:i/>
        </w:rPr>
        <w:t>Fortune</w:t>
      </w:r>
      <w:r>
        <w:rPr>
          <w:b w:val="0"/>
          <w:i w:val="0"/>
        </w:rPr>
        <w:t xml:space="preserve"> về phụ nữ trong hội đồng quản trị doanh nghiệp Hoa Kỳ. Các con số thấp đến kinh ngạc, dưới 11 phần trăm. Số lượng phụ nữ da màu trong hội đồng quản trị thấp hơn 1 phần trăm rất nhiều. Điều đó cho tôi một điều gì đó để hướng tới. Tôi tham gia hội đồng quản trị đầu tiên của mình vào năm 1995," Sneed nói với tôi. "Bây giờ số lượng giám đốc là phụ nữ và người Da đen, người da nâu và người châu Á cao hơn nhiều, nhờ hai điều: sự đa dạng lớn hơn ở các cấp cao của doanh nghiệp và kiến thức nhiều hơn về các cơ hội hội đồng quản trị trong số những người đàn ông và phụ nữ đa dạng."</w:t>
      </w:r>
    </w:p>
    <w:p>
      <w:pPr>
        <w:spacing w:after="80"/>
      </w:pPr>
      <w:r>
        <w:rPr>
          <w:b w:val="0"/>
          <w:i w:val="0"/>
        </w:rPr>
        <w:t>Dysart đồng ý rằng nguồn nhân lực cần được mở rộng:</w:t>
      </w:r>
    </w:p>
    <w:p>
      <w:pPr>
        <w:spacing w:after="80"/>
      </w:pPr>
      <w:r>
        <w:rPr>
          <w:b w:val="0"/>
          <w:i w:val="0"/>
        </w:rPr>
        <w:t>Nếu chúng ta muốn tạo ra sự thay đổi đáng kể về đa dạng, chúng ta cần thấy nhiều sự đa dạng hơn trong ban điều hành CEO và CFO. Nếu bạn nhìn vào sự đa dạng của ban điều hành, nó có xu hướng tập trung vào các vai trò không liên quan đến báo cáo lãi lỗ và không phải những vị trí thường dẫn đến vị trí CEO: cố vấn pháp lý, nhân sự, tuân thủ, kiểm toán nội bộ. Chúng ta cần thay đổi điều đó. Tôi thấy thật trớ trêu khi chúng ta đã thành công tốt trong thập kỷ qua trong việc đa dạng hóa phòng họp hội đồng quản trị một cách có ý nghĩa, nhưng bạn nhìn vào chính những công ty đó, và trong ban điều hành của họ, họ không đa dạng hơn các công ty đồng nghiệp không có hội đồng quản trị đa dạng.</w:t>
      </w:r>
    </w:p>
    <w:p>
      <w:pPr>
        <w:spacing w:after="80"/>
      </w:pPr>
      <w:r>
        <w:rPr>
          <w:b w:val="0"/>
          <w:i w:val="0"/>
        </w:rPr>
        <w:t>Sandra Horbach đã làm việc rộng rãi về những vấn đề này tại Carlyle. "Tôi thường nghĩ các công ty muốn mang những góc nhìn đa dạng vào phòng họp hội đồng quản trị," bà nói. "Nhưng tôi cũng tin rằng sự đa dạng không chỉ dựa trên chủng tộc hay giới tính; đó còn là sự đa dạng về kinh nghiệm."</w:t>
      </w:r>
    </w:p>
    <w:p>
      <w:pPr>
        <w:spacing w:after="80"/>
      </w:pPr>
      <w:r>
        <w:rPr>
          <w:b w:val="0"/>
          <w:i w:val="0"/>
        </w:rPr>
        <w:t>Tuy nhiên, Lumbra, người đã làm chứng trước Ủy ban Dịch vụ Tài chính Hạ viện Hoa Kỳ về sự đa dạng trong phòng họp hội đồng quản trị và người, ngoài vai trò tuyển dụng giám đốc, bản thân là chủ tịch Hội đồng Quản trị Đại học Vermont (chủ tịch hội đồng quản trị người Mỹ gốc Phi thứ ba trong lịch sử hội đồng đó), thêm một lời cảnh báo: "Các công ty cần có quyền điều hành doanh nghiệp của mình theo cách họ thấy phù hợp. Tất nhiên sẽ luôn có những lý do tuyệt vời để có sự đa dạng, nhưng nếu một bên yêu cầu 30 phần trăm phụ nữ, thì sao nếu bạn có 25 phần trăm? Nếu bạn đang ở trong một ngành kinh doanh mà nói chung có rất ít phụ nữ—ví dụ như ngành hóa chất. Liệu 30 phần trăm có thực sự hợp lý trong ngành kinh doanh đó không? Tương tự, tại sao lại không nên là 75 phần trăm trong ngành thời trang?"</w:t>
      </w:r>
    </w:p>
    <w:p>
      <w:pPr>
        <w:spacing w:after="80"/>
      </w:pPr>
      <w:r>
        <w:rPr>
          <w:b w:val="0"/>
          <w:i w:val="0"/>
        </w:rPr>
        <w:t>Đồng thời, đã xuất hiện phản ứng ngược lại đối với hạn ngạch và nhu cầu đa dạng cần phải nằm trong khuôn khổ nhiệm vụ lớn hơn của các giám đốc hữu hiệu. “Dù đa dạng quan trọng đến đâu,” Brown nói với tôi, “nó không thể là điều duy nhất. Bạn phải xem xét các yếu tố khác và đảm bảo mình có đúng người cho công việc, bởi vì điều tồi tệ nhất là khi một giám đốc không làm được việc và đó lại là một ứng viên đa dạng.”</w:t>
      </w:r>
    </w:p>
    <w:p>
      <w:pPr>
        <w:spacing w:after="80"/>
      </w:pPr>
      <w:r>
        <w:rPr>
          <w:b w:val="0"/>
          <w:i w:val="0"/>
        </w:rPr>
        <w:t>“Các giám đốc thấy giá trị của sự đa dạng trong Hội đồng quản trị nhưng cảm thấy vấn đề này đã bị chính trị hóa,” PwC viết trong khảo sát giám đốc doanh nghiệp năm 2023 của mình. “Trong khi hầu hết giám đốc đồng ý rằng đa dạng mang lại những góc nhìn độc đáo và nâng cao hiệu quả của Hội đồng quản trị, hơn một nửa tin rằng các nỗ lực đa dạng bị thúc đẩy bởi sự đúng đắn chính trị; khoảng một phần ba cho rằng các nỗ lực đa dạng đưa những ứng viên kém chất lượng hơn vào hội đồng quản trị.”23</w:t>
      </w:r>
    </w:p>
    <w:p>
      <w:pPr>
        <w:spacing w:after="80"/>
      </w:pPr>
      <w:r>
        <w:rPr>
          <w:b w:val="0"/>
          <w:i w:val="0"/>
        </w:rPr>
        <w:t>Dữ liệu của PwC cho thấy tỷ lệ giám đốc nam tin rằng đa dạng giới trong hội đồng quản trị là quan trọng đã giảm, từ 90 phần trăm năm 2016 xuống 73 phần trăm năm 2023.24 Tỷ lệ giám đốc nam tin rằng đa dạng trong hội đồng quản trị cải thiện hiệu quả của hội đồng quản trị cũng giảm từ 85 phần trăm năm 2019 xuống mức mà nghiên cứu gọi là “thấp kỷ lục” 76 phần trăm năm 2023.25 Thật vậy, Board Monitor của Heidrick &amp; Struggles cho thấy xu hướng đa dạng trong hội đồng quản trị bắt đầu suy giảm vào năm 2022. “Đáng ngạc nhiên là vào năm 2022, tỷ lệ ghế dành cho các giám đốc lần đầu, phụ nữ và giám đốc thuộc các sắc tộc đa dạng đã giảm . . . trong khi tỷ lệ ghế dành cho các giám đốc có kinh nghiệm CEO, CFO và từng làm trong hội đồng quản trị công ty đại chúng trước đây cùng các giám đốc trên 60 tuổi lại tăng lên,” báo cáo nêu rõ.26</w:t>
      </w:r>
    </w:p>
    <w:p>
      <w:pPr>
        <w:spacing w:after="80"/>
      </w:pPr>
      <w:r>
        <w:rPr>
          <w:b w:val="0"/>
          <w:i w:val="0"/>
        </w:rPr>
        <w:t xml:space="preserve">Xu hướng này nhìn chung phản ánh xã hội nói chung, với phán quyết năm 2023 của Tòa án Tối cao chấm dứt việc xét yếu tố chủng tộc trong tuyển sinh đại học lan sang những lo ngại về mục tiêu đa dạng trong thế giới doanh nghiệp. Như </w:t>
      </w:r>
      <w:r>
        <w:rPr>
          <w:b w:val="0"/>
          <w:i/>
        </w:rPr>
        <w:t>New York Times</w:t>
      </w:r>
      <w:r>
        <w:rPr>
          <w:b w:val="0"/>
          <w:i w:val="0"/>
        </w:rPr>
        <w:t xml:space="preserve"> viết vào tháng 1 năm 2024, “Trong khi các cuộc thăm dò cho thấy hầu hết người Mỹ tin rằng việc các công ty tập trung vào đa dạng, công bằng và hòa nhập là điều tốt, vẫn có sự chia rẽ đảng phái rõ rệt: Trong một khảo sát của Pew năm ngoái, 78 phần trăm người lao động tự nhận là đảng viên Dân chủ đồng ý với quan điểm này, trong khi chỉ 30 phần trăm người lao động đảng Cộng hòa nghĩ như vậy.”27</w:t>
      </w:r>
    </w:p>
    <w:p>
      <w:pPr>
        <w:spacing w:after="80"/>
      </w:pPr>
      <w:r>
        <w:rPr>
          <w:b w:val="0"/>
          <w:i w:val="0"/>
        </w:rPr>
        <w:t>Chắc chắn có căng thẳng từ nhiều phía. Trong khi phán quyết của Tòa án Tối cao không ảnh hưởng đến các sáng kiến của doanh nghiệp liên quan đến đa dạng, công bằng và hòa nhập (DEI)—nỗ lực giảm thiên kiến trong tuyển dụng và thăng tiến, dành nỗ lực đặc biệt để tiếp cận các ứng viên đa dạng, tạo điều kiện cho các chương trình cố vấn, v.v.—thì sự giám sát đã gia tăng. Cụ thể, các công ty cần đảm bảo rằng họ không áp đặt hạn ngạch chủng tộc và vượt qua ranh giới dẫn đến vi phạm pháp luật. Chúng ta cũng đã thảo luận về sự phản đối chính trị ngày càng tăng đối với đa dạng và lo ngại từ nhiều nhóm khác nhau về các sáng kiến DEI rộng lớn hơn.</w:t>
      </w:r>
    </w:p>
    <w:p>
      <w:pPr>
        <w:spacing w:after="80"/>
      </w:pPr>
      <w:r>
        <w:rPr>
          <w:b w:val="0"/>
          <w:i w:val="0"/>
        </w:rPr>
        <w:t>Tuy nhiên, miễn là các nỗ lực của doanh nghiệp nhằm tăng cường đa dạng gắn liền với kết quả kinh doanh, chúng nên được bảo vệ. Một vụ kiện năm 2023 chống lại Starbucks do một nhóm thách thức các chính sách DEI của công ty đã bị Tòa án Quận liên bang ở Washington bác bỏ, khẳng định quyền của các hội đồng quản trị theo đuổi những chương trình mà họ tin là vì lợi ích tốt nhất của công ty.28 Chánh án Stanley A. Bastian viết, “Việc các sáng kiến DEI và ESG có tốt cho việc giải quyết những bất bình đẳng âm ỉ từ lâu trong xã hội Mỹ hay không là do các nhánh chính trị quyết định. Nếu Nguyên đơn vẫn quá quan tâm đến các sáng kiến và chương trình DEI và ESG của Starbucks, phiên bản chủ nghĩa tư bản kiểu Mỹ cho phép họ tự do phân bổ vốn của mình đi nơi khác.”29</w:t>
      </w:r>
    </w:p>
    <w:p>
      <w:pPr>
        <w:spacing w:after="80"/>
      </w:pPr>
      <w:r>
        <w:rPr>
          <w:b w:val="0"/>
          <w:i w:val="0"/>
        </w:rPr>
        <w:t>Đồng thời, như một ví dụ về một số tâm trạng hiện nay, PwC đã bỏ một số mục tiêu đa dạng của mình vào đầu năm 2024.30 Công ty đã chấm dứt tiêu chí điều kiện dựa trên chủng tộc cho một chương trình thực tập sinh dành cho sinh viên và rút lại cam kết sử dụng các nhà cung cấp thuộc sở hữu của người thiểu số cho 40 phần trăm chi tiêu mua sắm của mình.31 Goldman Sachs và JPMorganChase cũng tương tự loại bỏ tiêu chí sắc tộc và giới tính cho một số chương trình học bổng của họ.32 Gần đây hơn, Google, Meta và các công ty khác đã loại bỏ các yêu cầu và mục tiêu tăng số lượng nhân viên từ các nhóm ít được đại diện. Ngoài ra, các công ty ngày càng gạch bỏ những cụm từ như “đa dạng, công bằng và hòa nhập” khỏi các tài liệu công khai của mình.</w:t>
      </w:r>
    </w:p>
    <w:p>
      <w:pPr>
        <w:spacing w:after="80"/>
      </w:pPr>
      <w:r>
        <w:rPr>
          <w:b w:val="0"/>
          <w:i w:val="0"/>
        </w:rPr>
        <w:t>Các quan điểm về một hội đồng quản trị, ban điều hành và lực lượng lao động đa dạng không ngừng phát triển và mọi giám đốc nên cân nhắc điều này không chỉ khi có vị trí trống trong hội đồng quản trị mà còn rộng hơn trong mọi tổ chức.</w:t>
      </w:r>
    </w:p>
    <w:p>
      <w:pPr>
        <w:pStyle w:val="Heading2"/>
      </w:pPr>
      <w:r>
        <w:rPr>
          <w:rFonts w:ascii="Calibri" w:hAnsi="Calibri"/>
          <w:b/>
          <w:i w:val="0"/>
          <w:sz w:val="32"/>
        </w:rPr>
        <w:t>Định hướng và Hội nhập</w:t>
      </w:r>
    </w:p>
    <w:p>
      <w:pPr>
        <w:spacing w:after="80"/>
      </w:pPr>
      <w:r>
        <w:rPr>
          <w:b w:val="0"/>
          <w:i w:val="0"/>
        </w:rPr>
        <w:t>Khi một ứng viên đã chấp nhận lời mời tham gia hội đồng quản trị, ủy ban đề cử và quản trị thường được giao nhiệm vụ thực hiện quá trình định hướng và hội nhập cho giám đốc mới. Hai thuật ngữ này chỉ các hoạt động khác nhau. Định hướng là sự chào đón ban đầu, trong khi hội nhập là quá trình dài hạn giúp giám đốc thích nghi và tạo ra tác động có giá trị càng nhanh càng tốt.</w:t>
      </w:r>
    </w:p>
    <w:p>
      <w:pPr>
        <w:spacing w:after="80"/>
      </w:pPr>
      <w:r>
        <w:rPr>
          <w:b w:val="0"/>
          <w:i w:val="0"/>
        </w:rPr>
        <w:t>Tham gia một hội đồng quản trị có thể choáng ngợp với bất kỳ ai không được chuẩn bị đầy đủ. Các thành viên hội đồng quản trị đảm nhận những vai trò phức tạp, quan trọng: họ được kỳ vọng giúp đưa ra các quyết định then chốt về giám sát CEO, chiến lược, báo cáo tài chính và các chủ đề quan trọng khác. Một khảo sát năm 2023 phát hiện rằng 34 phần trăm hội đồng quản trị công ty đại chúng thậm chí không có quy trình hội nhập chính thức.33 Dù đáng báo động, điều này thực tế có thể là một cải thiện so với quá khứ gần đây; một nghiên cứu năm 2017 của Heidrick &amp; Struggles phát hiện gần một nửa số người trả lời cho biết hội đồng quản trị của họ không có trải nghiệm hội nhập được xác định rõ—và 20 phần trăm thành viên hội đồng quản trị mới thậm chí không gặp CEO.34</w:t>
      </w:r>
    </w:p>
    <w:p>
      <w:pPr>
        <w:spacing w:after="80"/>
      </w:pPr>
      <w:r>
        <w:rPr>
          <w:b w:val="0"/>
          <w:i w:val="0"/>
        </w:rPr>
        <w:t>Để hội nhập đúng cách cho các giám đốc mới, quá trình này nên có một số bước, với định hướng chỉ là khởi đầu. Định hướng có thể chỉ đơn giản bao gồm các cuộc gọi điện thoại từ chủ tịch hội đồng quản trị và CEO chào mừng đồng nghiệp mới cũng như cung cấp một tập tin điện tử hoặc bản cứng có tổ chức về thông tin kinh doanh, tài chính và các thông tin khác.</w:t>
      </w:r>
    </w:p>
    <w:p>
      <w:pPr>
        <w:spacing w:after="80"/>
      </w:pPr>
      <w:r>
        <w:rPr>
          <w:b w:val="0"/>
          <w:i w:val="0"/>
        </w:rPr>
        <w:t>Trong khi một số công ty cho các giám đốc mới tham dự một hội thảo trực tuyến để chính thức bắt đầu quá trình hội nhập, tôi thích ít nhất một buổi định hướng kéo dài cả ngày. Lý tưởng nhất là trực tiếp, buổi này nên bao gồm, trong số những điều khác, văn hóa của tổ chức, tìm hiểu sâu về từng đơn vị kinh doanh, tổng quan về kết quả tài chính và dự báo, xem xét các chỉ số chính của công ty, và thảo luận về các vấn đề quản trị. Việc giám đốc mới tham quan các địa điểm của công ty, dù là cơ sở sản xuất, trung tâm phân phối, cửa hàng, nhà hàng hay nơi khác, cũng rất hữu ích.</w:t>
      </w:r>
    </w:p>
    <w:p>
      <w:pPr>
        <w:spacing w:after="80"/>
      </w:pPr>
      <w:r>
        <w:rPr>
          <w:b w:val="0"/>
          <w:i w:val="0"/>
        </w:rPr>
        <w:t xml:space="preserve">Tại Lear, nhà cung cấp ô tô toàn cầu thuộc Fortune 500 nơi tôi là giám đốc, định hướng bao gồm một cuộc họp với ban lãnh đạo của CEO để chào mừng giám đốc mới vào hội đồng quản trị. Là một phần của quá trình hội nhập rộng hơn, giám đốc mới nhận được thông điệp chào mừng từ tổng cố vấn bao gồm quyền truy cập vào trang web mà chúng tôi sử dụng cho các tài liệu và thông tin hội đồng quản trị lịch sử và hiện tại như thông tin chiến lược và ngân sách, biên bản các cuộc họp hội đồng quản trị, tài liệu họp ủy ban, các tài liệu quản trị doanh nghiệp của công ty, hồ sơ nộp cho SEC và các thông tin chi tiết không công khai khác. Cụ thể, giám đốc mới được hướng dẫn đến các bài trình bày chiến lược, kế hoạch dài hạn và ngân sách gần đây nhất. Quyền tiếp cận đội ngũ quản lý rộng hơn và chuyến tham quan một hoặc nhiều cơ sở sản xuất của công ty cũng được cung cấp. Cuối cùng, tư cách thành viên NACD được sắp xếp, và các đăng ký được thiết lập cho </w:t>
      </w:r>
      <w:r>
        <w:rPr>
          <w:b w:val="0"/>
          <w:i/>
        </w:rPr>
        <w:t>Agenda</w:t>
      </w:r>
      <w:r>
        <w:rPr>
          <w:b w:val="0"/>
          <w:i w:val="0"/>
        </w:rPr>
        <w:t xml:space="preserve">, ấn phẩm hàng tuần của </w:t>
      </w:r>
      <w:r>
        <w:rPr>
          <w:b w:val="0"/>
          <w:i/>
        </w:rPr>
        <w:t>Financial Times</w:t>
      </w:r>
      <w:r>
        <w:rPr>
          <w:b w:val="0"/>
          <w:i w:val="0"/>
        </w:rPr>
        <w:t xml:space="preserve"> về quản trị, và </w:t>
      </w:r>
      <w:r>
        <w:rPr>
          <w:b w:val="0"/>
          <w:i/>
        </w:rPr>
        <w:t>Automotive News</w:t>
      </w:r>
      <w:r>
        <w:rPr>
          <w:b w:val="0"/>
          <w:i w:val="0"/>
        </w:rPr>
        <w:t>.</w:t>
      </w:r>
    </w:p>
    <w:p>
      <w:pPr>
        <w:spacing w:after="80"/>
      </w:pPr>
      <w:r>
        <w:rPr>
          <w:b w:val="0"/>
          <w:i w:val="0"/>
        </w:rPr>
        <w:t>Việc các giám đốc mới tham dự một cuộc họp hội đồng quản trị trước cuộc họp chính thức đầu tiên của họ cũng có thể là điều tốt. Không có áp lực phải tham gia, điều này có thể giúp các giám đốc mới hiểu rõ hơn về cách các cuộc họp được điều hành và cách các vấn đề được giải quyết. Nó cũng có thể giúp họ bắt đầu xây dựng mối quan hệ với các đồng nghiệp mới. Một yếu tố hữu ích khác là để các giám đốc mới tham dự mỗi cuộc họp ủy ban trong năm đầu tiên trước khi phân công họ vào một hoặc nhiều ủy ban. Bằng cách này, họ hiểu mỗi ủy ban làm gì và họ có thể phù hợp nhất ở đâu. Cũng như Đô đốc Mullen ca ngợi lợi ích của ủy ban kiểm toán trước đó, Steve Girsky, CEO và giám đốc của Nikola cũng như cựu lãnh đạo cấp cao và thành viên hội đồng quản trị tại General Motors, đã nói với tôi điều tương tự, rằng “bạn học được rất nhiều về một công ty từ ủy ban kiểm toán.”</w:t>
      </w:r>
    </w:p>
    <w:p>
      <w:pPr>
        <w:spacing w:after="80"/>
      </w:pPr>
      <w:r>
        <w:rPr>
          <w:b w:val="0"/>
          <w:i w:val="0"/>
        </w:rPr>
        <w:t>Một số công ty có chương trình cố vấn cho giám đốc mới, trong đó một thành viên hội đồng quản trị mới được chỉ định một giám đốc “bạn đồng hành” sẵn sàng trả lời câu hỏi và đưa ra lời khuyên về các vấn đề và quy trình. Như Lumbra giải thích, “Điều tồi tệ nhất xảy ra với một hội đồng quản trị đã cùng nhau đạt được tiến bộ trong một thời gian dài là một người mới đến và nêu ra một vấn đề đã được tranh luận và giải quyết từ năm năm trước. Nhưng làm sao họ biết được điều đó trừ khi họ có một người cố vấn trong hội đồng quản trị nói rằng, ‘Điểm thú vị đấy nhưng chúng tôi đã xử lý việc đó rồi, nó đã qua rồi, và tôi sẽ tóm tắt cho bạn sau’?”</w:t>
      </w:r>
    </w:p>
    <w:p>
      <w:pPr>
        <w:spacing w:after="80"/>
      </w:pPr>
      <w:r>
        <w:rPr>
          <w:b w:val="0"/>
          <w:i w:val="0"/>
        </w:rPr>
        <w:t>Nếu các cá nhân không chắc chắn về vai trò của mình trong hội đồng quản trị, điều đó có thể làm chậm trễ và thậm chí làm chệch hướng công việc mà hội đồng đang cố gắng hoàn thành. Dành thời gian xây dựng một quy trình tiếp nhận giám đốc mới được định hình rõ ràng và hiệu quả có thể nâng cao chất lượng tương tác với các thành viên hội đồng khác và giúp các thành viên mới nhất nắm bắt nhanh hơn cách vận hành nội bộ của tổ chức cũng như vai trò của họ, từ đó cải thiện hiệu quả của toàn bộ hội đồng. Đây là điều nhiều công ty làm qua loa, và họ không nên như vậy.</w:t>
      </w:r>
    </w:p>
    <w:p>
      <w:pPr>
        <w:spacing w:after="80"/>
      </w:pPr>
      <w:r>
        <w:rPr>
          <w:b w:val="0"/>
          <w:i w:val="0"/>
        </w:rPr>
        <w:t>Điều quan trọng nữa là các giám đốc mới không chỉ dựa vào quy trình tiếp nhận của công ty mà còn phải tự bổ sung bằng cách tìm hiểu càng nhiều càng tốt về công ty và cách họ có thể đóng góp giá trị tốt nhất. Gregg Polle, phó chủ tịch phụ trách M&amp;A tại Bank of America, gợi ý rằng một giám đốc mới nên nhanh chóng cố gắng thiết lập mối quan hệ tốt với CEO và, nếu có người đứng đầu hội đồng riêng, thì cả người đó nữa. Theo thời gian, mối quan hệ với toàn bộ hội đồng và đội ngũ quản lý cấp cao tất nhiên là rất quan trọng.</w:t>
      </w:r>
    </w:p>
    <w:p>
      <w:pPr>
        <w:spacing w:after="80"/>
      </w:pPr>
      <w:r>
        <w:rPr>
          <w:b w:val="0"/>
          <w:i w:val="0"/>
        </w:rPr>
        <w:t>Oberhelman tin rằng quy trình tiếp nhận nên được thực hiện bài bản hơn nhiều so với hiện tại: "Tôi sẽ dành nửa ngày cho tài liệu về quản trị, một ngày khác với quản lý cấp thấp hơn, tài chính, kỹ thuật, sản xuất và IT, có thể mỗi phần một giờ ở mức tổng quan, chỉ để khi một chủ đề xuất hiện, bạn không bị mù tịt, và bạn sẵn sàng đưa ra quyết định hoặc ủng hộ một ý tưởng."</w:t>
      </w:r>
    </w:p>
    <w:p>
      <w:pPr>
        <w:spacing w:after="80"/>
      </w:pPr>
      <w:r>
        <w:rPr>
          <w:b w:val="0"/>
          <w:i w:val="0"/>
        </w:rPr>
        <w:t>Catalano đưa ra một điểm rất hay: "Nhân viên có bản mô tả công việc. Giám đốc cũng nên có [nhưng họ không có]."</w:t>
      </w:r>
    </w:p>
    <w:p>
      <w:pPr>
        <w:spacing w:after="80"/>
      </w:pPr>
      <w:r>
        <w:rPr>
          <w:b w:val="0"/>
          <w:i w:val="0"/>
        </w:rPr>
        <w:t>Tôi tin rằng giáo dục thường xuyên cho giám đốc đã trở nên thiết yếu khi phạm vi các vấn đề mà hội đồng xem xét ngày càng mở rộng. Việc đào tạo về các chủ đề đang phát triển như an ninh mạng, rủi ro khí hậu và trí tuệ nhân tạo có thể đặc biệt hữu ích. Có thể cung cấp đào tạo tại các cuộc họp hội đồng và có lẽ giữa các cuộc họp ủy ban và bữa tối hội đồng vào ngày đầu tiên. Một số hội đồng còn trả tiền cho giám đốc tham dự các lớp học và hội nghị đào tạo giám đốc. Tôi đăng ký nhiều bản tin về quản trị và đã tham dự cũng như phát biểu tại các hội nghị quản trị do các tổ chức như NACD và Corporate Board Member tổ chức, cũng như tham gia các chương trình đào tạo điều hành về quản trị tại Harvard Business School và Trường Luật Đại học California, Berkeley. Luôn có điều gì đó để học, và tương tác với các đồng nghiệp giám đốc có thể rất giá trị.</w:t>
      </w:r>
    </w:p>
    <w:p>
      <w:pPr>
        <w:spacing w:after="80"/>
      </w:pPr>
      <w:r>
        <w:rPr>
          <w:b w:val="0"/>
          <w:i w:val="0"/>
        </w:rPr>
        <w:t>Phần cuối cùng của bất kỳ cuộc thảo luận nào về tiếp nhận liên quan đến cách các giám đốc mới nên hành xử khi họ thích nghi với vai trò, và khi đặt câu hỏi đó với nhiều giám đốc, có một chủ đề chung: hãy lắng nghe trước khi nói.</w:t>
      </w:r>
    </w:p>
    <w:p>
      <w:pPr>
        <w:spacing w:after="80"/>
      </w:pPr>
      <w:r>
        <w:rPr>
          <w:b w:val="0"/>
          <w:i w:val="0"/>
        </w:rPr>
        <w:t>Doug Benham, cựu CEO của Arby's và là một giám đốc giàu kinh nghiệm, nói: "Sai lầm mà tôi nghĩ đôi khi mọi người mắc phải là họ tham gia và cố gắng chứng minh giá trị của mình ngay lập tức mà không thực sự hiểu tình huống. Bạn cần ngồi lại, lắng nghe, tìm hiểu hoạt động kinh doanh và tìm hiểu tính cách của hội đồng."</w:t>
      </w:r>
    </w:p>
    <w:p>
      <w:pPr>
        <w:spacing w:after="80"/>
      </w:pPr>
      <w:r>
        <w:rPr>
          <w:b w:val="0"/>
          <w:i w:val="0"/>
        </w:rPr>
        <w:t>Như Steve Key, người từng là CFO của Textron và Conagra và đã làm giám đốc cho nhiều công ty khác nhau, kể lại với tôi: "[Tôi đã chuyển đổi] từ một vị trí điều hành, nơi tôi phụ trách và được kỳ vọng đưa ra quyết định, sang vai trò giám đốc, nơi việc hướng dẫn các giám đốc điều hành đưa ra quyết định đúng đắn là điều tối quan trọng. Và đó là một sự chuyển đổi khó khăn đối với tôi. Cuối cùng, tôi đã áp dụng phương pháp Socrates khi làm giám đốc: đặt những câu hỏi khiến người ta suy nghĩ và suy nghĩ lại để đi đúng hướng."</w:t>
      </w:r>
    </w:p>
    <w:p>
      <w:pPr>
        <w:spacing w:after="80"/>
      </w:pPr>
      <w:r>
        <w:rPr>
          <w:b w:val="0"/>
          <w:i w:val="0"/>
        </w:rPr>
        <w:t>Charles Elson của Đại học Delaware tiếp nối điều đó: "Mọi giám đốc cố gắng gây ấn tượng trong cuộc họp đầu tiên của họ cuối cùng đều trở nên vô cùng đáng thất vọng. Những gì bạn nói trong cuộc họp đầu tiên thường chứng minh là sai." Tôi hoàn toàn đồng ý.</w:t>
      </w:r>
    </w:p>
    <w:p>
      <w:pPr>
        <w:pStyle w:val="Heading1"/>
      </w:pPr>
      <w:r>
        <w:rPr>
          <w:rFonts w:ascii="Calibri" w:hAnsi="Calibri"/>
          <w:b/>
          <w:i w:val="0"/>
          <w:sz w:val="40"/>
        </w:rPr>
        <w:t>Chương 12</w:t>
      </w:r>
    </w:p>
    <w:p>
      <w:pPr>
        <w:pStyle w:val="Heading1"/>
      </w:pPr>
      <w:r>
        <w:rPr>
          <w:rFonts w:ascii="Calibri" w:hAnsi="Calibri"/>
          <w:b/>
          <w:i w:val="0"/>
          <w:sz w:val="40"/>
        </w:rPr>
        <w:t>Giám đốc điều hành (CEO)</w:t>
      </w:r>
    </w:p>
    <w:p>
      <w:pPr>
        <w:spacing w:after="80"/>
      </w:pPr>
      <w:r>
        <w:rPr>
          <w:b w:val="0"/>
          <w:i w:val="0"/>
        </w:rPr>
        <w:t>CEO thường là giám đốc điều hành cấp cao nhất tại một công ty, báo cáo lên hội đồng quản trị và thường là thành viên của hội đồng. Các giám đốc điều hành cấp cao về vận hành (như chủ tịch, COO và lãnh đạo các đơn vị kinh doanh) và các giám đốc điều hành cấp cao về nhân sự (như CFO và tổng cố vấn) báo cáo lên CEO. Cũng có thể có một chủ tịch; nếu CEO không kiêm chức danh chủ tịch và có một chủ tịch riêng, thì đó thường là vị trí cấp cao thứ hai. Vai trò và trách nhiệm của một CEO và chủ tịch riêng biệt có thể khác nhau tùy theo quy mô, nhu cầu và các yếu tố khác của công ty. Tuy nhiên, CEO thường chịu trách nhiệm về chiến lược và định hướng tổng thể của công ty và là bộ mặt công chúng của công ty. Chủ tịch, tương tự như COO, có thể chịu trách nhiệm về hoạt động hàng ngày. Một công ty hoặc tổ chức tư nhân nhỏ hơn, cần ít cấu trúc tổ chức hơn do ít yêu cầu đối với ban quản lý và không có cổ đông công chúng hay yêu cầu công bố thông tin, có thể không có CEO, và một chủ tịch có thể là lãnh đạo cấp cao.</w:t>
      </w:r>
    </w:p>
    <w:p>
      <w:pPr>
        <w:spacing w:after="80"/>
      </w:pPr>
      <w:r>
        <w:rPr>
          <w:b w:val="0"/>
          <w:i w:val="0"/>
        </w:rPr>
        <w:t>Do đó, CEO tất nhiên là rất quan trọng đối với bất kỳ công ty nào. Hội đồng dành phần lớn thời gian để làm việc cùng cũng như đánh giá và trả thù lao cho CEO và quản lý quá trình kế nhiệm, bao gồm việc lựa chọn CEO mới khi thích hợp. Kế nhiệm CEO có lẽ là nhiệm vụ quan trọng nhất của một hội đồng quản trị công ty. Howard Ungerleider, cựu chủ tịch và CFO của Dow, nói với tôi rằng "điều quan trọng nhất mà một hội đồng làm là thuê hoặc sa thải CEO." Và trong khi chúng ta đã xem xét ở chương 5 sự khác biệt giữa công việc của CEO và công việc của chủ tịch hội đồng—cùng những phức tạp liên quan đến việc liệu hai vai trò này có nên do cùng một người đảm nhiệm hay không—thì còn nhiều điều đáng bàn hơn về CEO, từ những đặc điểm chính của các CEO mạnh mẽ đến lập kế hoạch kế nhiệm, quy trình tuyển dụng, tương tác giữa hội đồng và CEO, và cách một hội đồng có thể xác định khi nào cần thay đổi CEO.</w:t>
      </w:r>
    </w:p>
    <w:p>
      <w:pPr>
        <w:pStyle w:val="Heading2"/>
      </w:pPr>
      <w:r>
        <w:rPr>
          <w:rFonts w:ascii="Calibri" w:hAnsi="Calibri"/>
          <w:b/>
          <w:i w:val="0"/>
          <w:sz w:val="32"/>
        </w:rPr>
        <w:t>Vai trò và Đặc điểm của một CEO Vĩ đại</w:t>
      </w:r>
    </w:p>
    <w:p>
      <w:pPr>
        <w:spacing w:after="80"/>
      </w:pPr>
      <w:r>
        <w:rPr>
          <w:b w:val="0"/>
          <w:i w:val="0"/>
        </w:rPr>
        <w:t>CEO là nhà lãnh đạo hàng ngày của một công ty, nhưng một CEO thành công còn hơn thế nhiều. Xuất sắc trong vai trò CEO đòi hỏi tầm rộng lớn phi thường, bao gồm phát triển và thực thi một chiến lược công ty mang lại giá trị gia tăng, xây dựng một đội ngũ lãnh đạo mạnh mẽ, đưa ra quyết định hiệu quả về cách phân bổ vốn, giao tiếp hiệu quả với toàn bộ các bên liên quan, giúp xác định người kế nhiệm, và phê duyệt kiểm soát nội bộ cùng báo cáo tài chính.1</w:t>
      </w:r>
    </w:p>
    <w:p>
      <w:pPr>
        <w:spacing w:after="80"/>
      </w:pPr>
      <w:r>
        <w:rPr>
          <w:b w:val="0"/>
          <w:i w:val="0"/>
        </w:rPr>
        <w:t xml:space="preserve">Trên </w:t>
      </w:r>
      <w:r>
        <w:rPr>
          <w:b w:val="0"/>
          <w:i/>
        </w:rPr>
        <w:t>Harvard Business Review</w:t>
      </w:r>
      <w:r>
        <w:rPr>
          <w:b w:val="0"/>
          <w:i w:val="0"/>
        </w:rPr>
        <w:t>, A. G. Lafley, cựu CEO của Procter &amp; Gamble, mô tả một CEO có bốn nhóm trách nhiệm: xác định những kết quả và các bên liên quan quan trọng nhất, quyết định công ty đang ở trong lĩnh vực kinh doanh nào và không ở trong lĩnh vực nào, cân bằng giữa hiện tại và tương lai, và định hình các giá trị cùng tiêu chuẩn của một tổ chức.2</w:t>
      </w:r>
    </w:p>
    <w:p>
      <w:pPr>
        <w:spacing w:after="80"/>
      </w:pPr>
      <w:r>
        <w:rPr>
          <w:b w:val="0"/>
          <w:i w:val="0"/>
        </w:rPr>
        <w:t>Khi nói về các CEO, chuyên gia tuyển dụng lãnh đạo cấp cao Peter Crist của Crist Kolder Associates đã nói với tôi rằng: “Đầu tiên và quan trọng nhất, người đó phải là một người vận hành [với “người vận hành” không chỉ giới hạn ở các trưởng bộ phận kinh doanh mà ví dụ còn có thể là CFO]. Thứ hai, CEO cần phải là một nhà lãnh đạo biết đồng cảm. Thứ ba, là năng lượng và niềm đam mê không mệt mỏi với những gì họ đang làm.”</w:t>
      </w:r>
    </w:p>
    <w:p>
      <w:pPr>
        <w:spacing w:after="80"/>
      </w:pPr>
      <w:r>
        <w:rPr>
          <w:b w:val="0"/>
          <w:i w:val="0"/>
        </w:rPr>
        <w:t>Jed York, chủ sở hữu chính kiêm CEO của San Francisco 49ers, giải thích: “Tôi nghĩ vai trò của CEO thì đơn giản để mô tả nhưng không hẳn đơn giản để thực hiện. Bạn phải đảm bảo rằng mình có thể xác định được những vấn đề then chốt mà tổ chức của bạn đang đối mặt và những thách thức mà bạn cần vượt qua—rồi tìm ra đúng người để đưa vào vị trí giúp thực thi. Nếu tôi là chuyên gia trong phòng giữa một nhóm người khác, thì tức là tôi đã lập sai đội ngũ. Với tư cách là CEO, suy cho cùng, bạn phải đưa ra những quyết định mà người khác không thể tự mình đưa ra.”</w:t>
      </w:r>
    </w:p>
    <w:p>
      <w:pPr>
        <w:spacing w:after="80"/>
      </w:pPr>
      <w:r>
        <w:rPr>
          <w:b w:val="0"/>
          <w:i w:val="0"/>
        </w:rPr>
        <w:t>Điều đặc biệt là ở vai trò CEO, bạn rất cô đơn. Các thành viên hội đồng quản trị có đồng nghiệp, và các lãnh đạo cấp C khác có một nhóm đồng cấp, nhưng CEO là lãnh đạo duy nhất ở cấp của mình, với quyền lực, trách nhiệm và nghĩa vụ giải trình tối cao. Người đó quản lý ban điều hành cấp C và báo cáo lên hội đồng quản trị. Như Mark Manoff, người đã làm việc 39 năm tại EY, bao gồm nhiều vai trò lãnh đạo khác nhau, nói với tôi: “Thật khó để một CEO có thể đến gặp ngay cả những lãnh đạo cấp cao nhất bên trong công ty để bàn về các vấn đề.” Ví dụ, “nếu bạn có thể tạo ra mối quan hệ có tính tương hỗ và tin cậy, nơi một CEO muốn tìm đến đối tác [kiểm toán] chính, giống như kế toán viên từ một công ty kế toán lớn, và có thể tin tưởng vào quan điểm độc lập của họ, thì đó thực sự là một điều rất tốt.”</w:t>
      </w:r>
    </w:p>
    <w:p>
      <w:pPr>
        <w:spacing w:after="80"/>
      </w:pPr>
      <w:r>
        <w:rPr>
          <w:b w:val="0"/>
          <w:i w:val="0"/>
        </w:rPr>
        <w:t>Dù công việc này mang lại nhiều phần thưởng, nó cũng rất khó khăn. Howard Heckes từng là CEO của Masonite, nơi tôi là thành viên hội đồng quản trị kiêm chủ tịch ủy ban kiểm toán trong khoảng 15 năm từ 2009 đến 2024, dẫn dắt công ty qua một đợt tăng giá lớn và gia tăng đáng kể biên lợi nhuận trước thương vụ bán công ty gần 4 tỷ đô la cho Owens Corning. Trước đó Heckes đã điều hành danh mục Architectural Coatings, với doanh thu hằng năm khoảng 2,5 tỷ đô la, tại Valspar, một công ty sơn hàng đầu đã được bán cho Sherwin-Williams. Kinh nghiệm và thành công của ông tại Valspar đã định hình những hành động và thành tựu của ông tại Masonite:</w:t>
      </w:r>
    </w:p>
    <w:p>
      <w:pPr>
        <w:spacing w:after="80"/>
      </w:pPr>
      <w:r>
        <w:rPr>
          <w:b w:val="0"/>
          <w:i w:val="0"/>
        </w:rPr>
        <w:t>Điều đầu tiên tôi nghĩ đến [khi được một chuyên gia tuyển dụng tiếp cận về vị trí CEO] là chúng tôi có thể làm gì để giành chiến thắng. Khi tôi tiếp quản mảng kinh doanh Industrial Coatings, sơn vẫn y hệt như cách đây 100 năm. Chúng tôi làm nghiên cứu người tiêu dùng và phát hiện ra rằng có hai lý do khiến mọi người—những người tự làm (DIYers)—không sơn thường xuyên hơn: lý do thứ nhất là nó phiền phức, và lý do thứ hai là họ không biết căn phòng sẽ trông như thế nào sau khi sơn xong, nên họ cứ để nguyên như vậy. Chúng tôi tấn công vào điều đó bằng cam kết “yêu màu sắc của bạn”, theo đó nếu bạn không yêu màu sắc của mình, [bạn có thể] mang trả lại cửa hàng và chúng tôi sẽ đưa cho bạn một màu sơn mới miễn phí. Đó chỉ là một ví dụ về việc thay đổi một danh mục cũ kỹ.</w:t>
      </w:r>
    </w:p>
    <w:p>
      <w:pPr>
        <w:spacing w:after="80"/>
      </w:pPr>
      <w:r>
        <w:rPr>
          <w:b w:val="0"/>
          <w:i w:val="0"/>
        </w:rPr>
        <w:t>Heckes đã so sánh với lúc ông được tiếp cận về vị trí CEO tại Masonite: “Với cửa cũng vậy. Nên tôi khá hào hứng với điều mà tôi nghĩ có thể là cơ hội để thực sự tạo ra khác biệt trong danh mục này. Tôi muốn chúng tôi nhanh chóng làm một số nghiên cứu để hiểu rõ hơn về khách hàng và các cơ hội. Và vào ngày thứ ba nhậm chức, tôi đi tham quan cơ sở sản xuất lớn nhất của chúng tôi và nhận ra rằng với năng lực và công nghệ của mình, chúng tôi đang không được trả đúng giá trị cho các sản phẩm.” Heckes đã thay đổi trọng tâm ban đầu, và đến ngày thứ ba, ông đã bắt đầu thiết kế thứ cuối cùng trở thành một đợt tăng giá 25 phần trăm đã thay đổi Masonite và, theo nhiều cách, thay đổi cả ngành. Ông cũng đã gặp gỡ và bắt đầu đánh giá đội ngũ điều hành mà ông kế thừa, nhằm—trong số những việc khác—thuyết phục các ứng viên nội bộ cho vị trí của ông ở lại.</w:t>
      </w:r>
    </w:p>
    <w:p>
      <w:pPr>
        <w:spacing w:after="80"/>
      </w:pPr>
      <w:r>
        <w:rPr>
          <w:b w:val="0"/>
          <w:i w:val="0"/>
        </w:rPr>
        <w:t>Chỉ qua câu chuyện đó, Heckes đã thể hiện tư duy chiến lược sâu sắc, khả năng nắm bắt một cơ hội bất ngờ, và năng lực lãnh đạo mạnh mẽ—ba lĩnh vực then chốt đối với bất kỳ CEO nào. Trở thành một CEO hiệu quả là một màn tung hứng cân bằng.</w:t>
      </w:r>
    </w:p>
    <w:p>
      <w:pPr>
        <w:spacing w:after="80"/>
      </w:pPr>
      <w:r>
        <w:rPr>
          <w:b w:val="0"/>
          <w:i w:val="0"/>
        </w:rPr>
        <w:t>Những phẩm chất của các CEO mạnh mẽ đã được nghiên cứu nhiều lần. McKinsey đã viết rằng “các CEO vĩ đại thì táo bạo,” giải thích rằng từ một phần ba đến một nửa số CEO mới thất bại trong vòng 18 tháng đầu tiên, và do đó hành động kịp thời là điều then chốt.3 Một nghiên cứu trên 2.600 nhà lãnh đạo của Elena Botelho và Kim Powell thuộc công ty tư vấn lãnh đạo ghSMART phát hiện rằng các CEO thành công thể hiện sự quyết đoán nhanh chóng, tham gia với con mắt hướng tới tác động, cực kỳ đáng tin cậy, và có thể thích ứng táo bạo với các tình huống thay đổi.4</w:t>
      </w:r>
    </w:p>
    <w:p>
      <w:pPr>
        <w:spacing w:after="80"/>
      </w:pPr>
      <w:r>
        <w:rPr>
          <w:b w:val="0"/>
          <w:i w:val="0"/>
        </w:rPr>
        <w:t>Tôi đã nói chuyện với một số nhà lãnh đạo về cách họ nhìn nhận vai trò CEO; những yếu tố họ nhấn mạnh có phần khác nhau nhưng bổ sung cho nhau. Chuyên gia tuyển dụng CEO Jim Citrin của Spencer Stuart khuyên rằng: “Tất cả nằm ở khả năng lãnh đạo tư tưởng và lãnh đạo con người. Bạn có thể là nhà lãnh đạo con người vĩ đại nhất thế giới, nhưng nếu bạn không biết đưa công ty hay tổ chức đi đâu, thì điều đó cũng khá vô nghĩa. Đồng thời, bạn có thể là nhà lãnh đạo tư tưởng xuất sắc nhất thế giới, nhưng nếu bạn không thể tập hợp mọi người đứng sau mình và mang lại kết quả, bạn sẽ không thành công. Không ai có thể làm điều đó một mình.”</w:t>
      </w:r>
    </w:p>
    <w:p>
      <w:pPr>
        <w:spacing w:after="80"/>
      </w:pPr>
      <w:r>
        <w:rPr>
          <w:b w:val="0"/>
          <w:i w:val="0"/>
        </w:rPr>
        <w:t>Đô đốc Mullen nhìn nhận các kỹ năng cốt lõi của một CEO hầu như không khác gì các kỹ năng của một nhà lãnh đạo trong quân đội: “Nhà lãnh đạo thì vẫn là nhà lãnh đạo. Bạn phải thoải mái với sự thay đổi, và với việc dẫn dắt sự thay đổi, vì thế giới đang thay đổi với tốc độ quá nhanh.”</w:t>
      </w:r>
    </w:p>
    <w:p>
      <w:pPr>
        <w:spacing w:after="80"/>
      </w:pPr>
      <w:r>
        <w:rPr>
          <w:b w:val="0"/>
          <w:i w:val="0"/>
        </w:rPr>
        <w:t>Với Ron Klain, những yếu tố then chốt của lãnh đạo là sự đồng cảm và tầm nhìn. “Những người có thể gắn kết đội ngũ của mình ở mức độ cá nhân là những nhà lãnh đạo hiệu quả,” ông nói với tôi. “Họ lãnh đạo bằng cách có một tầm nhìn và khiến tổ chức tin tưởng vào nó.”</w:t>
      </w:r>
    </w:p>
    <w:p>
      <w:pPr>
        <w:spacing w:after="80"/>
      </w:pPr>
      <w:r>
        <w:rPr>
          <w:b w:val="0"/>
          <w:i w:val="0"/>
        </w:rPr>
        <w:t>Mario Carbone của Major Food Group mô tả một nhà lãnh đạo tuyệt vời là người “sẵn sàng làm bất cứ điều gì bạn đang làm hiện tại… truyền sự tự tin cho đội ngũ vì họ biết bạn có thể tiếp quản nếu cần.” Ông nhìn nhận các CEO giỏi vừa là học trò vừa là người thầy cùng lúc, luôn học hỏi nhưng cũng truyền lại kỹ năng của mình cho tầng quản lý kế tiếp đang vươn lên phía sau họ.</w:t>
      </w:r>
    </w:p>
    <w:p>
      <w:pPr>
        <w:spacing w:after="80"/>
      </w:pPr>
      <w:r>
        <w:rPr>
          <w:b w:val="0"/>
          <w:i w:val="0"/>
        </w:rPr>
        <w:t>Sau khi làm việc với hàng trăm CEO với tư cách là chuyên gia ngân hàng đầu tư, thành viên hội đồng quản trị công ty, và nhà đầu tư vốn cổ phần tư nhân, tôi sẽ tóm tắt điều làm nên một CEO tuyệt vời là người có tầm nhìn sâu sắc, có thể dẫn dắt một đội ngũ để mang lại kết quả mong muốn, làm điều đó với sự chính trực và chu đáo, và có khả năng giải quyết nhiều vấn đề bất ngờ sẽ phát sinh, tất cả trong khi làm việc một cách minh bạch và hợp tác với hội đồng quản trị, ban điều hành cấp cao, cổ đông, và các bên liên quan rộng hơn.</w:t>
      </w:r>
    </w:p>
    <w:p>
      <w:pPr>
        <w:spacing w:after="80"/>
      </w:pPr>
      <w:r>
        <w:rPr>
          <w:b w:val="0"/>
          <w:i w:val="0"/>
        </w:rPr>
        <w:t>Việc tìm ra nhà lãnh đạo xuất sắc đó—người có những phẩm chất mong muốn và phù hợp với công ty vào thời điểm đó—thường không dễ dàng và, trong một thế giới lý tưởng, nên bắt đầu từ rất lâu trước khi vị trí trống xuất hiện. Đây là lý do tại sao lập kế hoạch kế nhiệm CEO là một trách nhiệm then chốt đối với một hội đồng quản trị hiệu quả.</w:t>
      </w:r>
    </w:p>
    <w:p>
      <w:pPr>
        <w:pStyle w:val="Heading2"/>
      </w:pPr>
      <w:r>
        <w:rPr>
          <w:rFonts w:ascii="Calibri" w:hAnsi="Calibri"/>
          <w:b/>
          <w:i w:val="0"/>
          <w:sz w:val="32"/>
        </w:rPr>
        <w:t>Lập kế hoạch kế nhiệm</w:t>
      </w:r>
    </w:p>
    <w:p>
      <w:pPr>
        <w:spacing w:after="80"/>
      </w:pPr>
      <w:r>
        <w:rPr>
          <w:b w:val="0"/>
          <w:i w:val="0"/>
        </w:rPr>
        <w:t>Trước khi—thường là nhiều năm trước khi—một quy trình tuyển dụng CEO thành công bắt đầu, hội đồng quản trị nên suy nghĩ về CEO hiện tại và việc người đó rời khỏi vai trò này. Suy cho cùng, theo nhiều cách, công việc quan trọng nhất của hội đồng quản trị là lựa chọn, giám sát, đánh giá, và trả thù lao cho lãnh đạo cấp cao nhất của công ty: CEO. Do đó, kế nhiệm CEO luôn phải là một trọng tâm đối với một hội đồng quản trị tận tâm.</w:t>
      </w:r>
    </w:p>
    <w:p>
      <w:pPr>
        <w:spacing w:after="80"/>
      </w:pPr>
      <w:r>
        <w:rPr>
          <w:b w:val="0"/>
          <w:i w:val="0"/>
        </w:rPr>
        <w:t>Hai quy trình kế nhiệm được quản lý đặc biệt tốt—mà Jim Citrin đã giới thiệu cho tôi cho cuốn sách này—là ở Mastercard và Cisco. Cả hai đều có sự tham gia của hội đồng quản trị và các CEO sắp rời nhiệm, những người cam kết với một quy trình kế nhiệm và dành nhiều năm để lập kế hoạch và chuẩn bị.</w:t>
      </w:r>
    </w:p>
    <w:p>
      <w:pPr>
        <w:spacing w:after="80"/>
      </w:pPr>
      <w:r>
        <w:rPr>
          <w:b w:val="0"/>
          <w:i w:val="0"/>
        </w:rPr>
        <w:t xml:space="preserve">Thực tế, dù Mastercard chuyển giao vị trí CEO vào tháng 2 năm 2020 từ Ajay Banga, người giữ chức vụ này từ năm 2010, sang Michael Miebach, hạt giống của sự thay đổi đó đã được gieo trồng từ trước khi Banga được tuyển dụng. "Ngay cả trước khi Ajay có được công việc này," theo một bài viết mà Banga và cựu chủ tịch hội đồng quản trị Mastercard Richard Haythornthwaite viết cho </w:t>
      </w:r>
      <w:r>
        <w:rPr>
          <w:b w:val="0"/>
          <w:i/>
        </w:rPr>
        <w:t>Harvard Business Review</w:t>
      </w:r>
      <w:r>
        <w:rPr>
          <w:b w:val="0"/>
          <w:i w:val="0"/>
        </w:rPr>
        <w:t>, "chúng tôi [hội đồng quản trị] đã hình dung về người kế nhiệm ông ấy."5</w:t>
      </w:r>
    </w:p>
    <w:p>
      <w:pPr>
        <w:spacing w:after="80"/>
      </w:pPr>
      <w:r>
        <w:rPr>
          <w:b w:val="0"/>
          <w:i w:val="0"/>
        </w:rPr>
        <w:t>Việc Mastercard chuyển giao cho Banga là kết quả của một cuộc tìm kiếm bên ngoài, nhưng hội đồng quản trị muốn chắc chắn rằng lần tới họ có những ứng viên nội bộ phù hợp. Ngay từ đầu, Banga đặt mục tiêu phục vụ trong một thập kỷ, và một kế hoạch được xây dựng từ đó. "Chúng tôi [hội đồng quản trị] đã giăng lưới rộng, xem xét hơn 40 nhân viên nội bộ và một số ít ứng viên bên ngoài xuất sắc trước khi chọn ra những người vào vòng chung kết," Banga và Haythornthwaite viết. "Chúng tôi cam kết tính bao trùm trong việc ra quyết định, đề nghị toàn bộ Hội đồng quản trị tham gia. Chúng tôi nhất quyết giải quyết các vấn đề của ngày mai, chứ không phải của hôm nay, trong việc làm rõ loại lãnh đạo mới mà chúng tôi cần. Chúng tôi tập trung vào việc phát triển và giữ chân tất cả những ngôi sao hiện tại và tương lai của mình—chứ không chỉ lấp đầy vị trí cao nhất. Cuối cùng, chúng tôi cam kết giữ tâm trí cởi mở và giữ ý kiến cá nhân cho riêng mình cho đến phút cuối, đồng thời không khuyến khích những sở thích sớm và tư duy tập thể từ các thành viên hội đồng."6</w:t>
      </w:r>
    </w:p>
    <w:p>
      <w:pPr>
        <w:spacing w:after="80"/>
      </w:pPr>
      <w:r>
        <w:rPr>
          <w:b w:val="0"/>
          <w:i w:val="0"/>
        </w:rPr>
        <w:t>Năm năm sau khi Banga nhậm chức, hội đồng quản trị đã xác định 42 giám đốc điều hành để nhận đào tạo lãnh đạo được cá nhân hóa và được tiếp xúc với hội đồng quản trị, bao gồm các cố vấn cấp hội đồng quản trị và thuyết trình trước các thành viên hội đồng. Hội đồng quản trị cũng làm việc với Banga để hiểu những kỹ năng mà ông tin là cần thiết để người kế nhiệm ông phát triển mạnh mẽ và để xác định mô tả công việc: bản đặc tả, hay "spec," cho CEO tiếp theo. Làm việc với một công ty tìm kiếm lớn, Egon Zehnder, các ứng viên bên ngoài được so sánh với các ứng viên nội bộ. Với nhiều năm họp hành, thảo luận và giao tiếp cởi mở phía sau, hội đồng quản trị cảm thấy được trang bị đầy đủ để đưa ra lựa chọn sáng suốt khi thời điểm đến, nhất trí chọn Miebach.7 Đây là một ví dụ về một quy trình kế nhiệm CEO được cân nhắc và thực hiện rất tốt.</w:t>
      </w:r>
    </w:p>
    <w:p>
      <w:pPr>
        <w:spacing w:after="80"/>
      </w:pPr>
      <w:r>
        <w:rPr>
          <w:b w:val="0"/>
          <w:i w:val="0"/>
        </w:rPr>
        <w:t>Câu chuyện tương tự ở Cisco vào năm 2015, khi Chuck Robbins thay thế CEO lâu năm của công ty, John Chambers, người đã lãnh đạo Cisco từ năm 1995 và giám sát mức tăng trưởng doanh thu hàng năm từ dưới 2 tỷ đô la lên gần 50 tỷ đô la và giá cổ phiếu tăng từ khoảng 2 đô la mỗi cổ phiếu lên hơn 20 đô la. Hội đồng quản trị đã có những cuộc trò chuyện thường xuyên về kế nhiệm, làm rõ rằng họ hài lòng với sự lãnh đạo của Chambers nhưng vẫn ý thức về nhu cầu nhìn về phía trước.8 Hội đồng quản trị, với sự giúp đỡ của Citrin và Spencer Stuart, đã thiết lập một "spec" và thực hiện một loạt đánh giá 360 độ đối với một số nhân tài nội bộ nhất định để giúp cân nhắc ai phù hợp nhất với nhu cầu của vai trò sau Chambers. Từ đó, hội đồng quản trị chọn một số lượng rất hạn chế các ứng viên nội bộ mà tất cả các thành viên hội đồng, không chỉ các thành viên hội đồng trong ủy ban đề cử và quản trị, đã có một loạt các cuộc phỏng vấn một-một.9</w:t>
      </w:r>
    </w:p>
    <w:p>
      <w:pPr>
        <w:spacing w:after="80"/>
      </w:pPr>
      <w:r>
        <w:rPr>
          <w:b w:val="0"/>
          <w:i w:val="0"/>
        </w:rPr>
        <w:t>Các ứng viên hàng đầu sau đó được yêu cầu viết bản ghi nhớ mô tả tầm nhìn của họ về tương lai của Cisco và trình bày tầm nhìn của họ trước hội đồng quản trị. Chambers cố ý không tham gia vào quá trình này để phần còn lại của hội đồng quản trị không bị ảnh hưởng bởi quan điểm của ông. Một lần nữa, và đúng như lẽ phải, quyết định là nhất trí, và khi Robbins được công bố, giá cổ phiếu vẫn ổn định, một dấu hiệu cho thấy công chúng ủng hộ quyết định này.10</w:t>
      </w:r>
    </w:p>
    <w:p>
      <w:pPr>
        <w:spacing w:after="80"/>
      </w:pPr>
      <w:r>
        <w:rPr>
          <w:b w:val="0"/>
          <w:i w:val="0"/>
        </w:rPr>
        <w:t>Bắt đầu quá trình sớm như vậy là hợp lý vì tầm quan trọng của vị trí CEO. Charles Elson giải thích, "Bạn luôn nên có những người sẵn sàng mà bạn nghĩ có thể đảm nhận các vai trò cao nhất một cách nhanh chóng trong trường hợp bệnh tật, qua đời, hoặc ai đó rời đi trong một tình huống kịch tính—bị săn đón chẳng hạn—và bạn cũng muốn biết ai đang được đào tạo cho tương lai."</w:t>
      </w:r>
    </w:p>
    <w:p>
      <w:pPr>
        <w:spacing w:after="80"/>
      </w:pPr>
      <w:r>
        <w:rPr>
          <w:b w:val="0"/>
          <w:i w:val="0"/>
        </w:rPr>
        <w:t>Crist đã thấy những cuộc trò chuyện này có thể khó khăn như thế nào: "Quá nhiều hội đồng quản trị né tránh việc nói về kế nhiệm, và không đưa nó vào chương trình nghị sự. Nó phải là một mục chủ đề mọi lúc, với một nhịp độ mà hội đồng quản trị biết rõ. Quá nhiều hội đồng quản trị chỉ nhìn thấy CEO và CFO, và thỉnh thoảng ai đó được thuyết trình. Một hội đồng quản trị phải nhìn thấy lớp một và lớp hai của ban lãnh đạo. Hội đồng quản trị phải suy nghĩ về chu kỳ ba đến năm năm tiếp theo."</w:t>
      </w:r>
    </w:p>
    <w:p>
      <w:pPr>
        <w:spacing w:after="80"/>
      </w:pPr>
      <w:r>
        <w:rPr>
          <w:b w:val="0"/>
          <w:i w:val="0"/>
        </w:rPr>
        <w:t>Thật vậy, Đô đốc Mullen nói với tôi, "Công việc khó nhất tôi từng làm với tư cách một nhà lãnh đạo cấp cao là đưa đúng người vào đúng công việc vào đúng thời điểm. Chọn đúng người kế nhiệm là công việc quan trọng nhất của hội đồng quản trị."</w:t>
      </w:r>
    </w:p>
    <w:p>
      <w:pPr>
        <w:spacing w:after="80"/>
      </w:pPr>
      <w:r>
        <w:rPr>
          <w:b w:val="0"/>
          <w:i w:val="0"/>
        </w:rPr>
        <w:t>Heckes và Masonite là một ví dụ về quy trình kế nhiệm CEO mà tôi đã tham gia. Chúng tôi đã hài lòng với Fred Lynch, người đã làm CEO gần 10 năm. "Ông ấy rất có chủ đích khi tin rằng một CEO thường trở nên kém hiệu quả sau 10 năm và rằng ngày hết hạn của ông ấy đang đến gần," Bob Byrne, chủ tịch hội đồng quản trị độc lập của Masonite, nhớ lại, mặc dù các vấn đề với hoạt động sản xuất của công ty khiến Lynch ở lại lâu hơn một chút để lãnh đạo công ty trở lại với sự xuất sắc trong vận hành.</w:t>
      </w:r>
    </w:p>
    <w:p>
      <w:pPr>
        <w:spacing w:after="80"/>
      </w:pPr>
      <w:r>
        <w:rPr>
          <w:b w:val="0"/>
          <w:i w:val="0"/>
        </w:rPr>
        <w:t>Masonite đã phát triển mạnh mẽ từ khoảng 40 triệu đô la EBITDA khi công ty thoát khỏi tổ chức lại phá sản theo Chương 11 vào năm 2009 lên khoảng 275 triệu đô la EBITDA cho năm 2018. Công ty có thị phần khoảng 30 phần trăm và một đối thủ cạnh tranh lớn hơn một chút, Jeld-Wen, nhưng việc định giá không kỷ luật như bạn có thể mong đợi với cấu trúc độc quyền nhóm này, và biên lợi nhuận tương đối thấp. Các nhà bán buôn và nhà phân phối chiếm một phần biên lợi nhuận với chi phí của Masonite và Jeld-Wen, với các khách hàng "big box" (Home Depot và Lowe's) tỏ ra đầy thách thức. Tăng trưởng khối lượng đã bị hạn chế.</w:t>
      </w:r>
    </w:p>
    <w:p>
      <w:pPr>
        <w:spacing w:after="80"/>
      </w:pPr>
      <w:r>
        <w:rPr>
          <w:b w:val="0"/>
          <w:i w:val="0"/>
        </w:rPr>
        <w:t>Hội đồng quản trị, bao gồm cả Lynch, tin rằng có một ứng viên nội bộ và có lẽ là một ứng viên thứ hai. Tuy nhiên, hội đồng quyết định làm cho kỹ lưỡng và tiến hành một cuộc tìm kiếm đầy đủ. Lynch nói với tôi, "Công việc của bạn với tư cách CEO là đảm bảo bạn có một ứng viên nội bộ khả thi. Tôi cũng tin rằng việc tiến hành một cuộc tìm kiếm đầy đủ là hợp lý, để đảm bảo bạn có lựa chọn tốt nhất ngoài kia. Tất nhiên, CEO sẽ thiên vị cho ứng viên nội bộ của họ."</w:t>
      </w:r>
    </w:p>
    <w:p>
      <w:pPr>
        <w:spacing w:after="80"/>
      </w:pPr>
      <w:r>
        <w:rPr>
          <w:b w:val="0"/>
          <w:i w:val="0"/>
        </w:rPr>
        <w:t>Tôi cảm thấy Masonite đang ở ngã ba đường chiến lược và có lẽ cần một CEO mới từ bên ngoài công ty, người thực sự hiểu "tiếng nói của khách hàng" và có thể nâng cao hoạt động tiếp thị của chúng tôi. Có vẻ như một vài thành viên hội đồng muốn một góc nhìn mới và một ứng viên bên ngoài, trong khi một số thích một ứng viên nội bộ được biết đến rộng rãi, và những người khác thì không chắc chắn.</w:t>
      </w:r>
    </w:p>
    <w:p>
      <w:pPr>
        <w:spacing w:after="80"/>
      </w:pPr>
      <w:r>
        <w:rPr>
          <w:b w:val="0"/>
          <w:i w:val="0"/>
        </w:rPr>
        <w:t>Khi chúng tôi khởi động quy trình tìm kiếm Masonite, Byrne nhớ lại, "Đầu tiên chúng tôi quyết định rằng nên có một ủy ban đặc biệt—một ủy ban tìm kiếm—với các chủ tịch của các ủy ban kiểm toán, lương thưởng, và đề cử và quản trị của chúng tôi tham gia để lãnh đạo quy trình. Chúng tôi muốn có đầu vào và góc nhìn rộng rãi về mọi thứ từ việc chọn công ty tìm kiếm cho đến việc thẩm tra các ứng viên. Chúng tôi đồng ý rằng bất kỳ thành viên hội đồng nào cũng được hoan nghênh tham dự bất kỳ cuộc họp nào của ủy ban đặc biệt để làm cho nó mang tính bao trùm."</w:t>
      </w:r>
    </w:p>
    <w:p>
      <w:pPr>
        <w:spacing w:after="80"/>
      </w:pPr>
      <w:r>
        <w:rPr>
          <w:b w:val="0"/>
          <w:i w:val="0"/>
        </w:rPr>
        <w:t>Tôi đã phục vụ trong ủy ban đặc biệt. Tôi cũng là thành viên của cái gọi là ủy ban kế nhiệm CEO tại một công ty khác, nơi chủ tịch không điều hành lãnh đạo việc bổ nhiệm các thành viên mà ông ấy nghĩ là phù hợp nhất. Ủy ban đề cử và quản trị thường lãnh đạo nỗ lực kế nhiệm và tuyển dụng CEO, và tôi cũng đã thấy điều đó. Quan trọng là, bất kể ủy ban nào dẫn dắt quy trình quan trọng này, tất cả các thành viên hội đồng nên được mời đến các cuộc họp của ủy ban và nên tham gia tích cực vào việc kế nhiệm CEO và tuyển dụng CEO.</w:t>
      </w:r>
    </w:p>
    <w:p>
      <w:pPr>
        <w:spacing w:after="80"/>
      </w:pPr>
      <w:r>
        <w:rPr>
          <w:b w:val="0"/>
          <w:i w:val="0"/>
        </w:rPr>
        <w:t>Ủy ban đặc biệt của Masonite quyết định giữ một công ty tìm kiếm và, sau các buổi thuyết trình từ một số công ty lớn và các cuộc thảo luận đáng kể, đã chọn Spencer Stuart. Công ty tìm kiếm đề xuất chia quy trình thành sáu giai đoạn mà nó sẽ hỗ trợ; hội đồng quản trị đồng ý:</w:t>
      </w:r>
    </w:p>
    <w:p>
      <w:pPr>
        <w:spacing w:after="80"/>
        <w:ind w:left="360"/>
      </w:pPr>
      <w:r>
        <w:t xml:space="preserve">1. </w:t>
      </w:r>
      <w:r>
        <w:rPr>
          <w:b w:val="0"/>
          <w:i w:val="0"/>
        </w:rPr>
        <w:t>Xây dựng sự đồng thuận trong hội đồng quản trị về các yêu cầu</w:t>
      </w:r>
    </w:p>
    <w:p>
      <w:pPr>
        <w:spacing w:after="80"/>
        <w:ind w:left="360"/>
      </w:pPr>
      <w:r>
        <w:t xml:space="preserve">2. </w:t>
      </w:r>
      <w:r>
        <w:rPr>
          <w:b w:val="0"/>
          <w:i w:val="0"/>
        </w:rPr>
        <w:t>Đánh giá các thành viên trong ban lãnh đạo để xác định các ứng viên nội bộ</w:t>
      </w:r>
    </w:p>
    <w:p>
      <w:pPr>
        <w:spacing w:after="80"/>
        <w:ind w:left="360"/>
      </w:pPr>
      <w:r>
        <w:t xml:space="preserve">3. </w:t>
      </w:r>
      <w:r>
        <w:rPr>
          <w:b w:val="0"/>
          <w:i w:val="0"/>
        </w:rPr>
        <w:t>Xác định các ứng viên bên ngoài</w:t>
      </w:r>
    </w:p>
    <w:p>
      <w:pPr>
        <w:spacing w:after="80"/>
        <w:ind w:left="360"/>
      </w:pPr>
      <w:r>
        <w:t xml:space="preserve">4. </w:t>
      </w:r>
      <w:r>
        <w:rPr>
          <w:b w:val="0"/>
          <w:i w:val="0"/>
        </w:rPr>
        <w:t>Hỗ trợ hội đồng quản trị trong các cuộc thảo luận</w:t>
      </w:r>
    </w:p>
    <w:p>
      <w:pPr>
        <w:spacing w:after="80"/>
        <w:ind w:left="360"/>
      </w:pPr>
      <w:r>
        <w:t xml:space="preserve">5. </w:t>
      </w:r>
      <w:r>
        <w:rPr>
          <w:b w:val="0"/>
          <w:i w:val="0"/>
        </w:rPr>
        <w:t>Dẫn dắt quá trình chuyển giao sau khi đưa ra quyết định</w:t>
      </w:r>
    </w:p>
    <w:p>
      <w:pPr>
        <w:spacing w:after="80"/>
        <w:ind w:left="360"/>
      </w:pPr>
      <w:r>
        <w:t xml:space="preserve">6. </w:t>
      </w:r>
      <w:r>
        <w:rPr>
          <w:b w:val="0"/>
          <w:i w:val="0"/>
        </w:rPr>
        <w:t>Hỗ trợ CEO với các kế hoạch cho 100 ngày đầu tiên</w:t>
      </w:r>
    </w:p>
    <w:p>
      <w:pPr>
        <w:spacing w:after="80"/>
      </w:pPr>
      <w:r>
        <w:rPr>
          <w:b w:val="0"/>
          <w:i w:val="0"/>
        </w:rPr>
        <w:t>Một trong những điều quan trọng nhất mà Byrne nhớ về quá trình này là chúng tôi yêu cầu cập nhật hàng tuần để thúc đẩy công việc tiến triển và một nhóm ứng viên rộng rãi, không chỉ những người sẵn sàng hoặc những người có vẻ mạnh mẽ. Đội ngũ Spencer Stuart đã đánh giá các ứng viên nội bộ và bên ngoài thông qua phỏng vấn, tham khảo ý kiến, kiểm tra tâm lý và so sánh với dữ liệu thị trường mà họ đã phát triển theo thời gian. Họ cũng giúp dung hòa ý kiến từ các giám đốc, những người đều có quan điểm khác nhau và đôi khi có những góc nhìn khác biệt.</w:t>
      </w:r>
    </w:p>
    <w:p>
      <w:pPr>
        <w:spacing w:after="80"/>
      </w:pPr>
      <w:r>
        <w:rPr>
          <w:b w:val="0"/>
          <w:i w:val="0"/>
        </w:rPr>
        <w:t>Sau khi mỗi giám đốc phỏng vấn một số ứng viên tại một địa điểm trong một ngày dài nhưng hiệu quả, chúng tôi mời các ứng viên vào vòng chung kết lần lượt trình bày trước hội đồng quản trị tầm nhìn chiến lược của họ cho công ty. "Chúng tôi muốn xem họ hiểu công ty đến mức nào," Byrne nói, "họ lắng nghe các giám đốc tốt ra sao và họ đánh giá các cơ hội như thế nào. Chúng tôi muốn nghe về các mối đe dọa cạnh tranh trong phạm vi họ biết và những cạm bẫy tiềm ẩn, để hiểu mức độ chấp nhận rủi ro của họ và biết họ nhiệt tình thúc đẩy thay đổi đến đâu, hay liệu họ sẽ chơi an toàn với nhiều thứ giữ nguyên như cũ."</w:t>
      </w:r>
    </w:p>
    <w:p>
      <w:pPr>
        <w:spacing w:after="80"/>
      </w:pPr>
      <w:r>
        <w:rPr>
          <w:b w:val="0"/>
          <w:i w:val="0"/>
        </w:rPr>
        <w:t>Cuối cùng, sự đồng thuận nhất trí là hướng tới thay đổi và tập trung nhiều hơn vào khách hàng, và như bạn đã biết, chúng tôi đã chọn Howard Heckes.</w:t>
      </w:r>
    </w:p>
    <w:p>
      <w:pPr>
        <w:spacing w:after="80"/>
      </w:pPr>
      <w:r>
        <w:rPr>
          <w:b w:val="0"/>
          <w:i w:val="0"/>
        </w:rPr>
        <w:t>"Tôi cho rằng mọi CEO đều muốn một phần di sản của mình là việc xác định và đào tạo người kế nhiệm," Byrne giải thích, "và dù Fred cảm thấy như mình đã làm được điều đó, ông hiểu rằng đây là đặc quyền của hội đồng quản trị, và ông thực sự khiến Howard cảm thấy được chào đón." Những nhà lãnh đạo mạnh mẽ gạt ý kiến cá nhân sang một bên và hành động theo cách phục vụ công ty tốt nhất, ngay cả khi họ đang rời đi.</w:t>
      </w:r>
    </w:p>
    <w:p>
      <w:pPr>
        <w:spacing w:after="80"/>
      </w:pPr>
      <w:r>
        <w:rPr>
          <w:b w:val="0"/>
          <w:i w:val="0"/>
        </w:rPr>
        <w:t>Việc kế nhiệm CEO ngày càng trở nên quan trọng trong môi trường kinh doanh thay đổi nhanh chóng ngày nay. Năm 2023, tỷ lệ thay đổi nhân sự gia tăng.11 Theo Báo cáo Thay đổi CEO của Challenger, Gray &amp; Christmas (Challenger), tính đến tháng 11 năm 2024, gần 2.000 CEO đã tuyên bố rời vị trí trong năm đó vì nhiều lý do khác nhau, con số hàng năm cao nhất kể từ khi Challenger bắt đầu báo cáo về các thay đổi CEO vào năm 2002.12 Nhiệm kỳ trung bình của các CEO thuộc Fortune 500 chỉ là bảy năm.13</w:t>
      </w:r>
    </w:p>
    <w:p>
      <w:pPr>
        <w:spacing w:after="80"/>
      </w:pPr>
      <w:r>
        <w:rPr>
          <w:b w:val="0"/>
          <w:i w:val="0"/>
        </w:rPr>
        <w:t>Tất nhiên, trong khi nhiều quá trình chuyển giao CEO được lên kế hoạch—86 phần trăm các ca kế nhiệm trong S&amp;P 1500 được lên kế hoạch vào năm 2023, con số tương tự các năm trước—một số thì không, và tất cả các hội đồng quản trị cần có hệ thống để đánh giá CEO và biết khi nào có thể đến lúc cần thay đổi.14</w:t>
      </w:r>
    </w:p>
    <w:p>
      <w:pPr>
        <w:spacing w:after="80"/>
      </w:pPr>
      <w:r>
        <w:rPr>
          <w:b w:val="0"/>
          <w:i w:val="0"/>
        </w:rPr>
        <w:t>Dù vậy, lập kế hoạch kế nhiệm là quan trọng và nên dẫn đến kết quả tốt, nhưng mấu chốt là xác định và tuyển dụng được một người thay thế xuất sắc. Việc lấp đầy vị trí thành công quy về việc hiểu bạn đang tìm kiếm điều gì và sau đó thiết lập một quy trình hiệu quả để tuyển người đó.</w:t>
      </w:r>
    </w:p>
    <w:p>
      <w:pPr>
        <w:pStyle w:val="Heading2"/>
      </w:pPr>
      <w:r>
        <w:rPr>
          <w:rFonts w:ascii="Calibri" w:hAnsi="Calibri"/>
          <w:b/>
          <w:i w:val="0"/>
          <w:sz w:val="32"/>
        </w:rPr>
        <w:t>Tuyển dụng và Thuê một CEO Hiệu quả</w:t>
      </w:r>
    </w:p>
    <w:p>
      <w:pPr>
        <w:spacing w:after="80"/>
      </w:pPr>
      <w:r>
        <w:rPr>
          <w:b w:val="0"/>
          <w:i w:val="0"/>
        </w:rPr>
        <w:t xml:space="preserve">Như đã thấy trong phần thảo luận về Masonite, việc tuyển dụng một CEO mới thường bắt đầu với một ủy ban: đôi khi là ủy ban đề cử và quản trị và có thể là một ủy ban đặc biệt. Bước đầu tiên thường là quyết định có sử dụng công ty tìm kiếm nhân sự cấp cao hay không. Thông thường là có. Năm công ty tìm kiếm nhân sự cấp cao, Matthieu Favas viết trên </w:t>
      </w:r>
      <w:r>
        <w:rPr>
          <w:b w:val="0"/>
          <w:i/>
        </w:rPr>
        <w:t>The Economist</w:t>
      </w:r>
      <w:r>
        <w:rPr>
          <w:b w:val="0"/>
          <w:i w:val="0"/>
        </w:rPr>
        <w:t xml:space="preserve"> năm 2020, thống trị ngành này: Spencer Stuart, Heidrick &amp; Struggles, Russell Reynolds Associates, Egon Zehnder, và Korn Ferry.15 Ước tính 80 đến 90 phần trăm các công ty trong Fortune 250 sử dụng những công ty như vậy cho việc kế nhiệm CEO, ngay cả khi ứng viên thành công có thể là người nội bộ.16 Favas viết, "Các nhà tuyển dụng có thể đóng vai trò then chốt trong việc giúp xây dựng sự đồng thuận khi, như thường xảy ra, các hội đồng quản trị bị chia rẽ. Chính với vai trò nhà ngoại giao mà những thợ săn đầu người giỏi nhất kiếm được thu nhập của mình."17</w:t>
      </w:r>
    </w:p>
    <w:p>
      <w:pPr>
        <w:spacing w:after="80"/>
      </w:pPr>
      <w:r>
        <w:rPr>
          <w:b w:val="0"/>
          <w:i w:val="0"/>
        </w:rPr>
        <w:t>Khi một công ty tìm kiếm được thuê, ủy ban (và hội đồng quản trị) làm việc với công ty đó để tổng hợp bản đặc tả với các thuộc tính mong muốn cho vị trí này. Những điều này bao gồm các kỹ năng và năng lực được tìm kiếm ở nhà lãnh đạo kế tiếp cũng như các đặc điểm cá nhân và phong cách lãnh đạo.</w:t>
      </w:r>
    </w:p>
    <w:p>
      <w:pPr>
        <w:spacing w:after="80"/>
      </w:pPr>
      <w:r>
        <w:rPr>
          <w:b w:val="0"/>
          <w:i w:val="0"/>
        </w:rPr>
        <w:t xml:space="preserve">Tuy nhiên, dù “bản đặc tả” (spec) rất quan trọng, sự linh hoạt cũng cần thiết không kém. Về điểm đó, “bản đặc tả thực sự quan trọng như nền tảng của cả quy trình,” Citrin nói, “nhưng tôi đã thấy nhiều cuộc tìm kiếm đi chệch hướng và dẫn đến kết quả tồi tệ khi hội đồng quản trị coi bản đặc tả đó quá theo nghĩa đen. Bạn có thể đặt ra các tiêu chí quá chính xác rồi giải bài toán cho những tiêu chí đó quá hoàn hảo. Nhưng biết đâu các tiêu chí ấy lại sai. Đừng trở thành tù nhân của bản đặc tả.” Ông nói thêm rằng một phân tích nghiêm ngặt là điều tối quan trọng: “Hãy nhìn vào những tổ chức đã làm tốt nhất việc mà bạn đang cố gắng làm, và nhìn vào những cá nhân hiện đang hoặc từng dẫn dắt những kết quả đó. Đồng thời, hãy cởi mở với những ý tưởng sáng tạo và phá cách, kể cả những ý tưởng có vẻ không logic lắm, bởi nhiều CEO có hiệu suất cao nhất mà tôi từng tìm thấy không phải là những người hiển nhiên nhất hay logic nhất; ví dụ, Mark Thompson từ BBC đến làm CEO của </w:t>
      </w:r>
      <w:r>
        <w:rPr>
          <w:b w:val="0"/>
          <w:i/>
        </w:rPr>
        <w:t>New York Times</w:t>
      </w:r>
      <w:r>
        <w:rPr>
          <w:b w:val="0"/>
          <w:i w:val="0"/>
        </w:rPr>
        <w:t xml:space="preserve"> hay Hubert Joly từ ngoài ngành bán lẻ đến cứu Best Buy và xoay chuyển công ty.”</w:t>
      </w:r>
    </w:p>
    <w:p>
      <w:pPr>
        <w:spacing w:after="80"/>
      </w:pPr>
      <w:r>
        <w:rPr>
          <w:b w:val="0"/>
          <w:i w:val="0"/>
        </w:rPr>
        <w:t>Một câu hỏi then chốt khi cân nhắc các ứng viên tiềm năng là nội bộ hay bên ngoài: Bạn muốn một người đã ở trong công ty hay một người mới từ bên ngoài? Trong những năm gần đây, các ứng viên nội bộ chiếm ưu thế. Theo dữ liệu của Spencer Stuart, 68 phần trăm CEO mới tại các công ty thuộc S&amp;P 1500 là người được tuyển từ nội bộ trong năm 2023, giảm từ 72 phần trăm năm 2022 nhưng vẫn khá đáng kể.18 Tuy nhiên, nhóm người nội bộ này bao gồm một số ít ứng viên có thể được gọi chính xác hơn là người nội bộ - bên ngoài: những người được tuyển từ bên ngoài vào các vị trí khác rồi được thăng chức lên CEO trong vòng 18 tháng.</w:t>
      </w:r>
    </w:p>
    <w:p>
      <w:pPr>
        <w:spacing w:after="80"/>
      </w:pPr>
      <w:r>
        <w:rPr>
          <w:b w:val="0"/>
          <w:i w:val="0"/>
        </w:rPr>
        <w:t>Dữ liệu cho thấy một ứng viên nội bộ ít rủi ro hơn, đặc biệt trong thời kỳ khủng hoảng như đại dịch COVID-19.19 Điều này hợp lý, vì một giám đốc điều hành hiện tại của công ty hẳn đã biết rõ công ty và hiểu văn hóa. Đồng thời, lối nghĩ thông thường cho rằng một người được tuyển từ bên ngoài có thể là nhân tố tạo thay đổi nhiều hơn: nhà lãnh đạo này thường mang đến một cách tiếp cận mới mẻ hơn. Các nghiên cứu học thuật về việc liệu người được tuyển từ nội bộ hay bên ngoài tạo ra nhiều giá trị cổ đông hơn vẫn chưa ngã ngũ; chúng cho thấy rằng những công ty đang làm ăn tốt có xu hướng chọn ứng viên nội bộ nhiều hơn.20</w:t>
      </w:r>
    </w:p>
    <w:p>
      <w:pPr>
        <w:spacing w:after="80"/>
      </w:pPr>
      <w:r>
        <w:rPr>
          <w:b w:val="0"/>
          <w:i w:val="0"/>
        </w:rPr>
        <w:t>Ngoài những thiên kiến có thể tạo lợi thế hoặc bất lợi cho một ứng viên nội bộ hay bên ngoài, điều quan trọng cần nhớ là việc một giám đốc điều hành thành công trong một tình huống không có nghĩa là người đó sẽ thành công trong một tình huống khác. Điều tối quan trọng là phải xem xét vì sao vị giám đốc đó tạo được tác động, và liệu bộ kỹ năng cùng phong cách ấy có khả năng chuyển dịch sang vai trò mới hay không.</w:t>
      </w:r>
    </w:p>
    <w:p>
      <w:pPr>
        <w:spacing w:after="80"/>
      </w:pPr>
      <w:r>
        <w:rPr>
          <w:b w:val="0"/>
          <w:i w:val="0"/>
        </w:rPr>
        <w:t>Trong khi truyền thông đã đưa tin đầy đủ về việc Bob Iger và Howard Schultz lần lượt quay lại Disney và Starbucks với tư cách những CEO “boomerang” (quay về) nắm lại vị trí CEO cũ của mình, trên thực tế chỉ có 22 CEO boomerang trong S&amp;P 500 kể từ năm 2010, và họ thường không làm tốt bằng lần đầu.21 Mặt khác, những CEO xuất thân từ hội đồng quản trị—chiếm 6 phần trăm trong những năm gần đây—đã mang lại kết quả mạnh mẽ hơn cả CEO được tuyển từ nội bộ lẫn bên ngoài.22 Nhưng số lượng giám đốc trở thành CEO là rất hạn chế.</w:t>
      </w:r>
    </w:p>
    <w:p>
      <w:pPr>
        <w:spacing w:after="80"/>
      </w:pPr>
      <w:r>
        <w:rPr>
          <w:b w:val="0"/>
          <w:i w:val="0"/>
        </w:rPr>
        <w:t>Clem Johnson, chủ tịch công ty săn đầu người điều hành Crist Kolder, người mà tôi đã cùng làm việc trong một cuộc tìm kiếm CFO cho Masonite, nói: “Xét mức độ mà vai trò CFO đã được nâng cao về tầm quan trọng chiến lược và mở rộng về phạm vi, trong nhiều tổ chức, người này chính là số hai đương nhiên.”23 Tuy nhiên, tôi đã nghe nhiều thành viên hội đồng quản trị nói rằng một CFO “chưa từng điều hành thứ gì cả”, vì chưa từng chịu trách nhiệm tổng thể về một “P&amp;L” (báo cáo lãi lỗ) hay dẫn dắt một đơn vị kinh doanh. Điều quan trọng là, một CFO chất lượng cao là một phần then chốt của ban lãnh đạo cấp cao; am hiểu tường tận chiến lược, hoạt động kinh doanh và hiệu quả tài chính của công ty; và cùng với CEO, là đầu mối chính giao tiếp với nhà đầu tư. Hãy nhớ rằng CEO, dù chịu trách nhiệm cuối cùng cho hoạt động kinh doanh, không trực tiếp điều hành nó: như chúng ta đã bàn, CEO có một danh mục trách nhiệm đa dạng, bao gồm giao tiếp với hội đồng quản trị và cổ đông, dẫn dắt đội ngũ quản lý, thúc đẩy việc phát triển và thực thi chiến lược, và cùng với CFO, xác nhận tính xác thực của các kiểm soát nội bộ và báo cáo tài chính.</w:t>
      </w:r>
    </w:p>
    <w:p>
      <w:pPr>
        <w:spacing w:after="80"/>
      </w:pPr>
      <w:r>
        <w:rPr>
          <w:b w:val="0"/>
          <w:i w:val="0"/>
        </w:rPr>
        <w:t>Tôi đã là giám đốc của Lear, một nhà cung cấp phụ tùng ô tô thuộc Fortune 500, trong một thời gian. Matt Simoncini, cựu CFO, là CEO từ năm 2011 đến 2018 và đã rất thành công, dẫn dắt mức tăng trưởng vượt bậc về giá trị cổ đông. Ngày nay, Ray Scott là CEO. Ông trước đây đã điều hành cả hai đơn vị kinh doanh của công ty và đã định vị Lear là một trong những công ty hấp dẫn nhất trong một ngành lớn và quan trọng. Hai CEO rất thành công với xuất thân rất khác nhau cho những thời điểm khác nhau của công ty.</w:t>
      </w:r>
    </w:p>
    <w:p>
      <w:pPr>
        <w:spacing w:after="80"/>
      </w:pPr>
      <w:r>
        <w:rPr>
          <w:b w:val="0"/>
          <w:i w:val="0"/>
        </w:rPr>
        <w:t>Về các vị trí trước đây, 57 phần trăm CEO mới của S&amp;P 1500 được thăng chức từ vai trò COO hoặc chủ tịch trong năm 2023, và chỉ 5 phần trăm vươn lên trực tiếp từ vai trò CFO, một con số mà tôi thấy thấp đến đáng ngạc nhiên (con số tương tự là 15 phần trăm vào năm 2022, cũng thấp theo quan điểm của tôi).24 Thêm 5 phần trăm CEO mới trong năm 2023 là những gì Spencer Stuart gọi là nhà lãnh đạo “nhảy cóc” (leapfrog), xuất thân từ đâu đó bên dưới tầng quản lý thứ hai.25 Ngoài ra, 82 phần trăm CEO mới trong S&amp;P 1500 đang đảm nhiệm vai trò CEO công ty đại chúng đầu tiên của họ.26</w:t>
      </w:r>
    </w:p>
    <w:p>
      <w:pPr>
        <w:spacing w:after="80"/>
      </w:pPr>
      <w:r>
        <w:rPr>
          <w:b w:val="0"/>
          <w:i w:val="0"/>
        </w:rPr>
        <w:t>Naren Gursahaney đã trải qua các quy trình tuyển chọn CEO với tư cách ứng viên, CEO và giám đốc. “Ngoài những người tham chiếu do công ty săn đầu người cung cấp,” Naren nói với tôi, “việc kiểm tra mạng lưới quan hệ của chính chúng tôi gồm những người biết ứng viên là rất giá trị. Những người tham chiếu không chính thức đó có lẽ còn giá trị hơn, vì tôi nhận được phản hồi từ một người mà tôi biết và tin rằng sẽ thẳng thắn.”</w:t>
      </w:r>
    </w:p>
    <w:p>
      <w:pPr>
        <w:spacing w:after="80"/>
      </w:pPr>
      <w:r>
        <w:rPr>
          <w:b w:val="0"/>
          <w:i w:val="0"/>
        </w:rPr>
        <w:t>Ron Lumbra có một góc nhìn khác: “Các giám đốc cũng là con người, và đôi khi họ quá dễ bị ảnh hưởng bởi những người trong mạng lưới của chính họ. Một bình luận tích cực hay tiêu cực duy nhất từ một người họ quen có thể khiến một ứng viên trở thành người nhất định phải có hoặc người mà họ thậm chí không buồn nói chuyện. Tôi thấy những người thực sự giỏi bị bỏ qua, chỉ vì một người nào đó tình cờ nghe được điều gì đó từ ai đó trong mạng lưới của họ.”</w:t>
      </w:r>
    </w:p>
    <w:p>
      <w:pPr>
        <w:spacing w:after="80"/>
      </w:pPr>
      <w:r>
        <w:rPr>
          <w:b w:val="0"/>
          <w:i w:val="0"/>
        </w:rPr>
        <w:t>Một số người tin rằng có lẽ không có phản hồi nào quan trọng hơn phản hồi của các CEO sắp rời đi. Họ đã từng làm công việc đó và biết nó đòi hỏi những gì. Tuy nhiên, họ hoàn toàn có thể có một thiên kiến dễ hiểu nghiêng về các ứng viên nội bộ, như Lynch đã thừa nhận. “Một CEO là thành viên hội đồng quản trị,” Steve Sterrett, cựu CFO của Simon Property và là một giám đốc giàu kinh nghiệm, nói, “có mọi quyền tham gia vào cuộc tìm kiếm. Nhưng dù ông ấy xứng đáng có một chỗ ngồi tại bàn vì là giám đốc, ông ấy không xứng đáng có một chỗ ngồi quá lớn.” Tất nhiên, CEO đang chuyển đi và thường cũng rời khỏi hội đồng quản trị; hội đồng quản trị trong tương lai sẽ phải sống chung với CEO mới.</w:t>
      </w:r>
    </w:p>
    <w:p>
      <w:pPr>
        <w:spacing w:after="80"/>
      </w:pPr>
      <w:r>
        <w:rPr>
          <w:b w:val="0"/>
          <w:i w:val="0"/>
        </w:rPr>
        <w:t>Tuyển dụng và thuê một CEO mới là một công việc khổng lồ—đó là lý do hầu hết các công ty mong muốn sự ổn định ở vị trí này. “Điều đó rất căng thẳng cho tất cả mọi người,” Ungerleider nói. “Đến khi họ đưa ra lựa chọn, ai cũng muốn thở phào và không phải bận tâm về nó trong một thời gian—nhưng đó thực ra lại là điều tồi tệ nhất có thể xảy ra. Thật sự cần một giám đốc chủ trì, chủ tịch hoặc trưởng ủy ban giỏi để nhanh chóng thúc đẩy đối thoại cả về hiệu suất của CEO lẫn về việc kế nhiệm CEO tiếp theo.”</w:t>
      </w:r>
    </w:p>
    <w:p>
      <w:pPr>
        <w:pStyle w:val="Heading2"/>
      </w:pPr>
      <w:r>
        <w:rPr>
          <w:rFonts w:ascii="Calibri" w:hAnsi="Calibri"/>
          <w:b/>
          <w:i w:val="0"/>
          <w:sz w:val="32"/>
        </w:rPr>
        <w:t>Tương tác với và Đánh giá các CEO</w:t>
      </w:r>
    </w:p>
    <w:p>
      <w:pPr>
        <w:spacing w:after="80"/>
      </w:pPr>
      <w:r>
        <w:rPr>
          <w:b w:val="0"/>
          <w:i w:val="0"/>
        </w:rPr>
        <w:t>Như Chánh án Strine tin tưởng, điều rất quan trọng là một CEO phải “mạnh mẽ và vững vàng”. “Và CEO đó,” ông tiếp tục, “nên mong muốn có một hội đồng quản trị mạnh và những cấp dưới mạnh. Bạn muốn một văn hóa nơi mọi người đều sẵn lòng lắng nghe những quan điểm khác nhau.” Daniel Slifkin của Cravath nói thêm: “Hội đồng quản trị yếu kém khi các giám đốc quá nể phục CEO, quá sợ hãi để nhảy vào và nói điều gì đó trái với kế hoạch của CEO.”</w:t>
      </w:r>
    </w:p>
    <w:p>
      <w:pPr>
        <w:spacing w:after="80"/>
      </w:pPr>
      <w:r>
        <w:rPr>
          <w:b w:val="0"/>
          <w:i w:val="0"/>
        </w:rPr>
        <w:t>Thực tế, như Steve Key, cựu CFO của Textron và Conagra, người từng là giám đốc của nhiều công ty, nói: “Những văn hóa tuyệt vời thường là sản phẩm phụ của sự lãnh đạo tuyệt vời.” Nói cách khác, văn hóa tỏa ra từ trên đỉnh hoặc từ CEO (và hội đồng quản trị).</w:t>
      </w:r>
    </w:p>
    <w:p>
      <w:pPr>
        <w:spacing w:after="80"/>
      </w:pPr>
      <w:r>
        <w:rPr>
          <w:b w:val="0"/>
          <w:i w:val="0"/>
        </w:rPr>
        <w:t>Người lãnh đạo hội đồng quản trị, dù là chủ tịch hay giám đốc độc lập chủ trì nếu CEO cũng là chủ tịch, là đầu mối chính giữa hội đồng quản trị và CEO, nhưng tất cả các giám đốc đều nên có mối quan hệ bền chặt và tương tác thường xuyên với CEO. Một CEO muốn tối đa hóa giá trị của hội đồng quản trị nên liên hệ với các giám đốc khi cần để tận dụng những lĩnh vực chuyên môn riêng của họ—dù là tài chính, vận hành hay lĩnh vực khác. Trong mọi trường hợp, một thông lệ tốt nhất là CEO nên trao đổi riêng với từng giám đốc vài lần mỗi năm.</w:t>
      </w:r>
    </w:p>
    <w:p>
      <w:pPr>
        <w:spacing w:after="80"/>
      </w:pPr>
      <w:r>
        <w:rPr>
          <w:b w:val="0"/>
          <w:i w:val="0"/>
        </w:rPr>
        <w:t>Heckes nhận thấy việc ngồi trong hội đồng quản trị của một công ty đại chúng khác khi ông còn là CEO của Masonite rất hữu ích, để thấy cảm giác từ phía giám đốc như thế nào và làm việc với hội đồng quản trị của mình hiệu quả hơn. Những gì ông trải nghiệm về nội dung và thời điểm gửi tài liệu cho hội đồng quản trị cũng như cách các giám đốc khác nhau tham gia đều rất giá trị. "Nhiều người khác nhau nói với tôi rằng một trong những điều mà mọi CEO mới đều đánh giá thấp là việc quản lý hội đồng quản trị cần những gì," ông kể với tôi, "và tôi phải nói rằng điều đó hoàn toàn đúng. Chúng tôi có chín nhà điều hành rất thành công đến từ những lĩnh vực rất khác nhau. Mỗi người đều có ý niệm riêng về vai trò của mình, và mỗi người đều có lượng thời gian riêng mà họ sẵn sàng dành ra. Các cuộc gọi một-một thực sự hữu ích để tìm hiểu xem mỗi người cần gì."</w:t>
      </w:r>
    </w:p>
    <w:p>
      <w:pPr>
        <w:spacing w:after="80"/>
      </w:pPr>
      <w:r>
        <w:rPr>
          <w:b w:val="0"/>
          <w:i w:val="0"/>
        </w:rPr>
        <w:t>Tất nhiên, hội đồng quản trị phải đánh giá CEO. Thường có một cuộc đánh giá hằng năm, thường với sự hỗ trợ của cố vấn lương thưởng, để đưa ra quyết định lương thưởng hằng năm về lương cơ bản, tiền thưởng và cổ phần. CEO nên đặt ra một loạt mục tiêu trên cơ sở hằng năm, với ý kiến đóng góp và sự phê duyệt cuối cùng từ ủy ban lương thưởng rồi sau đó là toàn bộ hội đồng quản trị. Một số mục tiêu nên mang tính định lượng và một số mang tính định tính. Vào cuối năm, CEO nên tự đánh giá bản thân dựa trên các mục tiêu đó. Các giám đốc cũng nên hoàn thành một mẫu đánh giá CEO với nhiều câu hỏi khác nhau và có chỗ để ghi thêm nhận xét. Các chủ đề có thể bao gồm chiến lược, khả năng lãnh đạo, đội ngũ điều hành, hoạch định kế nhiệm, kết quả tài chính, rủi ro, ESG, truyền thông với nhà đầu tư và tương tác với hội đồng quản trị. Sau đó, ủy ban lương thưởng và toàn bộ hội đồng quản trị nên xem xét bản tự đánh giá của CEO và các bản đánh giá của hội đồng quản trị trước khi người lãnh đạo hội đồng quản trị và có thể cả chủ tịch ủy ban lương thưởng gặp CEO để thảo luận về các đánh giá và lương thưởng cũng như cân nhắc các mục tiêu cho năm tiếp theo.</w:t>
      </w:r>
    </w:p>
    <w:p>
      <w:pPr>
        <w:spacing w:after="80"/>
      </w:pPr>
      <w:r>
        <w:rPr>
          <w:b w:val="0"/>
          <w:i w:val="0"/>
        </w:rPr>
        <w:t>Trên thực tế, việc hội đồng quản trị đánh giá CEO nên diễn ra liên tục. Giám đốc giàu kinh nghiệm Anna Catalano nói: "Tôi thấy rằng với những gián đoạn công nghệ đang diễn ra nhanh như hiện nay, tôi lo rằng nhiệm kỳ của một số CEO sẽ bị rút ngắn vì họ sẽ không theo kịp thời cuộc."</w:t>
      </w:r>
    </w:p>
    <w:p>
      <w:pPr>
        <w:spacing w:after="80"/>
      </w:pPr>
      <w:r>
        <w:rPr>
          <w:b w:val="0"/>
          <w:i w:val="0"/>
        </w:rPr>
        <w:t>Xác định khi nào nhiệm kỳ của một CEO đã đến hồi kết là một thách thức cực lớn đối với hội đồng quản trị—và dù vậy đó có lẽ là trách nhiệm lớn nhất của họ. "Khi bạn mất niềm tin vào một người lãnh đạo," Đô đốc Mullen nói với tôi, "họ coi như xong. Và nếu bạn là người lãnh đạo đó mà đã bị mất niềm tin, thì đã đến lúc bạn nên lui bước."</w:t>
      </w:r>
    </w:p>
    <w:p>
      <w:pPr>
        <w:spacing w:after="80"/>
      </w:pPr>
      <w:r>
        <w:rPr>
          <w:b w:val="0"/>
          <w:i w:val="0"/>
        </w:rPr>
        <w:t>"Không có một dấu hiệu đơn lẻ nào cả," Citrin nói thêm. "Hội đồng quản trị rõ ràng hình thành được một cảm nhận. Đôi khi có những dấu hiệu từ đội ngũ khi CEO mất uy tín. Đôi khi CEO không đối diện với thực tế hoặc cực kỳ phòng thủ về kết quả của mình và không thực sự giải quyết các vấn đề—và đó tự nó đã là một dấu hiệu."</w:t>
      </w:r>
    </w:p>
    <w:p>
      <w:pPr>
        <w:spacing w:after="80"/>
      </w:pPr>
      <w:r>
        <w:rPr>
          <w:b w:val="0"/>
          <w:i w:val="0"/>
        </w:rPr>
        <w:t>"Thật dễ để loại bỏ một CEO khi doanh nghiệp làm ăn không tốt," Crist nói. "Nhưng nếu không phải vậy, thì có cả một vùng xám: bạn đã ngồi ở ghế đó đủ lâu rồi, đã đến lúc phải thay đổi, chúng ta sẽ mất đi ứng viên kế nhiệm tuyệt vời ở bên trong nếu bạn không bắt đầu đưa ra tín hiệu."</w:t>
      </w:r>
    </w:p>
    <w:p>
      <w:pPr>
        <w:spacing w:after="80"/>
      </w:pPr>
      <w:r>
        <w:rPr>
          <w:b w:val="0"/>
          <w:i w:val="0"/>
        </w:rPr>
        <w:t>Theo Elson, hội đồng quản trị biết khi nào một CEO đã tại vị quá lâu: khi bầu không khí hào hứng xung quanh CEO bắt đầu biến mất. "Họ thấy khó đổi mới. Mọi thứ trở nên nhàm chán đối với họ."</w:t>
      </w:r>
    </w:p>
    <w:p>
      <w:pPr>
        <w:spacing w:after="80"/>
      </w:pPr>
      <w:r>
        <w:rPr>
          <w:b w:val="0"/>
          <w:i w:val="0"/>
        </w:rPr>
        <w:t>"Đến lúc tôi rời Masonite," Lynch nói thêm, "tôi là người có thâm niên lâu nhất trong đội ngũ lãnh đạo. Nếu bạn là nhà điều hành cấp C có thâm niên lâu nhất, thì đã đến lúc bạn phải ra đi. Tôi bắt đầu thấy mình trở nên thiếu kiên nhẫn với các quyết định."</w:t>
      </w:r>
    </w:p>
    <w:p>
      <w:pPr>
        <w:spacing w:after="80"/>
      </w:pPr>
      <w:r>
        <w:rPr>
          <w:b w:val="0"/>
          <w:i w:val="0"/>
        </w:rPr>
        <w:t>Một CEO mới, một khi đã vào vị trí, phải thể hiện ngay lập tức. Ngày nay hầu như không có giai đoạn ân hạn nào, kể cả khi trước đây có thể từng có. Citrin giải thích,</w:t>
      </w:r>
    </w:p>
    <w:p>
      <w:pPr>
        <w:spacing w:after="80"/>
      </w:pPr>
      <w:r>
        <w:rPr>
          <w:b w:val="0"/>
          <w:i w:val="0"/>
        </w:rPr>
        <w:t>Trước đây thường có một giai đoạn trăng mật khá tốt, và các CEO có cơ hội để phát triển chiến lược. Các nhà đầu tư ngày nay không còn cho CEO mới thời gian nữa, và ngay cả các bên liên quan nội bộ cũng đang thúc ép. Họ muốn biết ngay tại thời điểm công bố: Người này là ai? Tại sao lại là người này? CEO mới sẽ làm gì? Một sai lầm lớn là khi CEO không hành động đủ nhanh để thành lập đội ngũ và đặt ra tầm nhìn chiến lược của mình. Một sai lầm khác là hứa quá nhiều mà giao quá ít. Nếu bạn nhìn vào những CEO vĩ đại, họ vạch ra chính xác nơi họ muốn đi, và quý này qua quý khác qua quý khác họ giải thích cách họ đang tiến tới đó. Các nhà đầu tư bắt đầu thấy được uy tín đó và tưởng thưởng cho họ.</w:t>
      </w:r>
    </w:p>
    <w:p>
      <w:pPr>
        <w:spacing w:after="80"/>
      </w:pPr>
      <w:r>
        <w:rPr>
          <w:b w:val="0"/>
          <w:i w:val="0"/>
        </w:rPr>
        <w:t>Một quy trình chuyển giao thẳng thắn sẽ đưa hội đồng quản trị và CEO vào con đường dẫn đến một mối quan hệ rất tích cực. Dù thế nào đi nữa, trong mọi trường hợp, mối quan hệ này cần phải mạnh mẽ để CEO thành công, ngay cả khi hội đồng quản trị cũng thực sự có quyền tạo ra sự thay đổi.</w:t>
      </w:r>
    </w:p>
    <w:p>
      <w:pPr>
        <w:spacing w:after="80"/>
      </w:pPr>
      <w:r>
        <w:rPr>
          <w:b w:val="0"/>
          <w:i w:val="0"/>
        </w:rPr>
        <w:t>Mọi hội đồng quản trị mà tôi từng phục vụ đều dành rất nhiều năng lượng để cố gắng đảm bảo có đúng CEO vào đúng thời điểm, xây dựng và duy trì mối quan hệ mạnh mẽ với CEO, và quản lý quy trình kế nhiệm cũng như các nỗ lực tuyển dụng và hội nhập cho CEO tiếp theo. Điều này không hề dễ dàng. Trong thời kỳ tốt đẹp, những chủ đề này đôi khi có thể mờ nhạt dần vào hậu cảnh. Nhưng chúng không nên như vậy.</w:t>
      </w:r>
    </w:p>
    <w:p>
      <w:pPr>
        <w:pStyle w:val="Heading1"/>
      </w:pPr>
      <w:r>
        <w:rPr>
          <w:rFonts w:ascii="Calibri" w:hAnsi="Calibri"/>
          <w:b/>
          <w:i w:val="0"/>
          <w:sz w:val="40"/>
        </w:rPr>
        <w:t>Chương 13</w:t>
      </w:r>
    </w:p>
    <w:p>
      <w:pPr>
        <w:pStyle w:val="Heading1"/>
      </w:pPr>
      <w:r>
        <w:rPr>
          <w:rFonts w:ascii="Calibri" w:hAnsi="Calibri"/>
          <w:b/>
          <w:i w:val="0"/>
          <w:sz w:val="40"/>
        </w:rPr>
        <w:t>Rủi ro và Khủng hoảng</w:t>
      </w:r>
    </w:p>
    <w:p>
      <w:pPr>
        <w:spacing w:after="80"/>
      </w:pPr>
      <w:r>
        <w:rPr>
          <w:b w:val="0"/>
          <w:i w:val="0"/>
        </w:rPr>
        <w:t>Vì vai trò của hội đồng quản trị là giám sát ban điều hành thay mặt cho các cổ đông chủ sở hữu, nên việc cân nhắc rủi ro—cùng một kế hoạch chu đáo, năng động để giảm thiểu rủi ro và ứng phó với bất kỳ khủng hoảng nào—là rất quan trọng. Ở phần trước của cuốn sách, tôi đã thảo luận về những thất bại tại Blue Bell và Boeing, nơi các tòa án buộc các giám đốc phải chịu trách nhiệm vì đã không làm tròn nỗ lực quản lý rủi ro. Trong chương này, tôi sẽ xem xét kỹ hơn về rủi ro và khủng hoảng từ góc độ của hội đồng quản trị: Các giám đốc nên làm gì để hiểu và giám sát một kế hoạch giảm thiểu rủi ro cũng như giám sát việc xây dựng và thực thi một kế hoạch ứng phó khủng hoảng?</w:t>
      </w:r>
    </w:p>
    <w:p>
      <w:pPr>
        <w:pStyle w:val="Heading2"/>
      </w:pPr>
      <w:r>
        <w:rPr>
          <w:rFonts w:ascii="Calibri" w:hAnsi="Calibri"/>
          <w:b/>
          <w:i w:val="0"/>
          <w:sz w:val="32"/>
        </w:rPr>
        <w:t>Quản lý Rủi ro</w:t>
      </w:r>
    </w:p>
    <w:p>
      <w:pPr>
        <w:spacing w:after="80"/>
      </w:pPr>
      <w:r>
        <w:rPr>
          <w:b w:val="0"/>
          <w:i w:val="0"/>
        </w:rPr>
        <w:t>Khi tôi nghĩ về sự khác biệt giữa rủi ro và khủng hoảng, tôi coi rủi ro là những vấn đề nhìn chung có thể lường trước để có thể đưa ra kế hoạch nhằm giảm thiểu chúng, trong khi khủng hoảng là những điều bất ngờ và do đó rất khó để sẵn sàng ứng phó. Nói cách khác, với những rủi ro đã biết, hội đồng quản trị và ban điều hành nên quản lý chúng, nhưng với những khủng hoảng bất ngờ, lựa chọn duy nhất là chuẩn bị sẵn một kế hoạch ứng phó khủng hoảng tổng thể.</w:t>
      </w:r>
    </w:p>
    <w:p>
      <w:pPr>
        <w:spacing w:after="80"/>
      </w:pPr>
      <w:r>
        <w:rPr>
          <w:b w:val="0"/>
          <w:i w:val="0"/>
        </w:rPr>
        <w:t>Trong khi các chuẩn mực kiểm toán nội bộ yêu cầu đánh giá rủi ro hằng năm để giúp xây dựng kế hoạch kiểm toán nội bộ, tôi tin rằng mọi công ty nên thực hiện đánh giá rủi ro toàn diện ít nhất mỗi năm một lần, bao gồm phỏng vấn nhiều nhân sự khác nhau, thường tận dụng công việc do nhóm kiểm toán nội bộ thực hiện, nếu có. Để tập trung sự chú ý vào những rủi ro quan trọng nhất, cuộc khảo sát nên xác định các rủi ro hàng đầu, có thể giới hạn ở 10 rủi ro, và chỉ định một người chịu trách nhiệm cho mỗi rủi ro để đảm bảo chúng được theo dõi và quản lý liên tục cũng như tạo trách nhiệm giải trình hoặc đảm bảo có người phụ trách việc giảm thiểu. Các nỗ lực giảm thiểu cần được xác định, thực hiện, đánh giá và cập nhật thường xuyên.</w:t>
      </w:r>
    </w:p>
    <w:p>
      <w:pPr>
        <w:spacing w:after="80"/>
      </w:pPr>
      <w:r>
        <w:rPr>
          <w:b w:val="0"/>
          <w:i w:val="0"/>
        </w:rPr>
        <w:t>Howard Ungerleider đã dẫn tôi qua quy trình quản lý rủi ro khi ông còn làm ở Dow: "Chúng tôi có một quy trình quản lý rủi ro doanh nghiệp rất mạnh mẽ và luôn vận hành liên tục. Mỗi năm, chúng tôi lập một ma trận ba nhân ba. Một trục là khả năng xảy ra của một sự kiện. Trục kia là tác động nếu sự kiện đó xảy ra. Tùy vào vị trí của một rủi ro trong ma trận—ví dụ tác động cao và rủi ro cao—chúng tôi sẽ có một cuộc thảo luận sâu ở cấp hội đồng quản trị, và sẽ có một hoặc nhiều chuyên gia về lĩnh vực đó được chỉ định và cuối cùng chịu trách nhiệm về một kế hoạch." Ungerleider tiếp tục:</w:t>
      </w:r>
    </w:p>
    <w:p>
      <w:pPr>
        <w:spacing w:after="80"/>
      </w:pPr>
      <w:r>
        <w:rPr>
          <w:b w:val="0"/>
          <w:i w:val="0"/>
        </w:rPr>
        <w:t>Sau đó chúng tôi sẽ thảo luận về việc giảm thiểu. Đây là tác động có khả năng xảy ra, và đây là những gì chúng tôi đang làm để đảm bảo có thể đi trước vấn đề. Những rủi ro có tác động cao được quản lý ở cấp hội đồng quản trị, những rủi ro có tác động trung bình do ban điều hành xử lý, còn những rủi ro có xác suất thấp hoặc tác động thấp thì hoặc không được quản lý chủ động hoặc chúng tôi có một kế hoạch ứng phó khi những rủi ro đó xuất hiện. Nhưng chúng tôi liên tục đánh giá lại, mỗi năm một hoặc hai lần, tự thách thức dựa trên tình hình thế giới và tự hỏi liệu chúng tôi đã nhận diện đúng các rủi ro chưa. Chúng tôi cũng mời các chuyên gia bên ngoài đến để thách thức chúng tôi và soi ra những lỗ hổng trong kế hoạch—điều đó thực sự có ý nghĩa.</w:t>
      </w:r>
    </w:p>
    <w:p>
      <w:pPr>
        <w:spacing w:after="80"/>
      </w:pPr>
      <w:r>
        <w:rPr>
          <w:b w:val="0"/>
          <w:i w:val="0"/>
        </w:rPr>
        <w:t>Để giám sát rủi ro và kế hoạch ứng phó khủng hoảng, hội đồng quản trị có thể thành lập một ủy ban rủi ro hoặc giao trách nhiệm này cho ủy ban kiểm toán. Hội đồng quản trị nên dành ưu tiên cao cho quản lý rủi ro và khủng hoảng để truyền đạt một "tông giọng từ trên xuống" (tone at the top) quan trọng hoặc cho thấy hội đồng coi những nỗ lực này là then chốt. Như Charles Elson giải thích: "Đây đều là một phần của hoạt động kinh doanh thông thường ngày nay. Bạn phải hết sức cảnh giác với hoạt động kinh doanh và cảnh giác với rủi ro. Đó là lý do bạn có những chiếc 'nhiệt kế rủi ro'."</w:t>
      </w:r>
    </w:p>
    <w:p>
      <w:pPr>
        <w:spacing w:after="80"/>
      </w:pPr>
      <w:r>
        <w:rPr>
          <w:b w:val="0"/>
          <w:i w:val="0"/>
        </w:rPr>
        <w:t>Rủi ro không ngừng biến đổi, và hội đồng quản trị cần nhận ra những gián đoạn và áp lực tiềm tàng, dù đến từ nền kinh tế, thị trường vốn, xung đột địa chính trị, biến đổi khí hậu, áp lực chuỗi cung ứng, các vấn đề khách hàng, và nhiều thứ khác. Một số chuyên gia chia rủi ro thành ba nhóm: rủi ro vận hành (ví dụ thiệt hại về cơ sở vật chất), rủi ro tài chính (ví dụ thiếu thanh khoản), và rủi ro chiến lược (ví dụ các quyết định kinh doanh kém).1 Việc có sẵn kế hoạch cho cả ba loại rủi ro này là điều quan trọng.</w:t>
      </w:r>
    </w:p>
    <w:p>
      <w:pPr>
        <w:pStyle w:val="Heading2"/>
      </w:pPr>
      <w:r>
        <w:rPr>
          <w:rFonts w:ascii="Calibri" w:hAnsi="Calibri"/>
          <w:b/>
          <w:i w:val="0"/>
          <w:sz w:val="32"/>
        </w:rPr>
        <w:t>Các lĩnh vực rủi ro đáng chú ý hiện nay</w:t>
      </w:r>
    </w:p>
    <w:p>
      <w:pPr>
        <w:pStyle w:val="Heading3"/>
      </w:pPr>
      <w:r>
        <w:rPr>
          <w:rFonts w:ascii="Calibri" w:hAnsi="Calibri"/>
          <w:b/>
          <w:i w:val="0"/>
          <w:sz w:val="26"/>
        </w:rPr>
        <w:t>An ninh mạng</w:t>
      </w:r>
    </w:p>
    <w:p>
      <w:pPr>
        <w:spacing w:after="80"/>
      </w:pPr>
      <w:r>
        <w:rPr>
          <w:b w:val="0"/>
          <w:i w:val="0"/>
        </w:rPr>
        <w:t>Khi trò chuyện với những giám đốc giàu kinh nghiệm, có rất nhiều lo ngại về những rủi ro an ninh mạng đang phát triển nhanh và có khả năng rất nghiêm trọng. An ninh mạng (cybersecurity) đề cập đến việc bảo vệ hệ thống và dữ liệu khỏi các cuộc tấn công kỹ thuật số, thường nhằm đánh cắp thông tin nhạy cảm, gây gián đoạn kinh doanh và tống tiền.2 Chi phí toàn cầu của tội phạm mạng năm 2022 được ước tính hơn 8 nghìn tỷ USD.3 Chỉ riêng các cuộc tấn công xâm nhập email doanh nghiệp, khi kẻ xấu truy cập được vào hệ thống email và hoặc đòi rồi nhận được tiền thanh toán hoặc chiếm được thông tin nhạy cảm, đã gây thiệt hại 55 tỷ USD trong giai đoạn 2013–2023.4</w:t>
      </w:r>
    </w:p>
    <w:p>
      <w:pPr>
        <w:spacing w:after="80"/>
      </w:pPr>
      <w:r>
        <w:rPr>
          <w:b w:val="0"/>
          <w:i w:val="0"/>
        </w:rPr>
        <w:t>Vụ hack lớn nhất năm 2023 là sự cố MOVEit, ảnh hưởng đến hơn 62 triệu người.5 MOVEit, một công cụ truyền tệp của bên thứ ba, được nhiều tổ chức lớn trong khu vực tư nhân và chính phủ sử dụng để di chuyển dữ liệu nhạy cảm. Kẻ tấn công đã lợi dụng được một lỗ hổng bảo mật và đánh cắp thông tin cá nhân.</w:t>
      </w:r>
    </w:p>
    <w:p>
      <w:pPr>
        <w:spacing w:after="80"/>
      </w:pPr>
      <w:r>
        <w:rPr>
          <w:b w:val="0"/>
          <w:i w:val="0"/>
        </w:rPr>
        <w:t>An ninh mạng là một rủi ro kinh doanh cơ bản. Các vụ rò rỉ dữ liệu có thể gây hậu quả nghiêm trọng cho các giám đốc, như minh họa qua một vụ dàn xếp năm 2019 liên quan đến Yahoo! Các cựu quan chức và giám đốc của Yahoo! đã đồng ý trả 29 triệu USD (cuối cùng được bảo hiểm chi trả) để dàn xếp một vụ việc mà họ bị cáo buộc vi phạm nghĩa vụ ủy thác sau khi ba tỷ tài khoản người dùng bị xâm phạm trong một loạt cuộc tấn công mạng từ năm 2013 đến 2016.6 Tuy nhiên, các bị đơn phủ nhận mọi hành vi sai trái.7</w:t>
      </w:r>
    </w:p>
    <w:p>
      <w:pPr>
        <w:spacing w:after="80"/>
      </w:pPr>
      <w:r>
        <w:rPr>
          <w:b w:val="0"/>
          <w:i w:val="0"/>
        </w:rPr>
        <w:t>Các công ty không nên tập trung vào một chiến lược an ninh mạng riêng lẻ mà thay vào đó là một chiến lược kinh doanh với các biện pháp bảo vệ an ninh mạng phù hợp, bao gồm nhân sự, công cụ và kế hoạch để phòng chống tội phạm mạng và phản ứng nhanh chóng, hiệu quả với mọi vụ xâm phạm an ninh mạng. Ngoài ra, những "suýt soát" (near misses), tức những nỗ lực hack vào hệ thống đã bị ngăn chặn thành công, cũng nên được xem xét kỹ lưỡng—giống như mọi suýt soát liên quan đến an toàn đều nên được xem xét.</w:t>
      </w:r>
    </w:p>
    <w:p>
      <w:pPr>
        <w:spacing w:after="80"/>
      </w:pPr>
      <w:r>
        <w:rPr>
          <w:b w:val="0"/>
          <w:i w:val="0"/>
        </w:rPr>
        <w:t>Với mức độ nghiêm trọng của rủi ro an ninh mạng, bao gồm sự phổ biến của "kẻ xấu" và thiệt hại mà chúng có thể gây ra cho doanh nghiệp, cũng như nghĩa vụ của các giám đốc trong việc giám sát rủi ro quan trọng này, an ninh mạng là một chủ đề quan trọng mà mọi giám đốc cần hiểu rõ.</w:t>
      </w:r>
    </w:p>
    <w:p>
      <w:pPr>
        <w:spacing w:after="80"/>
      </w:pPr>
      <w:r>
        <w:rPr>
          <w:b w:val="0"/>
          <w:i w:val="0"/>
        </w:rPr>
        <w:t>"Tôi nghĩ lĩnh vực mạng là một cuộc khủng hoảng lớn mà bất kỳ ai trong chúng ta cũng có thể đối mặt ngày nay," Doug Benham nói với tôi. Từ các công ty sản xuất đến dịch vụ và trong hầu hết mọi ngành, một cuộc tấn công mạng thực sự có thể đóng sập hoạt động.</w:t>
      </w:r>
    </w:p>
    <w:p>
      <w:pPr>
        <w:spacing w:after="80"/>
      </w:pPr>
      <w:r>
        <w:rPr>
          <w:b w:val="0"/>
          <w:i w:val="0"/>
        </w:rPr>
        <w:t>Như Ron Klain giải thích: "Những kẻ tấn công luôn đi trước những người phòng thủ, và tôi không nghĩ có công ty nào ở Mỹ thực sự sẵn sàng cho việc hệ thống của mình bị đánh sập. Các bản ghi được sao lưu bao lâu một lần, và sẽ mất bao lâu để khôi phục những bản sao lưu đó và bật lại hoạt động của công ty bạn?"</w:t>
      </w:r>
    </w:p>
    <w:p>
      <w:pPr>
        <w:spacing w:after="80"/>
      </w:pPr>
      <w:r>
        <w:rPr>
          <w:b w:val="0"/>
          <w:i w:val="0"/>
        </w:rPr>
        <w:t>Một trong những vấn đề tồi tệ nhất mà Klain phải xử lý trong vài tháng đầu làm Chánh văn phòng cho Tổng thống Biden là một cuộc tấn công mạng vào Colonial Pipeline vào tháng 5 năm 2021. Công ty này, chịu trách nhiệm vận chuyển gần một nửa lượng nhiên liệu cho Bờ Đông nước Mỹ với hơn 5.000 dặm đường ống từ Texas đến New Jersey, đã bị hacker tấn công, ảnh hưởng đến hệ thống xuất hóa đơn và thanh toán và gây gián đoạn năm ngày.8 Tôi đã gặp Jen Easterly, giám đốc Cơ quan An ninh mạng và Hạ tầng Hoa Kỳ (CISA), trong một loạt buổi đào tạo về an ninh mạng cho các giám đốc do NACD tổ chức tại Nhà Trắng và Trung tâm Đào tạo Cơ quan Mật vụ Hoa Kỳ năm ngoái. Bà viết: "Một cuộc tấn công bằng ransomware vào Colonial Pipeline đã chiếm các tiêu đề tin tức khắp thế giới với những hình ảnh về hàng dài xe nối đuôi nhau tại các trạm xăng khắp bờ biển phía đông và người Mỹ hoảng loạn đổ đầy túi nhiên liệu, sợ không thể đi làm hoặc đưa con đến trường."9 Cuối cùng, Colonial Pipeline đã trả 4,4 triệu USD tiền chuộc, chỉ một phần trong đó được thu hồi.10</w:t>
      </w:r>
    </w:p>
    <w:p>
      <w:pPr>
        <w:spacing w:after="80"/>
      </w:pPr>
      <w:r>
        <w:rPr>
          <w:b w:val="0"/>
          <w:i w:val="0"/>
        </w:rPr>
        <w:t>Một rủi ro liên quan là kẻ xấu có thể đột nhập vào các tài khoản mạng xã hội của công ty và đăng thông tin gây phản cảm, làm tổn hại danh tiếng công ty và khiến khách hàng xa lánh.</w:t>
      </w:r>
    </w:p>
    <w:p>
      <w:pPr>
        <w:pStyle w:val="Heading3"/>
      </w:pPr>
      <w:r>
        <w:rPr>
          <w:rFonts w:ascii="Calibri" w:hAnsi="Calibri"/>
          <w:b/>
          <w:i w:val="0"/>
          <w:sz w:val="26"/>
        </w:rPr>
        <w:t>Biến đổi khí hậu</w:t>
      </w:r>
    </w:p>
    <w:p>
      <w:pPr>
        <w:spacing w:after="80"/>
      </w:pPr>
      <w:r>
        <w:rPr>
          <w:b w:val="0"/>
          <w:i w:val="0"/>
        </w:rPr>
        <w:t xml:space="preserve">Biến đổi khí hậu là một rủi ro đang tiến triển nhanh chóng mà tất cả chúng ta đều quen thuộc. Mối đe dọa về "biến đổi khí hậu" lần đầu tiên xuất hiện trên trang nhất của </w:t>
      </w:r>
      <w:r>
        <w:rPr>
          <w:b w:val="0"/>
          <w:i/>
        </w:rPr>
        <w:t>New York Times</w:t>
      </w:r>
      <w:r>
        <w:rPr>
          <w:b w:val="0"/>
          <w:i w:val="0"/>
        </w:rPr>
        <w:t xml:space="preserve"> vào năm 1981.11 Nó đã trở thành một mối đe dọa lớn, có lẽ mang tính sống còn. </w:t>
      </w:r>
      <w:r>
        <w:rPr>
          <w:b w:val="0"/>
          <w:i/>
        </w:rPr>
        <w:t>An Inconvenient Truth</w:t>
      </w:r>
      <w:r>
        <w:rPr>
          <w:b w:val="0"/>
          <w:i w:val="0"/>
        </w:rPr>
        <w:t>, cuốn sách của Phó Tổng thống Al Gore mà sau này trở thành phim tài liệu đoạt giải Oscar, đã thu hút sự chú ý quốc tế về biến đổi khí hậu và sự nóng lên toàn cầu, và Gore đã chia sẻ giải Nobel Hòa bình năm 2007 cho những nỗ lực của mình.</w:t>
      </w:r>
    </w:p>
    <w:p>
      <w:pPr>
        <w:spacing w:after="80"/>
      </w:pPr>
      <w:r>
        <w:rPr>
          <w:b w:val="0"/>
          <w:i w:val="0"/>
        </w:rPr>
        <w:t>Diễn đàn Kinh tế Thế giới viết: "Biến đổi khí hậu đang gây gián đoạn rõ rệt cho hoạt động kinh doanh. Nó đang tạo ra những tác động vật lý chưa từng có, như mực nước biển dâng cao và tần suất các hiện tượng thời tiết cực đoan gia tăng. Đồng thời, những thay đổi về chính sách và công nghệ nhằm hạn chế sự nóng lên và giảm các tác động vật lý liên quan cũng có thể gây gián đoạn cho hoạt động kinh doanh."12</w:t>
      </w:r>
    </w:p>
    <w:p>
      <w:pPr>
        <w:spacing w:after="80"/>
      </w:pPr>
      <w:r>
        <w:rPr>
          <w:b w:val="0"/>
          <w:i w:val="0"/>
        </w:rPr>
        <w:t>"Không giống như các thế lực khác có thể tác động đến những ngành hoặc khu vực cụ thể, biến đổi khí hậu đặt ra những thách thức và cơ hội mang tính phổ quát," Giáo sư George Serafeim của Trường Kinh doanh Harvard viết.13 "Các tác động của nó diễn ra trong những khoảng thời gian dài hơn, tạo ra một thách thức trong việc lập kế hoạch kinh doanh. Điều này đòi hỏi phải suy nghĩ lại các mô hình và chiến lược kinh doanh truyền thống, đồng thời yêu cầu khả năng phục hồi, thích ứng và tầm nhìn xa . . . [với] những rủi ro đáng kể đối với các mô hình kinh doanh, chuỗi cung ứng và chiến lược vận hành hiện tại."14</w:t>
      </w:r>
    </w:p>
    <w:p>
      <w:pPr>
        <w:spacing w:after="80"/>
      </w:pPr>
      <w:r>
        <w:rPr>
          <w:b w:val="0"/>
          <w:i w:val="0"/>
        </w:rPr>
        <w:t>Với việc Tổng thống Donald Trump trở lại nắm quyền và đảng Cộng hòa kiểm soát Quốc hội, nhiều nỗ lực khác nhau nhằm giải quyết biến đổi khí hậu đang bị đảo ngược, chẳng hạn như việc Mỹ rút khỏi Hiệp định Paris thuộc Công ước khung của Liên hợp quốc về biến đổi khí hậu và một sắc lệnh hành pháp, trong đó có việc không khuyến khích các lợi thế về quy định và tài chính cho xe điện. Tuy nhiên, nhiều hội đồng quản trị và ban lãnh đạo vẫn tiếp tục giải quyết biến đổi khí hậu theo cách họ tìm cách đánh giá và giảm thiểu các rủi ro khác. Tất nhiên, một số công ty (như những công ty trong ngành dầu khí) sẽ bị ảnh hưởng nhiều hơn so với, chẳng hạn, một nhà bán lẻ (nhưng chuỗi cung ứng của nhà bán lẻ, ví dụ, chắc chắn có thể bị ảnh hưởng bởi biến đổi khí hậu). Đừng xem nhẹ rủi ro này chỉ vì nó phức tạp và khó lường và đôi khi có vẻ như chỉ xảy ra trong tương lai xa.15 Như Mark Carney, khi đó là thống đốc Ngân hàng Anh, đã nói vào năm 2015: "Một khi biến đổi khí hậu trở thành vấn đề then chốt đối với sự ổn định tài chính, thì có thể đã quá muộn."16</w:t>
      </w:r>
    </w:p>
    <w:p>
      <w:pPr>
        <w:pStyle w:val="Heading3"/>
      </w:pPr>
      <w:r>
        <w:rPr>
          <w:rFonts w:ascii="Calibri" w:hAnsi="Calibri"/>
          <w:b/>
          <w:i w:val="0"/>
          <w:sz w:val="26"/>
        </w:rPr>
        <w:t>Rủi ro địa chính trị</w:t>
      </w:r>
    </w:p>
    <w:p>
      <w:pPr>
        <w:spacing w:after="80"/>
      </w:pPr>
      <w:r>
        <w:rPr>
          <w:b w:val="0"/>
          <w:i w:val="0"/>
        </w:rPr>
        <w:t>Khi nói đến rủi ro địa chính trị, đại dịch COVID-19 đã minh họa rõ ràng và bi thảm rằng có những vấn đề nằm ngoài tầm kiểm soát của công ty có thể gây tổn hại nghiêm trọng cho hoạt động kinh doanh. Gần đây hơn, các cuộc xung đột ở Ukraine và Israel đã trở nên liên quan đến các hội đồng quản trị theo nhiều cách, chẳng hạn như tác động đến chuỗi cung ứng, tính thích hợp của việc hoạt động tại Nga, và việc có nên đưa ra lập trường về các vấn đề toàn cầu lớn hay không. Rủi ro địa chính trị là những rủi ro ảnh hưởng đến một công ty nhưng nằm ngoài thẩm quyền pháp lý của nơi công ty đặt trụ sở chính.</w:t>
      </w:r>
    </w:p>
    <w:p>
      <w:pPr>
        <w:spacing w:after="80"/>
      </w:pPr>
      <w:r>
        <w:rPr>
          <w:b w:val="0"/>
          <w:i w:val="0"/>
        </w:rPr>
        <w:t>Viện Phát triển Quản lý Quốc tế đã xác định gần 30 rủi ro doanh nghiệp liên quan đến bất ổn địa chính trị, bao gồm các tuyến giao thông hoặc thương mại bị đóng, cơ sở hạ tầng bị hư hại, nguồn cung năng lượng toàn cầu, thuế quan gia tăng, và gián đoạn lực lượng lao động.17 Đây đều là những lĩnh vực quan trọng cần giải quyết bằng các kế hoạch nhằm giảm thiểu tác động tiêu cực của chúng đối với hoạt động kinh doanh nếu chúng xảy ra.</w:t>
      </w:r>
    </w:p>
    <w:p>
      <w:pPr>
        <w:spacing w:after="80"/>
      </w:pPr>
      <w:r>
        <w:rPr>
          <w:b w:val="0"/>
          <w:i w:val="0"/>
        </w:rPr>
        <w:t>Tôi đã nói chuyện với cựu thống đốc hai nhiệm kỳ của bang Indiana và cựu thượng nghị sĩ Mỹ hai nhiệm kỳ từ bang Indiana, Evan Bayh, hiện là cố vấn cấp cao của Apollo và là một giám đốc doanh nghiệp giàu kinh nghiệm: "Ngay cả những công ty mà bạn không ngờ tới cũng có rủi ro địa chính trị. Tôi là thành viên hội đồng quản trị của một chuỗi khách sạn, và chúng tôi có 100 khách sạn khắp nước Mỹ—họ có loại rủi ro địa chính trị gì? Có lẽ 15 phần trăm hoạt động kinh doanh nằm ở khu vực Bắc California, và vì quan hệ giữa Trung Quốc và Mỹ xấu đi, có ít hơn nhiều du khách Trung Quốc đến thăm—và điều đó thực sự ảnh hưởng đáng kể đến hoạt động kinh doanh."</w:t>
      </w:r>
    </w:p>
    <w:p>
      <w:pPr>
        <w:spacing w:after="80"/>
      </w:pPr>
      <w:r>
        <w:rPr>
          <w:b w:val="0"/>
          <w:i w:val="0"/>
        </w:rPr>
        <w:t>Tôi hỏi Thượng nghị sĩ Bayh rằng các công ty nên đối phó với rủi ro địa chính trị như thế nào:</w:t>
      </w:r>
    </w:p>
    <w:p>
      <w:pPr>
        <w:spacing w:after="80"/>
      </w:pPr>
      <w:r>
        <w:rPr>
          <w:b w:val="0"/>
          <w:i w:val="0"/>
        </w:rPr>
        <w:t>Bước đầu tiên là đánh giá mức độ tổn thương của công ty. Nó có thể là tác động bậc hai hoặc bậc ba thay vì tác động trực tiếp, nhưng nó hiện diện với mọi người. Đầu tiên, bạn được trang bị kiến thức, và chỉ sau đó bạn mới cần quyết định xem, nếu có, bạn có thể làm gì về nó và liệu nó có đáng với chi phí hay không.</w:t>
      </w:r>
    </w:p>
    <w:p>
      <w:pPr>
        <w:spacing w:after="80"/>
      </w:pPr>
      <w:r>
        <w:rPr>
          <w:b w:val="0"/>
          <w:i w:val="0"/>
        </w:rPr>
        <w:t>Điều cuối cùng cần ghi nhớ là khi đánh giá rủi ro địa chính trị, bạn phải thoát ra khỏi nền văn hóa và khuôn khổ ra quyết định của chính mình, bởi vì đôi khi có những chủ thể phi lý ngoài kia sẽ làm những điều ảnh hưởng đến hoạt động kinh doanh của bạn, và bạn nghĩ họ sẽ không bao giờ làm những điều đó, nhưng họ chỉ đang nhìn thế giới từ một góc nhìn hoàn toàn khác.</w:t>
      </w:r>
    </w:p>
    <w:p>
      <w:pPr>
        <w:spacing w:after="80"/>
      </w:pPr>
      <w:r>
        <w:rPr>
          <w:b w:val="0"/>
          <w:i w:val="0"/>
        </w:rPr>
        <w:t>Chúng ta đang sống trong một thế giới rất toàn cầu hóa. Ngay cả khi nhiều công ty Mỹ "đưa về nước" hay mang trở lại chuỗi cung ứng, sản xuất và các khía cạnh khác của hoạt động kinh doanh về Mỹ, hầu hết các công ty lớn đều có hoạt động quốc tế. Rủi ro địa chính trị rất phức tạp và đầy đe dọa. Các hội đồng quản trị phải nhận thức được chúng và giám sát các nỗ lực hiệu quả, liên tục của ban lãnh đạo để xác định, cập nhật và quản lý chúng.</w:t>
      </w:r>
    </w:p>
    <w:p>
      <w:pPr>
        <w:pStyle w:val="Heading3"/>
      </w:pPr>
      <w:r>
        <w:rPr>
          <w:rFonts w:ascii="Calibri" w:hAnsi="Calibri"/>
          <w:b/>
          <w:i w:val="0"/>
          <w:sz w:val="26"/>
        </w:rPr>
        <w:t>Trí tuệ nhân tạo</w:t>
      </w:r>
    </w:p>
    <w:p>
      <w:pPr>
        <w:spacing w:after="80"/>
      </w:pPr>
      <w:r>
        <w:rPr>
          <w:b w:val="0"/>
          <w:i w:val="0"/>
        </w:rPr>
        <w:t>Trí tuệ nhân tạo (AI), theo IBM, là "công nghệ cho phép máy tính và máy móc mô phỏng trí thông minh của con người và khả năng giải quyết vấn đề."18 Việc phát hành ChatGPT và các công cụ AI tạo sinh khác đã cho phép công nghệ này thâm nhập vào hoạt động kinh doanh ở mức độ lớn hơn nhiều so với trước đây. Các chatbot được hỗ trợ bởi AI hiện được sử dụng trong nhiều doanh nghiệp19 ở những lĩnh vực như sản xuất nội dung, tiếp thị, quản lý hàng tồn kho, đề xuất sản phẩm, quản lý quan hệ khách hàng, dịch vụ khách hàng, dự báo tài chính, phát hiện gian lận, quản lý an ninh mạng và gian lận, trợ lý cá nhân kỹ thuật số, và nhiều hơn nữa.20</w:t>
      </w:r>
    </w:p>
    <w:p>
      <w:pPr>
        <w:spacing w:after="80"/>
      </w:pPr>
      <w:r>
        <w:rPr>
          <w:b w:val="0"/>
          <w:i w:val="0"/>
        </w:rPr>
        <w:t>Đáng kinh ngạc và thật ra, nghe có vẻ khó tin, một cuộc khảo sát hàng trăm CEO do công ty tư vấn AND Digital thực hiện cho thấy 43 phần trăm trong số họ tin rằng AI có thể thay thế vị trí của chính mình.21 Dù bạn có quan điểm thế nào về phát hiện này, nó cũng cho bạn thấy được những cơ hội to lớn—và cả những rủi ro—của AI.</w:t>
      </w:r>
    </w:p>
    <w:p>
      <w:pPr>
        <w:spacing w:after="80"/>
      </w:pPr>
      <w:r>
        <w:rPr>
          <w:b w:val="0"/>
          <w:i w:val="0"/>
        </w:rPr>
        <w:t>Tôi không biết công nghệ AI sẽ dẫn đến đâu, nhưng tôi biết chắc rằng sự giám sát và phán đoán của con người sẽ là yếu tố then chốt ở mọi bước đi. Tôi hy vọng rằng các thành viên hội đồng quản trị và ban lãnh đạo cấp cao sẽ thận trọng và chu đáo khi AI ngày càng được tích hợp sâu hơn vào việc ra quyết định cũng như vào các sản phẩm và dịch vụ mà doanh nghiệp tạo ra và cung cấp.</w:t>
      </w:r>
    </w:p>
    <w:p>
      <w:pPr>
        <w:pStyle w:val="Heading3"/>
      </w:pPr>
      <w:r>
        <w:rPr>
          <w:rFonts w:ascii="Calibri" w:hAnsi="Calibri"/>
          <w:b/>
          <w:i w:val="0"/>
          <w:sz w:val="26"/>
        </w:rPr>
        <w:t>Mạng xã hội</w:t>
      </w:r>
    </w:p>
    <w:p>
      <w:pPr>
        <w:spacing w:after="80"/>
      </w:pPr>
      <w:r>
        <w:rPr>
          <w:b w:val="0"/>
          <w:i/>
        </w:rPr>
        <w:t>Mạng xã hội</w:t>
      </w:r>
      <w:r>
        <w:rPr>
          <w:b w:val="0"/>
          <w:i w:val="0"/>
        </w:rPr>
        <w:t xml:space="preserve"> là một loạt các nền tảng công nghệ cho phép chia sẻ rộng rãi ý tưởng và thông tin—giữa công chúng với nhau và giữa doanh nghiệp với công chúng. Các nền tảng phổ biến luôn thay đổi nhưng bao gồm Facebook, Instagram, Snapchat, TikTok, YouTube, X (trước đây là Twitter) và nhiều nền tảng khác. Người ta ước tính rằng khoảng 60 phần trăm dân số thế giới sử dụng mạng xã hội.22</w:t>
      </w:r>
    </w:p>
    <w:p>
      <w:pPr>
        <w:spacing w:after="80"/>
      </w:pPr>
      <w:r>
        <w:rPr>
          <w:b w:val="0"/>
          <w:i w:val="0"/>
        </w:rPr>
        <w:t xml:space="preserve">Mặc dù mạng xã hội có thể cực kỳ hữu ích cho các doanh nghiệp muốn lan truyền thông tin và phát triển mối quan hệ với khách hàng, nó cũng có thể tạo ra những rủi ro lớn. Lấy một ví dụ, Bud Light đã bị chỉ trích vào năm 2023 sau khi một chiến dịch quảng cáo trên mạng xã hội với một người có ảnh hưởng chuyển giới, Dylan Mulvaney, dẫn đến các cuộc tẩy chay và chỉ trích từ cả hai phía của chính trường.23 Doanh số của Bud Light trong tháng sau chiến dịch quảng cáo đã giảm 26 phần trăm.24 “Sau vụ tranh cãi Bud Light, nhiều nhà tiếp thị thương hiệu tiêu dùng đã trở nên cực kỳ ý thức về những cạm bẫy tiềm ẩn khi đưa ra lập trường về các vấn đề xã hội gây tranh cãi và lo sợ phải trải qua phản ứng dữ dội tương tự cùng những tổn thất về tài chính và danh tiếng đi kèm,” </w:t>
      </w:r>
      <w:r>
        <w:rPr>
          <w:b w:val="0"/>
          <w:i/>
        </w:rPr>
        <w:t>Harvard Business Review</w:t>
      </w:r>
      <w:r>
        <w:rPr>
          <w:b w:val="0"/>
          <w:i w:val="0"/>
        </w:rPr>
        <w:t xml:space="preserve"> viết.25</w:t>
      </w:r>
    </w:p>
    <w:p>
      <w:pPr>
        <w:spacing w:after="80"/>
      </w:pPr>
      <w:r>
        <w:rPr>
          <w:b w:val="0"/>
          <w:i w:val="0"/>
        </w:rPr>
        <w:t>Mỗi thành viên hội đồng quản trị đều có trách nhiệm phải có hiểu biết cơ bản về mạng xã hội, bao gồm cách bất kỳ công ty nào mà thành viên đó ngồi trong hội đồng quản trị sử dụng nó để giao tiếp nội bộ và bên ngoài, cũng như những cơ hội và rủi ro của mạng xã hội đối với công ty cụ thể đó. Mặc dù mạng xã hội có thể đóng vai trò lớn hơn đối với một công ty tiêu dùng có thương hiệu so với, chẳng hạn, một doanh nghiệp sản xuất, mạng xã hội tạo ra cơ hội—cả tích cực lẫn tiêu cực—cho mọi công ty. Đây là một lĩnh vực thay đổi nhanh chóng mà mọi thành viên hội đồng quản trị đều cần hiểu và giải quyết.</w:t>
      </w:r>
    </w:p>
    <w:p>
      <w:pPr>
        <w:spacing w:after="80"/>
      </w:pPr>
      <w:r>
        <w:rPr>
          <w:b w:val="0"/>
          <w:i w:val="0"/>
        </w:rPr>
        <w:t>Dù những rủi ro là lâu dài hay đang biến đổi, một khi hội đồng quản trị giám sát việc xác định các rủi ro trọng yếu của công ty và kế hoạch giảm thiểu chúng, hội đồng phải nhận thức được cách tuân thủ các yêu cầu liên quan của SEC về công bố rủi ro.</w:t>
      </w:r>
    </w:p>
    <w:p>
      <w:pPr>
        <w:pStyle w:val="Heading2"/>
      </w:pPr>
      <w:r>
        <w:rPr>
          <w:rFonts w:ascii="Calibri" w:hAnsi="Calibri"/>
          <w:b/>
          <w:i w:val="0"/>
          <w:sz w:val="32"/>
        </w:rPr>
        <w:t>Các yêu cầu của SEC và những rủi ro “trọng yếu”</w:t>
      </w:r>
    </w:p>
    <w:p>
      <w:pPr>
        <w:spacing w:after="80"/>
      </w:pPr>
      <w:r>
        <w:rPr>
          <w:b w:val="0"/>
          <w:i w:val="0"/>
        </w:rPr>
        <w:t>Tôi đã thảo luận trước đó về những tranh cãi qua lại liên quan đến các yêu cầu công bố thông tin về khí hậu của SEC, vốn vẫn chưa được giải quyết tại thời điểm viết bài này, nhưng khí hậu hoàn toàn không phải là chủ đề duy nhất mà SEC đã xem xét hoặc ban hành các yêu cầu công bố rủi ro bắt buộc. Vào năm 2023, SEC đã thông qua các quy định yêu cầu công bố các sự cố an ninh mạng trọng yếu (trên Mẫu 8-K) cũng như công bố về quản lý, chiến lược và quản trị rủi ro an ninh mạng trong báo cáo thường niên của công ty.26 Các công bố này phải bao gồm mô tả về cách hội đồng quản trị giám sát và ban lãnh đạo hành động liên quan đến các mối đe dọa an ninh mạng cũng như bất kỳ quy trình nào đang được áp dụng và các chuyên gia tư vấn hoặc bên thứ ba đã được thuê.27</w:t>
      </w:r>
    </w:p>
    <w:p>
      <w:pPr>
        <w:spacing w:after="80"/>
      </w:pPr>
      <w:r>
        <w:rPr>
          <w:b w:val="0"/>
          <w:i w:val="0"/>
        </w:rPr>
        <w:t>Yêu cầu này được xây dựng dựa trên các quy định công bố rủi ro rộng hơn năm 2020, yêu cầu các công ty công bố tất cả các rủi ro “trọng yếu”, tức những rủi ro mà các nhà đầu tư hợp lý sẽ coi là quan trọng. Trước đây, các công ty chỉ được yêu cầu công bố những rủi ro “quan trọng nhất” của mình.28 SEC cũng yêu cầu các công ty bao gồm một bản tóm tắt nếu các công bố vượt quá 15 trang và sử dụng các tiêu đề phù hợp để làm cho các công bố rõ ràng hơn.29</w:t>
      </w:r>
    </w:p>
    <w:p>
      <w:pPr>
        <w:spacing w:after="80"/>
      </w:pPr>
      <w:r>
        <w:rPr>
          <w:b w:val="0"/>
          <w:i w:val="0"/>
        </w:rPr>
        <w:t>Vào năm 2023, nghiên cứu của Deloitte và Viện Quản lý Rủi ro Peter Arkley thuộc Trường Kinh doanh Marshall, Đại học Nam California, phát hiện rằng các công ty trong S&amp;P 500 công bố trung bình 32 rủi ro trong báo cáo thường niên của họ, với độ dài trung bình 13,5 trang.30 Khi xem xét các công bố của các công ty S&amp;P 500 vào năm 2021, năm đầu tiên sau khi các yêu cầu rộng hơn được thực thi, các nhà nghiên cứu từ Deloitte và viện này đã tìm thấy một loạt rủi ro được công bố, bao gồm tuyển dụng và giữ chân nhân tài, an ninh mạng, biến động giá cổ phiếu, kiện tụng, điều tra của cơ quan quản lý, thảm họa, thay đổi kế toán, thay đổi luật thuế, khả năng tiếp cận vốn, báo cáo tài chính và nhiều hơn nữa.31 Khi nói đến các rủi ro liên quan đến biến đổi khí hậu, các công ty chỉ ra những rủi ro tiềm ẩn từ thiệt hại vật chất đối với tài sản doanh nghiệp, gián đoạn khách hàng, chi phí cao hơn, thay đổi nhu cầu, và các lo ngại về quy định và pháp lý. Về vốn nhân lực, các công ty thảo luận về nhiều rủi ro liên quan đến con người, chẳng hạn như quan hệ lao động và các vấn đề thương lượng tập thể.32</w:t>
      </w:r>
    </w:p>
    <w:p>
      <w:pPr>
        <w:spacing w:after="80"/>
      </w:pPr>
      <w:r>
        <w:rPr>
          <w:b w:val="0"/>
          <w:i w:val="0"/>
        </w:rPr>
        <w:t>Các bình luận từ SEC thường xuyên đưa ra hướng dẫn về những rủi ro bổ sung mà các công ty nên chú ý trong các công bố của mình. Ví dụ, vào năm 2022, SEC đề xuất công bố, khi cần thiết, về tác động của lạm phát cũng như cuộc chiến Nga/Ukraine.33 Trí tuệ nhân tạo, tiền mã hóa và luật bảo mật dữ liệu là những vấn đề hiện tại khác có thể gây ra những rủi ro đáng kể và có lẽ nên được công bố.34</w:t>
      </w:r>
    </w:p>
    <w:p>
      <w:pPr>
        <w:spacing w:after="80"/>
      </w:pPr>
      <w:r>
        <w:rPr>
          <w:b w:val="0"/>
          <w:i w:val="0"/>
        </w:rPr>
        <w:t>Các rủi ro trọng yếu của một công ty có thể được xác định thông qua các cuộc phỏng vấn chu đáo với ban lãnh đạo, nhân viên và các thành viên hội đồng quản trị, và có lẽ cả việc sử dụng các chuyên gia tư vấn bên ngoài. Sau đó, một kế hoạch có thể được đưa ra để theo dõi và cố gắng giảm thiểu những rủi ro này. Mặt khác, một cuộc khủng hoảng là một vấn đề lớn nảy sinh đột ngột và bất ngờ.</w:t>
      </w:r>
    </w:p>
    <w:p>
      <w:pPr>
        <w:pStyle w:val="Heading2"/>
      </w:pPr>
      <w:r>
        <w:rPr>
          <w:rFonts w:ascii="Calibri" w:hAnsi="Calibri"/>
          <w:b/>
          <w:i w:val="0"/>
          <w:sz w:val="32"/>
        </w:rPr>
        <w:t>Quản lý khủng hoảng</w:t>
      </w:r>
    </w:p>
    <w:p>
      <w:pPr>
        <w:spacing w:after="80"/>
      </w:pPr>
      <w:r>
        <w:rPr>
          <w:b w:val="0"/>
          <w:i w:val="0"/>
        </w:rPr>
        <w:t>Một cuộc khủng hoảng thường rơi vào một trong những loại chung sau: kinh doanh, tài chính, tài sản vật chất, an ninh mạng, thảm họa thiên nhiên, hoặc địa chính trị. Mặc dù một cuộc khủng hoảng nói chung là không lường trước được và hội đồng quản trị cùng ban lãnh đạo có thể sẽ thấy mình ít nhất phần nào chưa được chuẩn bị, ban lãnh đạo cấp cao nên có sẵn một danh sách những người ứng phó chính cho một cuộc khủng hoảng (cả các giám đốc điều hành nội bộ và cố vấn bên ngoài) và một kế hoạch ứng phó khủng hoảng chung sẵn sàng để triển khai. Với vai trò người được ủy thác cho cổ đông, hội đồng quản trị nên giám sát việc chuẩn bị và cập nhật bất kỳ kế hoạch ứng phó khủng hoảng nào cũng như giám sát việc ứng phó với một cuộc khủng hoảng.</w:t>
      </w:r>
    </w:p>
    <w:p>
      <w:pPr>
        <w:spacing w:after="80"/>
      </w:pPr>
      <w:r>
        <w:rPr>
          <w:b w:val="0"/>
          <w:i w:val="0"/>
        </w:rPr>
        <w:t>Một kế hoạch quản lý khủng hoảng chi tiết nên có những đặc điểm sau:</w:t>
      </w:r>
    </w:p>
    <w:p>
      <w:pPr>
        <w:spacing w:after="80"/>
        <w:ind w:left="360"/>
      </w:pPr>
      <w:r>
        <w:t xml:space="preserve">1. </w:t>
      </w:r>
      <w:r>
        <w:rPr>
          <w:b w:val="0"/>
          <w:i w:val="0"/>
        </w:rPr>
        <w:t>Kế hoạch nên được xây dựng bởi ban điều hành, phê duyệt bởi hội đồng quản trị, và đặt “trên kệ” để phòng khi khủng hoảng bất ngờ ập đến.</w:t>
      </w:r>
    </w:p>
    <w:p>
      <w:pPr>
        <w:spacing w:after="80"/>
        <w:ind w:left="360"/>
      </w:pPr>
      <w:r>
        <w:t xml:space="preserve">2. </w:t>
      </w:r>
      <w:r>
        <w:rPr>
          <w:b w:val="0"/>
          <w:i w:val="0"/>
        </w:rPr>
        <w:t>Kế hoạch nên bao gồm một khung khái quát phù hợp để đối phó với một thách thức bất ngờ, đồng thời mang lại sự linh hoạt để tổ chức thích ứng với một tình huống cụ thể. Trong số những thứ khác, kế hoạch này nên bao gồm danh sách những người cần liên hệ trong từng hoàn cảnh, từ ban điều hành cấp cao đến các giám đốc, và những cố vấn nào sẽ được huy động, chẳng hạn như các chuyên gia công nghệ thông tin và chuyên gia về an ninh mạng (cybersecurity).</w:t>
      </w:r>
    </w:p>
    <w:p>
      <w:pPr>
        <w:spacing w:after="80"/>
        <w:ind w:left="360"/>
      </w:pPr>
      <w:r>
        <w:t xml:space="preserve">3. </w:t>
      </w:r>
      <w:r>
        <w:rPr>
          <w:b w:val="0"/>
          <w:i w:val="0"/>
        </w:rPr>
        <w:t>Kế hoạch nên nêu rõ vai trò và trách nhiệm của các lãnh đạo điều hành và nhân viên ở các cấp khác nhau trong công ty, trao quyền cho những nhân sự phù hợp nhất để thực hiện các bước hiệu quả nhất, và cung cấp một ma trận để báo cáo leo thang các mối lo ngại và quyết định khi cần thiết.</w:t>
      </w:r>
    </w:p>
    <w:p>
      <w:pPr>
        <w:spacing w:after="80"/>
        <w:ind w:left="360"/>
      </w:pPr>
      <w:r>
        <w:t xml:space="preserve">4. </w:t>
      </w:r>
      <w:r>
        <w:rPr>
          <w:b w:val="0"/>
          <w:i w:val="0"/>
        </w:rPr>
        <w:t>Các kế hoạch truyền thông nên được lồng ghép vào, có thể bao gồm cả các mẫu tin nhắn gửi đến những bên liên quan khác nhau.</w:t>
      </w:r>
    </w:p>
    <w:p>
      <w:pPr>
        <w:spacing w:after="80"/>
        <w:ind w:left="360"/>
      </w:pPr>
      <w:r>
        <w:t xml:space="preserve">5. </w:t>
      </w:r>
      <w:r>
        <w:rPr>
          <w:b w:val="0"/>
          <w:i w:val="0"/>
        </w:rPr>
        <w:t>Kế hoạch nên được diễn tập thường xuyên để đối phó với các tình huống đe dọa giá trị, đe dọa công ty và đe dọa tính mạng.</w:t>
      </w:r>
    </w:p>
    <w:p>
      <w:pPr>
        <w:spacing w:after="80"/>
      </w:pPr>
      <w:r>
        <w:rPr>
          <w:b w:val="0"/>
          <w:i w:val="0"/>
        </w:rPr>
        <w:t>Các chiến lược sẽ hiệu quả hơn nếu ban điều hành và nhân viên chủ chốt kiểm tra sức chịu đựng của chúng trước. Việc lập kế hoạch nên được thực hiện kỹ lưỡng và do một người cấp cao hoặc một ủy ban gồm các lãnh đạo cấp cao dẫn dắt. Bạn không thể lường trước mọi cuộc khủng hoảng, nên kế hoạch rất có thể sẽ phải được điều chỉnh ngay trong lúc sự việc diễn ra khi khủng hoảng bộc lộ. Ngay cả khi đã có kế hoạch trong tay, ban điều hành, dưới sự giám sát của hội đồng quản trị, vẫn phải chủ động thực hiện các bước cần thiết để xử lý khủng hoảng.</w:t>
      </w:r>
    </w:p>
    <w:p>
      <w:pPr>
        <w:spacing w:after="80"/>
      </w:pPr>
      <w:r>
        <w:rPr>
          <w:b w:val="0"/>
          <w:i w:val="0"/>
        </w:rPr>
        <w:t>Ví dụ, một đợt thu hồi sản phẩm đòi hỏi cả một cam kết logistics đáng kể lẫn một chiến lược truyền thông và những nỗ lực khác để giúp bảo vệ danh tiếng của công ty. Một đám cháy tại cơ sở sản xuất lớn sẽ đòi hỏi phải thay đổi chuỗi cung ứng và những nỗ lực để giữ gìn mối quan hệ với khách hàng.</w:t>
      </w:r>
    </w:p>
    <w:p>
      <w:pPr>
        <w:spacing w:after="80"/>
      </w:pPr>
      <w:r>
        <w:rPr>
          <w:b w:val="0"/>
          <w:i w:val="0"/>
        </w:rPr>
        <w:t>Cái chết của CEO, một thảm họa thiên nhiên lớn, hay một đại dịch khác có thể đặc biệt khó khăn. Hội đồng quản trị không nên tham gia vào các vấn đề vận hành hằng ngày. Tuy nhiên, trong một cuộc khủng hoảng, hội đồng quản trị nên được thông tin đầy đủ và phê duyệt mọi quyết định quan trọng.</w:t>
      </w:r>
    </w:p>
    <w:p>
      <w:pPr>
        <w:spacing w:after="80"/>
      </w:pPr>
      <w:r>
        <w:rPr>
          <w:b w:val="0"/>
          <w:i w:val="0"/>
        </w:rPr>
        <w:t>Tại Lear, nơi tôi là thành viên hội đồng quản trị, chúng tôi có những kế hoạch cụ thể, tùy theo loại vấn đề, chỉ rõ chẳng hạn khi nào một cuộc khủng hoảng cần được báo cáo leo thang lên cấp C (C-level), cũng như khi nào chúng tôi cần huy động các đối tác bên ngoài, thông báo cho các đối tác bảo hiểm, và đưa vấn đề ra hội đồng quản trị. Việc để cả một tổ chức biết rõ các ngưỡng quan trọng để tìm kiếm sự trợ giúp là điều quan trọng nhằm giữ cho mọi việc không vượt khỏi tầm kiểm soát.</w:t>
      </w:r>
    </w:p>
    <w:p>
      <w:pPr>
        <w:spacing w:after="80"/>
      </w:pPr>
      <w:r>
        <w:rPr>
          <w:b w:val="0"/>
          <w:i w:val="0"/>
        </w:rPr>
        <w:t>Thẩm phán Andre Bouchard, trước đây thuộc Tòa án Chancery bang Delaware, tóm gọn điều này rất hay: “Hãy có một hệ thống báo cáo cụ thể. Bạn không thể chỉ phớt lờ nó.”</w:t>
      </w:r>
    </w:p>
    <w:p>
      <w:pPr>
        <w:spacing w:after="80"/>
      </w:pPr>
      <w:r>
        <w:rPr>
          <w:b w:val="0"/>
          <w:i w:val="0"/>
        </w:rPr>
        <w:t>“Tôi nghĩ hầu hết các công ty đều quá phụ thuộc vào các cố vấn bên ngoài,” Klain nói thêm. “Họ thuê một cố vấn an ninh mạng viết một kế hoạch an ninh mạng, rồi họ đặt nó trên một cái kệ trong cơ sở. Họ đánh dấu một ô trong danh sách kiểm tra: chúng ta đã thuê được một cố vấn tuyệt vời. Nhưng cố vấn không phải là người bạn sẽ gọi [đầu tiên] khi có khủng hoảng. Bạn cần đảm bảo rằng những người bên trong công ty, những người sẽ có mặt ở đó, được tham gia một cách trọn vẹn.”</w:t>
      </w:r>
    </w:p>
    <w:p>
      <w:pPr>
        <w:spacing w:after="80"/>
      </w:pPr>
      <w:r>
        <w:rPr>
          <w:b w:val="0"/>
          <w:i w:val="0"/>
        </w:rPr>
        <w:t>Steve Girsky, người đã trải qua cuộc khủng hoảng tại Nikola được mô tả trong phần tiếp theo, chỉ ra nhu cầu cần có những giám đốc dày dạn kinh nghiệm trong khủng hoảng, thậm chí còn hơn cả trong thời kỳ ổn định: “Có một nhóm các giám đốc độc lập là điều quý giá. Có chút kinh nghiệm khủng hoảng trong hội đồng quản trị, hoặc kinh nghiệm với một tình huống khó khăn, còn tốt hơn nữa. Bạn muốn những người thoải mái với sự không thoải mái.”</w:t>
      </w:r>
    </w:p>
    <w:p>
      <w:pPr>
        <w:pStyle w:val="Heading2"/>
      </w:pPr>
      <w:r>
        <w:rPr>
          <w:rFonts w:ascii="Calibri" w:hAnsi="Calibri"/>
          <w:b/>
          <w:i w:val="0"/>
          <w:sz w:val="32"/>
        </w:rPr>
        <w:t>Cuộc khủng hoảng tại công ty công nghệ ô tô Nikola</w:t>
      </w:r>
    </w:p>
    <w:p>
      <w:pPr>
        <w:spacing w:after="80"/>
      </w:pPr>
      <w:r>
        <w:rPr>
          <w:b w:val="0"/>
          <w:i w:val="0"/>
        </w:rPr>
        <w:t>Những công bố không chính xác của một công ty, đặc biệt là của chủ tịch hội đồng quản trị và/hoặc CEO, có thể gây ra khủng hoảng. Đó chính là trường hợp của Nikola, một nhà sản xuất xe tải hạng nặng chạy bằng điện và hydro, mà tôi từng làm chuyên gia chứng cho một vụ trọng tài, trong đó vào cuối năm 2023, công ty đã được phán quyết bồi thường hơn 165 triệu đô-la từ người sáng lập kiêm cựu chủ tịch điều hành Trevor Milton.35</w:t>
      </w:r>
    </w:p>
    <w:p>
      <w:pPr>
        <w:spacing w:after="80"/>
      </w:pPr>
      <w:r>
        <w:rPr>
          <w:b w:val="0"/>
          <w:i w:val="0"/>
        </w:rPr>
        <w:t>Nikola được Milton thành lập vào năm 2014 với tư cách là nhà sản xuất xe tải glider chạy bằng hydro, tuyên bố sẽ cách mạng hóa ngành xe điện bằng cách thay thế nhu cầu về pin niken bằng khí hydro, một nguồn tài nguyên vô hạn. Công ty đã ra mắt nguyên mẫu xe tải vận tải “Nikola One” vào năm 2016, khơi dậy sự phấn khích to lớn, và dùng công nghệ được cho là của mình để phát triển kế hoạch cho cả xe cá nhân chạy trên mặt nước lẫn xe tiện ích địa hình.36 Nikola niêm yết công khai vào ngày 4 tháng 6 năm 2020, và vài ngày sau, vốn hóa thị trường của nó đạt gần 30 tỷ đô-la, cao hơn cả Ford Motor Company vào thời điểm đó.</w:t>
      </w:r>
    </w:p>
    <w:p>
      <w:pPr>
        <w:spacing w:after="80"/>
      </w:pPr>
      <w:r>
        <w:rPr>
          <w:b w:val="0"/>
          <w:i w:val="0"/>
        </w:rPr>
        <w:t>Chỉ vài tháng sau, vào ngày 10 tháng 9 năm 2020, Hindenburg Research, một công ty khi đó tập trung vào hoạt động bán khống theo kiểu nhà hoạt động trong những tình huống mà họ cho rằng mình đã phát hiện ra gian lận và hành vi sai trái của doanh nghiệp, đã công bố một báo cáo chứa nhiều cáo buộc về Nikola—không phải tất cả đều hóa ra là chính xác—bao gồm cáo buộc rằng Nikola là “một màn gian lận tinh vi được dựng trên hàng chục lời nói dối.”37 (Nate Anderson, người sáng lập Hindenburg, đã tuyên bố hồi đầu năm nay rằng ông sẽ đóng cửa công ty, với lý do là áp lực của công việc này.38)</w:t>
      </w:r>
    </w:p>
    <w:p>
      <w:pPr>
        <w:spacing w:after="80"/>
      </w:pPr>
      <w:r>
        <w:rPr>
          <w:b w:val="0"/>
          <w:i w:val="0"/>
        </w:rPr>
        <w:t>Báo cáo của Hindenburg đã cáo buộc những điều sau đây, cùng nhiều điều khác:</w:t>
      </w:r>
    </w:p>
    <w:p>
      <w:pPr>
        <w:spacing w:after="80"/>
        <w:ind w:left="360"/>
      </w:pPr>
      <w:r>
        <w:t xml:space="preserve">• </w:t>
      </w:r>
      <w:r>
        <w:rPr>
          <w:b w:val="0"/>
          <w:i w:val="0"/>
        </w:rPr>
        <w:t>“Trước sự hoài nghi ngày càng tăng về tính năng hoạt động của chiếc xe tải của mình, Nikola đã dàn dựng một video có tên ‘Nikola One in Motion’ cho thấy chiếc xe tải đầu kéo đang chạy trên đường ở tốc độ cao. Cuộc điều tra của chúng tôi về địa điểm và các tin nhắn văn bản từ một cựu nhân viên cho thấy video đó là một màn lừa bịp công phu—Nikola đã kéo chiếc xe tải lên đỉnh một ngọn đồi trên một đoạn đường hẻo lánh và chỉ đơn giản quay cảnh nó lăn xuống dốc.”</w:t>
      </w:r>
    </w:p>
    <w:p>
      <w:pPr>
        <w:spacing w:after="80"/>
        <w:ind w:left="360"/>
      </w:pPr>
      <w:r>
        <w:t xml:space="preserve">• </w:t>
      </w:r>
      <w:r>
        <w:rPr>
          <w:b w:val="0"/>
          <w:i w:val="0"/>
        </w:rPr>
        <w:t>“Nikola tuyên bố sẽ cách mạng hóa ngành công nghiệp pin . . . [nhưng] công nghệ đó chỉ là hàng ảo.”</w:t>
      </w:r>
    </w:p>
    <w:p>
      <w:pPr>
        <w:spacing w:after="80"/>
        <w:ind w:left="360"/>
      </w:pPr>
      <w:r>
        <w:t xml:space="preserve">• </w:t>
      </w:r>
      <w:r>
        <w:rPr>
          <w:b w:val="0"/>
          <w:i w:val="0"/>
        </w:rPr>
        <w:t>“Nikola [bí mật] đã luồn một sợi cáp điện từ bên dưới sân khấu lên chiếc xe tải để giả mạo tuyên bố rằng hệ thống điện của Nikola One hoạt động đầy đủ.”39</w:t>
      </w:r>
    </w:p>
    <w:p>
      <w:pPr>
        <w:spacing w:after="80"/>
      </w:pPr>
      <w:r>
        <w:rPr>
          <w:b w:val="0"/>
          <w:i w:val="0"/>
        </w:rPr>
        <w:t>Trong vòng hai tuần, Milton tuyên bố từ chức khỏi Nikola, và Girsky trở thành chủ tịch hội đồng quản trị. Girsky sau đó được bổ nhiệm làm CEO vào tháng 8 năm 2023. Ông đã sáp nhập công ty mua lại mục đích đặc biệt (SPAC) mà ông lãnh đạo, VectoIQ Acquisition Corporation, với Nikola. Girsky trước đây là một nhà phân tích ô tô nổi tiếng tại Morgan Stanley, một nhà đầu tư cổ phần tư nhân tại Centerbridge, và cuối cùng là phó chủ tịch tại General Motors. “Chúng tôi đã không chuẩn bị cho cuộc khủng hoảng,” Girsky nói với tôi. “Tôi là người mới. Bạn tham gia một hội đồng quản trị, và bạn cố gắng dò dẫm tìm hiểu, nắm bắt văn hóa . . . và rồi đến cuộc họp hội đồng thứ ba, chúng tôi đã ở trong khủng hoảng.”</w:t>
      </w:r>
    </w:p>
    <w:p>
      <w:pPr>
        <w:spacing w:after="80"/>
      </w:pPr>
      <w:r>
        <w:rPr>
          <w:b w:val="0"/>
          <w:i w:val="0"/>
        </w:rPr>
        <w:t>Girsky nhanh chóng hành động để ổn định tình hình: “Chúng tôi thuê một công ty luật lớn, và chúng tôi yêu cầu họ thực hiện một cuộc điều tra độc lập. Công ty đó đã liên hệ với SEC và nói rằng chúng tôi sẽ chủ động báo cáo việc này, và SEC nói rằng họ đã đang điều tra rồi. Chúng tôi nói với Milton rằng chúng tôi không thể làm việc với ông ấy nữa. Chúng tôi tiến hành điều tra, kết quả được công bố, và chúng tôi tiếp tục từ đó. Chúng tôi cố gắng nắm bắt sự thật càng nhanh càng tốt.” Theo Girsky,</w:t>
      </w:r>
    </w:p>
    <w:p>
      <w:pPr>
        <w:spacing w:after="80"/>
      </w:pPr>
      <w:r>
        <w:rPr>
          <w:b w:val="0"/>
          <w:i w:val="0"/>
        </w:rPr>
        <w:t>Sự minh bạch thực sự rất quan trọng. Bạn cần phải xuất hiện, trình bày sự thật như bạn biết, chứ không phải thu mình vào vỏ ốc. Xây dựng lại niềm tin không xảy ra trong một sớm một chiều. Giao tiếp rất quan trọng—với nhà đầu tư, công chúng, khách hàng, nhà cung cấp, nhân viên. Bạn cần có một thông điệp nhất quán, và thông điệp có thể thay đổi khi sự thật thay đổi. Theo thời gian, những điều bạn tưởng là đúng có thể không còn đúng, nhưng nếu bạn hiểu rằng mình sẽ không giành lại được nhà đầu tư trong một sớm một chiều, bạn có thể đặt nền móng và giữ cho tổ chức tập trung. Chúng tôi phải quản lý bên ngoài rồi quản lý bên trong, ngay cả khi có quá nhiều thứ đang diễn ra.</w:t>
      </w:r>
    </w:p>
    <w:p>
      <w:pPr>
        <w:spacing w:after="80"/>
      </w:pPr>
      <w:r>
        <w:rPr>
          <w:b w:val="0"/>
          <w:i w:val="0"/>
        </w:rPr>
        <w:t>Đây không phải là cuộc khủng hoảng đầu tiên mà Girsky đóng vai trò quan trọng. Tại General Motors, ông đã giúp dẫn dắt công ty vượt qua hồ sơ phá sản vào năm 2009. “Khi bạn đang xử lý một công ty sản phẩm tiêu dùng lớn và đột nhiên bạn thuê các cố vấn phá sản, nó trở thành một lời tiên tri tự ứng nghiệm,” ông giải thích với tôi. “GM sắp phá sản ư? Tôi sẽ không mua xe của họ. Nó tạo ra một vòng luẩn quẩn. Bạn cần quản lý hoạt động kinh doanh và cố gắng không làm mọi người hoảng loạn, nhưng bạn cũng cần phải chuẩn bị.”</w:t>
      </w:r>
    </w:p>
    <w:p>
      <w:pPr>
        <w:spacing w:after="80"/>
      </w:pPr>
      <w:r>
        <w:rPr>
          <w:b w:val="0"/>
          <w:i w:val="0"/>
        </w:rPr>
        <w:t xml:space="preserve">Sau khi Milton từ chức khỏi công ty, Nikola khởi động một thủ tục trọng tài chống lại ông vì vi phạm nghĩa vụ ủy thác, và vào tháng 11 năm 2023, một hội đồng gồm ba trọng tài viên phán quyết rằng Milton đã vi phạm nghĩa vụ trung thành và thiện chí của mình đối với Nikola và tuyên ông phải chịu trách nhiệm bồi thường cho Nikola hơn 165 triệu đô la thiệt hại để bù đắp cho công ty, trong đó có khoản tiền phạt 125 triệu đô la mà Nikola trước đó đã đồng ý trả cho SEC trong một thỏa thuận dàn xếp.40 Vào tháng 12 năm 2023, trong một vụ án hình sự riêng, Milton bị kết án bốn năm tù.41 Hiện ông đang được tại ngoại có bảo lãnh trong khi kháng cáo phán quyết và tiếp tục gây khó khăn cho Nikola và Girsky. Sau phán quyết hơn 165 triệu đô la, “Milton nhanh chóng biến thành đối thủ số 1 của công ty,” tờ </w:t>
      </w:r>
      <w:r>
        <w:rPr>
          <w:b w:val="0"/>
          <w:i/>
        </w:rPr>
        <w:t>Wall Street Journal</w:t>
      </w:r>
      <w:r>
        <w:rPr>
          <w:b w:val="0"/>
          <w:i w:val="0"/>
        </w:rPr>
        <w:t xml:space="preserve"> viết vào tháng 5 năm 2024. “Hai năm liên tiếp, ông từ chối bỏ phiếu cho số cổ phần của mình để cho phép công ty huy động vốn, điều sẽ làm loãng phần sở hữu của ông, góp phần khiến các cuộc họp cổ đông bị hoãn liên tục.”42</w:t>
      </w:r>
    </w:p>
    <w:p>
      <w:pPr>
        <w:spacing w:after="80"/>
      </w:pPr>
      <w:r>
        <w:rPr>
          <w:b w:val="0"/>
          <w:i w:val="0"/>
        </w:rPr>
        <w:t>Đến giữa năm 2024, Nikola đã sản xuất hơn 80 xe tải điện chạy bằng hydro, bán buôn 75 chiếc cho các đại lý, trong khi tiếp tục cố gắng phục hồi sau cuộc khủng hoảng.43 Tuy nhiên, vào cuối tháng 1 năm 2025, cổ phiếu đã lao dốc xuống dưới 1 đô la một cổ phần và vốn hóa thị trường chỉ còn 75 triệu đô la. Rồi vào giữa tháng 2 năm 2025, Nikola nộp đơn phá sản và dự kiến bán tài sản và giải thể công ty.44 Vào cuối tháng 3 năm 2025, Tổng thống Donald Trump đã ân xá cho Milton.</w:t>
      </w:r>
    </w:p>
    <w:p>
      <w:pPr>
        <w:pStyle w:val="Heading2"/>
      </w:pPr>
      <w:r>
        <w:rPr>
          <w:rFonts w:ascii="Calibri" w:hAnsi="Calibri"/>
          <w:b/>
          <w:i w:val="0"/>
          <w:sz w:val="32"/>
        </w:rPr>
        <w:t>Bài học sau hậu quả của các cuộc khủng hoảng: COVID-19 và Boeing</w:t>
      </w:r>
    </w:p>
    <w:p>
      <w:pPr>
        <w:spacing w:after="80"/>
      </w:pPr>
      <w:r>
        <w:rPr>
          <w:b w:val="0"/>
          <w:i w:val="0"/>
        </w:rPr>
        <w:t>Đã có rất nhiều bài viết về quản lý khủng hoảng trong và giờ đây là sau đại dịch toàn cầu COVID-19 bất ngờ. Nhìn lại, đại dịch thực sự mang đến một cơ hội bất ngờ để suy nghĩ vượt ra ngoài những gì vốn thường đúng với hầu hết doanh nghiệp, chẳng hạn như yêu cầu nhiều nhân viên phải có mặt tại văn phòng. Các hội đồng quản trị và đội ngũ ban điều hành đã học cách vận hành trong đại dịch mà thường không thể có các cuộc họp trực tiếp.</w:t>
      </w:r>
    </w:p>
    <w:p>
      <w:pPr>
        <w:spacing w:after="80"/>
      </w:pPr>
      <w:r>
        <w:rPr>
          <w:b w:val="0"/>
          <w:i w:val="0"/>
        </w:rPr>
        <w:t>“Các giám đốc khó làm công việc của mình hơn nhiều khi họp trực tuyến,” Charles Elson nói vào năm 2021, chỉ ra các cuộc họp riêng và ngôn ngữ cơ thể là hai điều quan trọng bị mất đi khi các cuộc họp chuyển sang hình thức từ xa.45 Tất nhiên, ngay cả giữa đại dịch COVID-19, nhiều người, từ công nhân nhà máy đến bác sĩ và y tá, vẫn tiếp tục làm công việc của mình như và tại nơi họ vẫn luôn làm. Tôi là người tin tưởng mạnh mẽ rằng phần lớn mọi người nên dành phần lớn “thời gian văn phòng” của mình tại văn phòng công ty để tương tác và hợp tác với đồng nghiệp.</w:t>
      </w:r>
    </w:p>
    <w:p>
      <w:pPr>
        <w:spacing w:after="80"/>
      </w:pPr>
      <w:r>
        <w:rPr>
          <w:b w:val="0"/>
          <w:i w:val="0"/>
        </w:rPr>
        <w:t xml:space="preserve">Tôi đã viết một bài trên </w:t>
      </w:r>
      <w:r>
        <w:rPr>
          <w:b w:val="0"/>
          <w:i/>
        </w:rPr>
        <w:t>CFO</w:t>
      </w:r>
      <w:r>
        <w:rPr>
          <w:b w:val="0"/>
          <w:i w:val="0"/>
        </w:rPr>
        <w:t xml:space="preserve"> trong đại dịch, lưu ý rằng COVID nhắc nhở chúng ta rằng “các phản ứng đối với những thách thức liên quan đến khủng hoảng nên có khả năng mở rộng quy mô và tính đến mọi bộ phận của doanh nghiệp, bao gồm vận hành, IT, và chuỗi cung ứng. Một hội đồng quản trị giàu kinh nghiệm nên truyền đạt lại những kinh nghiệm quản lý khủng hoảng trước đây và luôn nắm rõ thông tin về các vấn đề, từ an toàn nhân viên đến thanh khoản đến hiệu quả tài chính đến tuân thủ . . . [đặc biệt] trong một môi trường căng thẳng.”46</w:t>
      </w:r>
    </w:p>
    <w:p>
      <w:pPr>
        <w:spacing w:after="80"/>
      </w:pPr>
      <w:r>
        <w:rPr>
          <w:b w:val="0"/>
          <w:i w:val="0"/>
        </w:rPr>
        <w:t>Đáng chú ý là chỉ 37 phần trăm người trả lời trong một cuộc khảo sát năm 2020 với 693 giám đốc công ty đại chúng tin rằng hội đồng quản trị của họ có hiểu biết vững chắc về các kế hoạch quản lý khủng hoảng tại công ty mình.47 Điều này chắc chắn cho thấy cần phải chú ý nhiều hơn đến chủ đề quan trọng này.</w:t>
      </w:r>
    </w:p>
    <w:p>
      <w:pPr>
        <w:spacing w:after="80"/>
      </w:pPr>
      <w:r>
        <w:rPr>
          <w:b w:val="0"/>
          <w:i w:val="0"/>
        </w:rPr>
        <w:t>Chúng ta có thể học thêm những bài học quản lý khủng hoảng từ cách các sự kiện diễn ra tại Boeing với chuỗi thất bại về an toàn của họ. Trong một báo cáo năm 2023 của Cục Hàng không Liên bang (FAA), được tổng hợp sau khi cơ quan này xem xét hàng nghìn trang tài liệu của Boeing, thực hiện nhiều cuộc khảo sát và hơn 250 cuộc phỏng vấn, và tổ chức các cuộc họp tại nhiều địa điểm khác nhau với nhân viên Boeing, các khuyến nghị đã được đưa ra về cách Boeing nên hành động trong tương lai. Những khuyến nghị này có thể mang lại bài học cho các công ty nói chung.</w:t>
      </w:r>
    </w:p>
    <w:p>
      <w:pPr>
        <w:spacing w:after="80"/>
      </w:pPr>
      <w:r>
        <w:rPr>
          <w:b w:val="0"/>
          <w:i w:val="0"/>
        </w:rPr>
        <w:t>Về văn hóa an toàn, FAA đã khuyến nghị Boeing thực hiện các khảo sát an toàn và đảm bảo rằng kết quả được ban lãnh đạo tiếp nhận và hành động, đồng thời tạo ra một cơ chế báo cáo được biết đến rộng rãi, được theo dõi chặt chẽ, minh bạch và không có bất kỳ lo ngại tiềm ẩn nào về các biện pháp trả đũa.48 FAA cũng khuyến nghị rằng các chính sách và quy trình cần được phổ biến khắp tổ chức và các chỉ số đo lường phải cụ thể và được áp dụng phù hợp.49 Ngoài ra, FAA đề xuất thành lập một nhóm liên ngành để quản lý và giám sát các rủi ro an toàn cũng như việc thực hiện các khuyến nghị trong báo cáo.50</w:t>
      </w:r>
    </w:p>
    <w:p>
      <w:pPr>
        <w:spacing w:after="80"/>
      </w:pPr>
      <w:r>
        <w:rPr>
          <w:b w:val="0"/>
          <w:i w:val="0"/>
        </w:rPr>
        <w:t>Những ý tưởng này có thể được đưa vào kế hoạch giảm thiểu rủi ro và quản lý khủng hoảng của mọi công ty: đảm bảo rằng những người phù hợp hiểu rõ các kế hoạch, cảm thấy an tâm rằng họ có thể báo cáo những lo ngại mà không bị trả đũa, và có thể thực hiện những thay đổi phù hợp khi cần thiết.</w:t>
      </w:r>
    </w:p>
    <w:p>
      <w:pPr>
        <w:spacing w:after="80"/>
      </w:pPr>
      <w:r>
        <w:rPr>
          <w:b w:val="0"/>
          <w:i w:val="0"/>
        </w:rPr>
        <w:t>Rủi ro luôn hiện hữu, và khủng hoảng chắc chắn sẽ xảy ra, nhưng hội đồng quản trị và ban điều hành có trách nhiệm phải có sẵn các kế hoạch và liên tục xem xét lại chúng để giảm thiểu rủi ro cũng như có một kế hoạch tổng thể để ứng phó với khủng hoảng.</w:t>
      </w:r>
    </w:p>
    <w:p>
      <w:pPr>
        <w:pStyle w:val="Heading1"/>
      </w:pPr>
      <w:r>
        <w:rPr>
          <w:rFonts w:ascii="Calibri" w:hAnsi="Calibri"/>
          <w:b/>
          <w:i w:val="0"/>
          <w:sz w:val="40"/>
        </w:rPr>
        <w:t>Chương 14</w:t>
      </w:r>
    </w:p>
    <w:p>
      <w:pPr>
        <w:pStyle w:val="Heading1"/>
      </w:pPr>
      <w:r>
        <w:rPr>
          <w:rFonts w:ascii="Calibri" w:hAnsi="Calibri"/>
          <w:b/>
          <w:i w:val="0"/>
          <w:sz w:val="40"/>
        </w:rPr>
        <w:t>Giữ cho Hội đồng quản trị Luôn Mới mẻ và Sắc bén</w:t>
      </w:r>
    </w:p>
    <w:p>
      <w:pPr>
        <w:spacing w:after="80"/>
      </w:pPr>
      <w:r>
        <w:rPr>
          <w:b w:val="0"/>
          <w:i w:val="0"/>
        </w:rPr>
        <w:t>"Đôi khi người ta tham gia hội đồng quản trị với suy nghĩ rằng họ ở đó cả đời," cựu chủ tịch, người hai lần làm CEO và giám đốc giàu kinh nghiệm Naren Gursahaney nói với tôi, "nhưng bạn phải đóng góp mỗi ngày." Có thể sẽ có thêm những lợi ích từ kinh nghiệm và chuyên môn mà các giám đốc mang lại khi kiến thức và hiểu biết của họ về công ty tăng lên theo thời gian. Tuy nhiên, một ghế trong hội đồng quản trị, cũng như vị trí CEO hay bất kỳ vai trò điều hành hoặc nhân viên nào, không nên là một vị trí được giữ suốt đời. Mỗi giám đốc cần liên tục tạo ra giá trị. Ngoài ra, những góc nhìn mới và quan điểm mới có thể hữu ích, đặc biệt khi một công ty thay đổi và những phẩm chất mong muốn ở các thành viên hội đồng quản trị cũng thay đổi.</w:t>
      </w:r>
    </w:p>
    <w:p>
      <w:pPr>
        <w:spacing w:after="80"/>
      </w:pPr>
      <w:r>
        <w:rPr>
          <w:b w:val="0"/>
          <w:i w:val="0"/>
        </w:rPr>
        <w:t>Thực tế là đôi khi một số thành viên hội đồng quản trị thực sự cần được thay thế. Jane Stevenson, phó chủ tịch mảng Dịch vụ Hội đồng quản trị &amp; CEO tại Korn Ferry và lãnh đạo toàn cầu của bộ phận Kế nhiệm CEO thuộc công ty này, cùng Anthony Goodman, đối tác khách hàng cấp cao tại Korn Ferry và trưởng bộ phận Hiệu quả Hội đồng quản trị của công ty, đã viết về vấn đề này: "Nếu có một vấn đề mà ban điều hành và hội đồng quản trị có thể đồng thuận, thì đó là nhu cầu thay thế một số giám đốc nhất định những người không thể đối phó hiệu quả với thế giới kinh doanh đang biến đổi cực nhanh ngày nay. . . . Chín trong số mười giám đốc cấp cao tin rằng ít nhất một giám đốc trong hội đồng quản trị của họ nên được thay thế . . . [và] 48% [chính các giám đốc] cũng cho rằng một hoặc nhiều đồng nghiệp trong hội đồng quản trị của họ nên bị loại bỏ, thường với lý do được viện dẫn nhiều nhất là các vấn đề về hiệu suất."1</w:t>
      </w:r>
    </w:p>
    <w:p>
      <w:pPr>
        <w:spacing w:after="80"/>
      </w:pPr>
      <w:r>
        <w:rPr>
          <w:b w:val="0"/>
          <w:i w:val="0"/>
        </w:rPr>
        <w:t>Vì vậy, trong khi chỉ 6 phần trăm hội đồng quản trị của các công ty thuộc S&amp;P 500 có giới hạn nhiệm kỳ, thì gần 70 phần trăm có độ tuổi nghỉ hưu tính đến năm 2022.2 Nhưng những công cụ thô bạo này không phải là những phương tiện duy nhất để giữ cho hội đồng quản trị luôn mới mẻ và sắc bén. Trong khi chương này sẽ xem xét giới hạn nhiệm kỳ và độ tuổi nghỉ hưu, tôi cũng sẽ giải thích một cơ chế ít được thảo luận hơn: đánh giá từng giám đốc riêng lẻ. Trong khi các đánh giá hội đồng quản trị được NYSE và NASDAQ yêu cầu, nhiều hội đồng quản trị thực hiện đánh giá hiệu suất của toàn bộ hội đồng quản trị và các ủy ban của nó, chứ không nhất thiết là từng thành viên hội đồng quản trị. Các đánh giá cá nhân thường được coi là có khả năng gây xáo trộn hoặc thậm chí khiến công ty đối mặt với rủi ro kiện tụng. Tôi cho rằng những lo ngại này là quá đáng và rằng đánh giá từng giám đốc riêng lẻ nên là một phần của kế hoạch toàn diện giúp hội đồng quản trị luôn hiệu quả một cách nhất quán. Tôi cũng sẽ giới thiệu ý tưởng cấp phép hành nghề cho giám đốc nhằm tăng cường sự tin tưởng của công chúng đối với các giám đốc, những người suy cho cùng đảm nhận vai trò quan trọng là giám sát ban điều hành thay mặt cho các chủ sở hữu hoặc cổ đông.</w:t>
      </w:r>
    </w:p>
    <w:p>
      <w:pPr>
        <w:spacing w:after="80"/>
      </w:pPr>
      <w:r>
        <w:rPr>
          <w:b w:val="0"/>
          <w:i w:val="0"/>
        </w:rPr>
        <w:t>Trong vô số cuộc thảo luận của tôi với nhiều người giàu kinh nghiệm và thành đạt cho cuốn sách này, có lẽ không có nhóm chủ đề nào khơi gợi nhiều quan điểm đa dạng đến vậy như những chủ đề trong chương này. Tôi hy vọng mang đến một góc nhìn công bằng và cân bằng về giới hạn nhiệm kỳ, độ tuổi nghỉ hưu và đánh giá từng giám đốc riêng lẻ, cũng như giới thiệu ý tưởng cấp phép hành nghề cho giám đốc.</w:t>
      </w:r>
    </w:p>
    <w:p>
      <w:pPr>
        <w:pStyle w:val="Heading2"/>
      </w:pPr>
      <w:r>
        <w:rPr>
          <w:rFonts w:ascii="Calibri" w:hAnsi="Calibri"/>
          <w:b/>
          <w:i w:val="0"/>
          <w:sz w:val="32"/>
        </w:rPr>
        <w:t>Giới hạn Nhiệm kỳ</w:t>
      </w:r>
    </w:p>
    <w:p>
      <w:pPr>
        <w:spacing w:after="80"/>
      </w:pPr>
      <w:r>
        <w:rPr>
          <w:b w:val="0"/>
          <w:i w:val="0"/>
        </w:rPr>
        <w:t>Ngày càng có nhiều cuộc thảo luận và sự ủng hộ từ các tổ chức quản trị khác nhau đối với giới hạn nhiệm kỳ, thường khoảng 10 năm, cho các giám đốc của các công ty đại chúng. Ý tưởng là để làm mới hội đồng quản trị và điều chỉnh theo nhu cầu thay đổi của tổ chức cũng như bộ kỹ năng của giám đốc.</w:t>
      </w:r>
    </w:p>
    <w:p>
      <w:pPr>
        <w:spacing w:after="80"/>
      </w:pPr>
      <w:r>
        <w:rPr>
          <w:b w:val="0"/>
          <w:i w:val="0"/>
        </w:rPr>
        <w:t>Chúng ta rất quen thuộc với ý tưởng giới hạn nhiệm kỳ trong chính trị Hoa Kỳ. Tổng thống bị giới hạn hai nhiệm kỳ bốn năm, và 37 bang có giới hạn nhiệm kỳ cho thống đốc của họ. Mười bảy cơ quan lập pháp bang có giới hạn nhiệm kỳ, mặc dù không có giới hạn nhiệm kỳ cho các thành viên Quốc hội Hoa Kỳ. Bất chấp sự ủng hộ rộng rãi của công chúng đối với giới hạn nhiệm kỳ—trong một cuộc khảo sát của Pew Research vào tháng 6 năm 2023, 87 phần trăm người được hỏi ủng hộ việc giới hạn số nhiệm kỳ cho các thành viên Quốc hội3—nghiên cứu thường cho thấy chúng không mang lại kết quả mà những người ủng hộ mong đợi. Thay vào đó, giới hạn nhiệm kỳ đã được chứng minh là làm tăng sự phân cực đảng phái4 và giảm tăng trưởng kinh tế.5</w:t>
      </w:r>
    </w:p>
    <w:p>
      <w:pPr>
        <w:spacing w:after="80"/>
      </w:pPr>
      <w:r>
        <w:rPr>
          <w:b w:val="0"/>
          <w:i w:val="0"/>
        </w:rPr>
        <w:t>Thế giới doanh nghiệp tất nhiên rất khác với thế giới chính trị, và sẽ là thiển cận nếu cho rằng các phát hiện nghiên cứu trong chính trị cũng đúng với các công ty. Nhưng chẳng hạn, công ty kiểm toán, thuế và dịch vụ tư vấn lớn Grant Thornton lập luận rằng giới hạn nhiệm kỳ cho các giám đốc doanh nghiệp là cần thiết để thúc đẩy sự đa dạng, giữ cho bộ kỹ năng của hội đồng quản trị luôn cập nhật, và cung cấp một cách thức tôn trọng để loại bỏ những thành viên hội đồng quản trị kém hiệu quả.6</w:t>
      </w:r>
    </w:p>
    <w:p>
      <w:pPr>
        <w:spacing w:after="80"/>
      </w:pPr>
      <w:r>
        <w:rPr>
          <w:b w:val="0"/>
          <w:i w:val="0"/>
        </w:rPr>
        <w:t>Đồng thời, không có lý do gì phải chờ đến khi các giám đốc đạt đến giới hạn nhiệm kỳ nếu họ kém hiệu quả hoặc gây xáo trộn. Điều đó làm suy yếu khả năng của hội đồng quản trị trong vai trò giám sát công ty một cách hiệu quả nhất và không công bằng với các cổ đông mà hội đồng quản trị phải chịu trách nhiệm. Tuy nhiên, đối với những hội đồng quản trị không nỗ lực đủ để đa dạng hóa và loại bỏ những giám đốc kém hiệu quả, giới hạn nhiệm kỳ là một cách để đạt được những mục tiêu này.</w:t>
      </w:r>
    </w:p>
    <w:p>
      <w:pPr>
        <w:spacing w:after="80"/>
      </w:pPr>
      <w:r>
        <w:rPr>
          <w:b w:val="0"/>
          <w:i w:val="0"/>
        </w:rPr>
        <w:t>Nhưng cái giá của giới hạn nhiệm kỳ có thể là mất đi kiến thức tổ chức và những thành viên hội đồng quản trị giá trị, những người vẫn còn nhiều đóng góp, cũng như nhu cầu phải dành nhiều thời gian hơn để tuyển dụng và hòa nhập các thành viên hội đồng quản trị mới, và rủi ro rằng các giám đốc mới sẽ không hiệu quả bằng những người họ thay thế. Các giám đốc giàu kinh nghiệm mang lại "ký ức thể chế" và nhiều năm kinh nghiệm với lịch sử, ban điều hành, vị thế cạnh tranh, sứ mệnh và giá trị của công ty.</w:t>
      </w:r>
    </w:p>
    <w:p>
      <w:pPr>
        <w:spacing w:after="80"/>
      </w:pPr>
      <w:r>
        <w:rPr>
          <w:b w:val="0"/>
          <w:i w:val="0"/>
        </w:rPr>
        <w:t xml:space="preserve">Nghiên cứu trên </w:t>
      </w:r>
      <w:r>
        <w:rPr>
          <w:b w:val="0"/>
          <w:i/>
        </w:rPr>
        <w:t>North American Journal of Economics and Finance</w:t>
      </w:r>
      <w:r>
        <w:rPr>
          <w:b w:val="0"/>
          <w:i w:val="0"/>
        </w:rPr>
        <w:t xml:space="preserve"> đã chỉ ra rằng "các giám đốc có nhiệm kỳ dài là những người giám sát và cố vấn tốt hơn vì kinh nghiệm và kỹ năng tích lũy theo thời gian . . . [và] có mối quan tâm lớn hơn đến danh tiếng, do đó cam kết hơn với nghĩa vụ ủy thác của họ đối với cổ đông."7 Một nghiên cứu bổ sung xem xét các công ty thuộc S&amp;P 1500 từ năm 1998 đến 2013 cho thấy các giám đốc độc lập có nhiệm kỳ kéo dài có mức độ cam kết cao hơn, và sự hiện diện của họ tương quan với mức lương CEO thấp hơn, độ nhạy cảm giữa thay đổi CEO và hiệu suất cao hơn, khả năng công ty cố ý báo cáo sai thu nhập thấp hơn, và chất lượng các thương vụ mua lại cao hơn.8</w:t>
      </w:r>
    </w:p>
    <w:p>
      <w:pPr>
        <w:spacing w:after="80"/>
      </w:pPr>
      <w:r>
        <w:rPr>
          <w:b w:val="0"/>
          <w:i w:val="0"/>
        </w:rPr>
        <w:t>Cả ISS lẫn Glass Lewis đều không có chính sách nghiêm ngặt về giới hạn nhiệm kỳ, nhưng Glass Lewis muốn giới hạn nhiệm kỳ được áp dụng không có ngoại lệ ở những nơi chúng tồn tại và sẽ khuyến khích bỏ phiếu chống lại chủ tịch ủy ban đề cử và quản trị nếu giới hạn nhiệm kỳ (hoặc giới hạn độ tuổi) đã được miễn trừ trong hai năm liên tiếp trở lên.9 Trên bình diện quốc tế, có xu hướng hạn chế số năm phục vụ trong hội đồng quản trị nhiều hơn so với ở Mỹ. Ví dụ, ở Anh, sau chín năm, một giám đốc không còn được coi là độc lập nữa.10</w:t>
      </w:r>
    </w:p>
    <w:p>
      <w:pPr>
        <w:spacing w:after="80"/>
      </w:pPr>
      <w:r>
        <w:rPr>
          <w:b w:val="0"/>
          <w:i w:val="0"/>
        </w:rPr>
        <w:t>Có nhiều ý kiến khác nhau về vấn đề này. Gursahaney nói với tôi: "Thật sự rất quan trọng khi có lịch sử về nguồn gốc của công ty và công ty hiện tại là gì. Các giám đốc cần biết những sai lầm nào đã được mắc phải trên chặng đường đó. Tôi không muốn cả hội đồng toàn những người có hơn 20 năm kinh nghiệm, nhưng tôi không phải là người ủng hộ giới hạn nhiệm kỳ chỉ vì mục đích giới hạn nhiệm kỳ, miễn là bạn có sự kết hợp tốt giữa các thành viên hội đồng mới và những người đã gắn bó một thời gian."</w:t>
      </w:r>
    </w:p>
    <w:p>
      <w:pPr>
        <w:spacing w:after="80"/>
      </w:pPr>
      <w:r>
        <w:rPr>
          <w:b w:val="0"/>
          <w:i w:val="0"/>
        </w:rPr>
        <w:t>Ted Dysart của Russell Reynolds Associates đưa ra một góc nhìn phân tích về vấn đề đôi khi mang tính cảm xúc này. Ông nói: "Điều đó có thể phụ thuộc vào ngành. Tôi đang nói chuyện với một người ở công ty dầu khí, người đã chỉ ra rằng giới hạn nhiệm kỳ 10 năm khi bạn đang đặt cược [đầu tư] 20 tỷ đô la mà kết quả phải mất 50 năm mới thấy được thì đó là một khoảng thời gian khá ngắn và có nghĩa là bạn sẽ không còn giám đốc nào biết tại sao bạn chi 20 tỷ đô la cách đây 14 năm."</w:t>
      </w:r>
    </w:p>
    <w:p>
      <w:pPr>
        <w:spacing w:after="80"/>
      </w:pPr>
      <w:r>
        <w:rPr>
          <w:b w:val="0"/>
          <w:i w:val="0"/>
        </w:rPr>
        <w:t>Chánh án Strine lập luận ở phía ngược lại của chủ đề này. Ông nói: "Cứng nhắc không phải là phong cách của tôi, nhưng tôi nghĩ nó làm căng thẳng khái niệm độc lập khi ai đó đạt đến nhiệm kỳ 10 năm, hoặc thậm chí 8 năm. Bạn trở nên thoải mái với nhau, và đặc biệt nếu đó là cùng một đội ngũ quản lý, bạn mất đi sự mới mẻ và khác biệt. Và nếu bạn có giới hạn nhiệm kỳ nhưng lại tạo ngoại lệ, thì bạn tạo ra động cơ để người ta làm điều sai trái. Nếu bạn đang điều hành một tổ chức, tổ chức đó phải lớn hơn cá nhân."</w:t>
      </w:r>
    </w:p>
    <w:p>
      <w:pPr>
        <w:spacing w:after="80"/>
      </w:pPr>
      <w:r>
        <w:rPr>
          <w:b w:val="0"/>
          <w:i w:val="0"/>
        </w:rPr>
        <w:t>Steve Girsky tin rằng việc bổ sung năng lượng mới quan trọng hơn việc mất đi chuyên môn. Ông nói với tôi: "Tôi là người rất ủng hộ giới hạn nhiệm kỳ. Bạn muốn liên tục có năng lượng mới trong hội đồng quản trị, và bạn muốn đảm bảo họ duy trì sự độc lập với ban quản lý. Tôi không biết con số đúng là bao nhiêu, nhưng có thể là bảy năm. Bạn cần một năm để tìm hiểu về công ty, và sau đó một khoảng thời gian để tạo ra giá trị."</w:t>
      </w:r>
    </w:p>
    <w:p>
      <w:pPr>
        <w:spacing w:after="80"/>
      </w:pPr>
      <w:r>
        <w:rPr>
          <w:b w:val="0"/>
          <w:i w:val="0"/>
        </w:rPr>
        <w:t>Ed Hockaday, cựu CEO của Hallmark, đã đề xuất ý tưởng về các nhiệm kỳ có thể được gia hạn. Bằng cách này, bạn buộc phải thảo luận về hiệu quả của một giám đốc và khiến việc tiếp tục phục vụ của họ phụ thuộc vào một hình thức đánh giá nào đó.11 Với tôi, đây không phải là lập luận cho giới hạn nhiệm kỳ mà là cho việc đánh giá từng giám đốc, điều tôi sẽ đề cập ở phần sau của chương này.</w:t>
      </w:r>
    </w:p>
    <w:p>
      <w:pPr>
        <w:spacing w:after="80"/>
      </w:pPr>
      <w:r>
        <w:rPr>
          <w:b w:val="0"/>
          <w:i w:val="0"/>
        </w:rPr>
        <w:t>Tôi tin rằng những giám đốc tận tâm, chất lượng cao không trở nên cũ kỹ theo thời gian mà thay vào đó nên trở nên hiệu quả hơn. Một khi một giám đốc hiểu rõ về một lĩnh vực và một công ty một cách chi tiết và đã có được uy tín thực sự với đội ngũ quản lý và các giám đốc khác, thì giám đốc đó thường có cái nhìn sâu sắc hơn về các vấn đề cụ thể của công ty và có khả năng cân nhắc một cách chu đáo hơn những ý tưởng đột phá.</w:t>
      </w:r>
    </w:p>
    <w:p>
      <w:pPr>
        <w:spacing w:after="80"/>
      </w:pPr>
      <w:r>
        <w:rPr>
          <w:b w:val="0"/>
          <w:i w:val="0"/>
        </w:rPr>
        <w:t>Theo ý kiến của tôi, mặc dù giới hạn nhiệm kỳ nên được xem xét, nhưng có những cách khác hiệu quả hơn để làm mới hội đồng quản trị. Nhiều công ty dựa vào độ tuổi nghỉ hưu của giám đốc để làm điều đó, mặc dù đây cũng không phải là giải pháp lý tưởng.</w:t>
      </w:r>
    </w:p>
    <w:p>
      <w:pPr>
        <w:pStyle w:val="Heading2"/>
      </w:pPr>
      <w:r>
        <w:rPr>
          <w:rFonts w:ascii="Calibri" w:hAnsi="Calibri"/>
          <w:b/>
          <w:i w:val="0"/>
          <w:sz w:val="32"/>
        </w:rPr>
        <w:t>Độ tuổi nghỉ hưu</w:t>
      </w:r>
    </w:p>
    <w:p>
      <w:pPr>
        <w:spacing w:after="80"/>
      </w:pPr>
      <w:r>
        <w:rPr>
          <w:b w:val="0"/>
          <w:i w:val="0"/>
        </w:rPr>
        <w:t>Các cuộc khảo sát cho thấy sự ủng hộ rộng rãi của công chúng đối với độ tuổi nghỉ hưu bắt buộc trong chính phủ, với 74 phần trăm người Mỹ trong cuộc khảo sát của Pew Research tháng 6 năm 2023 ủng hộ giới hạn độ tuổi cho các thẩm phán Tòa án Tối cao.12</w:t>
      </w:r>
    </w:p>
    <w:p>
      <w:pPr>
        <w:spacing w:after="80"/>
      </w:pPr>
      <w:r>
        <w:rPr>
          <w:b w:val="0"/>
          <w:i w:val="0"/>
        </w:rPr>
        <w:t>Trong thế giới doanh nghiệp, có một số ngành mà độ tuổi nghỉ hưu bắt buộc khá phổ biến. Các đối tác trong các công ty kế toán "Big Four" có độ tuổi nghỉ hưu bắt buộc khoảng 60. Một số công ty có giới hạn độ tuổi đối với CEO, nhưng có những ví dụ về việc hội đồng quản trị tạo ngoại lệ cho các chính sách này. Ví dụ, vào năm 2022, Target đã chấm dứt độ tuổi nghỉ hưu bắt buộc là 65 để kéo dài nhiệm kỳ của CEO 63 tuổi Brian Cornell thêm ba năm.13 Caterpillar cũng làm điều tương tự để giữ chân CEO Jim Umpleby.14 Độ tuổi trung bình của các CEO S&amp;P 1500 rời nhiệm vào năm 2023 là 61,6.15</w:t>
      </w:r>
    </w:p>
    <w:p>
      <w:pPr>
        <w:spacing w:after="80"/>
      </w:pPr>
      <w:r>
        <w:rPr>
          <w:b w:val="0"/>
          <w:i w:val="0"/>
        </w:rPr>
        <w:t>Sự phổ biến của yêu cầu về độ tuổi nghỉ hưu đối với các thành viên hội đồng quản trị đã giảm nhẹ, và độ tuổi nghỉ hưu thường tăng lên một chút. Từ năm 2018 đến năm 2022, tỷ lệ các công ty S&amp;P 500 có quy định nghỉ hưu bắt buộc dựa trên độ tuổi đã giảm từ 70 phần trăm xuống 67 phần trăm, và trong số các công ty có độ tuổi nghỉ hưu bắt buộc, độ tuổi phổ biến nhất đã tăng từ 72 lên 75.16</w:t>
      </w:r>
    </w:p>
    <w:p>
      <w:pPr>
        <w:spacing w:after="80"/>
      </w:pPr>
      <w:r>
        <w:rPr>
          <w:b w:val="0"/>
          <w:i w:val="0"/>
        </w:rPr>
        <w:t>Đối với Howard Ungerleider, vấn đề với độ tuổi nghỉ hưu bắt buộc như một cơ chế làm mới là nó "gần như bảo các hội đồng quản trị đừng chọn người 45 tuổi, vì bạn không muốn họ ở trong hội đồng quản trị suốt 30 năm." Đây là một vấn đề vì quan điểm của các giám đốc trẻ tuổi có thể cực kỳ có giá trị. Girsky, người rất ủng hộ giới hạn nhiệm kỳ, nói: "Bảo ai đó rời khỏi hội đồng quản trị vì họ 72 tuổi thì hơi kỳ lạ với tôi. Tôi có thể làm tổng thống Hoa Kỳ, nhưng tôi không thể ở trong một hội đồng quản trị công khai?" Suy cho cùng, như Jim McCann của 1-800-FLOWERS đã chỉ ra với tôi: "Nếu Warren Buffett sẵn sàng và quan tâm đến việc tham gia hội đồng quản trị của bạn, bạn có thực sự từ chối ông ấy vì ông ấy quá già không?"</w:t>
      </w:r>
    </w:p>
    <w:p>
      <w:pPr>
        <w:spacing w:after="80"/>
      </w:pPr>
      <w:r>
        <w:rPr>
          <w:b w:val="0"/>
          <w:i w:val="0"/>
        </w:rPr>
        <w:t>Mặt khác, Gursahaney cho rằng giới hạn độ tuổi có thể hữu ích trong việc định hình kỳ vọng của các giám đốc về nhiệm kỳ của họ: "Tôi thích nó vì theo một cách nào đó, nó loại bỏ một số cuộc thảo luận khó khăn mà bạn cần phải có và giúp việc lập kế hoạch trở nên dễ dàng hơn."</w:t>
      </w:r>
    </w:p>
    <w:p>
      <w:pPr>
        <w:spacing w:after="80"/>
      </w:pPr>
      <w:r>
        <w:rPr>
          <w:b w:val="0"/>
          <w:i w:val="0"/>
        </w:rPr>
        <w:t>Tôi tin rằng những giám đốc giàu kinh nghiệm có thể hiệu quả vượt quá độ tuổi nghỉ hưu thông thường và đến tận những năm 70 tuổi. Tuổi thọ dài hơn và khả năng tiếp cận thông tin dễ dàng có thể giúp các giám đốc cập nhật xu hướng ngành ngay cả khi họ không còn làm việc toàn thời gian. Tuy nhiên, tôi thực sự nghĩ rằng một số giám đốc có thể trở nên lỗi thời nếu mối liên hệ duy nhất của họ với thế giới kinh doanh chỉ là vài hội đồng quản trị mà họ ngồi. Tôi tin đây là một lý do khác để đánh giá hiệu quả của từng giám đốc. Tôi cũng đã miễn cưỡng đi đến quan điểm rằng, tại một thời điểm nào đó, độ tuổi nghỉ hưu là điều hợp lý duy nhất, và độ tuổi nghỉ hưu 75 nói chung là thận trọng.</w:t>
      </w:r>
    </w:p>
    <w:p>
      <w:pPr>
        <w:spacing w:after="80"/>
      </w:pPr>
      <w:r>
        <w:rPr>
          <w:b w:val="0"/>
          <w:i w:val="0"/>
        </w:rPr>
        <w:t>Đồng thời, Laura Carstensen đưa ra một ý tưởng độc đáo mà tôi nghĩ đáng để cân nhắc: "Còn một hạng mục khác cho các thành viên hội đồng quản trị thì sao—những thành viên cựu danh dự vẫn có thể được huy động khi hữu ích, thậm chí có thể được mời đến một số cuộc họp, được duy trì ở một vai trò nào đó để công ty vẫn có thể hưởng lợi?"</w:t>
      </w:r>
    </w:p>
    <w:p>
      <w:pPr>
        <w:spacing w:after="80"/>
      </w:pPr>
      <w:r>
        <w:rPr>
          <w:b w:val="0"/>
          <w:i w:val="0"/>
        </w:rPr>
        <w:t>Nếu mục tiêu — như lẽ ra phải vậy — là nâng cao chất lượng của các giám đốc và hội đồng quản trị, thì việc quy định độ tuổi nghỉ hưu, tương tự như giới hạn nhiệm kỳ, không phải là cách kịp thời hay hiệu quả nhất để làm mới hội đồng quản trị. Hội đồng quản trị không nên phải chờ đợi để thay thế giám đốc nếu họ làm việc không tốt. Đáng tiếc thay, một cuộc khảo sát gần đây do PwC, một công ty kế toán thuộc nhóm “Big Four”, thực hiện cho thấy 48 phần trăm giám đốc sẽ thay thế ít nhất một giám đốc, và 58 phần trăm nhà đầu tư không tin tưởng hội đồng quản trị của các công ty mà họ đầu tư sẽ loại bỏ những giám đốc làm việc kém hiệu quả.17 Việc giữ lại một giám đốc không hiệu quả là không công bằng với các cổ đông, các thành viên hội đồng quản trị khác, hay ban điều hành.</w:t>
      </w:r>
    </w:p>
    <w:p>
      <w:pPr>
        <w:pStyle w:val="Heading2"/>
      </w:pPr>
      <w:r>
        <w:rPr>
          <w:rFonts w:ascii="Calibri" w:hAnsi="Calibri"/>
          <w:b/>
          <w:i w:val="0"/>
          <w:sz w:val="32"/>
        </w:rPr>
        <w:t>Đánh giá từng giám đốc</w:t>
      </w:r>
    </w:p>
    <w:p>
      <w:pPr>
        <w:spacing w:after="80"/>
      </w:pPr>
      <w:r>
        <w:rPr>
          <w:b w:val="0"/>
          <w:i w:val="0"/>
        </w:rPr>
        <w:t>Từ năm 2009, NYSE đã yêu cầu hội đồng quản trị của các công ty niêm yết phải tự đánh giá hàng năm, nhưng không có hướng dẫn nào về cách thức thực hiện những đánh giá như vậy.18 NYSE có yêu cầu công bố các đánh giá này.19 Theo báo cáo “Annual State of Board Evaluations in the U.S. 2024” do Korn Ferry và Gibson Dunn công bố, 98 phần trăm công ty trong S&amp;P 500 báo cáo thông tin về các đánh giá hội đồng quản trị của họ trong bản tuyên bố ủy quyền (proxy statement) — nhưng chỉ 50 phần trăm thực hiện đánh giá từng giám đốc.20 Ngay cả với những công ty có đánh giá giám đốc, cũng không rõ các đánh giá này có toàn diện đến đâu.21 Nhiều công ty dựa vào bảng câu hỏi bằng văn bản hoặc khảo sát điện tử có thể rất dài và chỉ cho rất ít cơ hội để đóng góp ý kiến bằng văn bản.22 Trong một cuộc khảo sát, theo báo cáo của NYSE Governance Services, chỉ 36 phần trăm giám đốc cảm thấy đánh giá hội đồng quản trị gần đây nhất của họ là “rất hiệu quả”, với một số giám đốc cho biết quá trình này “chỉ có hình thức, không có thực chất”, các thành viên hội đồng quản trị “không thẳng thắn”, và không có sự theo đuổi đến cùng.23 Christopher Drewry của công ty luật Latham &amp; Watkins đã nhận thấy sự thiếu trách nhiệm giải trình trong quá trình đánh giá: “Mức độ nghiêm túc mà các đánh giá thường được thực hiện vẫn còn chỗ để cải thiện. Tôi nghĩ đôi khi hội đồng quản trị bỏ qua lợi ích của một quy trình đánh giá tốt.”</w:t>
      </w:r>
    </w:p>
    <w:p>
      <w:pPr>
        <w:spacing w:after="80"/>
      </w:pPr>
      <w:r>
        <w:rPr>
          <w:b w:val="0"/>
          <w:i w:val="0"/>
        </w:rPr>
        <w:t>Thực tế là ngay cả khi ý định tốt, các đánh giá hiệu quả vẫn có thể khó thực hiện. Các giám đốc có thể không nhận thức đầy đủ giá trị đóng góp của nhau, đặc biệt nếu một số giám đốc có xu hướng phát biểu nhiều hơn hoặc ít hơn tại các cuộc họp hội đồng quản trị thay vì đóng góp theo những cách khác, có thể thông qua các kênh riêng với chủ tịch hoặc ban điều hành. Việc xác định các tiêu chí phù hợp cho đánh giá là một thách thức, đặc biệt vì các giám đốc khác nhau đóng góp theo những cách khác nhau vào những thời điểm khác nhau. Việc biết rằng các đánh giá sẽ được công bố, ngay cả ở dạng tóm tắt, có thể khiến một số cá nhân đủ năng lực e ngại khi nhận ghế trong hội đồng quản trị.</w:t>
      </w:r>
    </w:p>
    <w:p>
      <w:pPr>
        <w:spacing w:after="80"/>
      </w:pPr>
      <w:r>
        <w:rPr>
          <w:b w:val="0"/>
          <w:i w:val="0"/>
        </w:rPr>
        <w:t>Tuy nhiên, một quy trình đánh giá hàng năm hiệu quả đối với từng giám đốc, giống như các công ty áp dụng cho đội ngũ ban điều hành, thực sự là cách duy nhất để xác định liệu các giám đốc có đang làm việc tốt hay không. Nhiều hội đồng quản trị không đi theo hướng này bất chấp các khuyến nghị từ ISS, Glass Lewis, và các nhà đầu tư tổ chức lớn.24 Thật vậy, ISS đề xuất “đánh giá từng giám đốc, được thực hiện hàng năm.”25</w:t>
      </w:r>
    </w:p>
    <w:p>
      <w:pPr>
        <w:spacing w:after="80"/>
      </w:pPr>
      <w:r>
        <w:rPr>
          <w:b w:val="0"/>
          <w:i w:val="0"/>
        </w:rPr>
        <w:t>Các thông lệ tốt nhất trong lĩnh vực này nên bao gồm việc phỏng vấn từng giám đốc về từng đồng nghiệp của họ do chủ tịch, giám đốc độc lập chủ trì, chủ tịch ủy ban đề cử và quản trị, hoặc một bên thứ ba như luật sư bên ngoài hoặc một trong các công ty tư vấn quản trị khác nhau cung cấp dịch vụ đánh giá hội đồng quản trị thực hiện. Các đánh giá nên bao gồm việc xem xét tỷ lệ tham dự, sự chuẩn bị, bộ kỹ năng của từng giám đốc, và sự ăn ý với các thành viên hội đồng quản trị khác và ban điều hành, cũng như những đóng góp cụ thể cho hội đồng quản trị. Đây nên là một hoạt động thường niên được cân nhắc kỹ lưỡng.</w:t>
      </w:r>
    </w:p>
    <w:p>
      <w:pPr>
        <w:spacing w:after="80"/>
      </w:pPr>
      <w:r>
        <w:rPr>
          <w:b w:val="0"/>
          <w:i w:val="0"/>
        </w:rPr>
        <w:t>Tất nhiên, không có lý do gì để làm ai đó bẽ mặt. Tôi đã tham gia vào một số tình huống với một giám đốc làm việc kém cỏi, người không còn nhận được sự ủng hộ của hội đồng quản trị. Trong mọi trường hợp, vị giám đốc đó đều gây xao nhãng cho hội đồng quản trị và không có đóng góp đáng kể. Nói chung, những xao nhãng bao gồm việc rời khỏi phòng họp hội đồng quản trị trong khoảng thời gian dài vì công việc không liên quan đến hội đồng quản trị, đặt ra nhiều câu hỏi chi tiết không liên quan cũng như yêu cầu một lượng thông tin quá mức, và tỏ ra gay gắt về nhiều chủ đề như mức đòn bẩy tài chính phù hợp, và gần như không sẵn lòng xem xét các quan điểm khác. Trong một trường hợp, vị giám đốc đó có “sự thay đổi trách nhiệm” hoặc nghỉ hưu khỏi vị trí điều hành của mình. Trong tình huống như vậy, thông thường bạn được yêu cầu phải nộp đơn từ chức với tư cách thành viên hội đồng quản trị, nhưng hội đồng quản trị thường không chấp nhận đơn từ chức của bạn. Trong trường hợp này, chúng tôi đã chấp nhận. Trong các trường hợp khác, chủ tịch đã yêu cầu các giám đốc không ra tranh cử lại, và họ đồng ý.</w:t>
      </w:r>
    </w:p>
    <w:p>
      <w:pPr>
        <w:spacing w:after="80"/>
      </w:pPr>
      <w:r>
        <w:rPr>
          <w:b w:val="0"/>
          <w:i w:val="0"/>
        </w:rPr>
        <w:t>Đặc biệt khi xu hướng chuyển sang bầu cử hàng năm cho mọi giám đốc, các cổ đông rất khó đưa ra lựa chọn sáng suốt nếu không có quy trình đánh giá — và nếu kết quả của quy trình đó không được công bố. Tất nhiên, các giám đốc đang tự đánh giá chính mình. Tuy nhiên, dường như không có giải pháp thay thế nào khác.</w:t>
      </w:r>
    </w:p>
    <w:p>
      <w:pPr>
        <w:spacing w:after="80"/>
      </w:pPr>
      <w:r>
        <w:rPr>
          <w:b w:val="0"/>
          <w:i w:val="0"/>
        </w:rPr>
        <w:t>Nhiều người lo ngại rằng việc tiết lộ kết quả đánh giá từng giám đốc sẽ khiến mọi người không thoải mái và gây tổn hại đến các mối quan hệ công việc. Charles Elson lo ngại rằng các giám đốc có thể trút mối hận cá nhân lên nhau thay vì đánh giá đồng nghiệp một cách công bằng. Ông nói với tôi rằng “đánh giá từng cá nhân là khó khăn. Nói thì dễ hơn làm và đôi khi có thể bị dùng như một thanh gươm chống lại một giám đốc khó tính thay vì một giám đốc kém cỏi. Chúng có thể trở thành cái cớ để loại bỏ một giám đốc thực sự khá có giá trị nhưng có lẽ đã trở nên khó chịu vì họ đặt ra những câu hỏi hóc búa.” Theo hướng tương tự, Chancellor Bouchard lo ngại rằng các đánh giá nghiêm ngặt có thể ảnh hưởng đến sự ăn ý của hội đồng quản trị và tạo ra một “văn hóa ăn mòn là mách lẻo về các giám đốc khác, đi ngược lại với văn hóa thường thân thiện trong phòng họp hội đồng quản trị.”</w:t>
      </w:r>
    </w:p>
    <w:p>
      <w:pPr>
        <w:spacing w:after="80"/>
      </w:pPr>
      <w:r>
        <w:rPr>
          <w:b w:val="0"/>
          <w:i w:val="0"/>
        </w:rPr>
        <w:t>Cũng có lo ngại rằng việc ghi lại những thiếu sót của một giám đốc có thể khiến công ty phải đối mặt với kiện tụng. Tuy nhiên, tôi chưa bao giờ nghe nói về việc kiện tụng do kết quả của một đánh giá từng giám đốc. Quan trọng hơn, tôi đã hỏi Andy Rossman, của công ty luật tranh tụng Quinn Emanuel, về điều này. Ông nói, “Tôi chưa thấy việc kiện tụng nào do kết quả của một đánh giá từng giám đốc. Bạn có thể chắc chắn rằng bất kỳ hồ sơ nào bạn tạo ra đều sẽ bị xem xét. Nên bạn biết đấy, hãy cẩn thận thôi. Nhưng quy trình đánh giá giám đốc, tôi nghĩ nó quan trọng.”</w:t>
      </w:r>
    </w:p>
    <w:p>
      <w:pPr>
        <w:spacing w:after="80"/>
      </w:pPr>
      <w:r>
        <w:rPr>
          <w:b w:val="0"/>
          <w:i w:val="0"/>
        </w:rPr>
        <w:t>Mike Allen của công ty luật Delaware Richards Layton &amp; Finger đồng ý: “Tôi nghĩ hội đồng quản trị cần cân nhắc kỹ lưỡng về cách trình bày các đánh giá từng giám đốc và chúng trông như thế nào, bởi vì ít nhất có một số rủi ro rằng chúng có thể bị lật ngược trong một thủ tục khám phá chứng cứ giả định — dù tôi thừa nhận mình chưa thấy điều này xảy ra trong thực tế.”</w:t>
      </w:r>
    </w:p>
    <w:p>
      <w:pPr>
        <w:spacing w:after="80"/>
      </w:pPr>
      <w:r>
        <w:rPr>
          <w:b w:val="0"/>
          <w:i w:val="0"/>
        </w:rPr>
        <w:t>Mặc dù có một số lo ngại hợp lý về việc đánh giá từng giám đốc, tôi tin rằng không có lo ngại nào đủ để hội đồng quản trị không đánh giá các thành viên của cơ quan được cổ đông bầu ra để giám sát công ty. Các thành viên ban điều hành cấp cao được đánh giá ít nhất hàng năm. Những lo ngại và chỉ trích được nêu ra có thể tạo ra vấn đề trong ban điều hành cấp cao. Tuy nhiên, điều đó không có nghĩa là các đánh giá nên bị tạm dừng hay hủy bỏ. Các vấn đề phải được giải quyết.</w:t>
      </w:r>
    </w:p>
    <w:p>
      <w:pPr>
        <w:spacing w:after="80"/>
      </w:pPr>
      <w:r>
        <w:rPr>
          <w:b w:val="0"/>
          <w:i w:val="0"/>
        </w:rPr>
        <w:t>Gursahaney nói, “Tôi thực sự nghĩ đó là một thông lệ tốt, nhưng nó không được thực hiện phổ biến vì mọi người khó có thể khắt khe với đồng nghiệp của mình, ngay cả khi họ nên như vậy. Tôi nghĩ hầu hết hội đồng quản trị cuối cùng đều chấp nhận hiệu suất kém trong thời gian quá dài. Tất cả chúng ta chỉ ở đây chừng nào chúng ta còn phù hợp. Nếu bạn không còn tạo thêm giá trị nữa, bạn không nên ở trong hội đồng quản trị.”</w:t>
      </w:r>
    </w:p>
    <w:p>
      <w:pPr>
        <w:spacing w:after="80"/>
      </w:pPr>
      <w:r>
        <w:rPr>
          <w:b w:val="0"/>
          <w:i w:val="0"/>
        </w:rPr>
        <w:t>“Nếu bạn yêu cầu mọi thành viên hội đồng quản trị xếp hạng các giám đốc đồng nghiệp của họ,” Dysart nói thêm, “thì cùng hai người sẽ nằm ở cuối danh sách của mọi người.”</w:t>
      </w:r>
    </w:p>
    <w:p>
      <w:pPr>
        <w:spacing w:after="80"/>
      </w:pPr>
      <w:r>
        <w:rPr>
          <w:b w:val="0"/>
          <w:i w:val="0"/>
        </w:rPr>
        <w:t>Đây không nhất thiết phải là một quy trình đối đầu, Anna Catalano gợi ý.</w:t>
      </w:r>
    </w:p>
    <w:p>
      <w:pPr>
        <w:spacing w:after="80"/>
      </w:pPr>
      <w:r>
        <w:rPr>
          <w:b w:val="0"/>
          <w:i w:val="0"/>
        </w:rPr>
        <w:t>Xem xét hiệu suất của từng giám đốc mỗi năm rõ ràng đối với tôi dường như là một cách hiệu quả hơn, kịp thời hơn để quản lý việc làm mới hội đồng quản trị so với giới hạn nhiệm kỳ hay độ tuổi nghỉ hưu, dù tôi thừa nhận rằng những người khác mà tôi kính trọng lại cảm thấy khác. Tôi chỉ tin rằng không có lý do gì phải chờ đến giới hạn nhiệm kỳ hay độ tuổi nghỉ hưu mới xử lý một giám đốc không hiệu quả.</w:t>
      </w:r>
    </w:p>
    <w:p>
      <w:pPr>
        <w:pStyle w:val="Heading2"/>
      </w:pPr>
      <w:r>
        <w:rPr>
          <w:rFonts w:ascii="Calibri" w:hAnsi="Calibri"/>
          <w:b/>
          <w:i w:val="0"/>
          <w:sz w:val="32"/>
        </w:rPr>
        <w:t>Giấy phép cho thành viên hội đồng quản trị</w:t>
      </w:r>
    </w:p>
    <w:p>
      <w:pPr>
        <w:spacing w:after="80"/>
      </w:pPr>
      <w:r>
        <w:rPr>
          <w:b w:val="0"/>
          <w:i w:val="0"/>
        </w:rPr>
        <w:t>Đằng sau những lo ngại tiềm ẩn về việc các thành viên hội đồng quản trị (board of directors) tại vị quá lâu hoặc hoạt động không hiệu quả là câu hỏi liệu mỗi thành viên có thực sự đủ năng lực và cập nhật với công việc hay không. Để giải quyết vấn đề này, tôi đã ủng hộ yêu cầu cấp giấy phép cho thành viên hội đồng quản trị.</w:t>
      </w:r>
    </w:p>
    <w:p>
      <w:pPr>
        <w:spacing w:after="80"/>
      </w:pPr>
      <w:r>
        <w:rPr>
          <w:b w:val="0"/>
          <w:i w:val="0"/>
        </w:rPr>
        <w:t>Nhiều ngành nghề yêu cầu giấy phép để chứng minh năng lực. Kế toán, chuyên gia ngân hàng đầu tư, bác sĩ, điều tra viên tư nhân, nhân viên bảo vệ và chuyên viên massage nằm trong số những người phải có giấy phép mới được hành nghề. Dù người có giấy phép không nhất thiết phải xuất sắc trong công việc của mình, giấy phép xác nhận rằng ai đó đã đáp ứng những yêu cầu nhất định do một cơ quan có uy tín đặt ra.</w:t>
      </w:r>
    </w:p>
    <w:p>
      <w:pPr>
        <w:spacing w:after="80"/>
      </w:pPr>
      <w:r>
        <w:rPr>
          <w:b w:val="0"/>
          <w:i w:val="0"/>
        </w:rPr>
        <w:t>Vậy mà những người điều hành các doanh nghiệp ở Mỹ lại không cần bất kỳ khóa đào tạo hay giấy phép cụ thể nào để đảm nhận vị trí của mình. Hầu hết các thành viên hội đồng quản trị đều đã thành công và có thể nói là có đủ năng lực. Và tôi cũng chia sẻ sự bực bội của nhiều người đối với bộ máy quan liêu và các quy định quá mức. Tuy nhiên, tôi tin rằng việc yêu cầu giấy phép đối với thành viên hội đồng quản trị của các công ty đại chúng tại Mỹ sẽ làm tăng niềm tin vào các hội đồng quản trị doanh nghiệp.</w:t>
      </w:r>
    </w:p>
    <w:p>
      <w:pPr>
        <w:spacing w:after="80"/>
      </w:pPr>
      <w:r>
        <w:rPr>
          <w:b w:val="0"/>
          <w:i w:val="0"/>
        </w:rPr>
        <w:t>Để có được giấy phép hành nghề cho một ngành nghề, thường cần một mức kinh nghiệm nhất định và phải vượt qua một kỳ thi viết. Ví dụ, để trở thành kế toán công chứng viên được cấp phép (certified public accountant), các yêu cầu của tiểu bang thường bao gồm bằng cử nhân với 150 giờ học và một số giờ cụ thể về kế toán và kinh doanh tùy theo từng tiểu bang; vượt qua kỳ thi kế toán công chứng viên thống nhất gồm 16 giờ, bốn phần; và ít nhất một năm kinh nghiệm kế toán, cùng với các yêu cầu đào tạo liên tục để gia hạn giấy phép.</w:t>
      </w:r>
    </w:p>
    <w:p>
      <w:pPr>
        <w:spacing w:after="80"/>
      </w:pPr>
      <w:r>
        <w:rPr>
          <w:b w:val="0"/>
          <w:i w:val="0"/>
        </w:rPr>
        <w:t>Tương tự, Series 7 từ trước đến nay là giấy phép cơ bản cho các chuyên gia chứng khoán, với kỳ thi bao gồm các phần về vấn đề khách hàng, thị trường chứng khoán, vấn đề kinh tế và tài chính, và phân tích danh mục đầu tư. Tất cả cá nhân đã đăng ký cũng phải hoàn thành khóa đào tạo định kỳ trên máy tính tập trung vào tuân thủ, quy định, đạo đức và thực hành bán hàng.</w:t>
      </w:r>
    </w:p>
    <w:p>
      <w:pPr>
        <w:spacing w:after="80"/>
      </w:pPr>
      <w:r>
        <w:rPr>
          <w:b w:val="0"/>
          <w:i w:val="0"/>
        </w:rPr>
        <w:t>Giấy phép cho thành viên hội đồng quản trị của các công ty đại chúng có thể theo một mô hình tương tự. Vì những thành viên hội đồng quản trị hiệu quả có thể đến từ rất nhiều xuất thân khác nhau, nên rất khó để xác định một yêu cầu học vấn phù hợp. Tuy nhiên, những thành viên hội đồng quản trị có năng lực phải là người chu đáo và chín chắn. Do đó, một yêu cầu về độ tuổi và kinh nghiệm là điều khả thi: có lẽ một thành viên hội đồng quản trị nên ít nhất 35 tuổi với 10 năm kinh nghiệm làm việc toàn thời gian. Một bài kiểm tra có thể bao gồm các phần về những chủ đề chính được trình bày trong cuốn sách này, bao gồm các tiêu chuẩn pháp lý, nguyên tắc kế toán và tài chính cơ bản, và đạo đức, bao gồm các quy tắc liên quan đến xung đột lợi ích. Đào tạo liên tục, dù được nhiều thành viên hội đồng quản trị theo đuổi, cũng nên được yêu cầu, vì các tiêu chuẩn thay đổi, và các thành viên hội đồng quản trị nên được yêu cầu cập nhật về môi trường kinh doanh và quản trị.</w:t>
      </w:r>
    </w:p>
    <w:p>
      <w:pPr>
        <w:spacing w:after="80"/>
      </w:pPr>
      <w:r>
        <w:rPr>
          <w:b w:val="0"/>
          <w:i w:val="0"/>
        </w:rPr>
        <w:t>NACD cung cấp chứng nhận Thành viên Hội đồng Quản trị (Directorship Certification).26 Trường Kinh doanh Harvard và Trường Kinh doanh Stanford cung cấp các chương trình dành cho thành viên hội đồng quản trị doanh nghiệp, cũng như nhiều trường và tổ chức khác. Dù NACD có hơn 24.000 thành viên là thành viên hội đồng quản trị và được đánh giá cao, và các trường kinh doanh Harvard và Stanford nói chung là những trường kinh doanh được xếp hạng cao nhất, không một tổ chức nào trong số này là cơ quan pháp lý hay quản lý, và vì vậy các chương trình của họ, dù có thể là hình mẫu cho một giấy phép quốc gia, hiện không đảm nhận chức năng đó.27</w:t>
      </w:r>
    </w:p>
    <w:p>
      <w:pPr>
        <w:spacing w:after="80"/>
      </w:pPr>
      <w:r>
        <w:rPr>
          <w:b w:val="0"/>
          <w:i w:val="0"/>
        </w:rPr>
        <w:t>Peter Crist là một người thích ý tưởng về một giấy phép được quản lý bởi một cơ quan độc lập. "Tôi thấy điều đó thú vị," ông nói với tôi.</w:t>
      </w:r>
    </w:p>
    <w:p>
      <w:pPr>
        <w:spacing w:after="80"/>
      </w:pPr>
      <w:r>
        <w:rPr>
          <w:b w:val="0"/>
          <w:i w:val="0"/>
        </w:rPr>
        <w:t>Dù mỗi công ty và mỗi ngành đều khác nhau, vẫn có những điểm chung và những câu hỏi mà mọi thành viên hội đồng quản trị đều nên có khả năng giải đáp. Như Chánh án Strine giải thích: "Một bộ câu hỏi cốt lõi mà mọi thành viên hội đồng quản trị nên phải trả lời được nếu họ muốn phục vụ hiệu quả bao gồm: Công ty này kiếm tiền như thế nào? Chúng ta có đang có lợi nhuận không? Ai là những giám đốc điều hành chủ chốt giúp chúng ta có lợi nhuận? Ai là những người mà chúng ta bán sản phẩm hoặc dịch vụ cho, và họ bị ảnh hưởng như thế nào bởi những gì chúng ta làm?"</w:t>
      </w:r>
    </w:p>
    <w:p>
      <w:pPr>
        <w:spacing w:after="80"/>
      </w:pPr>
      <w:r>
        <w:rPr>
          <w:b w:val="0"/>
          <w:i w:val="0"/>
        </w:rPr>
        <w:t>Một giấy phép xác nhận rằng các thành viên hội đồng quản trị có nền tảng vững chắc và am hiểu các vấn đề then chốt có thể giúp tăng niềm tin vào quản trị doanh nghiệp.</w:t>
      </w:r>
    </w:p>
    <w:p>
      <w:pPr>
        <w:pStyle w:val="Heading1"/>
      </w:pPr>
      <w:r>
        <w:rPr>
          <w:rFonts w:ascii="Calibri" w:hAnsi="Calibri"/>
          <w:b/>
          <w:i w:val="0"/>
          <w:sz w:val="40"/>
        </w:rPr>
        <w:t>Chương 15</w:t>
      </w:r>
    </w:p>
    <w:p>
      <w:pPr>
        <w:pStyle w:val="Heading1"/>
      </w:pPr>
      <w:r>
        <w:rPr>
          <w:rFonts w:ascii="Calibri" w:hAnsi="Calibri"/>
          <w:b/>
          <w:i w:val="0"/>
          <w:sz w:val="40"/>
        </w:rPr>
        <w:t>Nhìn về phía trước và các khuyến nghị</w:t>
      </w:r>
    </w:p>
    <w:p>
      <w:pPr>
        <w:spacing w:after="80"/>
      </w:pPr>
      <w:r>
        <w:rPr>
          <w:b w:val="0"/>
          <w:i w:val="0"/>
        </w:rPr>
        <w:t>Để đạt được quản trị tốt, tôi tin chắc rằng bạn phải hiểu trước tiên cách các hội đồng quản trị đã hoạt động trong quá khứ và sau đó hiểu các cột mốc chỉ dẫn để chúng có thể hiệu quả trong ngày nay. Đây là lý do tôi cấu trúc cuốn sách theo cách này. Đầu tiên chúng ta điểm qua ngắn gọn lịch sử của quản trị doanh nghiệp. Sau đó chúng ta đi vào chi tiết hơn về lịch sử đương đại của các giao dịch (M&amp;A, LBO, hoạt động vận động cổ đông (activism) và tái cấu trúc), sự phát triển của nhà đầu tư tổ chức, và sự ra đời của ESG. Cuối cùng, với nền tảng và góc nhìn đó, chúng ta đã bàn kỹ về những chủ đề mà tôi tin là quan trọng nhất để các hội đồng quản trị hiệu quả trong ngày nay, bao gồm tuyển dụng và hội nhập thành viên hội đồng quản trị mới, quản lý mối quan hệ với CEO, xử lý rủi ro và khủng hoảng, và giữ cho hội đồng quản trị luôn mới mẻ và gia tăng giá trị.</w:t>
      </w:r>
    </w:p>
    <w:p>
      <w:pPr>
        <w:spacing w:after="80"/>
      </w:pPr>
      <w:r>
        <w:rPr>
          <w:b w:val="0"/>
          <w:i w:val="0"/>
        </w:rPr>
        <w:t>Tôi hy vọng điều này đã để lại cho bạn sự trân trọng sâu sắc về việc quản trị đã cải thiện đến mức nào trong những thập kỷ qua, lĩnh vực này phức tạp và năng động ra sao, và những cơ hội để biến các hội đồng quản trị thành những người quản lý lợi ích cổ đông vững mạnh hơn.</w:t>
      </w:r>
    </w:p>
    <w:p>
      <w:pPr>
        <w:spacing w:after="80"/>
      </w:pPr>
      <w:r>
        <w:rPr>
          <w:b w:val="0"/>
          <w:i w:val="0"/>
        </w:rPr>
        <w:t>Dù hội đồng quản trị đối mặt với những thách thức nào, việc tuân theo một bộ nguyên tắc và hướng dẫn được am hiểu đầy đủ có thể đặt mọi thành viên hội đồng quản trị và hội đồng quản trị vào vị thế mạnh nhất để đưa ra những quyết định hiệu quả nhất nhằm tối đa hóa giá trị cổ đông dài hạn. Quản trị doanh nghiệp xuất sắc là trách nhiệm của hội đồng quản trị và diễn ra từng thành viên một.</w:t>
      </w:r>
    </w:p>
    <w:p>
      <w:pPr>
        <w:spacing w:after="80"/>
      </w:pPr>
      <w:r>
        <w:rPr>
          <w:b w:val="0"/>
          <w:i w:val="0"/>
        </w:rPr>
        <w:t>Tóm lại, đây là 10 khuyến nghị của tôi để mỗi thành viên hội đồng quản trị đóng góp vào “quản trị tốt.”</w:t>
      </w:r>
    </w:p>
    <w:p>
      <w:pPr>
        <w:pStyle w:val="Heading2"/>
      </w:pPr>
      <w:r>
        <w:rPr>
          <w:rFonts w:ascii="Calibri" w:hAnsi="Calibri"/>
          <w:b/>
          <w:i w:val="0"/>
          <w:sz w:val="32"/>
        </w:rPr>
        <w:t>1. Hiểu văn hóa và sự hòa hợp của hội đồng quản trị</w:t>
      </w:r>
    </w:p>
    <w:p>
      <w:pPr>
        <w:spacing w:after="80"/>
      </w:pPr>
      <w:r>
        <w:rPr>
          <w:b w:val="0"/>
          <w:i w:val="0"/>
        </w:rPr>
        <w:t>Điều quan trọng là mọi thành viên hội đồng quản trị đều hiểu cách họ có thể tạo ra tác động lớn nhất, cũng như cân nhắc xem liệu một hội đồng quản trị có được tối ưu hóa để cởi mở với ý kiến từ tất cả các thành viên và hoạt động theo cách thúc đẩy giám sát mạnh mẽ và tối đa hóa giá trị hay không.</w:t>
      </w:r>
    </w:p>
    <w:p>
      <w:pPr>
        <w:spacing w:after="80"/>
      </w:pPr>
      <w:r>
        <w:rPr>
          <w:b w:val="0"/>
          <w:i w:val="0"/>
        </w:rPr>
        <w:t>Có thể khó tìm được hướng đi khi bạn mới tham gia một hội đồng quản trị, bởi vì văn hóa và động lực của mỗi hội đồng quản trị đều khác nhau. “Một phần của nó là sự hòa hợp,” Andy Rossman nói. “Các thành viên hội đồng quản trị cần có khả năng hòa thuận với nhau và có những cuộc đối thoại tôn trọng và sôi nổi. Điểm này thường bị bỏ qua, nhưng việc các thành viên hội đồng quản trị có lợi ích kinh tế thống nhất là điều quan trọng. Bạn muốn các thành viên hội đồng quản trị có động lực nâng giá cổ phiếu lên cao nhất có thể.”</w:t>
      </w:r>
    </w:p>
    <w:p>
      <w:pPr>
        <w:spacing w:after="80"/>
      </w:pPr>
      <w:r>
        <w:rPr>
          <w:b w:val="0"/>
          <w:i w:val="0"/>
        </w:rPr>
        <w:t>Mặc dù tất cả “10 bước” của tôi đều nên đóng góp vào một chiến lược nâng cao giá trị, bạn phải hiểu và làm việc trong khuôn khổ văn hóa để có thể tạo ra tác động. “Phép so sánh tôi thích đưa ra,” Chánh án Strine nói, “là so sánh các thành viên hội đồng quản trị công ty đại chúng với các tín thác viên đại học. Chúng ta hiểu rằng đó là những người quan tâm sâu sắc đến tổ chức. Các thành viên hội đồng quản trị công ty đại chúng cũng cần như vậy. Hội đồng quản trị—và ban điều hành—cần quan tâm đủ để đặt công ty lên trên bản thân họ.”</w:t>
      </w:r>
    </w:p>
    <w:p>
      <w:pPr>
        <w:spacing w:after="80"/>
      </w:pPr>
      <w:r>
        <w:rPr>
          <w:b w:val="0"/>
          <w:i w:val="0"/>
        </w:rPr>
        <w:t>Một ví dụ đơn giản nhưng quan trọng là hãy tự hào về mọi công ty mà bạn làm thành viên hội đồng quản trị—hoặc đừng làm thành viên hội đồng quản trị của công ty đó. Tôi là thành viên hội đồng quản trị lâu năm của Lear, một công ty dẫn đầu về ghế ô tô cùng nhiều sản phẩm khác. Tôi chỉ sở hữu những chiếc xe có ghế Lear.</w:t>
      </w:r>
    </w:p>
    <w:p>
      <w:pPr>
        <w:pStyle w:val="Heading2"/>
      </w:pPr>
      <w:r>
        <w:rPr>
          <w:rFonts w:ascii="Calibri" w:hAnsi="Calibri"/>
          <w:b/>
          <w:i w:val="0"/>
          <w:sz w:val="32"/>
        </w:rPr>
        <w:t>2. Đánh giá CEO, chiến lược doanh nghiệp và phân bổ vốn</w:t>
      </w:r>
    </w:p>
    <w:p>
      <w:pPr>
        <w:spacing w:after="80"/>
      </w:pPr>
      <w:r>
        <w:rPr>
          <w:b w:val="0"/>
          <w:i w:val="0"/>
        </w:rPr>
        <w:t>Hai trong số những trách nhiệm quan trọng nhất của hội đồng quản trị là (1) tuyển dụng, đánh giá, trả thù lao và đôi khi thay thế CEO và (2) đặt câu hỏi thách thức và cuối cùng là phê duyệt chiến lược doanh nghiệp và phân bổ vốn.</w:t>
      </w:r>
    </w:p>
    <w:p>
      <w:pPr>
        <w:spacing w:after="80"/>
      </w:pPr>
      <w:r>
        <w:rPr>
          <w:b w:val="0"/>
          <w:i w:val="0"/>
        </w:rPr>
        <w:t>Theo định nghĩa, CEO là lãnh đạo điều hành quan trọng nhất trong công ty, và hội đồng quản trị có trách nhiệm đảm bảo có một CEO xuất sắc. Các thành viên hội đồng quản trị phải tương tác hiệu quả với lãnh đạo điều hành cấp cao nhất, đánh giá và trả thù lao cho người đó, thiết lập kế hoạch và quy trình kế nhiệm, và tuyển dụng người kế nhiệm khi cần thiết.</w:t>
      </w:r>
    </w:p>
    <w:p>
      <w:pPr>
        <w:spacing w:after="80"/>
      </w:pPr>
      <w:r>
        <w:rPr>
          <w:b w:val="0"/>
          <w:i w:val="0"/>
        </w:rPr>
        <w:t>“Thật sự rất khó để trở thành một hội đồng quản trị hiệu quả nếu bạn không có một chiến lược kinh doanh vững chắc về cơ bản và hiểu biết về ngành,” Chánh án Strine nói. Vì vậy, các thành viên hội đồng quản trị cần dành thời gian và công sức đáng kể để tìm hiểu về công ty và ngành của công ty cũng như đi sâu vào chiến lược. Một chiến lược doanh nghiệp được cân nhắc kỹ lưỡng, được hội đồng quản trị phê duyệt và sau đó được ban điều hành thực thi tốt chính là then chốt của một công ty thành công.</w:t>
      </w:r>
    </w:p>
    <w:p>
      <w:pPr>
        <w:spacing w:after="80"/>
      </w:pPr>
      <w:r>
        <w:rPr>
          <w:b w:val="0"/>
          <w:i w:val="0"/>
        </w:rPr>
        <w:t>Chiến lược vốn, thường được gọi là phân bổ vốn, cũng rất quan trọng. Điều này thường đề cập đến việc sử dụng dòng tiền tự do của công ty cho chi tiêu vốn, giảm nợ, mua lại và hoàn trả vốn cho cổ đông thông qua cổ tức và/hoặc mua lại cổ phiếu. Một cách tiếp cận chu đáo đối với các khuyến nghị của ban điều hành về những chủ đề này cũng rất then chốt đối với thành công của công ty.</w:t>
      </w:r>
    </w:p>
    <w:p>
      <w:pPr>
        <w:pStyle w:val="Heading2"/>
      </w:pPr>
      <w:r>
        <w:rPr>
          <w:rFonts w:ascii="Calibri" w:hAnsi="Calibri"/>
          <w:b/>
          <w:i w:val="0"/>
          <w:sz w:val="32"/>
        </w:rPr>
        <w:t>3. Giám sát, đừng quản lý</w:t>
      </w:r>
    </w:p>
    <w:p>
      <w:pPr>
        <w:spacing w:after="80"/>
      </w:pPr>
      <w:r>
        <w:rPr>
          <w:b w:val="0"/>
          <w:i w:val="0"/>
        </w:rPr>
        <w:t>Các thành viên hội đồng quản trị phải nhớ rằng họ ở đó để cố vấn và giám sát, không phải để đi sâu vào chi tiết hay tham gia vào hoạt động hàng ngày. Các thành viên hội đồng quản trị nên giám sát CEO, không hành động theo bất kỳ cách nào như một CEO, và nên cố vấn về chiến lược và phân bổ vốn, không cố gắng quyết định chiến lược và phân bổ vốn. Đây là một nguyên tắc then chốt đối với bất kỳ thành viên hội đồng quản trị chất lượng nào.</w:t>
      </w:r>
    </w:p>
    <w:p>
      <w:pPr>
        <w:spacing w:after="80"/>
      </w:pPr>
      <w:r>
        <w:rPr>
          <w:b w:val="0"/>
          <w:i w:val="0"/>
        </w:rPr>
        <w:t>Tôi đã tham gia vào một số tình huống mà các thành viên hội đồng quản trị liên tục vượt qua ranh giới từ giám sát sang quản lý—bằng cách đặt quá nhiều câu hỏi, lấn sâu vào những chi tiết vượt quá mức phù hợp với một thành viên hội đồng quản trị, và khiến hội đồng quản trị xao nhãng khỏi các trách nhiệm giám sát cốt lõi—và bị yêu cầu không ứng cử lại.</w:t>
      </w:r>
    </w:p>
    <w:p>
      <w:pPr>
        <w:spacing w:after="80"/>
      </w:pPr>
      <w:r>
        <w:rPr>
          <w:b w:val="0"/>
          <w:i w:val="0"/>
        </w:rPr>
        <w:t>Cũng đáng lưu ý rằng mặc dù việc những người có kiến thức chuyên môn cụ thể về các chủ đề như công nghệ thông tin, chuỗi cung ứng và tài chính tham gia nhiều hơn một chút vào những chủ đề đó là điều tốt, tất cả các thành viên hội đồng quản trị đều nên là những người thành đạt với quan điểm am hiểu về hầu hết các chủ đề. Ngay cả một thành viên hội đồng quản trị là chuyên gia trong một lĩnh vực cụ thể cũng không phụ trách lĩnh vực đó. Một thành viên hội đồng quản trị giám sát lĩnh vực đó cùng với các đồng nghiệp trong hội đồng quản trị.</w:t>
      </w:r>
    </w:p>
    <w:p>
      <w:pPr>
        <w:pStyle w:val="Heading2"/>
      </w:pPr>
      <w:r>
        <w:rPr>
          <w:rFonts w:ascii="Calibri" w:hAnsi="Calibri"/>
          <w:b/>
          <w:i w:val="0"/>
          <w:sz w:val="32"/>
        </w:rPr>
        <w:t>4. Hãy tham gia tích cực và nắm bắt thông tin</w:t>
      </w:r>
    </w:p>
    <w:p>
      <w:pPr>
        <w:spacing w:after="80"/>
      </w:pPr>
      <w:r>
        <w:rPr>
          <w:b w:val="0"/>
          <w:i w:val="0"/>
        </w:rPr>
        <w:t>Ngay cả khi vượt ra ngoài các vấn đề về CEO và chiến lược đã bàn ở phần trước, một giám đốc giỏi vẫn tham gia vào mọi vấn đề lớn và nỗ lực hết mình để nắm bắt thông tin đầy đủ nhất có thể. Sự tò mò trí tuệ và mong muốn giúp giải quyết vấn đề, cũng như huấn luyện mọi người tiến bộ, là những phẩm chất quan trọng mà bạn phải có. Cam kết chuẩn bị chu đáo cũng vậy. Hãy đọc và nghiền ngẫm toàn bộ tài liệu hội đồng quản trị trước mọi cuộc họp. Tìm hiểu càng nhiều về công ty càng tốt.</w:t>
      </w:r>
    </w:p>
    <w:p>
      <w:pPr>
        <w:spacing w:after="80"/>
      </w:pPr>
      <w:r>
        <w:rPr>
          <w:b w:val="0"/>
          <w:i w:val="0"/>
        </w:rPr>
        <w:t>"Tôi bước vào mỗi vị trí trong hội đồng quản trị với mong muốn học hỏi càng nhiều càng tốt về hoạt động kinh doanh," Paula Sneed chia sẻ, "giống hệt như cách tôi tiếp cận công việc hằng ngày của mình."</w:t>
      </w:r>
    </w:p>
    <w:p>
      <w:pPr>
        <w:spacing w:after="80"/>
      </w:pPr>
      <w:r>
        <w:rPr>
          <w:b w:val="0"/>
          <w:i w:val="0"/>
        </w:rPr>
        <w:t>"Hãy chuẩn bị sẵn sàng," Sandra Horbach nói thêm. "Hãy làm bài tập về nhà của mình. Điều quan trọng là phải lắng nghe và giữ tâm trí cởi mở khi mọi thứ đang được thảo luận."</w:t>
      </w:r>
    </w:p>
    <w:p>
      <w:pPr>
        <w:pStyle w:val="Heading2"/>
      </w:pPr>
      <w:r>
        <w:rPr>
          <w:rFonts w:ascii="Calibri" w:hAnsi="Calibri"/>
          <w:b/>
          <w:i w:val="0"/>
          <w:sz w:val="32"/>
        </w:rPr>
        <w:t>5. Hãy Tôn trọng và Bao dung</w:t>
      </w:r>
    </w:p>
    <w:p>
      <w:pPr>
        <w:spacing w:after="80"/>
      </w:pPr>
      <w:r>
        <w:rPr>
          <w:b w:val="0"/>
          <w:i w:val="0"/>
        </w:rPr>
        <w:t>Hãy kỳ vọng và yêu cầu mọi giám đốc tôn trọng lẫn nhau và duy trì giọng điệu khuyến khích thảo luận và tranh luận thay vì bịt miệng những tiếng nói có thể không lớn bằng. Hãy lắng nghe, cố gắng đặt câu hỏi trước, và đưa ra quan điểm của mình sau.</w:t>
      </w:r>
    </w:p>
    <w:p>
      <w:pPr>
        <w:spacing w:after="80"/>
      </w:pPr>
      <w:r>
        <w:rPr>
          <w:b w:val="0"/>
          <w:i w:val="0"/>
        </w:rPr>
        <w:t>"Không ai nên cố chứng tỏ điều gì cả," Pete Stavros nói thêm. "Lời khuyên hay nhất mà tôi có thể được nghe khi mới tham gia một hội đồng quản trị là hãy thư giãn, học hỏi, đóng góp khi thấy hợp lý, và đừng gượng ép. Tôi thấy điều này suốt trong các phòng họp hội đồng, người ta không thực sự lắng nghe và cố gắng đóng góp mà thay vào đó cố chứng tỏ mình thông minh, và điều đó chẳng giúp ích gì."</w:t>
      </w:r>
    </w:p>
    <w:p>
      <w:pPr>
        <w:spacing w:after="80"/>
      </w:pPr>
      <w:r>
        <w:rPr>
          <w:b w:val="0"/>
          <w:i w:val="0"/>
        </w:rPr>
        <w:t>Tuy nhiên, lắng nghe không có nghĩa là ngồi yên để người khác thống trị. "Điều khiến một hội đồng quản trị không hiệu quả," Thẩm phán Bouchard nói với tôi, "là không ai được phép rụt rè trong hội đồng. Bạn phải lên tiếng. Không ai ưa những người khó chịu. Nhưng bạn phải bày tỏ quan điểm. Bạn không thể là người ngồi im hay người chỉ biết nói 'vâng', vì điều đó sẽ chẳng bao giờ giúp ích được gì."</w:t>
      </w:r>
    </w:p>
    <w:p>
      <w:pPr>
        <w:pStyle w:val="Heading2"/>
      </w:pPr>
      <w:r>
        <w:rPr>
          <w:rFonts w:ascii="Calibri" w:hAnsi="Calibri"/>
          <w:b/>
          <w:i w:val="0"/>
          <w:sz w:val="32"/>
        </w:rPr>
        <w:t>6. Nhận thức rằng Sự Lãnh đạo Mạnh mẽ của Hội đồng là Then chốt</w:t>
      </w:r>
    </w:p>
    <w:p>
      <w:pPr>
        <w:spacing w:after="80"/>
      </w:pPr>
      <w:r>
        <w:rPr>
          <w:b w:val="0"/>
          <w:i w:val="0"/>
        </w:rPr>
        <w:t>Sự lãnh đạo tôn trọng và được tôn trọng rất quan trọng để tối đa hóa hiệu quả của bất kỳ nhóm nào. Hội đồng quản trị cũng không ngoại lệ. Người lãnh đạo cần đáng tin cậy, tạo nên sự ăn ý tốt, và kiên quyết rằng mọi người đều được lắng nghe. Những nhà lãnh đạo giỏi nhất cam kết tìm kiếm sự nhất trí trong các quyết định và đưa những người có thể bất đồng đến một nơi mà họ cảm thấy được thấu hiểu và biết rằng quan điểm của mình đã được xem xét.</w:t>
      </w:r>
    </w:p>
    <w:p>
      <w:pPr>
        <w:spacing w:after="80"/>
      </w:pPr>
      <w:r>
        <w:rPr>
          <w:b w:val="0"/>
          <w:i w:val="0"/>
        </w:rPr>
        <w:t>Điều then chốt đối với một nhà lãnh đạo còn là hiểu rằng vai trò này không chỉ là nhượng bộ ban điều hành mà còn phải phản biện khi cần thiết và đưa ra tiếng nói cùng góc nhìn độc lập. "Đừng cho rằng những gì bạn được nghe là chính xác," Thẩm phán Bouchard nói. "Bạn thực sự cần một nhà lãnh đạo mạnh mẽ, người có thể đứng lên đối mặt với một CEO mà trong một số trường hợp có thể cố lái hội đồng theo một hướng nhất định. Nhà lãnh đạo cần có khả năng chống lại áp lực kiểu đó mà vẫn duy trì được mối quan hệ hiệu quả và hữu ích."</w:t>
      </w:r>
    </w:p>
    <w:p>
      <w:pPr>
        <w:pStyle w:val="Heading2"/>
      </w:pPr>
      <w:r>
        <w:rPr>
          <w:rFonts w:ascii="Calibri" w:hAnsi="Calibri"/>
          <w:b/>
          <w:i w:val="0"/>
          <w:sz w:val="32"/>
        </w:rPr>
        <w:t>7. Có các Ủy ban Hiệu quả, nhưng Toàn bộ Hội đồng Nên Phê duyệt các Quyết định Lớn</w:t>
      </w:r>
    </w:p>
    <w:p>
      <w:pPr>
        <w:spacing w:after="80"/>
      </w:pPr>
      <w:r>
        <w:rPr>
          <w:b w:val="0"/>
          <w:i w:val="0"/>
        </w:rPr>
        <w:t>Đây là điểm có thể bị bỏ qua. Tất nhiên, bạn nên có ít nhất ba ủy ban chính và bất kỳ ủy ban bổ sung nào có thể giúp hội đồng làm việc hiệu quả và nhanh chóng. Tuy nhiên, toàn bộ hội đồng nên được báo cáo về mọi công việc của ủy ban và phê duyệt mọi quyết định lớn được ủy ban đề xuất.</w:t>
      </w:r>
    </w:p>
    <w:p>
      <w:pPr>
        <w:spacing w:after="80"/>
      </w:pPr>
      <w:r>
        <w:rPr>
          <w:b w:val="0"/>
          <w:i w:val="0"/>
        </w:rPr>
        <w:t>Về các chủ tịch ủy ban, họ nên am hiểu công việc của ủy ban và là những nhà lãnh đạo được đánh giá cao—và người lãnh đạo hội đồng, với ý kiến đóng góp từ các ủy ban và toàn thể hội đồng, nên điều phối việc lựa chọn chủ tịch ủy ban. Thông thường, một giám đốc nên là thành viên hiệu quả, được đánh giá cao của một ủy ban cụ thể trước khi được bổ nhiệm làm chủ tịch.</w:t>
      </w:r>
    </w:p>
    <w:p>
      <w:pPr>
        <w:pStyle w:val="Heading2"/>
      </w:pPr>
      <w:r>
        <w:rPr>
          <w:rFonts w:ascii="Calibri" w:hAnsi="Calibri"/>
          <w:b/>
          <w:i w:val="0"/>
          <w:sz w:val="32"/>
        </w:rPr>
        <w:t>8. Bổ sung các Giám đốc Đa dạng, Gia tăng Giá trị khi Cần</w:t>
      </w:r>
    </w:p>
    <w:p>
      <w:pPr>
        <w:spacing w:after="80"/>
      </w:pPr>
      <w:r>
        <w:rPr>
          <w:b w:val="0"/>
          <w:i w:val="0"/>
        </w:rPr>
        <w:t>Điều quan trọng là giữ ma trận kỹ năng luôn cập nhật và nhận biết mọi nhu cầu cụ thể mà hội đồng đang có. Đồng thời, hãy cởi mở với những "vận động viên giỏi nhất", vì những giám đốc hiệu quả nhất thường am hiểu nhiều vấn đề chứ không chỉ một lĩnh vực hẹp. Khi cân nhắc ứng viên cho các ghế trống trong hội đồng, hãy nghĩ về kinh nghiệm, kiến thức của họ và sự ăn ý được cảm nhận với phần còn lại của hội đồng và ban điều hành.</w:t>
      </w:r>
    </w:p>
    <w:p>
      <w:pPr>
        <w:spacing w:after="80"/>
      </w:pPr>
      <w:r>
        <w:rPr>
          <w:b w:val="0"/>
          <w:i w:val="0"/>
        </w:rPr>
        <w:t>Mặc dù ủy ban đề cử và quản trị thường sẽ điều hành việc tìm kiếm giám đốc mới, tất cả giám đốc, kể cả CEO, nên gặp gỡ mọi ứng viên vào vòng chung kết, và cần có sự nhất trí hoàn toàn về bất kỳ ứng viên nào được trao ghế trong hội đồng. Hãy có sẵn một quy trình định hướng nhanh chóng và hội nhập chi tiết để các giám đốc mới có thể bắt kịp công việc càng nhanh càng tốt và bắt đầu gia tăng giá trị ngay sau khi được bổ nhiệm.</w:t>
      </w:r>
    </w:p>
    <w:p>
      <w:pPr>
        <w:pStyle w:val="Heading2"/>
      </w:pPr>
      <w:r>
        <w:rPr>
          <w:rFonts w:ascii="Calibri" w:hAnsi="Calibri"/>
          <w:b/>
          <w:i w:val="0"/>
          <w:sz w:val="32"/>
        </w:rPr>
        <w:t>9. Giám đốc phải luôn cập nhật</w:t>
      </w:r>
    </w:p>
    <w:p>
      <w:pPr>
        <w:spacing w:after="80"/>
      </w:pPr>
      <w:r>
        <w:rPr>
          <w:b w:val="0"/>
          <w:i w:val="0"/>
        </w:rPr>
        <w:t>Khuyến khích các thành viên hội đồng quản trị luôn cập nhật các chủ đề về quản trị, kinh doanh, tài chính và các chủ đề liên quan khác.</w:t>
      </w:r>
    </w:p>
    <w:p>
      <w:pPr>
        <w:spacing w:after="80"/>
      </w:pPr>
      <w:r>
        <w:rPr>
          <w:b w:val="0"/>
          <w:i w:val="0"/>
        </w:rPr>
        <w:t>Việc đào tạo hội đồng quản trị là rất có giá trị và có thể được công ty cung cấp, đôi khi vào khoảng "thời gian chết" giữa lúc kết thúc các cuộc họp ủy ban trong ngày đầu tiên và bữa tối của hội đồng quản trị, thường là cùng với ban điều hành, trong hoặc sau bữa tối, hoặc thậm chí trong cuộc họp hội đồng quản trị định kỳ. Ngoài ra, các giám đốc nên tận dụng các cơ hội học tập liên tục ở nhiều diễn đàn khác nhau, chẳng hạn như các hội nghị bên ngoài và các chương trình đào tạo. Các giám đốc nên được hoàn trả chi phí cho những nỗ lực quan trọng này, và những trải nghiệm đặc biệt hữu ích nên được giới thiệu cho tất cả các giám đốc.</w:t>
      </w:r>
    </w:p>
    <w:p>
      <w:pPr>
        <w:pStyle w:val="Heading2"/>
      </w:pPr>
      <w:r>
        <w:rPr>
          <w:rFonts w:ascii="Calibri" w:hAnsi="Calibri"/>
          <w:b/>
          <w:i w:val="0"/>
          <w:sz w:val="32"/>
        </w:rPr>
        <w:t>10. Giữ cho hội đồng quản trị luôn mới mẻ</w:t>
      </w:r>
    </w:p>
    <w:p>
      <w:pPr>
        <w:spacing w:after="80"/>
      </w:pPr>
      <w:r>
        <w:rPr>
          <w:b w:val="0"/>
          <w:i w:val="0"/>
        </w:rPr>
        <w:t>Vị trí giám đốc công ty không nên là một chức vụ được giữ suốt đời. Hội đồng quản trị, các ủy ban của nó, và theo ý kiến của tôi, từng giám đốc riêng lẻ, nên được đánh giá chi tiết hàng năm. Như đã thảo luận, có nhiều quan điểm khác nhau về giới hạn nhiệm kỳ, độ tuổi nghỉ hưu và việc đánh giá từng giám đốc. Nhưng điều quan trọng nhất là mọi thành viên của hội đồng quản trị phải luôn có đầy đủ năng lực để giám sát ban điều hành và công ty thay mặt cho các cổ đông.</w:t>
      </w:r>
    </w:p>
    <w:p>
      <w:pPr>
        <w:spacing w:after="80"/>
      </w:pPr>
      <w:r>
        <w:rPr>
          <w:b w:val="0"/>
          <w:i w:val="0"/>
        </w:rPr>
        <w:t>Mặc dù việc yêu cầu một giám đốc từ chức hoặc không ra ứng cử lại tại cuộc họp thường niên tiếp theo là điều không dễ chịu, nhưng phải làm khi cần thiết. Suy cho cùng, CEO và các thành viên khác của ban điều hành liên tục bị đánh giá và có nguy cơ mất việc vì không hoàn thành tốt công việc; các giám đốc cũng nên như vậy.</w:t>
      </w:r>
    </w:p>
    <w:p>
      <w:pPr>
        <w:spacing w:after="80"/>
      </w:pPr>
      <w:r>
        <w:rPr>
          <w:b w:val="0"/>
          <w:i w:val="0"/>
        </w:rPr>
        <w:t>*</w:t>
      </w:r>
    </w:p>
    <w:p>
      <w:pPr>
        <w:spacing w:after="80"/>
      </w:pPr>
      <w:r>
        <w:rPr>
          <w:b w:val="0"/>
          <w:i w:val="0"/>
        </w:rPr>
        <w:t>Tôi đã được hỏi rất nhiều lần rằng: "Làm thế nào để trở thành giám đốc công ty?" Không có một câu trả lời duy nhất. Tuy nhiên, luôn có nhu cầu về một nhóm đa dạng gồm những người thành đạt với nhiều nền tảng và bộ kỹ năng khác nhau để giúp giám sát các công ty.</w:t>
      </w:r>
    </w:p>
    <w:p>
      <w:pPr>
        <w:spacing w:after="80"/>
      </w:pPr>
      <w:r>
        <w:rPr>
          <w:b w:val="0"/>
          <w:i w:val="0"/>
        </w:rPr>
        <w:t>Hãy bắt đầu bằng việc suy nghĩ xem bạn sẽ mô tả ngắn gọn kinh nghiệm và kiến thức của mình như thế nào, cũng như lý do bạn sẽ là một giám đốc giỏi. Điều gì trong quá khứ của bạn cho thấy bạn làm việc nhóm tốt? Bạn có thể đóng góp cho (những) ủy ban nào và tại sao? Tất nhiên, hãy luôn cập nhật các vấn đề quản trị bằng cách, ví dụ, tham gia NACD và tham dự các hội nghị về quản trị cũng như các chương trình đào tạo về quản trị.</w:t>
      </w:r>
    </w:p>
    <w:p>
      <w:pPr>
        <w:spacing w:after="80"/>
      </w:pPr>
      <w:r>
        <w:rPr>
          <w:b w:val="0"/>
          <w:i w:val="0"/>
        </w:rPr>
        <w:t>Một cách thực tế hơn, hãy tiếp cận các mối quan hệ của bạn trong cộng đồng kinh doanh rộng lớn, bao gồm các lãnh đạo điều hành, nhà đầu tư, chuyên gia tìm kiếm nhân sự cấp cao, luật sư, chuyên gia ngân hàng đầu tư, kế toán và những người khác, để bày tỏ sự quan tâm của bạn. Hãy tìm một ghế trong hội đồng quản trị như cách bạn tìm bất kỳ công việc nào.</w:t>
      </w:r>
    </w:p>
    <w:p>
      <w:pPr>
        <w:spacing w:after="80"/>
      </w:pPr>
      <w:r>
        <w:rPr>
          <w:b w:val="0"/>
          <w:i w:val="0"/>
        </w:rPr>
        <w:t>*</w:t>
      </w:r>
    </w:p>
    <w:p>
      <w:pPr>
        <w:spacing w:after="80"/>
      </w:pPr>
      <w:r>
        <w:rPr>
          <w:b w:val="0"/>
          <w:i w:val="0"/>
        </w:rPr>
        <w:t>Tổng hợp lại, những khuyến nghị này—và thực sự là sự hiểu biết về các chủ đề được khám phá xuyên suốt cuốn sách này—hy vọng có thể giúp bất kỳ giám đốc nào, và bất kỳ hội đồng quản trị nào, đạt được thành công. Quản trị công ty, như tôi đã nhắc đi nhắc lại nhiều lần, đã trở nên mạnh mẽ hơn qua các thế hệ—nhưng đây vẫn là một lĩnh vực có thể tiếp tục cải thiện. Tất cả các giám đốc nên không ngừng củng cố cam kết của mình đối với quản trị tốt bằng cách thực hiện vai trò giám sát với sự cẩn trọng và trung thành với mọi công ty mà họ phục vụ, và trở thành những người ủng hộ sáng suốt, chu đáo cho các cổ đông và các bên liên quan rộng hơn.</w:t>
      </w:r>
    </w:p>
    <w:p>
      <w:pPr>
        <w:pStyle w:val="Heading1"/>
      </w:pPr>
      <w:r>
        <w:rPr>
          <w:rFonts w:ascii="Calibri" w:hAnsi="Calibri"/>
          <w:b/>
          <w:i w:val="0"/>
          <w:sz w:val="40"/>
        </w:rPr>
        <w:t>Lời cảm ơn</w:t>
      </w:r>
    </w:p>
    <w:p>
      <w:pPr>
        <w:spacing w:after="80"/>
      </w:pPr>
      <w:r>
        <w:rPr>
          <w:b w:val="0"/>
          <w:i w:val="0"/>
        </w:rPr>
        <w:t>Việc lãnh đạo các tổ chức, và đặc biệt là các doanh nghiệp, đã khiến tôi quan tâm từ khi tôi còn nhớ. Tôi trở thành giám đốc của hai công ty đại chúng nhỏ hơn hai thập kỷ trước, và ngay sau đó, người đầu tiên trong ba thống đốc bang New York đã bổ nhiệm tôi làm ủy viên của New York Power Authority, công ty tiện ích của bang. Và rồi tôi tham gia hội đồng quản trị của Masonite vào năm 2009. Từ những khởi đầu đó cho đến hôm nay, tôi luôn hào hứng với những thách thức của việc trở thành giám đốc và hào hứng khi được ở trong phòng họp hội đồng quản trị.</w:t>
      </w:r>
    </w:p>
    <w:p>
      <w:pPr>
        <w:spacing w:after="80"/>
      </w:pPr>
      <w:r>
        <w:rPr>
          <w:b w:val="0"/>
          <w:i w:val="0"/>
        </w:rPr>
        <w:t>Viết cuốn sách này là một quá trình thú vị khi cố gắng chắt lọc cả một sự nghiệp kinh nghiệm thành một cuốn cẩm nang mà tôi hy vọng sẽ mang lại lợi ích cho người khác. Tôi biết ơn hàng trăm giám đốc và hàng trăm lãnh đạo điều hành đã và đang là đồng nghiệp, khách hàng, và trong nhiều trường hợp, là bạn bè của tôi. Bạn không bao giờ ngừng học hỏi từ những người giàu kinh nghiệm đang cố gắng giúp tối đa hóa giá trị cho các cổ đông và các bên liên quan.</w:t>
      </w:r>
    </w:p>
    <w:p>
      <w:pPr>
        <w:spacing w:after="80"/>
      </w:pPr>
      <w:r>
        <w:rPr>
          <w:b w:val="0"/>
          <w:i w:val="0"/>
        </w:rPr>
        <w:t>Tôi đã phỏng vấn hơn 75 người cho cuốn sách này, hầu hết trong số họ bạn đã "gặp" trong những trang này. Tôi tin rằng bạn đồng ý với tôi rằng cuốn sách đã được nâng cao rất nhiều nhờ nhiều người đã chia sẻ quan điểm của họ. Xin cảm ơn tất cả họ, nhiều người trong số đó tôi đã biết từ nhiều năm, một số là những liên hệ mới hơn, và những người khác được giới thiệu cho tôi vì cuốn sách này; nhiều người trong số họ đã là hoặc đã trở thành bạn bè. Tất cả họ đều được liệt kê trong phần phụ lục.</w:t>
      </w:r>
    </w:p>
    <w:p>
      <w:pPr>
        <w:spacing w:after="80"/>
      </w:pPr>
      <w:r>
        <w:rPr>
          <w:b w:val="0"/>
          <w:i w:val="0"/>
        </w:rPr>
        <w:t>Đã từ lâu, tôi đã có một ý tưởng khá rõ ràng về cấu trúc và nội dung của một cuốn sách về quản trị doanh nghiệp mà tôi muốn viết. Thực tế, tôi đã phác thảo và chỉnh sửa mục lục cùng phần tóm tắt trong vài năm. Tuy nhiên, chính cuộc gọi "bất ngờ" từ Mike Dubes đã khởi động dự án này. Cảm ơn Mike. Trên chặng đường đó, tôi may mắn được kết nối với Madeleine Morel, người đã giới thiệu tôi với Jeremy Blachman. Rồi cuốn sách này trở thành hiện thực. Jeremy là một người cộng sự tuyệt vời trong mọi khía cạnh của "cẩm nang" này: thuyết phục tôi điều chỉnh mục lục ban đầu, thực hiện những nghiên cứu đáng nể, biến không ít ý tưởng và quan điểm thành văn phong dễ đọc hơn, giúp quản lý vô số cuộc phỏng vấn, xử lý các yêu cầu và email từ tôi vào mọi giờ giấc, và dẫn dắt tôi qua quá trình xuất bản. Anh ấy luôn ủng hộ và phản hồi nhanh nhẹn, và cuốn sách này sẽ không tồn tại nếu không có anh. Tôi hy vọng chúng tôi sẽ làm thêm một cuốn nữa cùng nhau. Tôi cho rằng cũng nên cảm ơn American Airlines và Delta Airlines. Dù có bao nhiêu bực bội với việc bay thương mại, thời gian trên không của tôi là khoảng thời gian làm việc hiệu quả nhất; nhiều trang của cuốn sách này đã được viết và chỉnh sửa trên bầu trời.</w:t>
      </w:r>
    </w:p>
    <w:p>
      <w:pPr>
        <w:spacing w:after="80"/>
      </w:pPr>
      <w:r>
        <w:rPr>
          <w:b w:val="0"/>
          <w:i w:val="0"/>
        </w:rPr>
        <w:t>Với một người mới như tôi, quá trình xuất bản ban đầu có vẻ mờ mịt và chậm chạp. Nhưng rồi tôi gặp Mark Fretz ở Radius, và đó gần như đúng nghĩa là một luồng gió mới. Cảm ơn Mark, Julia Sloan và những người khác ở Radius. Việc biên tập của Tyler Loveless ở Open Boat chắc chắn đã cải thiện văn bản, và tôi hy vọng bạn thích thiết kế bìa của Pete Garceau nhiều như tôi. Danny Constantino, Jennifer Boeree và đội ngũ ở Scribe là những người rất dễ chịu khi làm việc cùng và xuất sắc trong khâu sản xuất cuốn sách. Andrew Amine đã giúp tôi trông đẹp nhất có thể trong ảnh bìa sách. Cuối cùng, Kathleen Schmidt đã phát triển và giúp thực hiện một kế hoạch tiếp thị chu đáo. Lacy Kirkland và Jane Wesman cũng đã đóng góp ý kiến quý giá về chủ đề quan trọng này. Xin gửi lời cảm ơn đặc biệt đến con gái tôi, Rebekah, người đã dạy tôi cách mạng xã hội vận hành và đã tạo dựng sự hiện diện mạnh mẽ cho cuốn sách trên một phương tiện truyền thông vẫn còn mới mẻ với tôi.</w:t>
      </w:r>
    </w:p>
    <w:p>
      <w:pPr>
        <w:spacing w:after="80"/>
      </w:pPr>
      <w:r>
        <w:rPr>
          <w:b w:val="0"/>
          <w:i w:val="0"/>
        </w:rPr>
        <w:t>Tôi đã làm việc cho và cùng với nhiều người trong những năm qua, những người đã đóng góp to lớn vào kiến thức của tôi và cuốn sách này, đồng thời có vai trò quan trọng hơn trong cuộc đời tôi. Mọi thứ thực sự bắt đầu với tôi cùng Steve Golub, Jerry Rosenfeld, Josh Gotbaum và Jamie Kempner vào cuối những năm 1980 tại Lazard. Jerry vẫn là một người cố vấn và người bạn đặc biệt quý giá. Trong những năm gần đây, tôi biết ơn sự hỗ trợ của nhiều người đã giúp đỡ theo nhiều cách khác nhau cho cuốn sách này. Với nguy cơ bỏ sót một số người, xin cảm ơn Tim Bernlohr, Kathleen Brown, Marcel Bucsescu, Anna Catalano, Rick Chesley, John Church, John Federici, Jim Glerum, Andrew Gordon, Daniel Gross, Brad Halverson, Chad Hudnut, Rob Kindler, Matt Rhodes-Kropf, Steve Reisman, Marc Roitman, Steve Rosenblum, Mike Rossi, Paul Schnell, Fran Scricco, Steve Serajeddini, Steve Silver, Greg Smith, Rob Steele, Charles Tauber, Elina Tetelbaum, Scott Ullem, Harry van Dyke, Cathy Ward, Andreas Weller và Jake Wood.</w:t>
      </w:r>
    </w:p>
    <w:p>
      <w:pPr>
        <w:spacing w:after="80"/>
      </w:pPr>
      <w:r>
        <w:rPr>
          <w:b w:val="0"/>
          <w:i w:val="0"/>
        </w:rPr>
        <w:t>Tôi thành lập Current Capital Partners vào năm 2008—công ty đã hoạt động mạnh mẽ trước cuộc Đại Suy thoái—để trở thành một công ty tư vấn và ngân hàng thương mại boutique tập trung vào công việc tư vấn M&amp;A và tái cấu trúc cũng như huy động vốn; dịch vụ quản lý doanh nghiệp, tức là ngồi trong hội đồng quản trị và làm công việc nhân chứng chuyên gia trong các vụ kiện tụng doanh nghiệp; và đầu tư vốn cổ phần tư nhân. Chúng tôi có một đội ngũ nòng cốt tuyệt vời: Connor Donovan và Justin Levine, hai nhân viên ngân hàng đang lên nhanh chóng và thực sự là những đối tác; Matt Grayson, người làm những gì các nhân viên ngân hàng trẻ làm và hơn thế nữa; và Greg Hartley, đối tác vận hành của chúng tôi, người mang đến góc nhìn độc đáo cho các đội tư vấn của chúng tôi. Họ tiếp thêm năng lượng cho tôi.</w:t>
      </w:r>
    </w:p>
    <w:p>
      <w:pPr>
        <w:spacing w:after="80"/>
      </w:pPr>
      <w:r>
        <w:rPr>
          <w:b w:val="0"/>
          <w:i w:val="0"/>
        </w:rPr>
        <w:t>Tôi cũng muốn tưởng nhớ quá nhiều đồng nghiệp kinh doanh và bạn bè đã không còn với chúng ta. Người bạn thân mà tôi vô cùng nhớ nhung, Jim Risher, từng giữ nhiều vị trí, trong đó có CEO của Exide Electronics. Ông tin tưởng tôi với vai trò nhân viên ngân hàng chính của ông khi tôi chỉ là một phó chủ tịch tại Lazard, và công ty bị tấn công thâu tóm thù địch với mức giá cao gấp 100 phần trăm so với giá cổ phiếu lúc đó từ một người mua doanh nghiệp—chúng tôi đã đẩy lùi cuộc tấn công và bán công ty cho một "hiệp sĩ áo trắng" với giá cao hơn. Jim cũng cho tôi thấy rằng bạn có thể vừa là một giám đốc điều hành thành công vừa là một "người tử tế" với trái tim rộng lớn. Tôi vẫn hình dung ngày buồn và ấm áp ở North Carolina khi ông được an táng quá sớm. George Lorch dạy tôi rằng bạn thực sự có thể chỉ cần đưa ra vài nhận xét chu đáo tại một cuộc họp hội đồng quản trị kéo dài hai ngày và tạo ra tác động lớn nhất. Tôi cũng nhớ Ed Arditte, Steve Gerard và Bill Oesterle.</w:t>
      </w:r>
    </w:p>
    <w:p>
      <w:pPr>
        <w:spacing w:after="80"/>
      </w:pPr>
      <w:r>
        <w:rPr>
          <w:b w:val="0"/>
          <w:i w:val="0"/>
        </w:rPr>
        <w:t>Quan trọng nhất, cảm ơn Roni, Rebekah, Jack—và Winston. Roni, em sẽ mỉm cười khi anh kể lại lần nữa về ngày oi bức ở Atlanta khi anh nhìn thấy cô gái đáng yêu này ở phía bên kia phòng, mời cô ấy đi ăn tối, nhìn vào ví khi hóa đơn đến, và thấy không có thẻ tín dụng lẫn đủ tiền mặt. Anh chưa bao giờ tưởng tượng rằng hơn 40 năm tiếp theo lại đặc biệt và vui vẻ đến vậy. Chúc cho nhiều năm nữa. Tất nhiên, chúng tôi nhận ra khi Rebekah chào đời, rồi đến Jack, rằng không có gì đặc biệt bằng một gia đình tuyệt vời—thật nhiều yêu thương và niềm vui. Với anh, tất cả là về ngày mai. Với lòng tốt, sự quyết tâm và những thành tựu của các con, Rebekah và Jack, ngay cả trong thời điểm nhiều bất định này, bố vẫn lạc quan về tương lai. Và Winston, thành viên nhỏ nhất trong gia đình: Ai mà biết được một chú chó nặng 20 pound với thời gian mang thai chỉ hai tháng lại có thể là người bạn đồng hành tuyệt vời và mang lại nhiều hạnh phúc đến thế?</w:t>
      </w:r>
    </w:p>
    <w:p>
      <w:pPr>
        <w:spacing w:after="80"/>
      </w:pPr>
      <w:r>
        <w:rPr>
          <w:b w:val="0"/>
          <w:i w:val="0"/>
        </w:rPr>
        <w:t>Jonathan F. Foster</w:t>
      </w:r>
    </w:p>
    <w:p>
      <w:pPr>
        <w:spacing w:after="80"/>
      </w:pPr>
      <w:r>
        <w:rPr>
          <w:b w:val="0"/>
          <w:i w:val="0"/>
        </w:rPr>
        <w:t>Ngày 28 tháng 4 năm 2025</w:t>
      </w:r>
    </w:p>
    <w:p>
      <w:pPr>
        <w:spacing w:after="80"/>
      </w:pPr>
      <w:r>
        <w:rPr>
          <w:b w:val="0"/>
          <w:i w:val="0"/>
        </w:rPr>
        <w:t>Thành phố New York</w:t>
      </w:r>
    </w:p>
    <w:p>
      <w:pPr>
        <w:pStyle w:val="Heading1"/>
      </w:pPr>
      <w:r>
        <w:rPr>
          <w:rFonts w:ascii="Calibri" w:hAnsi="Calibri"/>
          <w:b/>
          <w:i w:val="0"/>
          <w:sz w:val="40"/>
        </w:rPr>
        <w:t>Phụ lục</w:t>
      </w:r>
    </w:p>
    <w:p>
      <w:pPr>
        <w:spacing w:after="160"/>
        <w:jc w:val="center"/>
      </w:pPr>
      <w:r>
        <w:rPr>
          <w:rFonts w:ascii="Calibri" w:hAnsi="Calibri"/>
          <w:b w:val="0"/>
          <w:i/>
          <w:sz w:val="19"/>
        </w:rPr>
        <w:t>Các cuộc phỏng vấn</w:t>
      </w:r>
    </w:p>
    <w:p>
      <w:pPr>
        <w:spacing w:after="80"/>
      </w:pPr>
      <w:r>
        <w:rPr>
          <w:b w:val="0"/>
          <w:i w:val="0"/>
        </w:rPr>
        <w:t>Cảm ơn tất cả những ai đã dành thời gian, kinh nghiệm và ý kiến của mình để chia sẻ với tôi trong các cuộc phỏng vấn:</w:t>
      </w:r>
    </w:p>
    <w:p>
      <w:pPr>
        <w:spacing w:after="80"/>
      </w:pPr>
      <w:r>
        <w:rPr>
          <w:b w:val="0"/>
          <w:i w:val="0"/>
        </w:rPr>
        <w:t>Mike Allen, Giám đốc và Chủ tịch Nhóm Tư vấn Doanh nghiệp; Phó Chủ tịch Bộ phận Doanh nghiệp, Richards Layton &amp; Finger</w:t>
      </w:r>
    </w:p>
    <w:p>
      <w:pPr>
        <w:spacing w:after="80"/>
      </w:pPr>
      <w:r>
        <w:rPr>
          <w:b w:val="0"/>
          <w:i w:val="0"/>
        </w:rPr>
        <w:t>Kristy Balsanek, Đối tác và Đồng Chủ tịch Toàn cầu về Môi trường, Xã hội và Quản trị, DLA Piper</w:t>
      </w:r>
    </w:p>
    <w:p>
      <w:pPr>
        <w:spacing w:after="80"/>
      </w:pPr>
      <w:r>
        <w:rPr>
          <w:b w:val="0"/>
          <w:i w:val="0"/>
        </w:rPr>
        <w:t>Thượng nghị sĩ Evan Bayh, Cố vấn Cấp cao, Apollo Global Management; cựu thống đốc hai nhiệm kỳ và cựu Thượng nghị sĩ Hoa Kỳ hai nhiệm kỳ của bang Indiana</w:t>
      </w:r>
    </w:p>
    <w:p>
      <w:pPr>
        <w:spacing w:after="80"/>
      </w:pPr>
      <w:r>
        <w:rPr>
          <w:b w:val="0"/>
          <w:i w:val="0"/>
        </w:rPr>
        <w:t>Doug Benham, cựu Chủ tịch và Giám đốc Điều hành, Arby's Restaurant Group</w:t>
      </w:r>
    </w:p>
    <w:p>
      <w:pPr>
        <w:spacing w:after="80"/>
      </w:pPr>
      <w:r>
        <w:rPr>
          <w:b w:val="0"/>
          <w:i w:val="0"/>
        </w:rPr>
        <w:t>Larry Berg, Thành viên cấp cao, 26North; Đồng chủ sở hữu điều hành, Los Angeles Football Club; cựu Thành viên cấp cao, Apollo Global Management</w:t>
      </w:r>
    </w:p>
    <w:p>
      <w:pPr>
        <w:spacing w:after="80"/>
      </w:pPr>
      <w:r>
        <w:rPr>
          <w:b w:val="0"/>
          <w:i w:val="0"/>
        </w:rPr>
        <w:t>Thủ tướng Andre Bouchard, Thành viên Ban tranh tụng, Paul, Weiss, Rifkind, Wharton &amp; Garrison; cựu Thủ tướng Tòa án Chancery Delaware</w:t>
      </w:r>
    </w:p>
    <w:p>
      <w:pPr>
        <w:spacing w:after="80"/>
      </w:pPr>
      <w:r>
        <w:rPr>
          <w:b w:val="0"/>
          <w:i w:val="0"/>
        </w:rPr>
        <w:t>David Brandon, Chủ tịch, cựu Chủ tịch điều hành và cựu Giám đốc điều hành, Domino's Pizza; Cố vấn điều hành cho KKR; cựu Giám đốc điều hành, Toys"R"Us; cựu Giám đốc thể thao, Đại học Michigan; cựu Chủ tịch và Giám đốc điều hành, Valassis</w:t>
      </w:r>
    </w:p>
    <w:p>
      <w:pPr>
        <w:spacing w:after="80"/>
      </w:pPr>
      <w:r>
        <w:rPr>
          <w:b w:val="0"/>
          <w:i w:val="0"/>
        </w:rPr>
        <w:t>Kathleen Brown, Thành viên, Chính phủ và Quản lý, Manatt, Phelps &amp; Phillips; cựu Chủ tịch Ngân hàng đầu tư Trung Tây, Goldman Sachs; cựu ứng viên Đảng Dân chủ cho chức Thống đốc California; cựu Thủ quỹ California</w:t>
      </w:r>
    </w:p>
    <w:p>
      <w:pPr>
        <w:spacing w:after="80"/>
      </w:pPr>
      <w:r>
        <w:rPr>
          <w:b w:val="0"/>
          <w:i w:val="0"/>
        </w:rPr>
        <w:t>Robert Byrne, cựu Chủ tịch, Masonite International; Nhà sáng lập và cựu Chủ tịch, Power Pro-Tech Services</w:t>
      </w:r>
    </w:p>
    <w:p>
      <w:pPr>
        <w:spacing w:after="80"/>
      </w:pPr>
      <w:r>
        <w:rPr>
          <w:b w:val="0"/>
          <w:i w:val="0"/>
        </w:rPr>
        <w:t>Mario Carbone, Thành viên điều hành, Major Food Group</w:t>
      </w:r>
    </w:p>
    <w:p>
      <w:pPr>
        <w:spacing w:after="80"/>
      </w:pPr>
      <w:r>
        <w:rPr>
          <w:b w:val="0"/>
          <w:i w:val="0"/>
        </w:rPr>
        <w:t>Laura Carstensen, Giáo sư Tâm lý học và Chính sách Y tế và Giáo sư Fairleigh S. Dickinson Jr. về Chính sách Công, Đại học Stanford; Giám đốc, Trung tâm Stanford về Tuổi thọ</w:t>
      </w:r>
    </w:p>
    <w:p>
      <w:pPr>
        <w:spacing w:after="80"/>
      </w:pPr>
      <w:r>
        <w:rPr>
          <w:b w:val="0"/>
          <w:i w:val="0"/>
        </w:rPr>
        <w:t>John Casesa, Giám đốc điều hành cấp cao, Guggenheim Securities; cựu Phó Chủ tịch Tập đoàn, Chiến lược Toàn cầu, Ford Motor Company</w:t>
      </w:r>
    </w:p>
    <w:p>
      <w:pPr>
        <w:spacing w:after="80"/>
      </w:pPr>
      <w:r>
        <w:rPr>
          <w:b w:val="0"/>
          <w:i w:val="0"/>
        </w:rPr>
        <w:t>Anna Catalano, Giám đốc đương nhiệm và cựu lãnh đạo, BP và Amoco</w:t>
      </w:r>
    </w:p>
    <w:p>
      <w:pPr>
        <w:spacing w:after="80"/>
      </w:pPr>
      <w:r>
        <w:rPr>
          <w:b w:val="0"/>
          <w:i w:val="0"/>
        </w:rPr>
        <w:t>Thẩm phán Shelley Chapman, Cố vấn cấp cao Ban Tái cơ cấu và Chủ tịch thực hành Giải quyết Tranh chấp Thay thế, Willkie Farr &amp; Gallagher; cựu Thẩm phán Phá sản Hoa Kỳ cho Quận Nam New York</w:t>
      </w:r>
    </w:p>
    <w:p>
      <w:pPr>
        <w:spacing w:after="80"/>
      </w:pPr>
      <w:r>
        <w:rPr>
          <w:b w:val="0"/>
          <w:i w:val="0"/>
        </w:rPr>
        <w:t>Jim Citrin, Trưởng nhóm thực hành Giám đốc điều hành; Đồng trưởng nhóm thực hành Hội đồng quản trị; Thành viên Hội đồng quản trị, Spencer Stuart</w:t>
      </w:r>
    </w:p>
    <w:p>
      <w:pPr>
        <w:spacing w:after="80"/>
      </w:pPr>
      <w:r>
        <w:rPr>
          <w:b w:val="0"/>
          <w:i w:val="0"/>
        </w:rPr>
        <w:t>Peter Crist, Nhà sáng lập, Crist Associates; Phó Chủ tịch, Korn Ferry; Nhà sáng lập, Crist Partners; cựu Đồng trưởng Bắc Mỹ và Thành viên Ủy ban Điều hành, Russell Reynolds Associates</w:t>
      </w:r>
    </w:p>
    <w:p>
      <w:pPr>
        <w:spacing w:after="80"/>
      </w:pPr>
      <w:r>
        <w:rPr>
          <w:b w:val="0"/>
          <w:i w:val="0"/>
        </w:rPr>
        <w:t>Thẩm phán Robert Drain, Cố vấn, Tái cơ cấu Doanh nghiệp, Skadden, Arps, Slate, Meagher &amp; Flom; cựu Thẩm phán Phá sản Hoa Kỳ cho Quận Nam New York</w:t>
      </w:r>
    </w:p>
    <w:p>
      <w:pPr>
        <w:spacing w:after="80"/>
      </w:pPr>
      <w:r>
        <w:rPr>
          <w:b w:val="0"/>
          <w:i w:val="0"/>
        </w:rPr>
        <w:t>Christopher Drewry, Thành viên và Đồng chủ tịch Toàn cầu thực hành Hoạt động Cổ đông &amp; Phòng vệ Tiếp quản, Latham &amp; Watkins</w:t>
      </w:r>
    </w:p>
    <w:p>
      <w:pPr>
        <w:spacing w:after="80"/>
      </w:pPr>
      <w:r>
        <w:rPr>
          <w:b w:val="0"/>
          <w:i w:val="0"/>
        </w:rPr>
        <w:t>Ted Dysart, Giám đốc điều hành, Russell Reynolds Associates</w:t>
      </w:r>
    </w:p>
    <w:p>
      <w:pPr>
        <w:spacing w:after="80"/>
      </w:pPr>
      <w:r>
        <w:rPr>
          <w:b w:val="0"/>
          <w:i w:val="0"/>
        </w:rPr>
        <w:t>John Dyson, Chủ tịch, Millbrook Capital Management; cựu Chủ tịch, Cơ quan Điện lực New York; cựu Phó Thị trưởng Thành phố New York</w:t>
      </w:r>
    </w:p>
    <w:p>
      <w:pPr>
        <w:spacing w:after="80"/>
      </w:pPr>
      <w:r>
        <w:rPr>
          <w:b w:val="0"/>
          <w:i w:val="0"/>
        </w:rPr>
        <w:t>Lawrence Elbaum, Đồng trưởng nhóm Thực hành Vận động Cổ đông và Thành viên Ban Sáp nhập và Mua lại, Sullivan &amp; Cromwell</w:t>
      </w:r>
    </w:p>
    <w:p>
      <w:pPr>
        <w:spacing w:after="80"/>
      </w:pPr>
      <w:r>
        <w:rPr>
          <w:b w:val="0"/>
          <w:i w:val="0"/>
        </w:rPr>
        <w:t>Jared Ellias, Giáo sư Luật Scott C. Collins, Trường Luật Harvard</w:t>
      </w:r>
    </w:p>
    <w:p>
      <w:pPr>
        <w:spacing w:after="80"/>
      </w:pPr>
      <w:r>
        <w:rPr>
          <w:b w:val="0"/>
          <w:i w:val="0"/>
        </w:rPr>
        <w:t>Len Elmore, Giảng viên Cao cấp, Đại học Columbia; cựu Công tố viên, Quận Kings (Brooklyn); cựu cầu thủ Hiệp hội Bóng rổ Quốc gia</w:t>
      </w:r>
    </w:p>
    <w:p>
      <w:pPr>
        <w:spacing w:after="80"/>
      </w:pPr>
      <w:r>
        <w:rPr>
          <w:b w:val="0"/>
          <w:i w:val="0"/>
        </w:rPr>
        <w:t>Charles Elson, Giám đốc Sáng lập, Trung tâm Weinberg về Quản trị Doanh nghiệp và Ghế Woolard về Quản trị Doanh nghiệp (đã nghỉ hưu) tại Đại học Delaware</w:t>
      </w:r>
    </w:p>
    <w:p>
      <w:pPr>
        <w:spacing w:after="80"/>
      </w:pPr>
      <w:r>
        <w:rPr>
          <w:b w:val="0"/>
          <w:i w:val="0"/>
        </w:rPr>
        <w:t>Brian Fox, Giám đốc Điều hành, Nhóm Tái cấu trúc Thương mại Bắc Mỹ của Alvarez &amp; Marsal</w:t>
      </w:r>
    </w:p>
    <w:p>
      <w:pPr>
        <w:spacing w:after="80"/>
      </w:pPr>
      <w:r>
        <w:rPr>
          <w:b w:val="0"/>
          <w:i w:val="0"/>
        </w:rPr>
        <w:t>Steven Gartner, Chủ tịch Danh dự (đã nghỉ hưu), Willkie Farr &amp; Gallagher</w:t>
      </w:r>
    </w:p>
    <w:p>
      <w:pPr>
        <w:spacing w:after="80"/>
      </w:pPr>
      <w:r>
        <w:rPr>
          <w:b w:val="0"/>
          <w:i w:val="0"/>
        </w:rPr>
        <w:t>Steve Girsky, Chủ tịch và Tổng Giám đốc Điều hành, Nikola Corporation; cựu Thành viên Điều hành, VectoIQ; cựu Phó Chủ tịch Cấp cao và Chủ tịch Khu vực Châu Âu, General Motors; cựu Chủ tịch, Centerbridge Industrial Partners; cựu Giám đốc Điều hành và Chuyên gia Phân tích Cấp cao, Nhóm Nghiên cứu Ô tô và Phụ tùng Ô tô Toàn cầu của Morgan Stanley</w:t>
      </w:r>
    </w:p>
    <w:p>
      <w:pPr>
        <w:spacing w:after="80"/>
      </w:pPr>
      <w:r>
        <w:rPr>
          <w:b w:val="0"/>
          <w:i w:val="0"/>
        </w:rPr>
        <w:t>Scott Greenberg, Thành viên, Chủ tịch Toàn cầu Nhóm Thực hành Tái cấu trúc và Tổ chức lại Doanh nghiệp và Thành viên Ủy ban Điều hành, Gibson, Dunn &amp; Crutcher; cựu Thành viên và Đồng trưởng nhóm Thực hành Tái cấu trúc &amp; Tổ chức lại Doanh nghiệp, Jones Day</w:t>
      </w:r>
    </w:p>
    <w:p>
      <w:pPr>
        <w:spacing w:after="80"/>
      </w:pPr>
      <w:r>
        <w:rPr>
          <w:b w:val="0"/>
          <w:i w:val="0"/>
        </w:rPr>
        <w:t>Naren Gursahaney, cựu Tổng Giám đốc Điều hành Tạm thời, Servicemaster; cựu Chủ tịch và Tổng Giám đốc Điều hành, ADT; cựu Chủ tịch, Tyco Engineered Products and Services; cựu Chủ tịch, GE Medical Systems Asia</w:t>
      </w:r>
    </w:p>
    <w:p>
      <w:pPr>
        <w:spacing w:after="80"/>
      </w:pPr>
      <w:r>
        <w:rPr>
          <w:b w:val="0"/>
          <w:i w:val="0"/>
        </w:rPr>
        <w:t>Howard Heckes, cựu Chủ tịch và Tổng Giám đốc Điều hành, Masonite International; cựu Phó Chủ tịch Cấp cao và Chủ tịch Mảng Sơn Phủ Toàn cầu, Valspar</w:t>
      </w:r>
    </w:p>
    <w:p>
      <w:pPr>
        <w:spacing w:after="80"/>
      </w:pPr>
      <w:r>
        <w:rPr>
          <w:b w:val="0"/>
          <w:i w:val="0"/>
        </w:rPr>
        <w:t>Laura Heltebran, cựu Giám đốc Pháp lý, WheelsUp; cựu Phó Chủ tịch Cấp cao và Phó Tổng Cố vấn, Hilton Worldwide; cựu Phó Chủ tịch Cấp cao và Phó Tổng Cố vấn, Hewlett Packard Enterprise</w:t>
      </w:r>
    </w:p>
    <w:p>
      <w:pPr>
        <w:spacing w:after="80"/>
      </w:pPr>
      <w:r>
        <w:rPr>
          <w:b w:val="0"/>
          <w:i w:val="0"/>
        </w:rPr>
        <w:t>Brook Hinchman, Giám đốc Điều hành và Trưởng Bộ phận Bắc Mỹ, Chiến lược Cơ hội Toàn cầu của Oaktree</w:t>
      </w:r>
    </w:p>
    <w:p>
      <w:pPr>
        <w:spacing w:after="80"/>
      </w:pPr>
      <w:r>
        <w:rPr>
          <w:b w:val="0"/>
          <w:i w:val="0"/>
        </w:rPr>
        <w:t>Sandra Horbach, Thành viên và Chủ tịch Mảng Cổ phần Tư nhân Doanh nghiệp Châu Mỹ và cựu Đồng trưởng mảng Cổ phần Tư nhân Doanh nghiệp Châu Mỹ, Carlyle; cựu Thành viên, Forstmann Little</w:t>
      </w:r>
    </w:p>
    <w:p>
      <w:pPr>
        <w:spacing w:after="80"/>
      </w:pPr>
      <w:r>
        <w:rPr>
          <w:b w:val="0"/>
          <w:i w:val="0"/>
        </w:rPr>
        <w:t>Ken Jacobs, Chủ tịch Cấp cao và Cố vấn Cấp cao cho Hội đồng Quản trị và cựu Chủ tịch và Tổng Giám đốc Điều hành, Lazard</w:t>
      </w:r>
    </w:p>
    <w:p>
      <w:pPr>
        <w:spacing w:after="80"/>
      </w:pPr>
      <w:r>
        <w:rPr>
          <w:b w:val="0"/>
          <w:i w:val="0"/>
        </w:rPr>
        <w:t>Steve Key, cựu Phó Chủ tịch Cấp cao và Giám đốc Tài chính, Textron và ConAgra; cựu Thành viên Điều hành Văn phòng New York, Ernst &amp; Young</w:t>
      </w:r>
    </w:p>
    <w:p>
      <w:pPr>
        <w:spacing w:after="80"/>
      </w:pPr>
      <w:r>
        <w:rPr>
          <w:b w:val="0"/>
          <w:i w:val="0"/>
        </w:rPr>
        <w:t>Rob Kindler, Thành viên và Chủ tịch Toàn cầu Nhóm Sáp nhập và Mua lại, Paul, Weiss, Rifkin, Wharton &amp; Garrison; cựu Phó Chủ tịch, Trưởng Bộ phận Sáp nhập và Mua lại Toàn cầu và Thành viên Ủy ban Quản lý, Morgan Stanley; cựu Trưởng Bộ phận Sáp nhập và Mua lại Toàn cầu, JPMorganChase; cựu Thành viên, Cravath, Swaine &amp; Moore</w:t>
      </w:r>
    </w:p>
    <w:p>
      <w:pPr>
        <w:spacing w:after="80"/>
      </w:pPr>
      <w:r>
        <w:rPr>
          <w:b w:val="0"/>
          <w:i w:val="0"/>
        </w:rPr>
        <w:t>Ron Klain, Giám đốc Pháp lý, Airbnb; Chánh Văn phòng Nhà Trắng thứ 30 của Tổng thống Joe Biden; Chánh Văn phòng của Phó Tổng thống Joe Biden; Chánh Văn phòng của Phó Tổng thống Al Gore; Chánh Văn phòng và Cố vấn của Tổng Chưởng lý Hoa Kỳ; nguyên Thành viên Hợp danh và Chủ tịch Nhóm Thực hành Quốc gia, O’Melveny &amp; Myers; Tổng Cố vấn, Revolution</w:t>
      </w:r>
    </w:p>
    <w:p>
      <w:pPr>
        <w:spacing w:after="80"/>
      </w:pPr>
      <w:r>
        <w:rPr>
          <w:b w:val="0"/>
          <w:i w:val="0"/>
        </w:rPr>
        <w:t>Ele Klein, Thành viên Hợp danh, Đồng chủ tịch Nhóm Sáp nhập và Mua lại và Chứng khoán, Đồng chủ tịch Nhóm Hoạt động Cổ đông Toàn cầu, và Thành viên Ủy ban Điều hành, Schulte Roth &amp; Zabel</w:t>
      </w:r>
    </w:p>
    <w:p>
      <w:pPr>
        <w:spacing w:after="80"/>
      </w:pPr>
      <w:r>
        <w:rPr>
          <w:b w:val="0"/>
          <w:i w:val="0"/>
        </w:rPr>
        <w:t>Rich Klein, Giám đốc Điều hành Cấp cao, Hilco Corporate Finance</w:t>
      </w:r>
    </w:p>
    <w:p>
      <w:pPr>
        <w:spacing w:after="80"/>
      </w:pPr>
      <w:r>
        <w:rPr>
          <w:b w:val="0"/>
          <w:i w:val="0"/>
        </w:rPr>
        <w:t>Gregg Lemkau, Đồng Giám đốc Điều hành, BDT &amp; MSD; nguyên Đồng trưởng Nhóm Ngân hàng Đầu tư và Thành viên Ủy ban Quản lý, Goldman Sachs</w:t>
      </w:r>
    </w:p>
    <w:p>
      <w:pPr>
        <w:spacing w:after="80"/>
      </w:pPr>
      <w:r>
        <w:rPr>
          <w:b w:val="0"/>
          <w:i w:val="0"/>
        </w:rPr>
        <w:t xml:space="preserve">Steve Lipin, Nhà sáng lập và Giám đốc Điều hành, Gladstone Place Partners; nguyên Thành viên Hợp danh Cấp cao Hoa Kỳ, Brunswick Group; nguyên Biên tập viên Tài chính, </w:t>
      </w:r>
      <w:r>
        <w:rPr>
          <w:b w:val="0"/>
          <w:i/>
        </w:rPr>
        <w:t>Wall Street Journal</w:t>
      </w:r>
    </w:p>
    <w:p>
      <w:pPr>
        <w:spacing w:after="80"/>
      </w:pPr>
      <w:r>
        <w:rPr>
          <w:b w:val="0"/>
          <w:i w:val="0"/>
        </w:rPr>
        <w:t>Marc Lipschultz, Đồng Giám đốc Điều hành, Blue Owl Capital; nguyên Trưởng Nhóm Năng lượng và Hạ tầng Toàn cầu và Thành viên Ủy ban Quản lý, KKR</w:t>
      </w:r>
    </w:p>
    <w:p>
      <w:pPr>
        <w:spacing w:after="80"/>
      </w:pPr>
      <w:r>
        <w:rPr>
          <w:b w:val="0"/>
          <w:i w:val="0"/>
        </w:rPr>
        <w:t>Marty Lipton, Thành viên Hợp danh Sáng lập, Wachtell, Lipton, Rosen &amp; Katz</w:t>
      </w:r>
    </w:p>
    <w:p>
      <w:pPr>
        <w:spacing w:after="80"/>
      </w:pPr>
      <w:r>
        <w:rPr>
          <w:b w:val="0"/>
          <w:i w:val="0"/>
        </w:rPr>
        <w:t>Ron Lumbra, Thành viên Hợp danh và Thành viên Nhóm Thực hành Giám đốc Điều hành và Ban Giám đốc, nguyên Thành viên Hợp danh Quản lý khu vực Châu Mỹ và các Trung tâm Xuất sắc, Heidrick &amp; Struggles</w:t>
      </w:r>
    </w:p>
    <w:p>
      <w:pPr>
        <w:spacing w:after="80"/>
      </w:pPr>
      <w:r>
        <w:rPr>
          <w:b w:val="0"/>
          <w:i w:val="0"/>
        </w:rPr>
        <w:t>Fred Lynch, Thành viên Hợp danh Điều hành, AEA Middle Market Private Equity; nguyên Chủ tịch và Giám đốc Điều hành, Masonite International</w:t>
      </w:r>
    </w:p>
    <w:p>
      <w:pPr>
        <w:spacing w:after="80"/>
      </w:pPr>
      <w:r>
        <w:rPr>
          <w:b w:val="0"/>
          <w:i w:val="0"/>
        </w:rPr>
        <w:t>Mark Manoff, Thành viên Hợp danh Điều hành, MidOcean Partners; nguyên Phó Chủ tịch Thị trường, Thành viên Ban Điều hành và Ủy ban Điều hành, và Nhà sáng lập Trung tâm về Các vấn đề Ban Giám đốc, Ernst &amp; Young</w:t>
      </w:r>
    </w:p>
    <w:p>
      <w:pPr>
        <w:spacing w:after="80"/>
      </w:pPr>
      <w:r>
        <w:rPr>
          <w:b w:val="0"/>
          <w:i w:val="0"/>
        </w:rPr>
        <w:t>Bob Manzo, Giám đốc Điều hành Cấp cao (đã nghỉ hưu), FTI Consulting; Đồng sáng lập, Policano &amp; Manzo</w:t>
      </w:r>
    </w:p>
    <w:p>
      <w:pPr>
        <w:spacing w:after="80"/>
      </w:pPr>
      <w:r>
        <w:rPr>
          <w:b w:val="0"/>
          <w:i w:val="0"/>
        </w:rPr>
        <w:t>Gary Matt, Phó Chủ tịch Phát triển Doanh nghiệp, Thermo Fisher; nguyên Giám đốc Điều hành, Barclays</w:t>
      </w:r>
    </w:p>
    <w:p>
      <w:pPr>
        <w:spacing w:after="80"/>
      </w:pPr>
      <w:r>
        <w:rPr>
          <w:b w:val="0"/>
          <w:i w:val="0"/>
        </w:rPr>
        <w:t>George Mattson, Giám đốc Điều hành, Wheels Up; nguyên Thành viên Hợp danh và Đồng trưởng Nhóm Công nghiệp Toàn cầu, Goldman Sachs</w:t>
      </w:r>
    </w:p>
    <w:p>
      <w:pPr>
        <w:spacing w:after="80"/>
      </w:pPr>
      <w:r>
        <w:rPr>
          <w:b w:val="0"/>
          <w:i w:val="0"/>
        </w:rPr>
        <w:t>Jim McCann, Nhà sáng lập, Chủ tịch và Giám đốc Điều hành, 1-800-FLOWERS.COM</w:t>
      </w:r>
    </w:p>
    <w:p>
      <w:pPr>
        <w:spacing w:after="80"/>
      </w:pPr>
      <w:r>
        <w:rPr>
          <w:b w:val="0"/>
          <w:i w:val="0"/>
        </w:rPr>
        <w:t>Peter McCausland, Nhà sáng lập, Chủ tịch và Giám đốc Điều hành (đã nghỉ hưu), Airgas</w:t>
      </w:r>
    </w:p>
    <w:p>
      <w:pPr>
        <w:spacing w:after="80"/>
      </w:pPr>
      <w:r>
        <w:rPr>
          <w:b w:val="0"/>
          <w:i w:val="0"/>
        </w:rPr>
        <w:t>Đô đốc Mike Mullen, Chủ tịch thứ 17 của Hội đồng Tham mưu trưởng Liên quân Hoa Kỳ dưới thời Tổng thống George W. Bush và Barack Obama; Tư lệnh Hải quân thứ 28</w:t>
      </w:r>
    </w:p>
    <w:p>
      <w:pPr>
        <w:spacing w:after="80"/>
      </w:pPr>
      <w:r>
        <w:rPr>
          <w:b w:val="0"/>
          <w:i w:val="0"/>
        </w:rPr>
        <w:t>Daniel Neff, Đối tác, Thành viên Ủy ban Điều hành, và nguyên Đồng chủ tịch, Wachtell, Lipton, Rosen &amp; Katz</w:t>
      </w:r>
    </w:p>
    <w:p>
      <w:pPr>
        <w:spacing w:after="80"/>
      </w:pPr>
      <w:r>
        <w:rPr>
          <w:b w:val="0"/>
          <w:i w:val="0"/>
        </w:rPr>
        <w:t>Doug Oberhelman, Chủ tịch Điều hành (đã nghỉ hưu) và nguyên Chủ tịch kiêm Tổng Giám đốc Điều hành, Caterpillar</w:t>
      </w:r>
    </w:p>
    <w:p>
      <w:pPr>
        <w:spacing w:after="80"/>
      </w:pPr>
      <w:r>
        <w:rPr>
          <w:b w:val="0"/>
          <w:i w:val="0"/>
        </w:rPr>
        <w:t>Muir Paterson, Trưởng Bộ phận Giải pháp Cố vấn Chiến lược, Citi; nguyên Giám đốc Điều hành Nhóm Cố vấn Sáp nhập và Mua lại, Goldman Sachs; nguyên Giám đốc Quản trị Doanh nghiệp, Wellington Management; Đồng sáng lập Nhóm Tình huống Đặc biệt, Institutional Shareholders Services (ISS)</w:t>
      </w:r>
    </w:p>
    <w:p>
      <w:pPr>
        <w:spacing w:after="80"/>
      </w:pPr>
      <w:r>
        <w:rPr>
          <w:b w:val="0"/>
          <w:i w:val="0"/>
        </w:rPr>
        <w:t>Gregg Polle, Phó Chủ tịch Sáp nhập và Mua lại, Bank of America</w:t>
      </w:r>
    </w:p>
    <w:p>
      <w:pPr>
        <w:spacing w:after="80"/>
      </w:pPr>
      <w:r>
        <w:rPr>
          <w:b w:val="0"/>
          <w:i w:val="0"/>
        </w:rPr>
        <w:t>Tiến sĩ Jonathan Rich, Cố vấn, Apollo Global Management; Chủ tịch kiêm Tổng Giám đốc Điều hành (đã nghỉ hưu), Lumileds; Chủ tịch kiêm Tổng Giám đốc Điều hành (đã nghỉ hưu), Berry Global</w:t>
      </w:r>
    </w:p>
    <w:p>
      <w:pPr>
        <w:spacing w:after="80"/>
      </w:pPr>
      <w:r>
        <w:rPr>
          <w:b w:val="0"/>
          <w:i w:val="0"/>
        </w:rPr>
        <w:t>Barry Ridings, Phó Chủ tịch Ngân hàng Đầu tư Hoa Kỳ (đã nghỉ hưu), Lazard</w:t>
      </w:r>
    </w:p>
    <w:p>
      <w:pPr>
        <w:spacing w:after="80"/>
      </w:pPr>
      <w:r>
        <w:rPr>
          <w:b w:val="0"/>
          <w:i w:val="0"/>
        </w:rPr>
        <w:t>Jerry Rosenfeld, Cố vấn Cấp cao cho Tổng Giám đốc Điều hành và Phó Chủ tịch Ngân hàng Đầu tư Hoa Kỳ, Lazard; Giáo sư Thực hành và Học giả Xuất sắc Thường trú, Đồng giám đốc Chương trình Lãnh đạo về Luật và Kinh doanh, và Giám đốc Khoa, Viện Giáo dục Điều hành, Trường Luật Đại học New York</w:t>
      </w:r>
    </w:p>
    <w:p>
      <w:pPr>
        <w:spacing w:after="80"/>
      </w:pPr>
      <w:r>
        <w:rPr>
          <w:b w:val="0"/>
          <w:i w:val="0"/>
        </w:rPr>
        <w:t>Andy Rossman, Đối tác Điều hành Văn phòng New York và Chủ tịch Mảng Tranh tụng Sáp nhập và Mua lại, Quinn Emanuel Urquhart and Sullivan</w:t>
      </w:r>
    </w:p>
    <w:p>
      <w:pPr>
        <w:spacing w:after="80"/>
      </w:pPr>
      <w:r>
        <w:rPr>
          <w:b w:val="0"/>
          <w:i w:val="0"/>
        </w:rPr>
        <w:t>Jim Rubright, Tổng Giám đốc Điều hành (đã nghỉ hưu), Rock-Tenn</w:t>
      </w:r>
    </w:p>
    <w:p>
      <w:pPr>
        <w:spacing w:after="80"/>
      </w:pPr>
      <w:r>
        <w:rPr>
          <w:b w:val="0"/>
          <w:i w:val="0"/>
        </w:rPr>
        <w:t>Robert Seminara, Đối tác, Trưởng Bộ phận Châu Âu, và Thành viên Nhóm Lãnh đạo, Apollo Global Management</w:t>
      </w:r>
    </w:p>
    <w:p>
      <w:pPr>
        <w:spacing w:after="80"/>
      </w:pPr>
      <w:r>
        <w:rPr>
          <w:b w:val="0"/>
          <w:i w:val="0"/>
        </w:rPr>
        <w:t>Daniel Slifkin, Đối tác và nguyên Trưởng Bộ phận Tranh tụng, Cravath, Swaine &amp; Moore</w:t>
      </w:r>
    </w:p>
    <w:p>
      <w:pPr>
        <w:spacing w:after="80"/>
      </w:pPr>
      <w:r>
        <w:rPr>
          <w:b w:val="0"/>
          <w:i w:val="0"/>
        </w:rPr>
        <w:t>Paula Sneed, Phó Chủ tịch Điều hành, Nguồn lực và Sáng kiến Tiếp thị Toàn cầu (đã nghỉ hưu), Kraft Foods</w:t>
      </w:r>
    </w:p>
    <w:p>
      <w:pPr>
        <w:spacing w:after="80"/>
      </w:pPr>
      <w:r>
        <w:rPr>
          <w:b w:val="0"/>
          <w:i w:val="0"/>
        </w:rPr>
        <w:t>Jamie Sprayregen, Phó Chủ tịch, Hilco Global; Đối tác, Nhà sáng lập, và Trưởng Nhóm Tái cấu trúc kiêm Thành viên Ủy ban Quản lý (đã nghỉ hưu), Kirkland &amp; Ellis; nguyên Đồng trưởng Nhóm Tái cấu trúc, Goldman Sachs</w:t>
      </w:r>
    </w:p>
    <w:p>
      <w:pPr>
        <w:spacing w:after="80"/>
      </w:pPr>
      <w:r>
        <w:rPr>
          <w:b w:val="0"/>
          <w:i w:val="0"/>
        </w:rPr>
        <w:t>Pete Stavros, Đồng trưởng Bộ phận Cổ phần Tư nhân Toàn cầu, KKR; Nhà sáng lập và Chủ tịch, Ownership Works</w:t>
      </w:r>
    </w:p>
    <w:p>
      <w:pPr>
        <w:spacing w:after="80"/>
      </w:pPr>
      <w:r>
        <w:rPr>
          <w:b w:val="0"/>
          <w:i w:val="0"/>
        </w:rPr>
        <w:t>Steve Sterrett, Chủ tịch, Berry Global; Người Ủy thác Chính, Equity Apartments; nguyên Phó Chủ tịch Điều hành Cấp cao kiêm Tổng Giám đốc Tài chính, Simon Property Group</w:t>
      </w:r>
    </w:p>
    <w:p>
      <w:pPr>
        <w:spacing w:after="80"/>
      </w:pPr>
      <w:r>
        <w:rPr>
          <w:b w:val="0"/>
          <w:i w:val="0"/>
        </w:rPr>
        <w:t>Chánh án Leo E. Strine Jr., Cố vấn Pháp lý trong Bộ phận Doanh nghiệp, Wachtell, Lipton, Rosen &amp; Katz; Học giả Xuất sắc Michael L. Wachter về Luật và Chính sách, Trường Luật Carey Đại học Pennsylvania; Học giả Cấp cao, Chương trình Quản trị Doanh nghiệp Harvard; nguyên Chánh án, Tòa án Tối cao Delaware; nguyên Chánh án và Phó Chánh án, Tòa án Đại chúng Delaware</w:t>
      </w:r>
    </w:p>
    <w:p>
      <w:pPr>
        <w:spacing w:after="80"/>
      </w:pPr>
      <w:r>
        <w:rPr>
          <w:b w:val="0"/>
          <w:i w:val="0"/>
        </w:rPr>
        <w:t>Josh Sussberg, Thành viên Ban Tái cấu trúc và Thành viên Ủy ban Điều hành, Kirkland &amp; Ellis</w:t>
      </w:r>
    </w:p>
    <w:p>
      <w:pPr>
        <w:spacing w:after="80"/>
      </w:pPr>
      <w:r>
        <w:rPr>
          <w:b w:val="0"/>
          <w:i w:val="0"/>
        </w:rPr>
        <w:t>Matt Turner, Chủ tịch, Pearl Meyer Executive Compensation</w:t>
      </w:r>
    </w:p>
    <w:p>
      <w:pPr>
        <w:spacing w:after="80"/>
      </w:pPr>
      <w:r>
        <w:rPr>
          <w:b w:val="0"/>
          <w:i w:val="0"/>
        </w:rPr>
        <w:t>Beth Daley Ullem, Nhà sáng lập và Chủ tịch, Quality and Safety First</w:t>
      </w:r>
    </w:p>
    <w:p>
      <w:pPr>
        <w:spacing w:after="80"/>
      </w:pPr>
      <w:r>
        <w:rPr>
          <w:b w:val="0"/>
          <w:i w:val="0"/>
        </w:rPr>
        <w:t>Bill Ultan, Giám đốc Điều hành, Thành viên Nhóm Tư vấn Quản trị Doanh nghiệp và Thành viên Đội Ngũ Lãnh đạo Cấp cao, Sodali</w:t>
      </w:r>
    </w:p>
    <w:p>
      <w:pPr>
        <w:spacing w:after="80"/>
      </w:pPr>
      <w:r>
        <w:rPr>
          <w:b w:val="0"/>
          <w:i w:val="0"/>
        </w:rPr>
        <w:t>Howard Ungerleider, Cố vấn Điều hành, Quỹ Clayton, Dubilier &amp; Rice; Chủ tịch, Giám đốc Tài chính, và Thành viên Ủy ban Điều hành Cấp cao (đã nghỉ hưu), Dow</w:t>
      </w:r>
    </w:p>
    <w:p>
      <w:pPr>
        <w:spacing w:after="80"/>
      </w:pPr>
      <w:r>
        <w:rPr>
          <w:b w:val="0"/>
          <w:i w:val="0"/>
        </w:rPr>
        <w:t>Neil Whoriskey, Thành viên Ban Doanh nghiệp, Milbank; nguyên Thành viên, Đồng chủ nhiệm Bộ phận Sáp nhập &amp; Mua lại, và Đồng chủ nhiệm Bộ phận Quản trị Doanh nghiệp, Cleary Gottlieb Steen &amp; Hamilton</w:t>
      </w:r>
    </w:p>
    <w:p>
      <w:pPr>
        <w:spacing w:after="80"/>
      </w:pPr>
      <w:r>
        <w:rPr>
          <w:b w:val="0"/>
          <w:i w:val="0"/>
        </w:rPr>
        <w:t>David Wise, Phó Chủ tịch Bộ phận Đãi ngộ, Đối tác ESG, và Thành viên Ban Lãnh đạo Bắc Mỹ, Korn Ferry</w:t>
      </w:r>
    </w:p>
    <w:p>
      <w:pPr>
        <w:spacing w:after="80"/>
      </w:pPr>
      <w:r>
        <w:rPr>
          <w:b w:val="0"/>
          <w:i w:val="0"/>
        </w:rPr>
        <w:t>Steve Wolosky, Chủ tịch Danh dự Bộ phận Hoạt động Cổ đông, Olshan Frome Wolosky</w:t>
      </w:r>
    </w:p>
    <w:p>
      <w:pPr>
        <w:spacing w:after="80"/>
      </w:pPr>
      <w:r>
        <w:rPr>
          <w:b w:val="0"/>
          <w:i w:val="0"/>
        </w:rPr>
        <w:t>Jed York, Chủ sở hữu Chính và Giám đốc Điều hành, San Francisco 49ers</w:t>
      </w:r>
    </w:p>
    <w:p>
      <w:pPr>
        <w:spacing w:after="80"/>
      </w:pPr>
      <w:r>
        <w:rPr>
          <w:b w:val="0"/>
          <w:i w:val="0"/>
        </w:rPr>
        <w:t>Steve Zelin, Thành viên, Trưởng Bộ phận Tái cấu trúc và Tình huống Đặc biệt Toàn cầu, và Thành viên Ủy ban Quản lý, PJT Partners</w:t>
      </w:r>
    </w:p>
    <w:p>
      <w:pPr>
        <w:pStyle w:val="Heading1"/>
      </w:pPr>
      <w:r>
        <w:rPr>
          <w:rFonts w:ascii="Calibri" w:hAnsi="Calibri"/>
          <w:b/>
          <w:i w:val="0"/>
          <w:sz w:val="40"/>
        </w:rPr>
        <w:t>Ghi chú</w:t>
      </w:r>
    </w:p>
    <w:p>
      <w:pPr>
        <w:pStyle w:val="Heading2"/>
      </w:pPr>
      <w:r>
        <w:rPr>
          <w:rFonts w:ascii="Calibri" w:hAnsi="Calibri"/>
          <w:b/>
          <w:i w:val="0"/>
          <w:sz w:val="32"/>
        </w:rPr>
        <w:t>Chương 2: Chúng ta đã đi đến hiện tại như thế nào</w:t>
      </w:r>
    </w:p>
    <w:tbl>
      <w:tblPr>
        <w:tblStyle w:val="TableGrid"/>
        <w:tblW w:type="auto" w:w="0"/>
        <w:tblLook w:firstColumn="1" w:firstRow="1" w:lastColumn="0" w:lastRow="0" w:noHBand="0" w:noVBand="1" w:val="04A0"/>
      </w:tblPr>
      <w:tblGrid>
        <w:gridCol w:w="4680"/>
        <w:gridCol w:w="4680"/>
      </w:tblGrid>
      <w:tr>
        <w:tc>
          <w:tcPr>
            <w:tcW w:type="dxa" w:w="4680"/>
          </w:tcPr>
          <w:p>
            <w:r/>
            <w:r>
              <w:rPr>
                <w:b w:val="0"/>
                <w:i w:val="0"/>
                <w:sz w:val="19"/>
              </w:rPr>
              <w:t>1</w:t>
            </w:r>
          </w:p>
        </w:tc>
        <w:tc>
          <w:tcPr>
            <w:tcW w:type="dxa" w:w="4680"/>
          </w:tcPr>
          <w:p>
            <w:r/>
            <w:r>
              <w:rPr>
                <w:b w:val="0"/>
                <w:i w:val="0"/>
                <w:sz w:val="19"/>
              </w:rPr>
              <w:t>Brian R. Cheffins, "Lịch sử Quản trị Doanh nghiệp" (ECGI Working Paper Series in Law, working paper no. 184/2012, tháng 1 năm 2012), https://www.ecgi.global/sites/default/files/working_papers/documents/SSRN-id1975404.pdf.</w:t>
            </w:r>
          </w:p>
        </w:tc>
      </w:tr>
      <w:tr>
        <w:tc>
          <w:tcPr>
            <w:tcW w:type="dxa" w:w="4680"/>
          </w:tcPr>
          <w:p>
            <w:r/>
            <w:r>
              <w:rPr>
                <w:b w:val="0"/>
                <w:i w:val="0"/>
                <w:sz w:val="19"/>
              </w:rPr>
              <w:t>2</w:t>
            </w:r>
          </w:p>
        </w:tc>
        <w:tc>
          <w:tcPr>
            <w:tcW w:type="dxa" w:w="4680"/>
          </w:tcPr>
          <w:p>
            <w:r/>
            <w:r>
              <w:rPr>
                <w:b w:val="0"/>
                <w:i w:val="0"/>
                <w:sz w:val="19"/>
              </w:rPr>
              <w:t>Adam Smith được trích dẫn trong Harwell Wells, "Sự ra đời của Quản trị Doanh nghiệp," Trợ lý Giáo sư Luật, Temple University Beasley School of Law, https://digitalcommons.law.seattleu.edu/cgi/viewcontent.cgi?article</w:t>
            </w:r>
            <w:r>
              <w:rPr>
                <w:rFonts w:ascii="Consolas" w:hAnsi="Consolas"/>
                <w:b w:val="0"/>
                <w:i w:val="0"/>
                <w:sz w:val="19"/>
              </w:rPr>
              <w:t>=1017&amp;context=sulr</w:t>
            </w:r>
            <w:r>
              <w:rPr>
                <w:b w:val="0"/>
                <w:i w:val="0"/>
                <w:sz w:val="19"/>
              </w:rPr>
              <w:t>.</w:t>
            </w:r>
          </w:p>
        </w:tc>
      </w:tr>
      <w:tr>
        <w:tc>
          <w:tcPr>
            <w:tcW w:type="dxa" w:w="4680"/>
          </w:tcPr>
          <w:p>
            <w:r/>
            <w:r>
              <w:rPr>
                <w:b w:val="0"/>
                <w:i w:val="0"/>
                <w:sz w:val="19"/>
              </w:rPr>
              <w:t>3</w:t>
            </w:r>
          </w:p>
        </w:tc>
        <w:tc>
          <w:tcPr>
            <w:tcW w:type="dxa" w:w="4680"/>
          </w:tcPr>
          <w:p>
            <w:r/>
            <w:r>
              <w:rPr>
                <w:b w:val="0"/>
                <w:i w:val="0"/>
                <w:sz w:val="19"/>
              </w:rPr>
              <w:t>Wells.</w:t>
            </w:r>
          </w:p>
        </w:tc>
      </w:tr>
      <w:tr>
        <w:tc>
          <w:tcPr>
            <w:tcW w:type="dxa" w:w="4680"/>
          </w:tcPr>
          <w:p>
            <w:r/>
            <w:r>
              <w:rPr>
                <w:b w:val="0"/>
                <w:i w:val="0"/>
                <w:sz w:val="19"/>
              </w:rPr>
              <w:t>4</w:t>
            </w:r>
          </w:p>
        </w:tc>
        <w:tc>
          <w:tcPr>
            <w:tcW w:type="dxa" w:w="4680"/>
          </w:tcPr>
          <w:p>
            <w:r/>
            <w:r>
              <w:rPr>
                <w:b w:val="0"/>
                <w:i w:val="0"/>
                <w:sz w:val="19"/>
              </w:rPr>
              <w:t>Wells.</w:t>
            </w:r>
          </w:p>
        </w:tc>
      </w:tr>
      <w:tr>
        <w:tc>
          <w:tcPr>
            <w:tcW w:type="dxa" w:w="4680"/>
          </w:tcPr>
          <w:p>
            <w:r/>
            <w:r>
              <w:rPr>
                <w:b w:val="0"/>
                <w:i w:val="0"/>
                <w:sz w:val="19"/>
              </w:rPr>
              <w:t>5</w:t>
            </w:r>
          </w:p>
        </w:tc>
        <w:tc>
          <w:tcPr>
            <w:tcW w:type="dxa" w:w="4680"/>
          </w:tcPr>
          <w:p>
            <w:r/>
            <w:r>
              <w:rPr>
                <w:b w:val="0"/>
                <w:i w:val="0"/>
                <w:sz w:val="19"/>
              </w:rPr>
              <w:t xml:space="preserve">John Morris, “Corporate Governance in America: A Brief History,” </w:t>
            </w:r>
            <w:r>
              <w:rPr>
                <w:b w:val="0"/>
                <w:i/>
                <w:sz w:val="19"/>
              </w:rPr>
              <w:t>Strategic Management</w:t>
            </w:r>
            <w:r>
              <w:rPr>
                <w:b w:val="0"/>
                <w:i w:val="0"/>
                <w:sz w:val="19"/>
              </w:rPr>
              <w:t>, 2nd ed., https://open.oregonstate.education/strategicmanagement/chapter/2-corporate-governance-in-america-a-brief-history/.</w:t>
            </w:r>
          </w:p>
        </w:tc>
      </w:tr>
      <w:tr>
        <w:tc>
          <w:tcPr>
            <w:tcW w:type="dxa" w:w="4680"/>
          </w:tcPr>
          <w:p>
            <w:r/>
            <w:r>
              <w:rPr>
                <w:b w:val="0"/>
                <w:i w:val="0"/>
                <w:sz w:val="19"/>
              </w:rPr>
              <w:t>6</w:t>
            </w:r>
          </w:p>
        </w:tc>
        <w:tc>
          <w:tcPr>
            <w:tcW w:type="dxa" w:w="4680"/>
          </w:tcPr>
          <w:p>
            <w:r/>
            <w:r>
              <w:rPr>
                <w:b w:val="0"/>
                <w:i w:val="0"/>
                <w:sz w:val="19"/>
              </w:rPr>
              <w:t xml:space="preserve">A. A. Sommer Jr., “The Impact of the SEC on Corporate Governance,” </w:t>
            </w:r>
            <w:r>
              <w:rPr>
                <w:b w:val="0"/>
                <w:i/>
                <w:sz w:val="19"/>
              </w:rPr>
              <w:t>Law and Contemporary Problems</w:t>
            </w:r>
            <w:r>
              <w:rPr>
                <w:b w:val="0"/>
                <w:i w:val="0"/>
                <w:sz w:val="19"/>
              </w:rPr>
              <w:t xml:space="preserve"> 41, no. 3, https://scholarship.law.duke.edu/cgi/viewcontent.cgi?article</w:t>
            </w:r>
            <w:r>
              <w:rPr>
                <w:rFonts w:ascii="Consolas" w:hAnsi="Consolas"/>
                <w:b w:val="0"/>
                <w:i w:val="0"/>
                <w:sz w:val="19"/>
              </w:rPr>
              <w:t>=3525&amp;context=lcp</w:t>
            </w:r>
            <w:r>
              <w:rPr>
                <w:b w:val="0"/>
                <w:i w:val="0"/>
                <w:sz w:val="19"/>
              </w:rPr>
              <w:t>.</w:t>
            </w:r>
          </w:p>
        </w:tc>
      </w:tr>
      <w:tr>
        <w:tc>
          <w:tcPr>
            <w:tcW w:type="dxa" w:w="4680"/>
          </w:tcPr>
          <w:p>
            <w:r/>
            <w:r>
              <w:rPr>
                <w:b w:val="0"/>
                <w:i w:val="0"/>
                <w:sz w:val="19"/>
              </w:rPr>
              <w:t>7</w:t>
            </w:r>
          </w:p>
        </w:tc>
        <w:tc>
          <w:tcPr>
            <w:tcW w:type="dxa" w:w="4680"/>
          </w:tcPr>
          <w:p>
            <w:r/>
            <w:r>
              <w:rPr>
                <w:b w:val="0"/>
                <w:i w:val="0"/>
                <w:sz w:val="19"/>
              </w:rPr>
              <w:t>Dan Byrne, “What Is the History of Corporate Governance?,” Corporate Governance Institute, https://www.thecorporategovernanceinstitute.com/insights/lexicon/why-does-corporate-governance-matter-a-look-back-at-history/.</w:t>
            </w:r>
          </w:p>
        </w:tc>
      </w:tr>
      <w:tr>
        <w:tc>
          <w:tcPr>
            <w:tcW w:type="dxa" w:w="4680"/>
          </w:tcPr>
          <w:p>
            <w:r/>
            <w:r>
              <w:rPr>
                <w:b w:val="0"/>
                <w:i w:val="0"/>
                <w:sz w:val="19"/>
              </w:rPr>
              <w:t>8</w:t>
            </w:r>
          </w:p>
        </w:tc>
        <w:tc>
          <w:tcPr>
            <w:tcW w:type="dxa" w:w="4680"/>
          </w:tcPr>
          <w:p>
            <w:r/>
            <w:r>
              <w:rPr>
                <w:b w:val="0"/>
                <w:i w:val="0"/>
                <w:sz w:val="19"/>
              </w:rPr>
              <w:t xml:space="preserve">Stanley Vance, </w:t>
            </w:r>
            <w:r>
              <w:rPr>
                <w:b w:val="0"/>
                <w:i/>
                <w:sz w:val="19"/>
              </w:rPr>
              <w:t>The Corporate Director: A Critical Evaluation</w:t>
            </w:r>
            <w:r>
              <w:rPr>
                <w:b w:val="0"/>
                <w:i w:val="0"/>
                <w:sz w:val="19"/>
              </w:rPr>
              <w:t xml:space="preserve"> (Homewood, IL: Dow Jones-Irwin, 1968).</w:t>
            </w:r>
          </w:p>
        </w:tc>
      </w:tr>
      <w:tr>
        <w:tc>
          <w:tcPr>
            <w:tcW w:type="dxa" w:w="4680"/>
          </w:tcPr>
          <w:p>
            <w:r/>
            <w:r>
              <w:rPr>
                <w:b w:val="0"/>
                <w:i w:val="0"/>
                <w:sz w:val="19"/>
              </w:rPr>
              <w:t>9</w:t>
            </w:r>
          </w:p>
        </w:tc>
        <w:tc>
          <w:tcPr>
            <w:tcW w:type="dxa" w:w="4680"/>
          </w:tcPr>
          <w:p>
            <w:r/>
            <w:r>
              <w:rPr>
                <w:b w:val="0"/>
                <w:i w:val="0"/>
                <w:sz w:val="19"/>
              </w:rPr>
              <w:t xml:space="preserve">Myles L. Mace, </w:t>
            </w:r>
            <w:r>
              <w:rPr>
                <w:b w:val="0"/>
                <w:i/>
                <w:sz w:val="19"/>
              </w:rPr>
              <w:t>Directors: Myth and Reality</w:t>
            </w:r>
            <w:r>
              <w:rPr>
                <w:b w:val="0"/>
                <w:i w:val="0"/>
                <w:sz w:val="19"/>
              </w:rPr>
              <w:t xml:space="preserve"> (Boston: Harvard Business School Press, 1971), 206.</w:t>
            </w:r>
          </w:p>
        </w:tc>
      </w:tr>
      <w:tr>
        <w:tc>
          <w:tcPr>
            <w:tcW w:type="dxa" w:w="4680"/>
          </w:tcPr>
          <w:p>
            <w:r/>
            <w:r>
              <w:rPr>
                <w:b w:val="0"/>
                <w:i w:val="0"/>
                <w:sz w:val="19"/>
              </w:rPr>
              <w:t>10</w:t>
            </w:r>
          </w:p>
        </w:tc>
        <w:tc>
          <w:tcPr>
            <w:tcW w:type="dxa" w:w="4680"/>
          </w:tcPr>
          <w:p>
            <w:r/>
            <w:r>
              <w:rPr>
                <w:b w:val="0"/>
                <w:i w:val="0"/>
                <w:sz w:val="19"/>
              </w:rPr>
              <w:t xml:space="preserve">“Goldberg Is Off Board,” </w:t>
            </w:r>
            <w:r>
              <w:rPr>
                <w:b w:val="0"/>
                <w:i/>
                <w:sz w:val="19"/>
              </w:rPr>
              <w:t>New York Times</w:t>
            </w:r>
            <w:r>
              <w:rPr>
                <w:b w:val="0"/>
                <w:i w:val="0"/>
                <w:sz w:val="19"/>
              </w:rPr>
              <w:t>, October 19, 1972, https://www.nytimes.com/1972/10/19/archives/goldberg-is-off-board.html.</w:t>
            </w:r>
          </w:p>
        </w:tc>
      </w:tr>
      <w:tr>
        <w:tc>
          <w:tcPr>
            <w:tcW w:type="dxa" w:w="4680"/>
          </w:tcPr>
          <w:p>
            <w:r/>
            <w:r>
              <w:rPr>
                <w:b w:val="0"/>
                <w:i w:val="0"/>
                <w:sz w:val="19"/>
              </w:rPr>
              <w:t>11</w:t>
            </w:r>
          </w:p>
        </w:tc>
        <w:tc>
          <w:tcPr>
            <w:tcW w:type="dxa" w:w="4680"/>
          </w:tcPr>
          <w:p>
            <w:r/>
            <w:r>
              <w:rPr>
                <w:b w:val="0"/>
                <w:i w:val="0"/>
                <w:sz w:val="19"/>
              </w:rPr>
              <w:t>"Goldberg rút lui khỏi hội đồng quản trị."</w:t>
            </w:r>
          </w:p>
        </w:tc>
      </w:tr>
      <w:tr>
        <w:tc>
          <w:tcPr>
            <w:tcW w:type="dxa" w:w="4680"/>
          </w:tcPr>
          <w:p>
            <w:r/>
            <w:r>
              <w:rPr>
                <w:b w:val="0"/>
                <w:i w:val="0"/>
                <w:sz w:val="19"/>
              </w:rPr>
              <w:t>12</w:t>
            </w:r>
          </w:p>
        </w:tc>
        <w:tc>
          <w:tcPr>
            <w:tcW w:type="dxa" w:w="4680"/>
          </w:tcPr>
          <w:p>
            <w:r/>
            <w:r>
              <w:rPr>
                <w:b w:val="0"/>
                <w:i w:val="0"/>
                <w:sz w:val="19"/>
              </w:rPr>
              <w:t>Morris, "Quản trị doanh nghiệp."</w:t>
            </w:r>
          </w:p>
        </w:tc>
      </w:tr>
      <w:tr>
        <w:tc>
          <w:tcPr>
            <w:tcW w:type="dxa" w:w="4680"/>
          </w:tcPr>
          <w:p>
            <w:r/>
            <w:r>
              <w:rPr>
                <w:b w:val="0"/>
                <w:i w:val="0"/>
                <w:sz w:val="19"/>
              </w:rPr>
              <w:t>13</w:t>
            </w:r>
          </w:p>
        </w:tc>
        <w:tc>
          <w:tcPr>
            <w:tcW w:type="dxa" w:w="4680"/>
          </w:tcPr>
          <w:p>
            <w:r/>
            <w:r>
              <w:rPr>
                <w:b w:val="0"/>
                <w:i w:val="0"/>
                <w:sz w:val="19"/>
              </w:rPr>
              <w:t>Sommer, "Tác động của SEC."</w:t>
            </w:r>
          </w:p>
        </w:tc>
      </w:tr>
      <w:tr>
        <w:tc>
          <w:tcPr>
            <w:tcW w:type="dxa" w:w="4680"/>
          </w:tcPr>
          <w:p>
            <w:r/>
            <w:r>
              <w:rPr>
                <w:b w:val="0"/>
                <w:i w:val="0"/>
                <w:sz w:val="19"/>
              </w:rPr>
              <w:t>14</w:t>
            </w:r>
          </w:p>
        </w:tc>
        <w:tc>
          <w:tcPr>
            <w:tcW w:type="dxa" w:w="4680"/>
          </w:tcPr>
          <w:p>
            <w:r/>
            <w:r>
              <w:rPr>
                <w:b w:val="0"/>
                <w:i w:val="0"/>
                <w:sz w:val="19"/>
              </w:rPr>
              <w:t>Cheffins, "Lịch sử quản trị doanh nghiệp."</w:t>
            </w:r>
          </w:p>
        </w:tc>
      </w:tr>
      <w:tr>
        <w:tc>
          <w:tcPr>
            <w:tcW w:type="dxa" w:w="4680"/>
          </w:tcPr>
          <w:p>
            <w:r/>
            <w:r>
              <w:rPr>
                <w:b w:val="0"/>
                <w:i w:val="0"/>
                <w:sz w:val="19"/>
              </w:rPr>
              <w:t>15</w:t>
            </w:r>
          </w:p>
        </w:tc>
        <w:tc>
          <w:tcPr>
            <w:tcW w:type="dxa" w:w="4680"/>
          </w:tcPr>
          <w:p>
            <w:r/>
            <w:r>
              <w:rPr>
                <w:b w:val="0"/>
                <w:i w:val="0"/>
                <w:sz w:val="19"/>
              </w:rPr>
              <w:t xml:space="preserve">Báo cáo của nhân viên Ủy ban Chứng khoán và Giao dịch Hoa Kỳ gửi Tiểu ban Đặc biệt về Điều tra, </w:t>
            </w:r>
            <w:r>
              <w:rPr>
                <w:b w:val="0"/>
                <w:i/>
                <w:sz w:val="19"/>
              </w:rPr>
              <w:t>Sự sụp đổ tài chính của Công ty Penn Central</w:t>
            </w:r>
            <w:r>
              <w:rPr>
                <w:b w:val="0"/>
                <w:i w:val="0"/>
                <w:sz w:val="19"/>
              </w:rPr>
              <w:t xml:space="preserve"> (Washington, DC: US Government Printing Office, tháng 8 năm 1972), https://www.sechistorical.org/collection/papers/1970/1972_0803_CollapsePenn_1.pdf.</w:t>
            </w:r>
          </w:p>
        </w:tc>
      </w:tr>
      <w:tr>
        <w:tc>
          <w:tcPr>
            <w:tcW w:type="dxa" w:w="4680"/>
          </w:tcPr>
          <w:p>
            <w:r/>
            <w:r>
              <w:rPr>
                <w:b w:val="0"/>
                <w:i w:val="0"/>
                <w:sz w:val="19"/>
              </w:rPr>
              <w:t>16</w:t>
            </w:r>
          </w:p>
        </w:tc>
        <w:tc>
          <w:tcPr>
            <w:tcW w:type="dxa" w:w="4680"/>
          </w:tcPr>
          <w:p>
            <w:r/>
            <w:r>
              <w:rPr>
                <w:b w:val="0"/>
                <w:i w:val="0"/>
                <w:sz w:val="19"/>
              </w:rPr>
              <w:t>Cheffins, "Lịch sử quản trị doanh nghiệp."</w:t>
            </w:r>
          </w:p>
        </w:tc>
      </w:tr>
      <w:tr>
        <w:tc>
          <w:tcPr>
            <w:tcW w:type="dxa" w:w="4680"/>
          </w:tcPr>
          <w:p>
            <w:r/>
            <w:r>
              <w:rPr>
                <w:b w:val="0"/>
                <w:i w:val="0"/>
                <w:sz w:val="19"/>
              </w:rPr>
              <w:t>17</w:t>
            </w:r>
          </w:p>
        </w:tc>
        <w:tc>
          <w:tcPr>
            <w:tcW w:type="dxa" w:w="4680"/>
          </w:tcPr>
          <w:p>
            <w:r/>
            <w:r>
              <w:rPr>
                <w:b w:val="0"/>
                <w:i w:val="0"/>
                <w:sz w:val="19"/>
              </w:rPr>
              <w:t>Cheffins.</w:t>
            </w:r>
          </w:p>
        </w:tc>
      </w:tr>
      <w:tr>
        <w:tc>
          <w:tcPr>
            <w:tcW w:type="dxa" w:w="4680"/>
          </w:tcPr>
          <w:p>
            <w:r/>
            <w:r>
              <w:rPr>
                <w:b w:val="0"/>
                <w:i w:val="0"/>
                <w:sz w:val="19"/>
              </w:rPr>
              <w:t>18</w:t>
            </w:r>
          </w:p>
        </w:tc>
        <w:tc>
          <w:tcPr>
            <w:tcW w:type="dxa" w:w="4680"/>
          </w:tcPr>
          <w:p>
            <w:r/>
            <w:r>
              <w:rPr>
                <w:b w:val="0"/>
                <w:i w:val="0"/>
                <w:sz w:val="19"/>
              </w:rPr>
              <w:t>Cheffins.</w:t>
            </w:r>
          </w:p>
        </w:tc>
      </w:tr>
      <w:tr>
        <w:tc>
          <w:tcPr>
            <w:tcW w:type="dxa" w:w="4680"/>
          </w:tcPr>
          <w:p>
            <w:r/>
            <w:r>
              <w:rPr>
                <w:b w:val="0"/>
                <w:i w:val="0"/>
                <w:sz w:val="19"/>
              </w:rPr>
              <w:t>19</w:t>
            </w:r>
          </w:p>
        </w:tc>
        <w:tc>
          <w:tcPr>
            <w:tcW w:type="dxa" w:w="4680"/>
          </w:tcPr>
          <w:p>
            <w:r/>
            <w:r>
              <w:rPr>
                <w:b w:val="0"/>
                <w:i w:val="0"/>
                <w:sz w:val="19"/>
              </w:rPr>
              <w:t>Cheffins.</w:t>
            </w:r>
          </w:p>
        </w:tc>
      </w:tr>
      <w:tr>
        <w:tc>
          <w:tcPr>
            <w:tcW w:type="dxa" w:w="4680"/>
          </w:tcPr>
          <w:p>
            <w:r/>
            <w:r>
              <w:rPr>
                <w:b w:val="0"/>
                <w:i w:val="0"/>
                <w:sz w:val="19"/>
              </w:rPr>
              <w:t>20</w:t>
            </w:r>
          </w:p>
        </w:tc>
        <w:tc>
          <w:tcPr>
            <w:tcW w:type="dxa" w:w="4680"/>
          </w:tcPr>
          <w:p>
            <w:r/>
            <w:r>
              <w:rPr>
                <w:b w:val="0"/>
                <w:i w:val="0"/>
                <w:sz w:val="19"/>
              </w:rPr>
              <w:t>Mary Ann Cloyd, “Shareholder Activism: Who, What, When, and How?,” Harvard Law School Forum on Corporate Governance, April 7, 2015, https://corpgov.law.harvard.edu/2015/04/07/shareholder-activism-who-what-when-and-how/.</w:t>
            </w:r>
          </w:p>
        </w:tc>
      </w:tr>
      <w:tr>
        <w:tc>
          <w:tcPr>
            <w:tcW w:type="dxa" w:w="4680"/>
          </w:tcPr>
          <w:p>
            <w:r/>
            <w:r>
              <w:rPr>
                <w:b w:val="0"/>
                <w:i w:val="0"/>
                <w:sz w:val="19"/>
              </w:rPr>
              <w:t>21</w:t>
            </w:r>
          </w:p>
        </w:tc>
        <w:tc>
          <w:tcPr>
            <w:tcW w:type="dxa" w:w="4680"/>
          </w:tcPr>
          <w:p>
            <w:r/>
            <w:r>
              <w:rPr>
                <w:b w:val="0"/>
                <w:i w:val="0"/>
                <w:sz w:val="19"/>
              </w:rPr>
              <w:t xml:space="preserve">Milton Friedman, “A Friedman Doctrine—the Social Responsibility of Business Is to Increase Its Profits,” </w:t>
            </w:r>
            <w:r>
              <w:rPr>
                <w:b w:val="0"/>
                <w:i/>
                <w:sz w:val="19"/>
              </w:rPr>
              <w:t>New York Times</w:t>
            </w:r>
            <w:r>
              <w:rPr>
                <w:b w:val="0"/>
                <w:i w:val="0"/>
                <w:sz w:val="19"/>
              </w:rPr>
              <w:t>, September 13, 1970, https://www.nytimes.com/1970/09/13/archives/a-friedman-doctrine-the-social-responsibility-of-business-is-to.html.</w:t>
            </w:r>
          </w:p>
        </w:tc>
      </w:tr>
      <w:tr>
        <w:tc>
          <w:tcPr>
            <w:tcW w:type="dxa" w:w="4680"/>
          </w:tcPr>
          <w:p>
            <w:r/>
            <w:r>
              <w:rPr>
                <w:b w:val="0"/>
                <w:i w:val="0"/>
                <w:sz w:val="19"/>
              </w:rPr>
              <w:t>22</w:t>
            </w:r>
          </w:p>
        </w:tc>
        <w:tc>
          <w:tcPr>
            <w:tcW w:type="dxa" w:w="4680"/>
          </w:tcPr>
          <w:p>
            <w:r/>
            <w:r>
              <w:rPr>
                <w:b w:val="0"/>
                <w:i w:val="0"/>
                <w:sz w:val="19"/>
              </w:rPr>
              <w:t>Friedman.</w:t>
            </w:r>
          </w:p>
        </w:tc>
      </w:tr>
      <w:tr>
        <w:tc>
          <w:tcPr>
            <w:tcW w:type="dxa" w:w="4680"/>
          </w:tcPr>
          <w:p>
            <w:r/>
            <w:r>
              <w:rPr>
                <w:b w:val="0"/>
                <w:i w:val="0"/>
                <w:sz w:val="19"/>
              </w:rPr>
              <w:t>23</w:t>
            </w:r>
          </w:p>
        </w:tc>
        <w:tc>
          <w:tcPr>
            <w:tcW w:type="dxa" w:w="4680"/>
          </w:tcPr>
          <w:p>
            <w:r/>
            <w:r>
              <w:rPr>
                <w:b w:val="0"/>
                <w:i w:val="0"/>
                <w:sz w:val="19"/>
              </w:rPr>
              <w:t>Edwin Chan, “Icahn Takes Another $500 Million Bite Out of Apple,” Reuters, January 23, 2014, https://www.reuters.com/article/business/icahn-takes-another-500-million-bite-out-of-apple-idUSBREA0L1EE/.</w:t>
            </w:r>
          </w:p>
        </w:tc>
      </w:tr>
      <w:tr>
        <w:tc>
          <w:tcPr>
            <w:tcW w:type="dxa" w:w="4680"/>
          </w:tcPr>
          <w:p>
            <w:r/>
            <w:r>
              <w:rPr>
                <w:b w:val="0"/>
                <w:i w:val="0"/>
                <w:sz w:val="19"/>
              </w:rPr>
              <w:t>24</w:t>
            </w:r>
          </w:p>
        </w:tc>
        <w:tc>
          <w:tcPr>
            <w:tcW w:type="dxa" w:w="4680"/>
          </w:tcPr>
          <w:p>
            <w:r/>
            <w:r>
              <w:rPr>
                <w:b w:val="0"/>
                <w:i w:val="0"/>
                <w:sz w:val="19"/>
              </w:rPr>
              <w:t>Bengt Holmstrom và Steven N. Kaplan, “Corporate Governance and Merger Activity in the US: Making Sense of the 1980s and 1990s” (bài nghiên cứu NBER số 8220, tháng 4 năm 2001), https://www.nber.org/system/files/working_papers/w8220/w8220.pdf.</w:t>
            </w:r>
          </w:p>
        </w:tc>
      </w:tr>
    </w:tbl>
    <w:p>
      <w:pPr>
        <w:spacing w:after="0"/>
      </w:pPr>
    </w:p>
    <w:p>
      <w:pPr>
        <w:pStyle w:val="Heading2"/>
      </w:pPr>
      <w:r>
        <w:rPr>
          <w:rFonts w:ascii="Calibri" w:hAnsi="Calibri"/>
          <w:b/>
          <w:i w:val="0"/>
          <w:sz w:val="32"/>
        </w:rPr>
        <w:t>Chương 3: Cốt lõi vai trò của các Giám đốc Công ty</w:t>
      </w:r>
    </w:p>
    <w:tbl>
      <w:tblPr>
        <w:tblStyle w:val="TableGrid"/>
        <w:tblW w:type="auto" w:w="0"/>
        <w:tblLook w:firstColumn="1" w:firstRow="1" w:lastColumn="0" w:lastRow="0" w:noHBand="0" w:noVBand="1" w:val="04A0"/>
      </w:tblPr>
      <w:tblGrid>
        <w:gridCol w:w="4680"/>
        <w:gridCol w:w="4680"/>
      </w:tblGrid>
      <w:tr>
        <w:tc>
          <w:tcPr>
            <w:tcW w:type="dxa" w:w="4680"/>
          </w:tcPr>
          <w:p>
            <w:r/>
            <w:r>
              <w:rPr>
                <w:b w:val="0"/>
                <w:i w:val="0"/>
                <w:sz w:val="19"/>
              </w:rPr>
              <w:t>1</w:t>
            </w:r>
          </w:p>
        </w:tc>
        <w:tc>
          <w:tcPr>
            <w:tcW w:type="dxa" w:w="4680"/>
          </w:tcPr>
          <w:p>
            <w:r/>
            <w:r>
              <w:rPr>
                <w:b w:val="0"/>
                <w:i/>
                <w:sz w:val="19"/>
              </w:rPr>
              <w:t>In re Smurfit-Stone Container Corp. S’Holder Litig.</w:t>
            </w:r>
            <w:r>
              <w:rPr>
                <w:b w:val="0"/>
                <w:i w:val="0"/>
                <w:sz w:val="19"/>
              </w:rPr>
              <w:t>, C.A. No. 6164-VCP (Del. Ch. May 20, 2011, revised May 24, 2011) (Parsons, V.C.).</w:t>
            </w:r>
          </w:p>
        </w:tc>
      </w:tr>
      <w:tr>
        <w:tc>
          <w:tcPr>
            <w:tcW w:type="dxa" w:w="4680"/>
          </w:tcPr>
          <w:p>
            <w:r/>
            <w:r>
              <w:rPr>
                <w:b w:val="0"/>
                <w:i w:val="0"/>
                <w:sz w:val="19"/>
              </w:rPr>
              <w:t>2</w:t>
            </w:r>
          </w:p>
        </w:tc>
        <w:tc>
          <w:tcPr>
            <w:tcW w:type="dxa" w:w="4680"/>
          </w:tcPr>
          <w:p>
            <w:r/>
            <w:r>
              <w:rPr>
                <w:b w:val="0"/>
                <w:i/>
                <w:sz w:val="19"/>
              </w:rPr>
              <w:t>In re Smurfit-Stone</w:t>
            </w:r>
            <w:r>
              <w:rPr>
                <w:b w:val="0"/>
                <w:i w:val="0"/>
                <w:sz w:val="19"/>
              </w:rPr>
              <w:t>.</w:t>
            </w:r>
          </w:p>
        </w:tc>
      </w:tr>
      <w:tr>
        <w:tc>
          <w:tcPr>
            <w:tcW w:type="dxa" w:w="4680"/>
          </w:tcPr>
          <w:p>
            <w:r/>
            <w:r>
              <w:rPr>
                <w:b w:val="0"/>
                <w:i w:val="0"/>
                <w:sz w:val="19"/>
              </w:rPr>
              <w:t>3</w:t>
            </w:r>
          </w:p>
        </w:tc>
        <w:tc>
          <w:tcPr>
            <w:tcW w:type="dxa" w:w="4680"/>
          </w:tcPr>
          <w:p>
            <w:r/>
            <w:r>
              <w:rPr>
                <w:b w:val="0"/>
                <w:i/>
                <w:sz w:val="19"/>
              </w:rPr>
              <w:t>In re Smurfit-Stone</w:t>
            </w:r>
            <w:r>
              <w:rPr>
                <w:b w:val="0"/>
                <w:i w:val="0"/>
                <w:sz w:val="19"/>
              </w:rPr>
              <w:t>.</w:t>
            </w:r>
          </w:p>
        </w:tc>
      </w:tr>
      <w:tr>
        <w:tc>
          <w:tcPr>
            <w:tcW w:type="dxa" w:w="4680"/>
          </w:tcPr>
          <w:p>
            <w:r/>
            <w:r>
              <w:rPr>
                <w:b w:val="0"/>
                <w:i w:val="0"/>
                <w:sz w:val="19"/>
              </w:rPr>
              <w:t>4</w:t>
            </w:r>
          </w:p>
        </w:tc>
        <w:tc>
          <w:tcPr>
            <w:tcW w:type="dxa" w:w="4680"/>
          </w:tcPr>
          <w:p>
            <w:r/>
            <w:r>
              <w:rPr>
                <w:b w:val="0"/>
                <w:i w:val="0"/>
                <w:sz w:val="19"/>
              </w:rPr>
              <w:t xml:space="preserve">Mark Basch, “Smurfit Kappa, WestRock Agree to Merger,” </w:t>
            </w:r>
            <w:r>
              <w:rPr>
                <w:b w:val="0"/>
                <w:i/>
                <w:sz w:val="19"/>
              </w:rPr>
              <w:t>Jacksonville Daily Record</w:t>
            </w:r>
            <w:r>
              <w:rPr>
                <w:b w:val="0"/>
                <w:i w:val="0"/>
                <w:sz w:val="19"/>
              </w:rPr>
              <w:t>, September 12, 2023, https://www.jaxdailyrecord.com/news/2023/sep/12/smurfit-kappa-westrock-agree-to-merger/.</w:t>
            </w:r>
          </w:p>
        </w:tc>
      </w:tr>
      <w:tr>
        <w:tc>
          <w:tcPr>
            <w:tcW w:type="dxa" w:w="4680"/>
          </w:tcPr>
          <w:p>
            <w:r/>
            <w:r>
              <w:rPr>
                <w:b w:val="0"/>
                <w:i w:val="0"/>
                <w:sz w:val="19"/>
              </w:rPr>
              <w:t>5</w:t>
            </w:r>
          </w:p>
        </w:tc>
        <w:tc>
          <w:tcPr>
            <w:tcW w:type="dxa" w:w="4680"/>
          </w:tcPr>
          <w:p>
            <w:r/>
            <w:r>
              <w:rPr>
                <w:b w:val="0"/>
                <w:i w:val="0"/>
                <w:sz w:val="19"/>
              </w:rPr>
              <w:t xml:space="preserve">“Boeing in Fortune Rankings,” </w:t>
            </w:r>
            <w:r>
              <w:rPr>
                <w:b w:val="0"/>
                <w:i/>
                <w:sz w:val="19"/>
              </w:rPr>
              <w:t>Fortune</w:t>
            </w:r>
            <w:r>
              <w:rPr>
                <w:b w:val="0"/>
                <w:i w:val="0"/>
                <w:sz w:val="19"/>
              </w:rPr>
              <w:t>, n.d., https://fortune.com/company/boeing/fortune500/.</w:t>
            </w:r>
          </w:p>
        </w:tc>
      </w:tr>
      <w:tr>
        <w:tc>
          <w:tcPr>
            <w:tcW w:type="dxa" w:w="4680"/>
          </w:tcPr>
          <w:p>
            <w:r/>
            <w:r>
              <w:rPr>
                <w:b w:val="0"/>
                <w:i w:val="0"/>
                <w:sz w:val="19"/>
              </w:rPr>
              <w:t>6</w:t>
            </w:r>
          </w:p>
        </w:tc>
        <w:tc>
          <w:tcPr>
            <w:tcW w:type="dxa" w:w="4680"/>
          </w:tcPr>
          <w:p>
            <w:r/>
            <w:r>
              <w:rPr>
                <w:b w:val="0"/>
                <w:i/>
                <w:sz w:val="19"/>
              </w:rPr>
              <w:t>In re The Boeing Company Derivative Litigation</w:t>
            </w:r>
            <w:r>
              <w:rPr>
                <w:b w:val="0"/>
                <w:i w:val="0"/>
                <w:sz w:val="19"/>
              </w:rPr>
              <w:t>, Consol., C.A. No. 2019-0907-MTZ (Del. Ch. Sept. 7, 2021).</w:t>
            </w:r>
          </w:p>
        </w:tc>
      </w:tr>
      <w:tr>
        <w:tc>
          <w:tcPr>
            <w:tcW w:type="dxa" w:w="4680"/>
          </w:tcPr>
          <w:p>
            <w:r/>
            <w:r>
              <w:rPr>
                <w:b w:val="0"/>
                <w:i w:val="0"/>
                <w:sz w:val="19"/>
              </w:rPr>
              <w:t>7</w:t>
            </w:r>
          </w:p>
        </w:tc>
        <w:tc>
          <w:tcPr>
            <w:tcW w:type="dxa" w:w="4680"/>
          </w:tcPr>
          <w:p>
            <w:r/>
            <w:r>
              <w:rPr>
                <w:b w:val="0"/>
                <w:i/>
                <w:sz w:val="19"/>
              </w:rPr>
              <w:t>In re Boeing</w:t>
            </w:r>
            <w:r>
              <w:rPr>
                <w:b w:val="0"/>
                <w:i w:val="0"/>
                <w:sz w:val="19"/>
              </w:rPr>
              <w:t>.</w:t>
            </w:r>
          </w:p>
        </w:tc>
      </w:tr>
      <w:tr>
        <w:tc>
          <w:tcPr>
            <w:tcW w:type="dxa" w:w="4680"/>
          </w:tcPr>
          <w:p>
            <w:r/>
            <w:r>
              <w:rPr>
                <w:b w:val="0"/>
                <w:i w:val="0"/>
                <w:sz w:val="19"/>
              </w:rPr>
              <w:t>8</w:t>
            </w:r>
          </w:p>
        </w:tc>
        <w:tc>
          <w:tcPr>
            <w:tcW w:type="dxa" w:w="4680"/>
          </w:tcPr>
          <w:p>
            <w:r/>
            <w:r>
              <w:rPr>
                <w:b w:val="0"/>
                <w:i w:val="0"/>
                <w:sz w:val="19"/>
              </w:rPr>
              <w:t>David Shepardson, “Boeing Directors Agree to $237.5 Million Settlement over 737 MAX Safety Oversight,” Reuters, November 6, 2021, sec. Transactional, https://www.reuters.com/legal/transactional/boeing-directors-agree-2375-million-settlement-over-max-safety-oversight-2021-11-05/.</w:t>
            </w:r>
          </w:p>
        </w:tc>
      </w:tr>
      <w:tr>
        <w:tc>
          <w:tcPr>
            <w:tcW w:type="dxa" w:w="4680"/>
          </w:tcPr>
          <w:p>
            <w:r/>
            <w:r>
              <w:rPr>
                <w:b w:val="0"/>
                <w:i w:val="0"/>
                <w:sz w:val="19"/>
              </w:rPr>
              <w:t>9</w:t>
            </w:r>
          </w:p>
        </w:tc>
        <w:tc>
          <w:tcPr>
            <w:tcW w:type="dxa" w:w="4680"/>
          </w:tcPr>
          <w:p>
            <w:r/>
            <w:r>
              <w:rPr>
                <w:b w:val="0"/>
                <w:i w:val="0"/>
                <w:sz w:val="19"/>
              </w:rPr>
              <w:t>Lila MacLellan, “Boeing’s Board Faces Scrutiny Yet Again: ‘It’s a Bad Board, and It Has Been a Bad Board for a Long Time,’” Yahoo! Finance, January 16, 2024, https://finance.yahoo.com/news/boeing-board-faces-scrutiny-yet-124500373.html.</w:t>
            </w:r>
          </w:p>
        </w:tc>
      </w:tr>
      <w:tr>
        <w:tc>
          <w:tcPr>
            <w:tcW w:type="dxa" w:w="4680"/>
          </w:tcPr>
          <w:p>
            <w:r/>
            <w:r>
              <w:rPr>
                <w:b w:val="0"/>
                <w:i w:val="0"/>
                <w:sz w:val="19"/>
              </w:rPr>
              <w:t>10</w:t>
            </w:r>
          </w:p>
        </w:tc>
        <w:tc>
          <w:tcPr>
            <w:tcW w:type="dxa" w:w="4680"/>
          </w:tcPr>
          <w:p>
            <w:r/>
            <w:r>
              <w:rPr>
                <w:b w:val="0"/>
                <w:i w:val="0"/>
                <w:sz w:val="19"/>
              </w:rPr>
              <w:t xml:space="preserve">Nate Freeman, “How Chef Mario Carbone Built the Most Celebrity-Studded Restaurant on Earth,” </w:t>
            </w:r>
            <w:r>
              <w:rPr>
                <w:b w:val="0"/>
                <w:i/>
                <w:sz w:val="19"/>
              </w:rPr>
              <w:t>Vanity Fair</w:t>
            </w:r>
            <w:r>
              <w:rPr>
                <w:b w:val="0"/>
                <w:i w:val="0"/>
                <w:sz w:val="19"/>
              </w:rPr>
              <w:t>, August 10, 2022, https://www.vanityfair.com/style/2022/08/how-chef-mario-carbone-built-the-most-celebrity-studded-restaurant-on-earth.</w:t>
            </w:r>
          </w:p>
        </w:tc>
      </w:tr>
      <w:tr>
        <w:tc>
          <w:tcPr>
            <w:tcW w:type="dxa" w:w="4680"/>
          </w:tcPr>
          <w:p>
            <w:r/>
            <w:r>
              <w:rPr>
                <w:b w:val="0"/>
                <w:i w:val="0"/>
                <w:sz w:val="19"/>
              </w:rPr>
              <w:t>11</w:t>
            </w:r>
          </w:p>
        </w:tc>
        <w:tc>
          <w:tcPr>
            <w:tcW w:type="dxa" w:w="4680"/>
          </w:tcPr>
          <w:p>
            <w:r/>
            <w:r>
              <w:rPr>
                <w:b w:val="0"/>
                <w:i w:val="0"/>
                <w:sz w:val="19"/>
              </w:rPr>
              <w:t xml:space="preserve">“The Role of the Board of Directors in Enron’s Collapse,” </w:t>
            </w:r>
            <w:r>
              <w:rPr>
                <w:b w:val="0"/>
                <w:i/>
                <w:sz w:val="19"/>
              </w:rPr>
              <w:t>Hearing before the Permanent Subcommittee of Investigations of the Committee on Governmental Affairs, US Senate</w:t>
            </w:r>
            <w:r>
              <w:rPr>
                <w:b w:val="0"/>
                <w:i w:val="0"/>
                <w:sz w:val="19"/>
              </w:rPr>
              <w:t>, 107th Cong., 2nd session, Senate Hearing 107–511, May 7, 2002, https://www.govinfo.gov/content/pkg/CHRG-107shrg80300/html/CHRG-107shrg80300.htm.</w:t>
            </w:r>
          </w:p>
        </w:tc>
      </w:tr>
      <w:tr>
        <w:tc>
          <w:tcPr>
            <w:tcW w:type="dxa" w:w="4680"/>
          </w:tcPr>
          <w:p>
            <w:r/>
            <w:r>
              <w:rPr>
                <w:b w:val="0"/>
                <w:i w:val="0"/>
                <w:sz w:val="19"/>
              </w:rPr>
              <w:t>12</w:t>
            </w:r>
          </w:p>
        </w:tc>
        <w:tc>
          <w:tcPr>
            <w:tcW w:type="dxa" w:w="4680"/>
          </w:tcPr>
          <w:p>
            <w:r/>
            <w:r>
              <w:rPr>
                <w:b w:val="0"/>
                <w:i w:val="0"/>
                <w:sz w:val="19"/>
              </w:rPr>
              <w:t xml:space="preserve">Julian Velasco, “How Many Fiduciary Duties Are There in Corporate Law?,” </w:t>
            </w:r>
            <w:r>
              <w:rPr>
                <w:b w:val="0"/>
                <w:i/>
                <w:sz w:val="19"/>
              </w:rPr>
              <w:t>Southern California Law Review</w:t>
            </w:r>
            <w:r>
              <w:rPr>
                <w:b w:val="0"/>
                <w:i w:val="0"/>
                <w:sz w:val="19"/>
              </w:rPr>
              <w:t xml:space="preserve"> 83 (2009–10): 1231, https://scholarship.law.nd.edu/law_faculty_scholarship/590.</w:t>
            </w:r>
          </w:p>
        </w:tc>
      </w:tr>
      <w:tr>
        <w:tc>
          <w:tcPr>
            <w:tcW w:type="dxa" w:w="4680"/>
          </w:tcPr>
          <w:p>
            <w:r/>
            <w:r>
              <w:rPr>
                <w:b w:val="0"/>
                <w:i w:val="0"/>
                <w:sz w:val="19"/>
              </w:rPr>
              <w:t>13</w:t>
            </w:r>
          </w:p>
        </w:tc>
        <w:tc>
          <w:tcPr>
            <w:tcW w:type="dxa" w:w="4680"/>
          </w:tcPr>
          <w:p>
            <w:r/>
            <w:r>
              <w:rPr>
                <w:b w:val="0"/>
                <w:i/>
                <w:sz w:val="19"/>
              </w:rPr>
              <w:t>Smith v. Van Gorkom</w:t>
            </w:r>
            <w:r>
              <w:rPr>
                <w:b w:val="0"/>
                <w:i w:val="0"/>
                <w:sz w:val="19"/>
              </w:rPr>
              <w:t>, 488 A.2d 858 (Del. 1985).</w:t>
            </w:r>
          </w:p>
        </w:tc>
      </w:tr>
      <w:tr>
        <w:tc>
          <w:tcPr>
            <w:tcW w:type="dxa" w:w="4680"/>
          </w:tcPr>
          <w:p>
            <w:r/>
            <w:r>
              <w:rPr>
                <w:b w:val="0"/>
                <w:i w:val="0"/>
                <w:sz w:val="19"/>
              </w:rPr>
              <w:t>14</w:t>
            </w:r>
          </w:p>
        </w:tc>
        <w:tc>
          <w:tcPr>
            <w:tcW w:type="dxa" w:w="4680"/>
          </w:tcPr>
          <w:p>
            <w:r/>
            <w:r>
              <w:rPr>
                <w:b w:val="0"/>
                <w:i/>
                <w:sz w:val="19"/>
              </w:rPr>
              <w:t>Smith v. Van Gorkom</w:t>
            </w:r>
            <w:r>
              <w:rPr>
                <w:b w:val="0"/>
                <w:i w:val="0"/>
                <w:sz w:val="19"/>
              </w:rPr>
              <w:t>.</w:t>
            </w:r>
          </w:p>
        </w:tc>
      </w:tr>
      <w:tr>
        <w:tc>
          <w:tcPr>
            <w:tcW w:type="dxa" w:w="4680"/>
          </w:tcPr>
          <w:p>
            <w:r/>
            <w:r>
              <w:rPr>
                <w:b w:val="0"/>
                <w:i w:val="0"/>
                <w:sz w:val="19"/>
              </w:rPr>
              <w:t>15</w:t>
            </w:r>
          </w:p>
        </w:tc>
        <w:tc>
          <w:tcPr>
            <w:tcW w:type="dxa" w:w="4680"/>
          </w:tcPr>
          <w:p>
            <w:r/>
            <w:r>
              <w:rPr>
                <w:b w:val="0"/>
                <w:i/>
                <w:sz w:val="19"/>
              </w:rPr>
              <w:t>Smith v. Van Gorkom</w:t>
            </w:r>
            <w:r>
              <w:rPr>
                <w:b w:val="0"/>
                <w:i w:val="0"/>
                <w:sz w:val="19"/>
              </w:rPr>
              <w:t>.</w:t>
            </w:r>
          </w:p>
        </w:tc>
      </w:tr>
      <w:tr>
        <w:tc>
          <w:tcPr>
            <w:tcW w:type="dxa" w:w="4680"/>
          </w:tcPr>
          <w:p>
            <w:r/>
            <w:r>
              <w:rPr>
                <w:b w:val="0"/>
                <w:i w:val="0"/>
                <w:sz w:val="19"/>
              </w:rPr>
              <w:t>16</w:t>
            </w:r>
          </w:p>
        </w:tc>
        <w:tc>
          <w:tcPr>
            <w:tcW w:type="dxa" w:w="4680"/>
          </w:tcPr>
          <w:p>
            <w:r/>
            <w:r>
              <w:rPr>
                <w:b w:val="0"/>
                <w:i/>
                <w:sz w:val="19"/>
              </w:rPr>
              <w:t>Guth v. Loft Inc.</w:t>
            </w:r>
            <w:r>
              <w:rPr>
                <w:b w:val="0"/>
                <w:i w:val="0"/>
                <w:sz w:val="19"/>
              </w:rPr>
              <w:t>, 5 A.2d 503 (Del. 1939).</w:t>
            </w:r>
          </w:p>
        </w:tc>
      </w:tr>
      <w:tr>
        <w:tc>
          <w:tcPr>
            <w:tcW w:type="dxa" w:w="4680"/>
          </w:tcPr>
          <w:p>
            <w:r/>
            <w:r>
              <w:rPr>
                <w:b w:val="0"/>
                <w:i w:val="0"/>
                <w:sz w:val="19"/>
              </w:rPr>
              <w:t>17</w:t>
            </w:r>
          </w:p>
        </w:tc>
        <w:tc>
          <w:tcPr>
            <w:tcW w:type="dxa" w:w="4680"/>
          </w:tcPr>
          <w:p>
            <w:r/>
            <w:r>
              <w:rPr>
                <w:b w:val="0"/>
                <w:i/>
                <w:sz w:val="19"/>
              </w:rPr>
              <w:t>Guth v. Loft</w:t>
            </w:r>
            <w:r>
              <w:rPr>
                <w:b w:val="0"/>
                <w:i w:val="0"/>
                <w:sz w:val="19"/>
              </w:rPr>
              <w:t>.</w:t>
            </w:r>
          </w:p>
        </w:tc>
      </w:tr>
      <w:tr>
        <w:tc>
          <w:tcPr>
            <w:tcW w:type="dxa" w:w="4680"/>
          </w:tcPr>
          <w:p>
            <w:r/>
            <w:r>
              <w:rPr>
                <w:b w:val="0"/>
                <w:i w:val="0"/>
                <w:sz w:val="19"/>
              </w:rPr>
              <w:t>18</w:t>
            </w:r>
          </w:p>
        </w:tc>
        <w:tc>
          <w:tcPr>
            <w:tcW w:type="dxa" w:w="4680"/>
          </w:tcPr>
          <w:p>
            <w:r/>
            <w:r>
              <w:rPr>
                <w:b w:val="0"/>
                <w:i/>
                <w:sz w:val="19"/>
              </w:rPr>
              <w:t>Guth v. Loft</w:t>
            </w:r>
            <w:r>
              <w:rPr>
                <w:b w:val="0"/>
                <w:i w:val="0"/>
                <w:sz w:val="19"/>
              </w:rPr>
              <w:t>.</w:t>
            </w:r>
          </w:p>
        </w:tc>
      </w:tr>
      <w:tr>
        <w:tc>
          <w:tcPr>
            <w:tcW w:type="dxa" w:w="4680"/>
          </w:tcPr>
          <w:p>
            <w:r/>
            <w:r>
              <w:rPr>
                <w:b w:val="0"/>
                <w:i w:val="0"/>
                <w:sz w:val="19"/>
              </w:rPr>
              <w:t>19</w:t>
            </w:r>
          </w:p>
        </w:tc>
        <w:tc>
          <w:tcPr>
            <w:tcW w:type="dxa" w:w="4680"/>
          </w:tcPr>
          <w:p>
            <w:r/>
            <w:r>
              <w:rPr>
                <w:b w:val="0"/>
                <w:i w:val="0"/>
                <w:sz w:val="19"/>
              </w:rPr>
              <w:t>Velasco, “How Many Fiduciary Duties.”</w:t>
            </w:r>
          </w:p>
        </w:tc>
      </w:tr>
      <w:tr>
        <w:tc>
          <w:tcPr>
            <w:tcW w:type="dxa" w:w="4680"/>
          </w:tcPr>
          <w:p>
            <w:r/>
            <w:r>
              <w:rPr>
                <w:b w:val="0"/>
                <w:i w:val="0"/>
                <w:sz w:val="19"/>
              </w:rPr>
              <w:t>20</w:t>
            </w:r>
          </w:p>
        </w:tc>
        <w:tc>
          <w:tcPr>
            <w:tcW w:type="dxa" w:w="4680"/>
          </w:tcPr>
          <w:p>
            <w:r/>
            <w:r>
              <w:rPr>
                <w:b w:val="0"/>
                <w:i w:val="0"/>
                <w:sz w:val="19"/>
              </w:rPr>
              <w:t>Allison L. Land và Peter D. Luneau, “Indemnification Considerations for Directors and Officers of Delaware Entities,” Skadden, February 9, 2021, https://www.skadden.com/insights/publications/2021/02/indemnification-considerations.</w:t>
            </w:r>
          </w:p>
        </w:tc>
      </w:tr>
      <w:tr>
        <w:tc>
          <w:tcPr>
            <w:tcW w:type="dxa" w:w="4680"/>
          </w:tcPr>
          <w:p>
            <w:r/>
            <w:r>
              <w:rPr>
                <w:b w:val="0"/>
                <w:i w:val="0"/>
                <w:sz w:val="19"/>
              </w:rPr>
              <w:t>21</w:t>
            </w:r>
          </w:p>
        </w:tc>
        <w:tc>
          <w:tcPr>
            <w:tcW w:type="dxa" w:w="4680"/>
          </w:tcPr>
          <w:p>
            <w:r/>
            <w:r>
              <w:rPr>
                <w:b w:val="0"/>
                <w:i w:val="0"/>
                <w:sz w:val="19"/>
              </w:rPr>
              <w:t xml:space="preserve">Deborah A. DeMott, “Limiting Directors’ Liability,” </w:t>
            </w:r>
            <w:r>
              <w:rPr>
                <w:b w:val="0"/>
                <w:i/>
                <w:sz w:val="19"/>
              </w:rPr>
              <w:t>Washington University Law Quarterly</w:t>
            </w:r>
            <w:r>
              <w:rPr>
                <w:b w:val="0"/>
                <w:i w:val="0"/>
                <w:sz w:val="19"/>
              </w:rPr>
              <w:t xml:space="preserve"> 66 (1988): 295–323.</w:t>
            </w:r>
          </w:p>
        </w:tc>
      </w:tr>
      <w:tr>
        <w:tc>
          <w:tcPr>
            <w:tcW w:type="dxa" w:w="4680"/>
          </w:tcPr>
          <w:p>
            <w:r/>
            <w:r>
              <w:rPr>
                <w:b w:val="0"/>
                <w:i w:val="0"/>
                <w:sz w:val="19"/>
              </w:rPr>
              <w:t>22</w:t>
            </w:r>
          </w:p>
        </w:tc>
        <w:tc>
          <w:tcPr>
            <w:tcW w:type="dxa" w:w="4680"/>
          </w:tcPr>
          <w:p>
            <w:r/>
            <w:r>
              <w:rPr>
                <w:b w:val="0"/>
                <w:i w:val="0"/>
                <w:sz w:val="19"/>
              </w:rPr>
              <w:t xml:space="preserve">Jef Feeley, Dana Hull, và Bloomberg, “Elon Musk’s $56 Billion Pay Pact Was Killed by Lawyers Who Are Now Seeking 29 Million Tesla Shares to Cover Legal Fees,” </w:t>
            </w:r>
            <w:r>
              <w:rPr>
                <w:b w:val="0"/>
                <w:i/>
                <w:sz w:val="19"/>
              </w:rPr>
              <w:t>Fortune</w:t>
            </w:r>
            <w:r>
              <w:rPr>
                <w:b w:val="0"/>
                <w:i w:val="0"/>
                <w:sz w:val="19"/>
              </w:rPr>
              <w:t>, March 2, 2024, https://fortune.com/2024/03/02/lawyers-seek-tesla-shares-for-legal-fees-in-elon-musk-pay-case/amp/.</w:t>
            </w:r>
          </w:p>
        </w:tc>
      </w:tr>
      <w:tr>
        <w:tc>
          <w:tcPr>
            <w:tcW w:type="dxa" w:w="4680"/>
          </w:tcPr>
          <w:p>
            <w:r/>
            <w:r>
              <w:rPr>
                <w:b w:val="0"/>
                <w:i w:val="0"/>
                <w:sz w:val="19"/>
              </w:rPr>
              <w:t>23.</w:t>
            </w:r>
          </w:p>
        </w:tc>
        <w:tc>
          <w:tcPr>
            <w:tcW w:type="dxa" w:w="4680"/>
          </w:tcPr>
          <w:p>
            <w:r/>
            <w:r>
              <w:rPr>
                <w:b w:val="0"/>
                <w:i w:val="0"/>
                <w:sz w:val="19"/>
              </w:rPr>
              <w:t xml:space="preserve">Lewis S. Black Jr., </w:t>
            </w:r>
            <w:r>
              <w:rPr>
                <w:b w:val="0"/>
                <w:i/>
                <w:sz w:val="19"/>
              </w:rPr>
              <w:t>Why Corporations Choose Delaware</w:t>
            </w:r>
            <w:r>
              <w:rPr>
                <w:b w:val="0"/>
                <w:i w:val="0"/>
                <w:sz w:val="19"/>
              </w:rPr>
              <w:t xml:space="preserve"> (New York: CSC, 1999), https://corpfiles.delaware.gov/pdfs/whycorporations_english.pdf; Pádraig Floyd, “Delaware’s Corporate Law Primacy Is Under Attack,” Agenda, February 12, 2024, https://www.agendaweek.com/c/4420274/573764/delaware_corporate_primacy_under_attack.</w:t>
            </w:r>
          </w:p>
        </w:tc>
      </w:tr>
      <w:tr>
        <w:tc>
          <w:tcPr>
            <w:tcW w:type="dxa" w:w="4680"/>
          </w:tcPr>
          <w:p>
            <w:r/>
            <w:r>
              <w:rPr>
                <w:b w:val="0"/>
                <w:i w:val="0"/>
                <w:sz w:val="19"/>
              </w:rPr>
              <w:t>24</w:t>
            </w:r>
          </w:p>
        </w:tc>
        <w:tc>
          <w:tcPr>
            <w:tcW w:type="dxa" w:w="4680"/>
          </w:tcPr>
          <w:p>
            <w:r/>
            <w:r>
              <w:rPr>
                <w:b w:val="0"/>
                <w:i w:val="0"/>
                <w:sz w:val="19"/>
              </w:rPr>
              <w:t xml:space="preserve">Black, </w:t>
            </w:r>
            <w:r>
              <w:rPr>
                <w:b w:val="0"/>
                <w:i/>
                <w:sz w:val="19"/>
              </w:rPr>
              <w:t>Why Corporations</w:t>
            </w:r>
            <w:r>
              <w:rPr>
                <w:b w:val="0"/>
                <w:i w:val="0"/>
                <w:sz w:val="19"/>
              </w:rPr>
              <w:t>.</w:t>
            </w:r>
          </w:p>
        </w:tc>
      </w:tr>
      <w:tr>
        <w:tc>
          <w:tcPr>
            <w:tcW w:type="dxa" w:w="4680"/>
          </w:tcPr>
          <w:p>
            <w:r/>
            <w:r>
              <w:rPr>
                <w:b w:val="0"/>
                <w:i w:val="0"/>
                <w:sz w:val="19"/>
              </w:rPr>
              <w:t>25</w:t>
            </w:r>
          </w:p>
        </w:tc>
        <w:tc>
          <w:tcPr>
            <w:tcW w:type="dxa" w:w="4680"/>
          </w:tcPr>
          <w:p>
            <w:r/>
            <w:r>
              <w:rPr>
                <w:b w:val="0"/>
                <w:i w:val="0"/>
                <w:sz w:val="19"/>
              </w:rPr>
              <w:t>Black.</w:t>
            </w:r>
          </w:p>
        </w:tc>
      </w:tr>
      <w:tr>
        <w:tc>
          <w:tcPr>
            <w:tcW w:type="dxa" w:w="4680"/>
          </w:tcPr>
          <w:p>
            <w:r/>
            <w:r>
              <w:rPr>
                <w:b w:val="0"/>
                <w:i w:val="0"/>
                <w:sz w:val="19"/>
              </w:rPr>
              <w:t>26</w:t>
            </w:r>
          </w:p>
        </w:tc>
        <w:tc>
          <w:tcPr>
            <w:tcW w:type="dxa" w:w="4680"/>
          </w:tcPr>
          <w:p>
            <w:r/>
            <w:r>
              <w:rPr>
                <w:b w:val="0"/>
                <w:i w:val="0"/>
                <w:sz w:val="19"/>
              </w:rPr>
              <w:t>“Tưởng nhớ William T. Allen,” Wachtell, Lipton, Rosen &amp; Katz, không ngày, https://www.wlrk.com/william-t-allen/.</w:t>
            </w:r>
          </w:p>
        </w:tc>
      </w:tr>
      <w:tr>
        <w:tc>
          <w:tcPr>
            <w:tcW w:type="dxa" w:w="4680"/>
          </w:tcPr>
          <w:p>
            <w:r/>
            <w:r>
              <w:rPr>
                <w:b w:val="0"/>
                <w:i w:val="0"/>
                <w:sz w:val="19"/>
              </w:rPr>
              <w:t>27</w:t>
            </w:r>
          </w:p>
        </w:tc>
        <w:tc>
          <w:tcPr>
            <w:tcW w:type="dxa" w:w="4680"/>
          </w:tcPr>
          <w:p>
            <w:r/>
            <w:r>
              <w:rPr>
                <w:b w:val="0"/>
                <w:i w:val="0"/>
                <w:sz w:val="19"/>
              </w:rPr>
              <w:t>Jeff Montgomery, “Delaware Thương tiếc vị Thẩm phán Chánh đã ‘Cứu lấy Luật Doanh nghiệp,’” Law360, ngày 16 tháng 10 năm 2019, https://www.law360.com/articles/1209272.</w:t>
            </w:r>
          </w:p>
        </w:tc>
      </w:tr>
      <w:tr>
        <w:tc>
          <w:tcPr>
            <w:tcW w:type="dxa" w:w="4680"/>
          </w:tcPr>
          <w:p>
            <w:r/>
            <w:r>
              <w:rPr>
                <w:b w:val="0"/>
                <w:i w:val="0"/>
                <w:sz w:val="19"/>
              </w:rPr>
              <w:t>28</w:t>
            </w:r>
          </w:p>
        </w:tc>
        <w:tc>
          <w:tcPr>
            <w:tcW w:type="dxa" w:w="4680"/>
          </w:tcPr>
          <w:p>
            <w:r/>
            <w:r>
              <w:rPr>
                <w:b w:val="0"/>
                <w:i w:val="0"/>
                <w:sz w:val="19"/>
              </w:rPr>
              <w:t xml:space="preserve">Jack B. Jacobs, “Gửi Bill Allen: Lời Tri ân Cuối cùng,” </w:t>
            </w:r>
            <w:r>
              <w:rPr>
                <w:b w:val="0"/>
                <w:i/>
                <w:sz w:val="19"/>
              </w:rPr>
              <w:t>CLS Blue Sky Blog</w:t>
            </w:r>
            <w:r>
              <w:rPr>
                <w:b w:val="0"/>
                <w:i w:val="0"/>
                <w:sz w:val="19"/>
              </w:rPr>
              <w:t>, ngày 17 tháng 10 năm 2019, https://clsbluesky.law.columbia.edu/2019/10/17/to-bill-allen-a-final-tribute/.</w:t>
            </w:r>
          </w:p>
        </w:tc>
      </w:tr>
      <w:tr>
        <w:tc>
          <w:tcPr>
            <w:tcW w:type="dxa" w:w="4680"/>
          </w:tcPr>
          <w:p>
            <w:r/>
            <w:r>
              <w:rPr>
                <w:b w:val="0"/>
                <w:i w:val="0"/>
                <w:sz w:val="19"/>
              </w:rPr>
              <w:t>29.</w:t>
            </w:r>
          </w:p>
        </w:tc>
        <w:tc>
          <w:tcPr>
            <w:tcW w:type="dxa" w:w="4680"/>
          </w:tcPr>
          <w:p>
            <w:r/>
            <w:r>
              <w:rPr>
                <w:b w:val="0"/>
                <w:i w:val="0"/>
                <w:sz w:val="19"/>
              </w:rPr>
              <w:t xml:space="preserve">Jill E. Fisch, “Vai trò Đặc biệt của các Tòa án Delaware trong Cuộc Cạnh tranh giành Điều lệ Doanh nghiệp,” </w:t>
            </w:r>
            <w:r>
              <w:rPr>
                <w:b w:val="0"/>
                <w:i/>
                <w:sz w:val="19"/>
              </w:rPr>
              <w:t>SSRN Electronic Journal</w:t>
            </w:r>
            <w:r>
              <w:rPr>
                <w:b w:val="0"/>
                <w:i w:val="0"/>
                <w:sz w:val="19"/>
              </w:rPr>
              <w:t xml:space="preserve"> 68, số 4 (tháng 5 năm 2000).</w:t>
            </w:r>
          </w:p>
        </w:tc>
      </w:tr>
      <w:tr>
        <w:tc>
          <w:tcPr>
            <w:tcW w:type="dxa" w:w="4680"/>
          </w:tcPr>
          <w:p>
            <w:r/>
            <w:r>
              <w:rPr>
                <w:b w:val="0"/>
                <w:i w:val="0"/>
                <w:sz w:val="19"/>
              </w:rPr>
              <w:t>30</w:t>
            </w:r>
          </w:p>
        </w:tc>
        <w:tc>
          <w:tcPr>
            <w:tcW w:type="dxa" w:w="4680"/>
          </w:tcPr>
          <w:p>
            <w:r/>
            <w:r>
              <w:rPr>
                <w:b w:val="0"/>
                <w:i w:val="0"/>
                <w:sz w:val="19"/>
              </w:rPr>
              <w:t>Fisch.</w:t>
            </w:r>
          </w:p>
        </w:tc>
      </w:tr>
      <w:tr>
        <w:tc>
          <w:tcPr>
            <w:tcW w:type="dxa" w:w="4680"/>
          </w:tcPr>
          <w:p>
            <w:r/>
            <w:r>
              <w:rPr>
                <w:b w:val="0"/>
                <w:i w:val="0"/>
                <w:sz w:val="19"/>
              </w:rPr>
              <w:t>31</w:t>
            </w:r>
          </w:p>
        </w:tc>
        <w:tc>
          <w:tcPr>
            <w:tcW w:type="dxa" w:w="4680"/>
          </w:tcPr>
          <w:p>
            <w:r/>
            <w:r>
              <w:rPr>
                <w:b w:val="0"/>
                <w:i w:val="0"/>
                <w:sz w:val="19"/>
              </w:rPr>
              <w:t>Mike Leonard và Jennifer Kay, “Vụ kiện tách riêng Match.com được Khôi phục trong Phán quyết Quan trọng về Giao dịch Nội bộ,” Bloomberg Law, ngày 4 tháng 4 năm 2024, https://news.bloomberglaw.com/esg/match-com-spinoff-case-revived-in-major-ruling-on-insider-deals.</w:t>
            </w:r>
          </w:p>
        </w:tc>
      </w:tr>
      <w:tr>
        <w:tc>
          <w:tcPr>
            <w:tcW w:type="dxa" w:w="4680"/>
          </w:tcPr>
          <w:p>
            <w:r/>
            <w:r>
              <w:rPr>
                <w:b w:val="0"/>
                <w:i w:val="0"/>
                <w:sz w:val="19"/>
              </w:rPr>
              <w:t>32</w:t>
            </w:r>
          </w:p>
        </w:tc>
        <w:tc>
          <w:tcPr>
            <w:tcW w:type="dxa" w:w="4680"/>
          </w:tcPr>
          <w:p>
            <w:r/>
            <w:r>
              <w:rPr>
                <w:b w:val="0"/>
                <w:i w:val="0"/>
                <w:sz w:val="19"/>
              </w:rPr>
              <w:t>Matthew P. Salerno và cộng sự, “Tòa án Chancery Delaware Tuyên bố Vô hiệu các Điều khoản Phổ biến trong Thỏa thuận Cổ đông,” Cleary Gottlieb Steen &amp; Hamilton, ngày 4 tháng 3 năm 2024, https://www.clearymawatch.com/2024/03/delaware-court-of-chancery-invalidates-common-provisions-in-stockholder-agreements/.</w:t>
            </w:r>
          </w:p>
        </w:tc>
      </w:tr>
      <w:tr>
        <w:tc>
          <w:tcPr>
            <w:tcW w:type="dxa" w:w="4680"/>
          </w:tcPr>
          <w:p>
            <w:r/>
            <w:r>
              <w:rPr>
                <w:b w:val="0"/>
                <w:i w:val="0"/>
                <w:sz w:val="19"/>
              </w:rPr>
              <w:t>33</w:t>
            </w:r>
          </w:p>
        </w:tc>
        <w:tc>
          <w:tcPr>
            <w:tcW w:type="dxa" w:w="4680"/>
          </w:tcPr>
          <w:p>
            <w:r/>
            <w:r>
              <w:rPr>
                <w:b w:val="0"/>
                <w:i w:val="0"/>
                <w:sz w:val="19"/>
              </w:rPr>
              <w:t xml:space="preserve">Erin Mulvaney và Theo Francis, “Cuộc Chiến về các Thỏa thuận Cổ đông Gây Căng thẳng cho các Tòa án Doanh nghiệp của Delaware,” </w:t>
            </w:r>
            <w:r>
              <w:rPr>
                <w:b w:val="0"/>
                <w:i/>
                <w:sz w:val="19"/>
              </w:rPr>
              <w:t>Wall Street Journal</w:t>
            </w:r>
            <w:r>
              <w:rPr>
                <w:b w:val="0"/>
                <w:i w:val="0"/>
                <w:sz w:val="19"/>
              </w:rPr>
              <w:t>, ngày 14 tháng 7 năm 2024, https://www.wsj.com/business/shareholder-agreements-delaware-corporate-law-b083e768.</w:t>
            </w:r>
          </w:p>
        </w:tc>
      </w:tr>
      <w:tr>
        <w:tc>
          <w:tcPr>
            <w:tcW w:type="dxa" w:w="4680"/>
          </w:tcPr>
          <w:p>
            <w:r/>
            <w:r>
              <w:rPr>
                <w:b w:val="0"/>
                <w:i w:val="0"/>
                <w:sz w:val="19"/>
              </w:rPr>
              <w:t>34</w:t>
            </w:r>
          </w:p>
        </w:tc>
        <w:tc>
          <w:tcPr>
            <w:tcW w:type="dxa" w:w="4680"/>
          </w:tcPr>
          <w:p>
            <w:r/>
            <w:r>
              <w:rPr>
                <w:b w:val="0"/>
                <w:i w:val="0"/>
                <w:sz w:val="19"/>
              </w:rPr>
              <w:t>Nicholas O’Keefe và Douglass D. Lightfoot, “Delaware Enacts Controversial Market Practice Amendments to Its General Corporation Law,” Foley, July 18, 2024, https://www.foley.com/insights/publications/2024/07/delaware-market-practice-amendments-general-corporation-law/.</w:t>
            </w:r>
          </w:p>
        </w:tc>
      </w:tr>
      <w:tr>
        <w:tc>
          <w:tcPr>
            <w:tcW w:type="dxa" w:w="4680"/>
          </w:tcPr>
          <w:p>
            <w:r/>
            <w:r>
              <w:rPr>
                <w:b w:val="0"/>
                <w:i w:val="0"/>
                <w:sz w:val="19"/>
              </w:rPr>
              <w:t>35</w:t>
            </w:r>
          </w:p>
        </w:tc>
        <w:tc>
          <w:tcPr>
            <w:tcW w:type="dxa" w:w="4680"/>
          </w:tcPr>
          <w:p>
            <w:r/>
            <w:r>
              <w:rPr>
                <w:b w:val="0"/>
                <w:i w:val="0"/>
                <w:sz w:val="19"/>
              </w:rPr>
              <w:t>O’Keefe và Lightfoot.</w:t>
            </w:r>
          </w:p>
        </w:tc>
      </w:tr>
      <w:tr>
        <w:tc>
          <w:tcPr>
            <w:tcW w:type="dxa" w:w="4680"/>
          </w:tcPr>
          <w:p>
            <w:r/>
            <w:r>
              <w:rPr>
                <w:b w:val="0"/>
                <w:i w:val="0"/>
                <w:sz w:val="19"/>
              </w:rPr>
              <w:t>36.</w:t>
            </w:r>
          </w:p>
        </w:tc>
        <w:tc>
          <w:tcPr>
            <w:tcW w:type="dxa" w:w="4680"/>
          </w:tcPr>
          <w:p>
            <w:r/>
            <w:r>
              <w:rPr>
                <w:b w:val="0"/>
                <w:i w:val="0"/>
                <w:sz w:val="19"/>
              </w:rPr>
              <w:t>Tom Hals, “Delaware Lawmakers Approve Corporate Bill That Critics Call Giveaway to Billionaires,” Reuters, March 25, 2025, https://www.reuters.com/world/us/delaware-lawmakers-vote-corporate-bill-critics-call-giveaway-billionaires-2025-03-25/?campaign_id</w:t>
            </w:r>
            <w:r>
              <w:rPr>
                <w:rFonts w:ascii="Consolas" w:hAnsi="Consolas"/>
                <w:b w:val="0"/>
                <w:i w:val="0"/>
                <w:sz w:val="19"/>
              </w:rPr>
              <w:t>=4&amp;emc=edit_dk_20250326&amp;instance_id=150976&amp;nl=dealbook&amp;regi_id=86437969&amp;segment_id=194419&amp;user_id=4992626c025f3a0d7f3ba740551d7534</w:t>
            </w:r>
            <w:r>
              <w:rPr>
                <w:b w:val="0"/>
                <w:i w:val="0"/>
                <w:sz w:val="19"/>
              </w:rPr>
              <w:t>.</w:t>
            </w:r>
          </w:p>
        </w:tc>
      </w:tr>
      <w:tr>
        <w:tc>
          <w:tcPr>
            <w:tcW w:type="dxa" w:w="4680"/>
          </w:tcPr>
          <w:p>
            <w:r/>
            <w:r>
              <w:rPr>
                <w:b w:val="0"/>
                <w:i w:val="0"/>
                <w:sz w:val="19"/>
              </w:rPr>
              <w:t>37.</w:t>
            </w:r>
          </w:p>
        </w:tc>
        <w:tc>
          <w:tcPr>
            <w:tcW w:type="dxa" w:w="4680"/>
          </w:tcPr>
          <w:p>
            <w:r/>
            <w:r>
              <w:rPr>
                <w:b w:val="0"/>
                <w:i w:val="0"/>
                <w:sz w:val="19"/>
              </w:rPr>
              <w:t>Pádraig Floyd, “Delaware’s Corporate Law Primacy Is Under Attack,” Agenda, February 12, 2024, https://www.agendaweek.com/c/4420274/573764/delaware_corporate_primacy_under_attack.</w:t>
            </w:r>
          </w:p>
        </w:tc>
      </w:tr>
      <w:tr>
        <w:tc>
          <w:tcPr>
            <w:tcW w:type="dxa" w:w="4680"/>
          </w:tcPr>
          <w:p>
            <w:r/>
            <w:r>
              <w:rPr>
                <w:b w:val="0"/>
                <w:i w:val="0"/>
                <w:sz w:val="19"/>
              </w:rPr>
              <w:t>38</w:t>
            </w:r>
          </w:p>
        </w:tc>
        <w:tc>
          <w:tcPr>
            <w:tcW w:type="dxa" w:w="4680"/>
          </w:tcPr>
          <w:p>
            <w:r/>
            <w:r>
              <w:rPr>
                <w:b w:val="0"/>
                <w:i w:val="0"/>
                <w:sz w:val="19"/>
              </w:rPr>
              <w:t>Jef Feeley và Matthew Bultman, “TripAdvisor Can Reincorporate in Nevada, Delaware Judge Says,” Bloomberg Law, February 20, 2024, https://news.bloomberglaw.com/litigation/tripadvisor-can-reincorporate-in-nevada-delaware-judge-says.</w:t>
            </w:r>
          </w:p>
        </w:tc>
      </w:tr>
      <w:tr>
        <w:tc>
          <w:tcPr>
            <w:tcW w:type="dxa" w:w="4680"/>
          </w:tcPr>
          <w:p>
            <w:r/>
            <w:r>
              <w:rPr>
                <w:b w:val="0"/>
                <w:i w:val="0"/>
                <w:sz w:val="19"/>
              </w:rPr>
              <w:t>39</w:t>
            </w:r>
          </w:p>
        </w:tc>
        <w:tc>
          <w:tcPr>
            <w:tcW w:type="dxa" w:w="4680"/>
          </w:tcPr>
          <w:p>
            <w:r/>
            <w:r>
              <w:rPr>
                <w:b w:val="0"/>
                <w:i w:val="0"/>
                <w:sz w:val="19"/>
              </w:rPr>
              <w:t>John C. Coffee Jr., “Cleary Gottlieb Discusses Delaware Decision on Conversion of Company into Nevada Corporation,” March 4, 2024, https://clsbluesky.law.columbia.edu/2024/03/04/cleary-gottlieb-discusses-delaware-decision-on-conversion-of-company-into-nevada-corporation/.</w:t>
            </w:r>
          </w:p>
        </w:tc>
      </w:tr>
      <w:tr>
        <w:tc>
          <w:tcPr>
            <w:tcW w:type="dxa" w:w="4680"/>
          </w:tcPr>
          <w:p>
            <w:r/>
            <w:r>
              <w:rPr>
                <w:b w:val="0"/>
                <w:i w:val="0"/>
                <w:sz w:val="19"/>
              </w:rPr>
              <w:t>40</w:t>
            </w:r>
          </w:p>
        </w:tc>
        <w:tc>
          <w:tcPr>
            <w:tcW w:type="dxa" w:w="4680"/>
          </w:tcPr>
          <w:p>
            <w:r/>
            <w:r>
              <w:rPr>
                <w:b w:val="0"/>
                <w:i w:val="0"/>
                <w:sz w:val="19"/>
              </w:rPr>
              <w:t>Gregory B. Maffei, et al. v. Dennis Palkon, et al. C.A. No. 2023-0449-JTL (Del. Ch. February 4, 2025).</w:t>
            </w:r>
          </w:p>
        </w:tc>
      </w:tr>
      <w:tr>
        <w:tc>
          <w:tcPr>
            <w:tcW w:type="dxa" w:w="4680"/>
          </w:tcPr>
          <w:p>
            <w:r/>
            <w:r>
              <w:rPr>
                <w:b w:val="0"/>
                <w:i w:val="0"/>
                <w:sz w:val="19"/>
              </w:rPr>
              <w:t>41</w:t>
            </w:r>
          </w:p>
        </w:tc>
        <w:tc>
          <w:tcPr>
            <w:tcW w:type="dxa" w:w="4680"/>
          </w:tcPr>
          <w:p>
            <w:r/>
            <w:r>
              <w:rPr>
                <w:b w:val="0"/>
                <w:i w:val="0"/>
                <w:sz w:val="19"/>
              </w:rPr>
              <w:t xml:space="preserve">Mike Ives, “SpaceX Is Now Incorporated in Texas, Elon Musk Says,” </w:t>
            </w:r>
            <w:r>
              <w:rPr>
                <w:b w:val="0"/>
                <w:i/>
                <w:sz w:val="19"/>
              </w:rPr>
              <w:t>New York Times</w:t>
            </w:r>
            <w:r>
              <w:rPr>
                <w:b w:val="0"/>
                <w:i w:val="0"/>
                <w:sz w:val="19"/>
              </w:rPr>
              <w:t>, February 15, 2024, https://www.nytimes.com/2024/02/15/business/spacex-delaware-texas.html.</w:t>
            </w:r>
          </w:p>
        </w:tc>
      </w:tr>
      <w:tr>
        <w:tc>
          <w:tcPr>
            <w:tcW w:type="dxa" w:w="4680"/>
          </w:tcPr>
          <w:p>
            <w:r/>
            <w:r>
              <w:rPr>
                <w:b w:val="0"/>
                <w:i w:val="0"/>
                <w:sz w:val="19"/>
              </w:rPr>
              <w:t>42</w:t>
            </w:r>
          </w:p>
        </w:tc>
        <w:tc>
          <w:tcPr>
            <w:tcW w:type="dxa" w:w="4680"/>
          </w:tcPr>
          <w:p>
            <w:r/>
            <w:r>
              <w:rPr>
                <w:b w:val="0"/>
                <w:i w:val="0"/>
                <w:sz w:val="19"/>
              </w:rPr>
              <w:t>Elon Musk (@elonmusk), “SpaceX đã chuyển nơi đăng ký thành lập từ Delaware sang Texas!,” X (trước đây là Twitter), ngày 14 tháng 2 năm 2024, 7:27 tối, https://twitter.com/elonmusk/status/1757924482885583112.</w:t>
            </w:r>
          </w:p>
        </w:tc>
      </w:tr>
      <w:tr>
        <w:tc>
          <w:tcPr>
            <w:tcW w:type="dxa" w:w="4680"/>
          </w:tcPr>
          <w:p>
            <w:r/>
            <w:r>
              <w:rPr>
                <w:b w:val="0"/>
                <w:i w:val="0"/>
                <w:sz w:val="19"/>
              </w:rPr>
              <w:t>43</w:t>
            </w:r>
          </w:p>
        </w:tc>
        <w:tc>
          <w:tcPr>
            <w:tcW w:type="dxa" w:w="4680"/>
          </w:tcPr>
          <w:p>
            <w:r/>
            <w:r>
              <w:rPr>
                <w:b w:val="0"/>
                <w:i w:val="0"/>
                <w:sz w:val="19"/>
              </w:rPr>
              <w:t>“Delaware so với Nevada: Những khác biệt then chốt trong luật doanh nghiệp và LLC của Nevada là gì?,” CSC Blog, ngày 26 tháng 5 năm 2021, https://blog.cscglobal.com/nevada-corporate-and-llc-law/.</w:t>
            </w:r>
          </w:p>
        </w:tc>
      </w:tr>
      <w:tr>
        <w:tc>
          <w:tcPr>
            <w:tcW w:type="dxa" w:w="4680"/>
          </w:tcPr>
          <w:p>
            <w:r/>
            <w:r>
              <w:rPr>
                <w:b w:val="0"/>
                <w:i w:val="0"/>
                <w:sz w:val="19"/>
              </w:rPr>
              <w:t>44</w:t>
            </w:r>
          </w:p>
        </w:tc>
        <w:tc>
          <w:tcPr>
            <w:tcW w:type="dxa" w:w="4680"/>
          </w:tcPr>
          <w:p>
            <w:r/>
            <w:r>
              <w:rPr>
                <w:b w:val="0"/>
                <w:i w:val="0"/>
                <w:sz w:val="19"/>
              </w:rPr>
              <w:t>“Delaware so với Nevada.”</w:t>
            </w:r>
          </w:p>
        </w:tc>
      </w:tr>
      <w:tr>
        <w:tc>
          <w:tcPr>
            <w:tcW w:type="dxa" w:w="4680"/>
          </w:tcPr>
          <w:p>
            <w:r/>
            <w:r>
              <w:rPr>
                <w:b w:val="0"/>
                <w:i w:val="0"/>
                <w:sz w:val="19"/>
              </w:rPr>
              <w:t>45</w:t>
            </w:r>
          </w:p>
        </w:tc>
        <w:tc>
          <w:tcPr>
            <w:tcW w:type="dxa" w:w="4680"/>
          </w:tcPr>
          <w:p>
            <w:r/>
            <w:r>
              <w:rPr>
                <w:b w:val="0"/>
                <w:i w:val="0"/>
                <w:sz w:val="19"/>
              </w:rPr>
              <w:t>Adam S. Parker, “Nơi đăng ký thành lập có quan trọng không?” Trivariate Research, ngày 29 tháng 8 năm 2024, https://trivariateresearch.com/does-the-state-of-incorporation-matter/.</w:t>
            </w:r>
          </w:p>
        </w:tc>
      </w:tr>
      <w:tr>
        <w:tc>
          <w:tcPr>
            <w:tcW w:type="dxa" w:w="4680"/>
          </w:tcPr>
          <w:p>
            <w:r/>
            <w:r>
              <w:rPr>
                <w:b w:val="0"/>
                <w:i w:val="0"/>
                <w:sz w:val="19"/>
              </w:rPr>
              <w:t>46.</w:t>
            </w:r>
          </w:p>
        </w:tc>
        <w:tc>
          <w:tcPr>
            <w:tcW w:type="dxa" w:w="4680"/>
          </w:tcPr>
          <w:p>
            <w:r/>
            <w:r>
              <w:rPr>
                <w:b w:val="0"/>
                <w:i w:val="0"/>
                <w:sz w:val="19"/>
              </w:rPr>
              <w:t xml:space="preserve">Lori McMillan, “Quy tắc phán đoán kinh doanh như một học thuyết miễn trừ,” </w:t>
            </w:r>
            <w:r>
              <w:rPr>
                <w:b w:val="0"/>
                <w:i/>
                <w:sz w:val="19"/>
              </w:rPr>
              <w:t>William &amp; Mary Business Law Review</w:t>
            </w:r>
            <w:r>
              <w:rPr>
                <w:b w:val="0"/>
                <w:i w:val="0"/>
                <w:sz w:val="19"/>
              </w:rPr>
              <w:t xml:space="preserve"> 4 (2013), https://scholarship.law.wm.edu/wmblr/vol4/iss2/5.</w:t>
            </w:r>
          </w:p>
        </w:tc>
      </w:tr>
      <w:tr>
        <w:tc>
          <w:tcPr>
            <w:tcW w:type="dxa" w:w="4680"/>
          </w:tcPr>
          <w:p>
            <w:r/>
            <w:r>
              <w:rPr>
                <w:b w:val="0"/>
                <w:i w:val="0"/>
                <w:sz w:val="19"/>
              </w:rPr>
              <w:t>47</w:t>
            </w:r>
          </w:p>
        </w:tc>
        <w:tc>
          <w:tcPr>
            <w:tcW w:type="dxa" w:w="4680"/>
          </w:tcPr>
          <w:p>
            <w:r/>
            <w:r>
              <w:rPr>
                <w:b w:val="0"/>
                <w:i/>
                <w:sz w:val="19"/>
              </w:rPr>
              <w:t>In re Citigroup Inc. Shareholder Derivative Litigation</w:t>
            </w:r>
            <w:r>
              <w:rPr>
                <w:b w:val="0"/>
                <w:i w:val="0"/>
                <w:sz w:val="19"/>
              </w:rPr>
              <w:t>, 964 A.2d 106, 126 (Del. Ch. 2009).</w:t>
            </w:r>
          </w:p>
        </w:tc>
      </w:tr>
      <w:tr>
        <w:tc>
          <w:tcPr>
            <w:tcW w:type="dxa" w:w="4680"/>
          </w:tcPr>
          <w:p>
            <w:r/>
            <w:r>
              <w:rPr>
                <w:b w:val="0"/>
                <w:i w:val="0"/>
                <w:sz w:val="19"/>
              </w:rPr>
              <w:t>48</w:t>
            </w:r>
          </w:p>
        </w:tc>
        <w:tc>
          <w:tcPr>
            <w:tcW w:type="dxa" w:w="4680"/>
          </w:tcPr>
          <w:p>
            <w:r/>
            <w:r>
              <w:rPr>
                <w:b w:val="0"/>
                <w:i w:val="0"/>
                <w:sz w:val="19"/>
              </w:rPr>
              <w:t>McMillan, “Quy tắc phán đoán kinh doanh.”</w:t>
            </w:r>
          </w:p>
        </w:tc>
      </w:tr>
      <w:tr>
        <w:tc>
          <w:tcPr>
            <w:tcW w:type="dxa" w:w="4680"/>
          </w:tcPr>
          <w:p>
            <w:r/>
            <w:r>
              <w:rPr>
                <w:b w:val="0"/>
                <w:i w:val="0"/>
                <w:sz w:val="19"/>
              </w:rPr>
              <w:t>49</w:t>
            </w:r>
          </w:p>
        </w:tc>
        <w:tc>
          <w:tcPr>
            <w:tcW w:type="dxa" w:w="4680"/>
          </w:tcPr>
          <w:p>
            <w:r/>
            <w:r>
              <w:rPr>
                <w:b w:val="0"/>
                <w:i w:val="0"/>
                <w:sz w:val="19"/>
              </w:rPr>
              <w:t>McMillan.</w:t>
            </w:r>
          </w:p>
        </w:tc>
      </w:tr>
      <w:tr>
        <w:tc>
          <w:tcPr>
            <w:tcW w:type="dxa" w:w="4680"/>
          </w:tcPr>
          <w:p>
            <w:r/>
            <w:r>
              <w:rPr>
                <w:b w:val="0"/>
                <w:i w:val="0"/>
                <w:sz w:val="19"/>
              </w:rPr>
              <w:t>50</w:t>
            </w:r>
          </w:p>
        </w:tc>
        <w:tc>
          <w:tcPr>
            <w:tcW w:type="dxa" w:w="4680"/>
          </w:tcPr>
          <w:p>
            <w:r/>
            <w:r>
              <w:rPr>
                <w:b w:val="0"/>
                <w:i/>
                <w:sz w:val="19"/>
              </w:rPr>
              <w:t>Marchand v. Barnhill</w:t>
            </w:r>
            <w:r>
              <w:rPr>
                <w:b w:val="0"/>
                <w:i w:val="0"/>
                <w:sz w:val="19"/>
              </w:rPr>
              <w:t>, 212 A.3d 805 (Del. 2019).</w:t>
            </w:r>
          </w:p>
        </w:tc>
      </w:tr>
      <w:tr>
        <w:tc>
          <w:tcPr>
            <w:tcW w:type="dxa" w:w="4680"/>
          </w:tcPr>
          <w:p>
            <w:r/>
            <w:r>
              <w:rPr>
                <w:b w:val="0"/>
                <w:i w:val="0"/>
                <w:sz w:val="19"/>
              </w:rPr>
              <w:t>51</w:t>
            </w:r>
          </w:p>
        </w:tc>
        <w:tc>
          <w:tcPr>
            <w:tcW w:type="dxa" w:w="4680"/>
          </w:tcPr>
          <w:p>
            <w:r/>
            <w:r>
              <w:rPr>
                <w:b w:val="0"/>
                <w:i/>
                <w:sz w:val="19"/>
              </w:rPr>
              <w:t>Marchand v. Barnhill</w:t>
            </w:r>
            <w:r>
              <w:rPr>
                <w:b w:val="0"/>
                <w:i w:val="0"/>
                <w:sz w:val="19"/>
              </w:rPr>
              <w:t>.</w:t>
            </w:r>
          </w:p>
        </w:tc>
      </w:tr>
      <w:tr>
        <w:tc>
          <w:tcPr>
            <w:tcW w:type="dxa" w:w="4680"/>
          </w:tcPr>
          <w:p>
            <w:r/>
            <w:r>
              <w:rPr>
                <w:b w:val="0"/>
                <w:i w:val="0"/>
                <w:sz w:val="19"/>
              </w:rPr>
              <w:t>52</w:t>
            </w:r>
          </w:p>
        </w:tc>
        <w:tc>
          <w:tcPr>
            <w:tcW w:type="dxa" w:w="4680"/>
          </w:tcPr>
          <w:p>
            <w:r/>
            <w:r>
              <w:rPr>
                <w:b w:val="0"/>
                <w:i/>
                <w:sz w:val="19"/>
              </w:rPr>
              <w:t>Marchand v. Barnhill</w:t>
            </w:r>
            <w:r>
              <w:rPr>
                <w:b w:val="0"/>
                <w:i w:val="0"/>
                <w:sz w:val="19"/>
              </w:rPr>
              <w:t>.</w:t>
            </w:r>
          </w:p>
        </w:tc>
      </w:tr>
      <w:tr>
        <w:tc>
          <w:tcPr>
            <w:tcW w:type="dxa" w:w="4680"/>
          </w:tcPr>
          <w:p>
            <w:r/>
            <w:r>
              <w:rPr>
                <w:b w:val="0"/>
                <w:i w:val="0"/>
                <w:sz w:val="19"/>
              </w:rPr>
              <w:t>53</w:t>
            </w:r>
          </w:p>
        </w:tc>
        <w:tc>
          <w:tcPr>
            <w:tcW w:type="dxa" w:w="4680"/>
          </w:tcPr>
          <w:p>
            <w:r/>
            <w:r>
              <w:rPr>
                <w:b w:val="0"/>
                <w:i/>
                <w:sz w:val="19"/>
              </w:rPr>
              <w:t>Marchand v. Barnhill</w:t>
            </w:r>
            <w:r>
              <w:rPr>
                <w:b w:val="0"/>
                <w:i w:val="0"/>
                <w:sz w:val="19"/>
              </w:rPr>
              <w:t>.</w:t>
            </w:r>
          </w:p>
        </w:tc>
      </w:tr>
      <w:tr>
        <w:tc>
          <w:tcPr>
            <w:tcW w:type="dxa" w:w="4680"/>
          </w:tcPr>
          <w:p>
            <w:r/>
            <w:r>
              <w:rPr>
                <w:b w:val="0"/>
                <w:i w:val="0"/>
                <w:sz w:val="19"/>
              </w:rPr>
              <w:t>54.</w:t>
            </w:r>
          </w:p>
        </w:tc>
        <w:tc>
          <w:tcPr>
            <w:tcW w:type="dxa" w:w="4680"/>
          </w:tcPr>
          <w:p>
            <w:r/>
            <w:r>
              <w:rPr>
                <w:b w:val="0"/>
                <w:i/>
                <w:sz w:val="19"/>
              </w:rPr>
              <w:t>In re Caremark Intern. Inc. Derivative Litigation</w:t>
            </w:r>
            <w:r>
              <w:rPr>
                <w:b w:val="0"/>
                <w:i w:val="0"/>
                <w:sz w:val="19"/>
              </w:rPr>
              <w:t>, 698 A.2d 959 (1996).</w:t>
            </w:r>
          </w:p>
        </w:tc>
      </w:tr>
      <w:tr>
        <w:tc>
          <w:tcPr>
            <w:tcW w:type="dxa" w:w="4680"/>
          </w:tcPr>
          <w:p>
            <w:r/>
            <w:r>
              <w:rPr>
                <w:b w:val="0"/>
                <w:i w:val="0"/>
                <w:sz w:val="19"/>
              </w:rPr>
              <w:t>55</w:t>
            </w:r>
          </w:p>
        </w:tc>
        <w:tc>
          <w:tcPr>
            <w:tcW w:type="dxa" w:w="4680"/>
          </w:tcPr>
          <w:p>
            <w:r/>
            <w:r>
              <w:rPr>
                <w:b w:val="0"/>
                <w:i/>
                <w:sz w:val="19"/>
              </w:rPr>
              <w:t>Stone v. Ritter</w:t>
            </w:r>
            <w:r>
              <w:rPr>
                <w:b w:val="0"/>
                <w:i w:val="0"/>
                <w:sz w:val="19"/>
              </w:rPr>
              <w:t>, 911 A.2d 362, 369 (Del. 2006) (citing In re Caremark Int’l Inc. Derivative Litig., 698A.2d 959, 971 (Del. Ch. 1996)).</w:t>
            </w:r>
          </w:p>
        </w:tc>
      </w:tr>
      <w:tr>
        <w:tc>
          <w:tcPr>
            <w:tcW w:type="dxa" w:w="4680"/>
          </w:tcPr>
          <w:p>
            <w:r/>
            <w:r>
              <w:rPr>
                <w:b w:val="0"/>
                <w:i w:val="0"/>
                <w:sz w:val="19"/>
              </w:rPr>
              <w:t>56</w:t>
            </w:r>
          </w:p>
        </w:tc>
        <w:tc>
          <w:tcPr>
            <w:tcW w:type="dxa" w:w="4680"/>
          </w:tcPr>
          <w:p>
            <w:r/>
            <w:r>
              <w:rPr>
                <w:b w:val="0"/>
                <w:i/>
                <w:sz w:val="19"/>
              </w:rPr>
              <w:t>Marchand v. Barnhill</w:t>
            </w:r>
            <w:r>
              <w:rPr>
                <w:b w:val="0"/>
                <w:i w:val="0"/>
                <w:sz w:val="19"/>
              </w:rPr>
              <w:t>, 212 A.3d 805 (Del. 2019).</w:t>
            </w:r>
          </w:p>
        </w:tc>
      </w:tr>
      <w:tr>
        <w:tc>
          <w:tcPr>
            <w:tcW w:type="dxa" w:w="4680"/>
          </w:tcPr>
          <w:p>
            <w:r/>
            <w:r>
              <w:rPr>
                <w:b w:val="0"/>
                <w:i w:val="0"/>
                <w:sz w:val="19"/>
              </w:rPr>
              <w:t>57</w:t>
            </w:r>
          </w:p>
        </w:tc>
        <w:tc>
          <w:tcPr>
            <w:tcW w:type="dxa" w:w="4680"/>
          </w:tcPr>
          <w:p>
            <w:r/>
            <w:r>
              <w:rPr>
                <w:b w:val="0"/>
                <w:i/>
                <w:sz w:val="19"/>
              </w:rPr>
              <w:t>Marchand v. Barnhill</w:t>
            </w:r>
            <w:r>
              <w:rPr>
                <w:b w:val="0"/>
                <w:i w:val="0"/>
                <w:sz w:val="19"/>
              </w:rPr>
              <w:t>.</w:t>
            </w:r>
          </w:p>
        </w:tc>
      </w:tr>
      <w:tr>
        <w:tc>
          <w:tcPr>
            <w:tcW w:type="dxa" w:w="4680"/>
          </w:tcPr>
          <w:p>
            <w:r/>
            <w:r>
              <w:rPr>
                <w:b w:val="0"/>
                <w:i w:val="0"/>
                <w:sz w:val="19"/>
              </w:rPr>
              <w:t>58</w:t>
            </w:r>
          </w:p>
        </w:tc>
        <w:tc>
          <w:tcPr>
            <w:tcW w:type="dxa" w:w="4680"/>
          </w:tcPr>
          <w:p>
            <w:r/>
            <w:r>
              <w:rPr>
                <w:b w:val="0"/>
                <w:i/>
                <w:sz w:val="19"/>
              </w:rPr>
              <w:t>Trong vụ In re The Boeing Co. Derivative Litig.</w:t>
            </w:r>
            <w:r>
              <w:rPr>
                <w:b w:val="0"/>
                <w:i w:val="0"/>
                <w:sz w:val="19"/>
              </w:rPr>
              <w:t>, C.A. No. 2019-0907-MTZ (Del. Ch. ngày 7 tháng 9 năm 2021).</w:t>
            </w:r>
          </w:p>
        </w:tc>
      </w:tr>
      <w:tr>
        <w:tc>
          <w:tcPr>
            <w:tcW w:type="dxa" w:w="4680"/>
          </w:tcPr>
          <w:p>
            <w:r/>
            <w:r>
              <w:rPr>
                <w:b w:val="0"/>
                <w:i w:val="0"/>
                <w:sz w:val="19"/>
              </w:rPr>
              <w:t>59</w:t>
            </w:r>
          </w:p>
        </w:tc>
        <w:tc>
          <w:tcPr>
            <w:tcW w:type="dxa" w:w="4680"/>
          </w:tcPr>
          <w:p>
            <w:r/>
            <w:r>
              <w:rPr>
                <w:b w:val="0"/>
                <w:i/>
                <w:sz w:val="19"/>
              </w:rPr>
              <w:t>Trong vụ Boeing</w:t>
            </w:r>
            <w:r>
              <w:rPr>
                <w:b w:val="0"/>
                <w:i w:val="0"/>
                <w:sz w:val="19"/>
              </w:rPr>
              <w:t>.</w:t>
            </w:r>
          </w:p>
        </w:tc>
      </w:tr>
      <w:tr>
        <w:tc>
          <w:tcPr>
            <w:tcW w:type="dxa" w:w="4680"/>
          </w:tcPr>
          <w:p>
            <w:r/>
            <w:r>
              <w:rPr>
                <w:b w:val="0"/>
                <w:i w:val="0"/>
                <w:sz w:val="19"/>
              </w:rPr>
              <w:t>60</w:t>
            </w:r>
          </w:p>
        </w:tc>
        <w:tc>
          <w:tcPr>
            <w:tcW w:type="dxa" w:w="4680"/>
          </w:tcPr>
          <w:p>
            <w:r/>
            <w:r>
              <w:rPr>
                <w:b w:val="0"/>
                <w:i w:val="0"/>
                <w:sz w:val="19"/>
              </w:rPr>
              <w:t>Shepardson, “Các giám đốc Boeing đồng ý.”</w:t>
            </w:r>
          </w:p>
        </w:tc>
      </w:tr>
      <w:tr>
        <w:tc>
          <w:tcPr>
            <w:tcW w:type="dxa" w:w="4680"/>
          </w:tcPr>
          <w:p>
            <w:r/>
            <w:r>
              <w:rPr>
                <w:b w:val="0"/>
                <w:i w:val="0"/>
                <w:sz w:val="19"/>
              </w:rPr>
              <w:t>61</w:t>
            </w:r>
          </w:p>
        </w:tc>
        <w:tc>
          <w:tcPr>
            <w:tcW w:type="dxa" w:w="4680"/>
          </w:tcPr>
          <w:p>
            <w:r/>
            <w:r>
              <w:rPr>
                <w:b w:val="0"/>
                <w:i w:val="0"/>
                <w:sz w:val="19"/>
              </w:rPr>
              <w:t>Shepardson.</w:t>
            </w:r>
          </w:p>
        </w:tc>
      </w:tr>
      <w:tr>
        <w:tc>
          <w:tcPr>
            <w:tcW w:type="dxa" w:w="4680"/>
          </w:tcPr>
          <w:p>
            <w:r/>
            <w:r>
              <w:rPr>
                <w:b w:val="0"/>
                <w:i w:val="0"/>
                <w:sz w:val="19"/>
              </w:rPr>
              <w:t>62</w:t>
            </w:r>
          </w:p>
        </w:tc>
        <w:tc>
          <w:tcPr>
            <w:tcW w:type="dxa" w:w="4680"/>
          </w:tcPr>
          <w:p>
            <w:r/>
            <w:r>
              <w:rPr>
                <w:b w:val="0"/>
                <w:i w:val="0"/>
                <w:sz w:val="19"/>
              </w:rPr>
              <w:t xml:space="preserve">Michael Hiltzik, “Chuyên mục: Có hội đồng quản trị nào tệ hơn Boeing vào năm 2019 không?,” </w:t>
            </w:r>
            <w:r>
              <w:rPr>
                <w:b w:val="0"/>
                <w:i/>
                <w:sz w:val="19"/>
              </w:rPr>
              <w:t>Los Angeles Times</w:t>
            </w:r>
            <w:r>
              <w:rPr>
                <w:b w:val="0"/>
                <w:i w:val="0"/>
                <w:sz w:val="19"/>
              </w:rPr>
              <w:t>, ngày 4 tháng 1 năm 2020, https://www.latimes.com/business/story/2020-01-03/boeing-board-bad-management.</w:t>
            </w:r>
          </w:p>
        </w:tc>
      </w:tr>
      <w:tr>
        <w:tc>
          <w:tcPr>
            <w:tcW w:type="dxa" w:w="4680"/>
          </w:tcPr>
          <w:p>
            <w:r/>
            <w:r>
              <w:rPr>
                <w:b w:val="0"/>
                <w:i w:val="0"/>
                <w:sz w:val="19"/>
              </w:rPr>
              <w:t>63</w:t>
            </w:r>
          </w:p>
        </w:tc>
        <w:tc>
          <w:tcPr>
            <w:tcW w:type="dxa" w:w="4680"/>
          </w:tcPr>
          <w:p>
            <w:r/>
            <w:r>
              <w:rPr>
                <w:b w:val="0"/>
                <w:i w:val="0"/>
                <w:sz w:val="19"/>
              </w:rPr>
              <w:t xml:space="preserve">Lila MacLellan, “Hội đồng quản trị của Boeing cũng có lỗi trong vụ bê bối mới nhất,” </w:t>
            </w:r>
            <w:r>
              <w:rPr>
                <w:b w:val="0"/>
                <w:i/>
                <w:sz w:val="19"/>
              </w:rPr>
              <w:t>Fortune</w:t>
            </w:r>
            <w:r>
              <w:rPr>
                <w:b w:val="0"/>
                <w:i w:val="0"/>
                <w:sz w:val="19"/>
              </w:rPr>
              <w:t>, ngày 16 tháng 1 năm 2024, https://fortune.com/2024/01/16/boeing-board-plane-737-max-crash/.</w:t>
            </w:r>
          </w:p>
        </w:tc>
      </w:tr>
      <w:tr>
        <w:tc>
          <w:tcPr>
            <w:tcW w:type="dxa" w:w="4680"/>
          </w:tcPr>
          <w:p>
            <w:r/>
            <w:r>
              <w:rPr>
                <w:b w:val="0"/>
                <w:i w:val="0"/>
                <w:sz w:val="19"/>
              </w:rPr>
              <w:t>64</w:t>
            </w:r>
          </w:p>
        </w:tc>
        <w:tc>
          <w:tcPr>
            <w:tcW w:type="dxa" w:w="4680"/>
          </w:tcPr>
          <w:p>
            <w:r/>
            <w:r>
              <w:rPr>
                <w:b w:val="0"/>
                <w:i w:val="0"/>
                <w:sz w:val="19"/>
              </w:rPr>
              <w:t xml:space="preserve">Niraj Chokshi, “Boeing bổ nhiệm Tổng giám đốc điều hành mới khi tìm cách phục hồi sau khủng hoảng an toàn,” </w:t>
            </w:r>
            <w:r>
              <w:rPr>
                <w:b w:val="0"/>
                <w:i/>
                <w:sz w:val="19"/>
              </w:rPr>
              <w:t>New York Times</w:t>
            </w:r>
            <w:r>
              <w:rPr>
                <w:b w:val="0"/>
                <w:i w:val="0"/>
                <w:sz w:val="19"/>
              </w:rPr>
              <w:t>, ngày 31 tháng 7 năm 2024, https://www.nytimes.com/2024/07/31/business/boeing-kelly-ortberg-ceo.html.</w:t>
            </w:r>
          </w:p>
        </w:tc>
      </w:tr>
      <w:tr>
        <w:tc>
          <w:tcPr>
            <w:tcW w:type="dxa" w:w="4680"/>
          </w:tcPr>
          <w:p>
            <w:r/>
            <w:r>
              <w:rPr>
                <w:b w:val="0"/>
                <w:i w:val="0"/>
                <w:sz w:val="19"/>
              </w:rPr>
              <w:t>65</w:t>
            </w:r>
          </w:p>
        </w:tc>
        <w:tc>
          <w:tcPr>
            <w:tcW w:type="dxa" w:w="4680"/>
          </w:tcPr>
          <w:p>
            <w:r/>
            <w:r>
              <w:rPr>
                <w:b w:val="0"/>
                <w:i/>
                <w:sz w:val="19"/>
              </w:rPr>
              <w:t>Kahn v. Lynch Communication Systems</w:t>
            </w:r>
            <w:r>
              <w:rPr>
                <w:b w:val="0"/>
                <w:i w:val="0"/>
                <w:sz w:val="19"/>
              </w:rPr>
              <w:t>, 638 A.2d 1110 (Del. 1994)</w:t>
            </w:r>
          </w:p>
        </w:tc>
      </w:tr>
      <w:tr>
        <w:tc>
          <w:tcPr>
            <w:tcW w:type="dxa" w:w="4680"/>
          </w:tcPr>
          <w:p>
            <w:r/>
            <w:r>
              <w:rPr>
                <w:b w:val="0"/>
                <w:i w:val="0"/>
                <w:sz w:val="19"/>
              </w:rPr>
              <w:t>66</w:t>
            </w:r>
          </w:p>
        </w:tc>
        <w:tc>
          <w:tcPr>
            <w:tcW w:type="dxa" w:w="4680"/>
          </w:tcPr>
          <w:p>
            <w:r/>
            <w:r>
              <w:rPr>
                <w:b w:val="0"/>
                <w:i/>
                <w:sz w:val="19"/>
              </w:rPr>
              <w:t>Weinberger v. UOP, Inc.</w:t>
            </w:r>
            <w:r>
              <w:rPr>
                <w:b w:val="0"/>
                <w:i w:val="0"/>
                <w:sz w:val="19"/>
              </w:rPr>
              <w:t>, 457 A.2d 701 (1983)</w:t>
            </w:r>
          </w:p>
        </w:tc>
      </w:tr>
      <w:tr>
        <w:tc>
          <w:tcPr>
            <w:tcW w:type="dxa" w:w="4680"/>
          </w:tcPr>
          <w:p>
            <w:r/>
            <w:r>
              <w:rPr>
                <w:b w:val="0"/>
                <w:i w:val="0"/>
                <w:sz w:val="19"/>
              </w:rPr>
              <w:t>67</w:t>
            </w:r>
          </w:p>
        </w:tc>
        <w:tc>
          <w:tcPr>
            <w:tcW w:type="dxa" w:w="4680"/>
          </w:tcPr>
          <w:p>
            <w:r/>
            <w:r>
              <w:rPr>
                <w:b w:val="0"/>
                <w:i/>
                <w:sz w:val="19"/>
              </w:rPr>
              <w:t>Weinberger v. UOP</w:t>
            </w:r>
            <w:r>
              <w:rPr>
                <w:b w:val="0"/>
                <w:i w:val="0"/>
                <w:sz w:val="19"/>
              </w:rPr>
              <w:t>.</w:t>
            </w:r>
          </w:p>
        </w:tc>
      </w:tr>
      <w:tr>
        <w:tc>
          <w:tcPr>
            <w:tcW w:type="dxa" w:w="4680"/>
          </w:tcPr>
          <w:p>
            <w:r/>
            <w:r>
              <w:rPr>
                <w:b w:val="0"/>
                <w:i w:val="0"/>
                <w:sz w:val="19"/>
              </w:rPr>
              <w:t>68</w:t>
            </w:r>
          </w:p>
        </w:tc>
        <w:tc>
          <w:tcPr>
            <w:tcW w:type="dxa" w:w="4680"/>
          </w:tcPr>
          <w:p>
            <w:r/>
            <w:r>
              <w:rPr>
                <w:b w:val="0"/>
                <w:i/>
                <w:sz w:val="19"/>
              </w:rPr>
              <w:t>In re Oracle Corporation Derivative Litigation</w:t>
            </w:r>
            <w:r>
              <w:rPr>
                <w:b w:val="0"/>
                <w:i w:val="0"/>
                <w:sz w:val="19"/>
              </w:rPr>
              <w:t>, C.A. No. 2017-0337-SG (Del. Ch. May 12, 2023).</w:t>
            </w:r>
          </w:p>
        </w:tc>
      </w:tr>
      <w:tr>
        <w:tc>
          <w:tcPr>
            <w:tcW w:type="dxa" w:w="4680"/>
          </w:tcPr>
          <w:p>
            <w:r/>
            <w:r>
              <w:rPr>
                <w:b w:val="0"/>
                <w:i w:val="0"/>
                <w:sz w:val="19"/>
              </w:rPr>
              <w:t>69</w:t>
            </w:r>
          </w:p>
        </w:tc>
        <w:tc>
          <w:tcPr>
            <w:tcW w:type="dxa" w:w="4680"/>
          </w:tcPr>
          <w:p>
            <w:r/>
            <w:r>
              <w:rPr>
                <w:b w:val="0"/>
                <w:i/>
                <w:sz w:val="19"/>
              </w:rPr>
              <w:t>In re Oracle</w:t>
            </w:r>
            <w:r>
              <w:rPr>
                <w:b w:val="0"/>
                <w:i w:val="0"/>
                <w:sz w:val="19"/>
              </w:rPr>
              <w:t>.</w:t>
            </w:r>
          </w:p>
        </w:tc>
      </w:tr>
      <w:tr>
        <w:tc>
          <w:tcPr>
            <w:tcW w:type="dxa" w:w="4680"/>
          </w:tcPr>
          <w:p>
            <w:r/>
            <w:r>
              <w:rPr>
                <w:b w:val="0"/>
                <w:i w:val="0"/>
                <w:sz w:val="19"/>
              </w:rPr>
              <w:t>70</w:t>
            </w:r>
          </w:p>
        </w:tc>
        <w:tc>
          <w:tcPr>
            <w:tcW w:type="dxa" w:w="4680"/>
          </w:tcPr>
          <w:p>
            <w:r/>
            <w:r>
              <w:rPr>
                <w:b w:val="0"/>
                <w:i/>
                <w:sz w:val="19"/>
              </w:rPr>
              <w:t>In re Oracle</w:t>
            </w:r>
            <w:r>
              <w:rPr>
                <w:b w:val="0"/>
                <w:i w:val="0"/>
                <w:sz w:val="19"/>
              </w:rPr>
              <w:t>.</w:t>
            </w:r>
          </w:p>
        </w:tc>
      </w:tr>
      <w:tr>
        <w:tc>
          <w:tcPr>
            <w:tcW w:type="dxa" w:w="4680"/>
          </w:tcPr>
          <w:p>
            <w:r/>
            <w:r>
              <w:rPr>
                <w:b w:val="0"/>
                <w:i w:val="0"/>
                <w:sz w:val="19"/>
              </w:rPr>
              <w:t>71</w:t>
            </w:r>
          </w:p>
        </w:tc>
        <w:tc>
          <w:tcPr>
            <w:tcW w:type="dxa" w:w="4680"/>
          </w:tcPr>
          <w:p>
            <w:r/>
            <w:r>
              <w:rPr>
                <w:b w:val="0"/>
                <w:i w:val="0"/>
                <w:sz w:val="19"/>
              </w:rPr>
              <w:t xml:space="preserve">Adam M. Grant, </w:t>
            </w:r>
            <w:r>
              <w:rPr>
                <w:b w:val="0"/>
                <w:i/>
                <w:sz w:val="19"/>
              </w:rPr>
              <w:t>Think Again: The Power of Knowing What You Don’t Know</w:t>
            </w:r>
            <w:r>
              <w:rPr>
                <w:b w:val="0"/>
                <w:i w:val="0"/>
                <w:sz w:val="19"/>
              </w:rPr>
              <w:t xml:space="preserve"> (New York, New York: Viking, 2021).</w:t>
            </w:r>
          </w:p>
        </w:tc>
      </w:tr>
      <w:tr>
        <w:tc>
          <w:tcPr>
            <w:tcW w:type="dxa" w:w="4680"/>
          </w:tcPr>
          <w:p>
            <w:r/>
            <w:r>
              <w:rPr>
                <w:b w:val="0"/>
                <w:i w:val="0"/>
                <w:sz w:val="19"/>
              </w:rPr>
              <w:t>72</w:t>
            </w:r>
          </w:p>
        </w:tc>
        <w:tc>
          <w:tcPr>
            <w:tcW w:type="dxa" w:w="4680"/>
          </w:tcPr>
          <w:p>
            <w:r/>
            <w:r>
              <w:rPr>
                <w:b w:val="0"/>
                <w:i w:val="0"/>
                <w:sz w:val="19"/>
              </w:rPr>
              <w:t>Chris O’Connor, “Ch. 4: Think Again by Adam Grant,” BookTalk.org, August 6, 2021, https://www.booktalk.org/ch-4-think-again-by-adam-grant-t32678.html.</w:t>
            </w:r>
          </w:p>
        </w:tc>
      </w:tr>
    </w:tbl>
    <w:p>
      <w:pPr>
        <w:spacing w:after="0"/>
      </w:pPr>
    </w:p>
    <w:p>
      <w:pPr>
        <w:pStyle w:val="Heading2"/>
      </w:pPr>
      <w:r>
        <w:rPr>
          <w:rFonts w:ascii="Calibri" w:hAnsi="Calibri"/>
          <w:b/>
          <w:i w:val="0"/>
          <w:sz w:val="32"/>
        </w:rPr>
        <w:t>Chương 4: Ba Ủy ban Chính của Hội đồng Quản trị</w:t>
      </w:r>
    </w:p>
    <w:tbl>
      <w:tblPr>
        <w:tblStyle w:val="TableGrid"/>
        <w:tblW w:type="auto" w:w="0"/>
        <w:tblLook w:firstColumn="1" w:firstRow="1" w:lastColumn="0" w:lastRow="0" w:noHBand="0" w:noVBand="1" w:val="04A0"/>
      </w:tblPr>
      <w:tblGrid>
        <w:gridCol w:w="4680"/>
        <w:gridCol w:w="4680"/>
      </w:tblGrid>
      <w:tr>
        <w:tc>
          <w:tcPr>
            <w:tcW w:type="dxa" w:w="4680"/>
          </w:tcPr>
          <w:p>
            <w:r/>
            <w:r>
              <w:rPr>
                <w:b w:val="0"/>
                <w:i w:val="0"/>
                <w:sz w:val="19"/>
              </w:rPr>
              <w:t>1</w:t>
            </w:r>
          </w:p>
        </w:tc>
        <w:tc>
          <w:tcPr>
            <w:tcW w:type="dxa" w:w="4680"/>
          </w:tcPr>
          <w:p>
            <w:r/>
            <w:r>
              <w:rPr>
                <w:b w:val="0"/>
                <w:i w:val="0"/>
                <w:sz w:val="19"/>
              </w:rPr>
              <w:t xml:space="preserve">Brenda S. Birkett, “Recent History of Corporate Audit Committees,” </w:t>
            </w:r>
            <w:r>
              <w:rPr>
                <w:b w:val="0"/>
                <w:i/>
                <w:sz w:val="19"/>
              </w:rPr>
              <w:t>Accounting Historians Journal</w:t>
            </w:r>
            <w:r>
              <w:rPr>
                <w:b w:val="0"/>
                <w:i w:val="0"/>
                <w:sz w:val="19"/>
              </w:rPr>
              <w:t xml:space="preserve"> 13, no. 2 (1986), https://egrove.olemiss.edu/aah_journal/vol13/iss2/9.</w:t>
            </w:r>
          </w:p>
        </w:tc>
      </w:tr>
      <w:tr>
        <w:tc>
          <w:tcPr>
            <w:tcW w:type="dxa" w:w="4680"/>
          </w:tcPr>
          <w:p>
            <w:r/>
            <w:r>
              <w:rPr>
                <w:b w:val="0"/>
                <w:i w:val="0"/>
                <w:sz w:val="19"/>
              </w:rPr>
              <w:t>2</w:t>
            </w:r>
          </w:p>
        </w:tc>
        <w:tc>
          <w:tcPr>
            <w:tcW w:type="dxa" w:w="4680"/>
          </w:tcPr>
          <w:p>
            <w:r/>
            <w:r>
              <w:rPr>
                <w:b w:val="0"/>
                <w:i w:val="0"/>
                <w:sz w:val="19"/>
              </w:rPr>
              <w:t xml:space="preserve">Michael Chatfield và Richard Vangermeersch, “History of Accounting: An International Encyclopedia,” </w:t>
            </w:r>
            <w:r>
              <w:rPr>
                <w:b w:val="0"/>
                <w:i/>
                <w:sz w:val="19"/>
              </w:rPr>
              <w:t>Individual and Corporate Publications</w:t>
            </w:r>
            <w:r>
              <w:rPr>
                <w:b w:val="0"/>
                <w:i w:val="0"/>
                <w:sz w:val="19"/>
              </w:rPr>
              <w:t xml:space="preserve"> 168 (1996), https://egrove.olemiss.edu/acct_corp/168.</w:t>
            </w:r>
          </w:p>
        </w:tc>
      </w:tr>
      <w:tr>
        <w:tc>
          <w:tcPr>
            <w:tcW w:type="dxa" w:w="4680"/>
          </w:tcPr>
          <w:p>
            <w:r/>
            <w:r>
              <w:rPr>
                <w:b w:val="0"/>
                <w:i w:val="0"/>
                <w:sz w:val="19"/>
              </w:rPr>
              <w:t>3</w:t>
            </w:r>
          </w:p>
        </w:tc>
        <w:tc>
          <w:tcPr>
            <w:tcW w:type="dxa" w:w="4680"/>
          </w:tcPr>
          <w:p>
            <w:r/>
            <w:r>
              <w:rPr>
                <w:b w:val="0"/>
                <w:i w:val="0"/>
                <w:sz w:val="19"/>
              </w:rPr>
              <w:t>Chatfield và Vangermeersch.</w:t>
            </w:r>
          </w:p>
        </w:tc>
      </w:tr>
      <w:tr>
        <w:tc>
          <w:tcPr>
            <w:tcW w:type="dxa" w:w="4680"/>
          </w:tcPr>
          <w:p>
            <w:r/>
            <w:r>
              <w:rPr>
                <w:b w:val="0"/>
                <w:i w:val="0"/>
                <w:sz w:val="19"/>
              </w:rPr>
              <w:t>4.</w:t>
            </w:r>
          </w:p>
        </w:tc>
        <w:tc>
          <w:tcPr>
            <w:tcW w:type="dxa" w:w="4680"/>
          </w:tcPr>
          <w:p>
            <w:r/>
            <w:r>
              <w:rPr>
                <w:b w:val="0"/>
                <w:i w:val="0"/>
                <w:sz w:val="19"/>
              </w:rPr>
              <w:t>“Requirements for Public Company Boards,” Weil, January 3, 2022, https://www.weil.com/-/media/files/pdfs/2022/january/requirements_for_public_company_boards_including_ipo_transition_rules.pdf.</w:t>
            </w:r>
          </w:p>
        </w:tc>
      </w:tr>
      <w:tr>
        <w:tc>
          <w:tcPr>
            <w:tcW w:type="dxa" w:w="4680"/>
          </w:tcPr>
          <w:p>
            <w:r/>
            <w:r>
              <w:rPr>
                <w:b w:val="0"/>
                <w:i w:val="0"/>
                <w:sz w:val="19"/>
              </w:rPr>
              <w:t>5</w:t>
            </w:r>
          </w:p>
        </w:tc>
        <w:tc>
          <w:tcPr>
            <w:tcW w:type="dxa" w:w="4680"/>
          </w:tcPr>
          <w:p>
            <w:r/>
            <w:r>
              <w:rPr>
                <w:b w:val="0"/>
                <w:i w:val="0"/>
                <w:sz w:val="19"/>
              </w:rPr>
              <w:t>“Requirements.”</w:t>
            </w:r>
          </w:p>
        </w:tc>
      </w:tr>
      <w:tr>
        <w:tc>
          <w:tcPr>
            <w:tcW w:type="dxa" w:w="4680"/>
          </w:tcPr>
          <w:p>
            <w:r/>
            <w:r>
              <w:rPr>
                <w:b w:val="0"/>
                <w:i w:val="0"/>
                <w:sz w:val="19"/>
              </w:rPr>
              <w:t>6</w:t>
            </w:r>
          </w:p>
        </w:tc>
        <w:tc>
          <w:tcPr>
            <w:tcW w:type="dxa" w:w="4680"/>
          </w:tcPr>
          <w:p>
            <w:r/>
            <w:r>
              <w:rPr>
                <w:b w:val="0"/>
                <w:i w:val="0"/>
                <w:sz w:val="19"/>
              </w:rPr>
              <w:t>Jamie Smith, “How Committees Are Evolving to Meet Changing Oversight Needs,” EY, October 17, 2022, https://www.ey.com/en_us/board-matters/how-committees-are-evolving-to-meet-changing-oversight-needs.</w:t>
            </w:r>
          </w:p>
        </w:tc>
      </w:tr>
      <w:tr>
        <w:tc>
          <w:tcPr>
            <w:tcW w:type="dxa" w:w="4680"/>
          </w:tcPr>
          <w:p>
            <w:r/>
            <w:r>
              <w:rPr>
                <w:b w:val="0"/>
                <w:i w:val="0"/>
                <w:sz w:val="19"/>
              </w:rPr>
              <w:t>7</w:t>
            </w:r>
          </w:p>
        </w:tc>
        <w:tc>
          <w:tcPr>
            <w:tcW w:type="dxa" w:w="4680"/>
          </w:tcPr>
          <w:p>
            <w:r/>
            <w:r>
              <w:rPr>
                <w:b w:val="0"/>
                <w:i w:val="0"/>
                <w:sz w:val="19"/>
              </w:rPr>
              <w:t>Lindsay Frost, “New Board Committees Flourish as Disruption Piles Up,” Agenda, January 2, 2024, https://www.agendaweek.com/c/4366244/566444/board_committees_flourish_disruption_piles.</w:t>
            </w:r>
          </w:p>
        </w:tc>
      </w:tr>
      <w:tr>
        <w:tc>
          <w:tcPr>
            <w:tcW w:type="dxa" w:w="4680"/>
          </w:tcPr>
          <w:p>
            <w:r/>
            <w:r>
              <w:rPr>
                <w:b w:val="0"/>
                <w:i w:val="0"/>
                <w:sz w:val="19"/>
              </w:rPr>
              <w:t>8</w:t>
            </w:r>
          </w:p>
        </w:tc>
        <w:tc>
          <w:tcPr>
            <w:tcW w:type="dxa" w:w="4680"/>
          </w:tcPr>
          <w:p>
            <w:r/>
            <w:r>
              <w:rPr>
                <w:b w:val="0"/>
                <w:i w:val="0"/>
                <w:sz w:val="19"/>
              </w:rPr>
              <w:t>Birkett, “Recent History.”</w:t>
            </w:r>
          </w:p>
        </w:tc>
      </w:tr>
      <w:tr>
        <w:tc>
          <w:tcPr>
            <w:tcW w:type="dxa" w:w="4680"/>
          </w:tcPr>
          <w:p>
            <w:r/>
            <w:r>
              <w:rPr>
                <w:b w:val="0"/>
                <w:i w:val="0"/>
                <w:sz w:val="19"/>
              </w:rPr>
              <w:t>9</w:t>
            </w:r>
          </w:p>
        </w:tc>
        <w:tc>
          <w:tcPr>
            <w:tcW w:type="dxa" w:w="4680"/>
          </w:tcPr>
          <w:p>
            <w:r/>
            <w:r>
              <w:rPr>
                <w:b w:val="0"/>
                <w:i w:val="0"/>
                <w:sz w:val="19"/>
              </w:rPr>
              <w:t>Birkett.</w:t>
            </w:r>
          </w:p>
        </w:tc>
      </w:tr>
      <w:tr>
        <w:tc>
          <w:tcPr>
            <w:tcW w:type="dxa" w:w="4680"/>
          </w:tcPr>
          <w:p>
            <w:r/>
            <w:r>
              <w:rPr>
                <w:b w:val="0"/>
                <w:i w:val="0"/>
                <w:sz w:val="19"/>
              </w:rPr>
              <w:t>10</w:t>
            </w:r>
          </w:p>
        </w:tc>
        <w:tc>
          <w:tcPr>
            <w:tcW w:type="dxa" w:w="4680"/>
          </w:tcPr>
          <w:p>
            <w:r/>
            <w:r>
              <w:rPr>
                <w:b w:val="0"/>
                <w:i w:val="0"/>
                <w:sz w:val="19"/>
              </w:rPr>
              <w:t>Birkett.</w:t>
            </w:r>
          </w:p>
        </w:tc>
      </w:tr>
      <w:tr>
        <w:tc>
          <w:tcPr>
            <w:tcW w:type="dxa" w:w="4680"/>
          </w:tcPr>
          <w:p>
            <w:r/>
            <w:r>
              <w:rPr>
                <w:b w:val="0"/>
                <w:i w:val="0"/>
                <w:sz w:val="19"/>
              </w:rPr>
              <w:t>11</w:t>
            </w:r>
          </w:p>
        </w:tc>
        <w:tc>
          <w:tcPr>
            <w:tcW w:type="dxa" w:w="4680"/>
          </w:tcPr>
          <w:p>
            <w:r/>
            <w:r>
              <w:rPr>
                <w:b w:val="0"/>
                <w:i w:val="0"/>
                <w:sz w:val="19"/>
              </w:rPr>
              <w:t>Michael W. Peregrine và Charles W. Elson, “The Important Legacy of the Sarbanes Oxley Act,” Harvard Law School Forum on Corporate Governance, ngày 30 tháng 8 năm 2022, https://corpgov.law.harvard.edu/2022/08/30/the-important-legacy-of-the-sarbanes-oxley-act/.</w:t>
            </w:r>
          </w:p>
        </w:tc>
      </w:tr>
      <w:tr>
        <w:tc>
          <w:tcPr>
            <w:tcW w:type="dxa" w:w="4680"/>
          </w:tcPr>
          <w:p>
            <w:r/>
            <w:r>
              <w:rPr>
                <w:b w:val="0"/>
                <w:i w:val="0"/>
                <w:sz w:val="19"/>
              </w:rPr>
              <w:t>12</w:t>
            </w:r>
          </w:p>
        </w:tc>
        <w:tc>
          <w:tcPr>
            <w:tcW w:type="dxa" w:w="4680"/>
          </w:tcPr>
          <w:p>
            <w:r/>
            <w:r>
              <w:rPr>
                <w:b w:val="0"/>
                <w:i w:val="0"/>
                <w:sz w:val="19"/>
              </w:rPr>
              <w:t>Sarbanes-Oxley Act, P.L. No. 107–204, 116 Stat. 745 (2002).</w:t>
            </w:r>
          </w:p>
        </w:tc>
      </w:tr>
      <w:tr>
        <w:tc>
          <w:tcPr>
            <w:tcW w:type="dxa" w:w="4680"/>
          </w:tcPr>
          <w:p>
            <w:r/>
            <w:r>
              <w:rPr>
                <w:b w:val="0"/>
                <w:i w:val="0"/>
                <w:sz w:val="19"/>
              </w:rPr>
              <w:t>13</w:t>
            </w:r>
          </w:p>
        </w:tc>
        <w:tc>
          <w:tcPr>
            <w:tcW w:type="dxa" w:w="4680"/>
          </w:tcPr>
          <w:p>
            <w:r/>
            <w:r>
              <w:rPr>
                <w:b w:val="0"/>
                <w:i w:val="0"/>
                <w:sz w:val="19"/>
              </w:rPr>
              <w:t>Peregrine và Elson, “Important Legacy.”</w:t>
            </w:r>
          </w:p>
        </w:tc>
      </w:tr>
      <w:tr>
        <w:tc>
          <w:tcPr>
            <w:tcW w:type="dxa" w:w="4680"/>
          </w:tcPr>
          <w:p>
            <w:r/>
            <w:r>
              <w:rPr>
                <w:b w:val="0"/>
                <w:i w:val="0"/>
                <w:sz w:val="19"/>
              </w:rPr>
              <w:t>14</w:t>
            </w:r>
          </w:p>
        </w:tc>
        <w:tc>
          <w:tcPr>
            <w:tcW w:type="dxa" w:w="4680"/>
          </w:tcPr>
          <w:p>
            <w:r/>
            <w:r>
              <w:rPr>
                <w:b w:val="0"/>
                <w:i w:val="0"/>
                <w:sz w:val="19"/>
              </w:rPr>
              <w:t>“Requirements for Public Company Boards,” Weil, tháng 8 năm 2023, https://governance.weil.com/wp-content/uploads/2023/08/PCAG-Chart-of-Board-Requirements-August-2023.pdf.</w:t>
            </w:r>
          </w:p>
        </w:tc>
      </w:tr>
      <w:tr>
        <w:tc>
          <w:tcPr>
            <w:tcW w:type="dxa" w:w="4680"/>
          </w:tcPr>
          <w:p>
            <w:r/>
            <w:r>
              <w:rPr>
                <w:b w:val="0"/>
                <w:i w:val="0"/>
                <w:sz w:val="19"/>
              </w:rPr>
              <w:t>15</w:t>
            </w:r>
          </w:p>
        </w:tc>
        <w:tc>
          <w:tcPr>
            <w:tcW w:type="dxa" w:w="4680"/>
          </w:tcPr>
          <w:p>
            <w:r/>
            <w:r>
              <w:rPr>
                <w:b w:val="0"/>
                <w:i w:val="0"/>
                <w:sz w:val="19"/>
              </w:rPr>
              <w:t>Sarbanes-Oxley Act.</w:t>
            </w:r>
          </w:p>
        </w:tc>
      </w:tr>
      <w:tr>
        <w:tc>
          <w:tcPr>
            <w:tcW w:type="dxa" w:w="4680"/>
          </w:tcPr>
          <w:p>
            <w:r/>
            <w:r>
              <w:rPr>
                <w:b w:val="0"/>
                <w:i w:val="0"/>
                <w:sz w:val="19"/>
              </w:rPr>
              <w:t>16</w:t>
            </w:r>
          </w:p>
        </w:tc>
        <w:tc>
          <w:tcPr>
            <w:tcW w:type="dxa" w:w="4680"/>
          </w:tcPr>
          <w:p>
            <w:r/>
            <w:r>
              <w:rPr>
                <w:b w:val="0"/>
                <w:i w:val="0"/>
                <w:sz w:val="19"/>
              </w:rPr>
              <w:t>2021 U.S. Spencer Stuart Board Index.</w:t>
            </w:r>
          </w:p>
        </w:tc>
      </w:tr>
      <w:tr>
        <w:tc>
          <w:tcPr>
            <w:tcW w:type="dxa" w:w="4680"/>
          </w:tcPr>
          <w:p>
            <w:r/>
            <w:r>
              <w:rPr>
                <w:b w:val="0"/>
                <w:i w:val="0"/>
                <w:sz w:val="19"/>
              </w:rPr>
              <w:t>17</w:t>
            </w:r>
          </w:p>
        </w:tc>
        <w:tc>
          <w:tcPr>
            <w:tcW w:type="dxa" w:w="4680"/>
          </w:tcPr>
          <w:p>
            <w:r/>
            <w:r>
              <w:rPr>
                <w:b w:val="0"/>
                <w:i w:val="0"/>
                <w:sz w:val="19"/>
              </w:rPr>
              <w:t>2021 U.S. Spencer Stuart Board Index.</w:t>
            </w:r>
          </w:p>
        </w:tc>
      </w:tr>
      <w:tr>
        <w:tc>
          <w:tcPr>
            <w:tcW w:type="dxa" w:w="4680"/>
          </w:tcPr>
          <w:p>
            <w:r/>
            <w:r>
              <w:rPr>
                <w:b w:val="0"/>
                <w:i w:val="0"/>
                <w:sz w:val="19"/>
              </w:rPr>
              <w:t>18</w:t>
            </w:r>
          </w:p>
        </w:tc>
        <w:tc>
          <w:tcPr>
            <w:tcW w:type="dxa" w:w="4680"/>
          </w:tcPr>
          <w:p>
            <w:r/>
            <w:r>
              <w:rPr>
                <w:b w:val="0"/>
                <w:i w:val="0"/>
                <w:sz w:val="19"/>
              </w:rPr>
              <w:t>Peregrine và Elson, “Important Legacy.”</w:t>
            </w:r>
          </w:p>
        </w:tc>
      </w:tr>
      <w:tr>
        <w:tc>
          <w:tcPr>
            <w:tcW w:type="dxa" w:w="4680"/>
          </w:tcPr>
          <w:p>
            <w:r/>
            <w:r>
              <w:rPr>
                <w:b w:val="0"/>
                <w:i w:val="0"/>
                <w:sz w:val="19"/>
              </w:rPr>
              <w:t>19</w:t>
            </w:r>
          </w:p>
        </w:tc>
        <w:tc>
          <w:tcPr>
            <w:tcW w:type="dxa" w:w="4680"/>
          </w:tcPr>
          <w:p>
            <w:r/>
            <w:r>
              <w:rPr>
                <w:b w:val="0"/>
                <w:i w:val="0"/>
                <w:sz w:val="19"/>
              </w:rPr>
              <w:t>“AS 3101: The Auditor’s Report on an Audit of Financial Statements When the Auditor Expresses an Unqualified Opinion,” PCAOB, n.d., https://pcaobus.org/oversight/standards/auditing-standards/details/AS3101.</w:t>
            </w:r>
          </w:p>
        </w:tc>
      </w:tr>
      <w:tr>
        <w:tc>
          <w:tcPr>
            <w:tcW w:type="dxa" w:w="4680"/>
          </w:tcPr>
          <w:p>
            <w:r/>
            <w:r>
              <w:rPr>
                <w:b w:val="0"/>
                <w:i w:val="0"/>
                <w:sz w:val="19"/>
              </w:rPr>
              <w:t>20</w:t>
            </w:r>
          </w:p>
        </w:tc>
        <w:tc>
          <w:tcPr>
            <w:tcW w:type="dxa" w:w="4680"/>
          </w:tcPr>
          <w:p>
            <w:r/>
            <w:r>
              <w:rPr>
                <w:b w:val="0"/>
                <w:i w:val="0"/>
                <w:sz w:val="19"/>
              </w:rPr>
              <w:t>Peregrine và Elson, “Important Legacy.”</w:t>
            </w:r>
          </w:p>
        </w:tc>
      </w:tr>
      <w:tr>
        <w:tc>
          <w:tcPr>
            <w:tcW w:type="dxa" w:w="4680"/>
          </w:tcPr>
          <w:p>
            <w:r/>
            <w:r>
              <w:rPr>
                <w:b w:val="0"/>
                <w:i w:val="0"/>
                <w:sz w:val="19"/>
              </w:rPr>
              <w:t>21</w:t>
            </w:r>
          </w:p>
        </w:tc>
        <w:tc>
          <w:tcPr>
            <w:tcW w:type="dxa" w:w="4680"/>
          </w:tcPr>
          <w:p>
            <w:r/>
            <w:r>
              <w:rPr>
                <w:b w:val="0"/>
                <w:i w:val="0"/>
                <w:sz w:val="19"/>
              </w:rPr>
              <w:t>Scott Parker, “Four Reasons All Private Companies Need a SOX Compliance Program,” AuditBoard, October 14, 2020, https://www.auditboard.com/blog/4-reasons-private-companies-need-sox-compliance-programs/.</w:t>
            </w:r>
          </w:p>
        </w:tc>
      </w:tr>
      <w:tr>
        <w:tc>
          <w:tcPr>
            <w:tcW w:type="dxa" w:w="4680"/>
          </w:tcPr>
          <w:p>
            <w:r/>
            <w:r>
              <w:rPr>
                <w:b w:val="0"/>
                <w:i w:val="0"/>
                <w:sz w:val="19"/>
              </w:rPr>
              <w:t>22</w:t>
            </w:r>
          </w:p>
        </w:tc>
        <w:tc>
          <w:tcPr>
            <w:tcW w:type="dxa" w:w="4680"/>
          </w:tcPr>
          <w:p>
            <w:r/>
            <w:r>
              <w:rPr>
                <w:b w:val="0"/>
                <w:i w:val="0"/>
                <w:sz w:val="19"/>
              </w:rPr>
              <w:t>“SOX Compliance amid Rising Costs, Labor Shortages and Other Post-Pandemic Challenges,” Protiviti, June 2022, https://www.protiviti.com/sites/default/files/2022-06/2022-sox-compliance-survey-protiviti.pdf.</w:t>
            </w:r>
          </w:p>
        </w:tc>
      </w:tr>
      <w:tr>
        <w:tc>
          <w:tcPr>
            <w:tcW w:type="dxa" w:w="4680"/>
          </w:tcPr>
          <w:p>
            <w:r/>
            <w:r>
              <w:rPr>
                <w:b w:val="0"/>
                <w:i w:val="0"/>
                <w:sz w:val="19"/>
              </w:rPr>
              <w:t>23</w:t>
            </w:r>
          </w:p>
        </w:tc>
        <w:tc>
          <w:tcPr>
            <w:tcW w:type="dxa" w:w="4680"/>
          </w:tcPr>
          <w:p>
            <w:r/>
            <w:r>
              <w:rPr>
                <w:b w:val="0"/>
                <w:i w:val="0"/>
                <w:sz w:val="19"/>
              </w:rPr>
              <w:t>NACD Future of the American Board: Audit Committee Blueprint.</w:t>
            </w:r>
          </w:p>
        </w:tc>
      </w:tr>
      <w:tr>
        <w:tc>
          <w:tcPr>
            <w:tcW w:type="dxa" w:w="4680"/>
          </w:tcPr>
          <w:p>
            <w:r/>
            <w:r>
              <w:rPr>
                <w:b w:val="0"/>
                <w:i w:val="0"/>
                <w:sz w:val="19"/>
              </w:rPr>
              <w:t>24</w:t>
            </w:r>
          </w:p>
        </w:tc>
        <w:tc>
          <w:tcPr>
            <w:tcW w:type="dxa" w:w="4680"/>
          </w:tcPr>
          <w:p>
            <w:r/>
            <w:r>
              <w:rPr>
                <w:b w:val="0"/>
                <w:i w:val="0"/>
                <w:sz w:val="19"/>
              </w:rPr>
              <w:t>2021 U.S. Spencer Stuart Board Index.</w:t>
            </w:r>
          </w:p>
        </w:tc>
      </w:tr>
      <w:tr>
        <w:tc>
          <w:tcPr>
            <w:tcW w:type="dxa" w:w="4680"/>
          </w:tcPr>
          <w:p>
            <w:r/>
            <w:r>
              <w:rPr>
                <w:b w:val="0"/>
                <w:i w:val="0"/>
                <w:sz w:val="19"/>
              </w:rPr>
              <w:t>25</w:t>
            </w:r>
          </w:p>
        </w:tc>
        <w:tc>
          <w:tcPr>
            <w:tcW w:type="dxa" w:w="4680"/>
          </w:tcPr>
          <w:p>
            <w:r/>
            <w:r>
              <w:rPr>
                <w:b w:val="0"/>
                <w:i w:val="0"/>
                <w:sz w:val="19"/>
              </w:rPr>
              <w:t>“Requirements for Public Company Boards,” Weil, January 3, 2022, https://www.weil.com/-/media/files/pdfs/2022/january/requirements_for_public_company_boards_including_ipo_transition_rules.pdf.</w:t>
            </w:r>
          </w:p>
        </w:tc>
      </w:tr>
      <w:tr>
        <w:tc>
          <w:tcPr>
            <w:tcW w:type="dxa" w:w="4680"/>
          </w:tcPr>
          <w:p>
            <w:r/>
            <w:r>
              <w:rPr>
                <w:b w:val="0"/>
                <w:i w:val="0"/>
                <w:sz w:val="19"/>
              </w:rPr>
              <w:t>26</w:t>
            </w:r>
          </w:p>
        </w:tc>
        <w:tc>
          <w:tcPr>
            <w:tcW w:type="dxa" w:w="4680"/>
          </w:tcPr>
          <w:p>
            <w:r/>
            <w:r>
              <w:rPr>
                <w:b w:val="0"/>
                <w:i w:val="0"/>
                <w:sz w:val="19"/>
              </w:rPr>
              <w:t>Diễn đàn Trường Luật Harvard về Quản trị Công ty, Hướng dẫn Ủy ban Lương thưởng 2020, https://corpgov.law.harvard.edu/2020/03/19/compensation-committee-guide-2020.</w:t>
            </w:r>
          </w:p>
        </w:tc>
      </w:tr>
      <w:tr>
        <w:tc>
          <w:tcPr>
            <w:tcW w:type="dxa" w:w="4680"/>
          </w:tcPr>
          <w:p>
            <w:r/>
            <w:r>
              <w:rPr>
                <w:b w:val="0"/>
                <w:i w:val="0"/>
                <w:sz w:val="19"/>
              </w:rPr>
              <w:t>27</w:t>
            </w:r>
          </w:p>
        </w:tc>
        <w:tc>
          <w:tcPr>
            <w:tcW w:type="dxa" w:w="4680"/>
          </w:tcPr>
          <w:p>
            <w:r/>
            <w:r>
              <w:rPr>
                <w:b w:val="0"/>
                <w:i w:val="0"/>
                <w:sz w:val="19"/>
              </w:rPr>
              <w:t>Diễn đàn Trường Luật Harvard về Quản trị Công ty, Hướng dẫn Ủy ban Lương thưởng 2020.</w:t>
            </w:r>
          </w:p>
        </w:tc>
      </w:tr>
      <w:tr>
        <w:tc>
          <w:tcPr>
            <w:tcW w:type="dxa" w:w="4680"/>
          </w:tcPr>
          <w:p>
            <w:r/>
            <w:r>
              <w:rPr>
                <w:b w:val="0"/>
                <w:i w:val="0"/>
                <w:sz w:val="19"/>
              </w:rPr>
              <w:t>28</w:t>
            </w:r>
          </w:p>
        </w:tc>
        <w:tc>
          <w:tcPr>
            <w:tcW w:type="dxa" w:w="4680"/>
          </w:tcPr>
          <w:p>
            <w:r/>
            <w:r>
              <w:rPr>
                <w:b w:val="0"/>
                <w:i w:val="0"/>
                <w:sz w:val="19"/>
              </w:rPr>
              <w:t>Theresa Tovar, Robert Newbury, và Don Delves, “Vai trò của Ủy ban Lương thưởng trong Quản lý Vốn Nhân lực đang Ngày càng Mở rộng,” WTW, ngày 17 tháng 11 năm 2022, https://www.wtwco.com/en-us/insights/2022/11/compensation-committee-role-in-human-capital-management-is-growing.</w:t>
            </w:r>
          </w:p>
        </w:tc>
      </w:tr>
      <w:tr>
        <w:tc>
          <w:tcPr>
            <w:tcW w:type="dxa" w:w="4680"/>
          </w:tcPr>
          <w:p>
            <w:r/>
            <w:r>
              <w:rPr>
                <w:b w:val="0"/>
                <w:i w:val="0"/>
                <w:sz w:val="19"/>
              </w:rPr>
              <w:t>29.</w:t>
            </w:r>
          </w:p>
        </w:tc>
        <w:tc>
          <w:tcPr>
            <w:tcW w:type="dxa" w:w="4680"/>
          </w:tcPr>
          <w:p>
            <w:r/>
            <w:r>
              <w:rPr>
                <w:b w:val="0"/>
                <w:i w:val="0"/>
                <w:sz w:val="19"/>
              </w:rPr>
              <w:t>“Sổ tay Công ty Niêm yết trên NYSE Mục 303A Các Tiêu chuẩn Quản trị Công ty – Câu hỏi Thường gặp,” NYSE, ngày 28 tháng 7 năm 2021, https://www.nyse.com/publicdocs/nyse/regulation/nyse/FAQ_NYSE_Listed_Company_Manual_Section_303A_7_28_2021.pdf; “Benefits Blast: Các Bước Triển khai Chính cho Các Công ty Niêm yết khi Hạn chót Áp dụng Chính sách Thu hồi Lương thưởng đang Đến Gần,” blog Winston &amp; Strawn, ngày 16 tháng 8 năm 2023, https://www.winston.com/en/blogs-and-podcasts/benefits-blast/key-implementation-steps-for-listed-companies-as-deadline-for-adopting-clawback-policies-rapidly-approaches.</w:t>
            </w:r>
          </w:p>
        </w:tc>
      </w:tr>
      <w:tr>
        <w:tc>
          <w:tcPr>
            <w:tcW w:type="dxa" w:w="4680"/>
          </w:tcPr>
          <w:p>
            <w:r/>
            <w:r>
              <w:rPr>
                <w:b w:val="0"/>
                <w:i w:val="0"/>
                <w:sz w:val="19"/>
              </w:rPr>
              <w:t>30</w:t>
            </w:r>
          </w:p>
        </w:tc>
        <w:tc>
          <w:tcPr>
            <w:tcW w:type="dxa" w:w="4680"/>
          </w:tcPr>
          <w:p>
            <w:r/>
            <w:r>
              <w:rPr>
                <w:b w:val="0"/>
                <w:i w:val="0"/>
                <w:sz w:val="19"/>
              </w:rPr>
              <w:t>Kevin F. Hallock, “Mối quan hệ giữa Quy mô Công ty và Lương của CEO,” Workspan, tháng 2 năm 2011, https://archive.ilr.cornell.edu/sites/default/files/workspan/02-11-Research-for-the-real-world_0.pdf.</w:t>
            </w:r>
          </w:p>
        </w:tc>
      </w:tr>
      <w:tr>
        <w:tc>
          <w:tcPr>
            <w:tcW w:type="dxa" w:w="4680"/>
          </w:tcPr>
          <w:p>
            <w:r/>
            <w:r>
              <w:rPr>
                <w:b w:val="0"/>
                <w:i w:val="0"/>
                <w:sz w:val="19"/>
              </w:rPr>
              <w:t>31</w:t>
            </w:r>
          </w:p>
        </w:tc>
        <w:tc>
          <w:tcPr>
            <w:tcW w:type="dxa" w:w="4680"/>
          </w:tcPr>
          <w:p>
            <w:r/>
            <w:r>
              <w:rPr>
                <w:b w:val="0"/>
                <w:i w:val="0"/>
                <w:sz w:val="19"/>
              </w:rPr>
              <w:t xml:space="preserve">Tom Taulli, “Các khoản Cấp Cổ phiếu Hạn chế đang Ngày càng Phổ biến. Những gì Cố vấn Cần Biết,” </w:t>
            </w:r>
            <w:r>
              <w:rPr>
                <w:b w:val="0"/>
                <w:i/>
                <w:sz w:val="19"/>
              </w:rPr>
              <w:t>Barron’s</w:t>
            </w:r>
            <w:r>
              <w:rPr>
                <w:b w:val="0"/>
                <w:i w:val="0"/>
                <w:sz w:val="19"/>
              </w:rPr>
              <w:t>, ngày 21 tháng 9 năm 2022, https://www.barrons.com/advisor/articles/rsus-popular-options-advisors-51663776779.</w:t>
            </w:r>
          </w:p>
        </w:tc>
      </w:tr>
      <w:tr>
        <w:tc>
          <w:tcPr>
            <w:tcW w:type="dxa" w:w="4680"/>
          </w:tcPr>
          <w:p>
            <w:r/>
            <w:r>
              <w:rPr>
                <w:b w:val="0"/>
                <w:i w:val="0"/>
                <w:sz w:val="19"/>
              </w:rPr>
              <w:t>32</w:t>
            </w:r>
          </w:p>
        </w:tc>
        <w:tc>
          <w:tcPr>
            <w:tcW w:type="dxa" w:w="4680"/>
          </w:tcPr>
          <w:p>
            <w:r/>
            <w:r>
              <w:rPr>
                <w:b w:val="0"/>
                <w:i w:val="0"/>
                <w:sz w:val="19"/>
              </w:rPr>
              <w:t>Chỉ số Hội đồng Quản trị Spencer Stuart Hoa Kỳ năm 2021.</w:t>
            </w:r>
          </w:p>
        </w:tc>
      </w:tr>
      <w:tr>
        <w:tc>
          <w:tcPr>
            <w:tcW w:type="dxa" w:w="4680"/>
          </w:tcPr>
          <w:p>
            <w:r/>
            <w:r>
              <w:rPr>
                <w:b w:val="0"/>
                <w:i w:val="0"/>
                <w:sz w:val="19"/>
              </w:rPr>
              <w:t>33</w:t>
            </w:r>
          </w:p>
        </w:tc>
        <w:tc>
          <w:tcPr>
            <w:tcW w:type="dxa" w:w="4680"/>
          </w:tcPr>
          <w:p>
            <w:r/>
            <w:r>
              <w:rPr>
                <w:b w:val="0"/>
                <w:i w:val="0"/>
                <w:sz w:val="19"/>
              </w:rPr>
              <w:t>Josh Bivens và Jori Kandra, “Lương CEO đã Tăng vọt 1.460% kể từ năm 1978: Các CEO được Trả Lương Cao gấp 399 lần so với một Người lao động Thông thường vào năm 2021,” Viện Chính sách Kinh tế, ngày 4 tháng 10 năm 2022, https://www.epi.org/publication/ceo-pay-in-2021/.</w:t>
            </w:r>
          </w:p>
        </w:tc>
      </w:tr>
      <w:tr>
        <w:tc>
          <w:tcPr>
            <w:tcW w:type="dxa" w:w="4680"/>
          </w:tcPr>
          <w:p>
            <w:r/>
            <w:r>
              <w:rPr>
                <w:b w:val="0"/>
                <w:i w:val="0"/>
                <w:sz w:val="19"/>
              </w:rPr>
              <w:t>34</w:t>
            </w:r>
          </w:p>
        </w:tc>
        <w:tc>
          <w:tcPr>
            <w:tcW w:type="dxa" w:w="4680"/>
          </w:tcPr>
          <w:p>
            <w:r/>
            <w:r>
              <w:rPr>
                <w:b w:val="0"/>
                <w:i w:val="0"/>
                <w:sz w:val="19"/>
              </w:rPr>
              <w:t>Ownership Works, https://ownershipworks.org/.</w:t>
            </w:r>
          </w:p>
        </w:tc>
      </w:tr>
      <w:tr>
        <w:tc>
          <w:tcPr>
            <w:tcW w:type="dxa" w:w="4680"/>
          </w:tcPr>
          <w:p>
            <w:r/>
            <w:r>
              <w:rPr>
                <w:b w:val="0"/>
                <w:i w:val="0"/>
                <w:sz w:val="19"/>
              </w:rPr>
              <w:t>35</w:t>
            </w:r>
          </w:p>
        </w:tc>
        <w:tc>
          <w:tcPr>
            <w:tcW w:type="dxa" w:w="4680"/>
          </w:tcPr>
          <w:p>
            <w:r/>
            <w:r>
              <w:rPr>
                <w:b w:val="0"/>
                <w:i w:val="0"/>
                <w:sz w:val="19"/>
              </w:rPr>
              <w:t xml:space="preserve">Miriam Gottfried, “Blackstone to Grant Equity to Most Employees in Future U.S. Buyouts,” </w:t>
            </w:r>
            <w:r>
              <w:rPr>
                <w:b w:val="0"/>
                <w:i/>
                <w:sz w:val="19"/>
              </w:rPr>
              <w:t>Wall Street Journal</w:t>
            </w:r>
            <w:r>
              <w:rPr>
                <w:b w:val="0"/>
                <w:i w:val="0"/>
                <w:sz w:val="19"/>
              </w:rPr>
              <w:t>, May 21, 2024, https://www.wsj.com/finance/blackstone-to-grant-equity-to-most-employees-in-future-u-s-buyouts-3c5fed45.</w:t>
            </w:r>
          </w:p>
        </w:tc>
      </w:tr>
      <w:tr>
        <w:tc>
          <w:tcPr>
            <w:tcW w:type="dxa" w:w="4680"/>
          </w:tcPr>
          <w:p>
            <w:r/>
            <w:r>
              <w:rPr>
                <w:b w:val="0"/>
                <w:i w:val="0"/>
                <w:sz w:val="19"/>
              </w:rPr>
              <w:t>36</w:t>
            </w:r>
          </w:p>
        </w:tc>
        <w:tc>
          <w:tcPr>
            <w:tcW w:type="dxa" w:w="4680"/>
          </w:tcPr>
          <w:p>
            <w:r/>
            <w:r>
              <w:rPr>
                <w:b w:val="0"/>
                <w:i w:val="0"/>
                <w:sz w:val="19"/>
              </w:rPr>
              <w:t xml:space="preserve">Sharon Terlep, “Boeing to Tie More of Employees’ Incentive Pay to Safety,” </w:t>
            </w:r>
            <w:r>
              <w:rPr>
                <w:b w:val="0"/>
                <w:i/>
                <w:sz w:val="19"/>
              </w:rPr>
              <w:t>Wall Street Journal</w:t>
            </w:r>
            <w:r>
              <w:rPr>
                <w:b w:val="0"/>
                <w:i w:val="0"/>
                <w:sz w:val="19"/>
              </w:rPr>
              <w:t>, March 8, 2024, https://www.wsj.com/business/boeing-to-tie-more-of-employees-pay-to-safety-15c27813.</w:t>
            </w:r>
          </w:p>
        </w:tc>
      </w:tr>
      <w:tr>
        <w:tc>
          <w:tcPr>
            <w:tcW w:type="dxa" w:w="4680"/>
          </w:tcPr>
          <w:p>
            <w:r/>
            <w:r>
              <w:rPr>
                <w:b w:val="0"/>
                <w:i w:val="0"/>
                <w:sz w:val="19"/>
              </w:rPr>
              <w:t>37</w:t>
            </w:r>
          </w:p>
        </w:tc>
        <w:tc>
          <w:tcPr>
            <w:tcW w:type="dxa" w:w="4680"/>
          </w:tcPr>
          <w:p>
            <w:r/>
            <w:r>
              <w:rPr>
                <w:b w:val="0"/>
                <w:i w:val="0"/>
                <w:sz w:val="19"/>
              </w:rPr>
              <w:t>Terlep.</w:t>
            </w:r>
          </w:p>
        </w:tc>
      </w:tr>
      <w:tr>
        <w:tc>
          <w:tcPr>
            <w:tcW w:type="dxa" w:w="4680"/>
          </w:tcPr>
          <w:p>
            <w:r/>
            <w:r>
              <w:rPr>
                <w:b w:val="0"/>
                <w:i w:val="0"/>
                <w:sz w:val="19"/>
              </w:rPr>
              <w:t>38</w:t>
            </w:r>
          </w:p>
        </w:tc>
        <w:tc>
          <w:tcPr>
            <w:tcW w:type="dxa" w:w="4680"/>
          </w:tcPr>
          <w:p>
            <w:r/>
            <w:r>
              <w:rPr>
                <w:b w:val="0"/>
                <w:i w:val="0"/>
                <w:sz w:val="19"/>
              </w:rPr>
              <w:t>“Compensation Committee Guide 2020,” Harvard Law School Forum on Corporate Governance, 2020, https://corpgov.law.harvard.edu/2020/03/19/compensation-committee-guide-2020.</w:t>
            </w:r>
          </w:p>
        </w:tc>
      </w:tr>
      <w:tr>
        <w:tc>
          <w:tcPr>
            <w:tcW w:type="dxa" w:w="4680"/>
          </w:tcPr>
          <w:p>
            <w:r/>
            <w:r>
              <w:rPr>
                <w:b w:val="0"/>
                <w:i w:val="0"/>
                <w:sz w:val="19"/>
              </w:rPr>
              <w:t>39</w:t>
            </w:r>
          </w:p>
        </w:tc>
        <w:tc>
          <w:tcPr>
            <w:tcW w:type="dxa" w:w="4680"/>
          </w:tcPr>
          <w:p>
            <w:r/>
            <w:r>
              <w:rPr>
                <w:b w:val="0"/>
                <w:i w:val="0"/>
                <w:sz w:val="19"/>
              </w:rPr>
              <w:t>“Compensation Committee Guide 2020.”</w:t>
            </w:r>
          </w:p>
        </w:tc>
      </w:tr>
      <w:tr>
        <w:tc>
          <w:tcPr>
            <w:tcW w:type="dxa" w:w="4680"/>
          </w:tcPr>
          <w:p>
            <w:r/>
            <w:r>
              <w:rPr>
                <w:b w:val="0"/>
                <w:i w:val="0"/>
                <w:sz w:val="19"/>
              </w:rPr>
              <w:t>40</w:t>
            </w:r>
          </w:p>
        </w:tc>
        <w:tc>
          <w:tcPr>
            <w:tcW w:type="dxa" w:w="4680"/>
          </w:tcPr>
          <w:p>
            <w:r/>
            <w:r>
              <w:rPr>
                <w:b w:val="0"/>
                <w:i w:val="0"/>
                <w:sz w:val="19"/>
              </w:rPr>
              <w:t>“Streamline Your Professional Services Workflow,” SP Global, n.d., https://www.spglobal.com/market-intelligence/en/solutions/products/sp-capital-iq-pro.</w:t>
            </w:r>
          </w:p>
        </w:tc>
      </w:tr>
      <w:tr>
        <w:tc>
          <w:tcPr>
            <w:tcW w:type="dxa" w:w="4680"/>
          </w:tcPr>
          <w:p>
            <w:r/>
            <w:r>
              <w:rPr>
                <w:b w:val="0"/>
                <w:i w:val="0"/>
                <w:sz w:val="19"/>
              </w:rPr>
              <w:t>41</w:t>
            </w:r>
          </w:p>
        </w:tc>
        <w:tc>
          <w:tcPr>
            <w:tcW w:type="dxa" w:w="4680"/>
          </w:tcPr>
          <w:p>
            <w:r/>
            <w:r>
              <w:rPr>
                <w:b w:val="0"/>
                <w:i w:val="0"/>
                <w:sz w:val="19"/>
              </w:rPr>
              <w:t>“Compensation Committee Guide,” Wachtell, Lipton, Rosen &amp; Katz, January 2022, https://www.wlrk.com/webdocs/wlrknew/ClientMemos/WLRK/WLRK.27957.22.pdf.</w:t>
            </w:r>
          </w:p>
        </w:tc>
      </w:tr>
      <w:tr>
        <w:tc>
          <w:tcPr>
            <w:tcW w:type="dxa" w:w="4680"/>
          </w:tcPr>
          <w:p>
            <w:r/>
            <w:r>
              <w:rPr>
                <w:b w:val="0"/>
                <w:i w:val="0"/>
                <w:sz w:val="19"/>
              </w:rPr>
              <w:t>42</w:t>
            </w:r>
          </w:p>
        </w:tc>
        <w:tc>
          <w:tcPr>
            <w:tcW w:type="dxa" w:w="4680"/>
          </w:tcPr>
          <w:p>
            <w:r/>
            <w:r>
              <w:rPr>
                <w:b w:val="0"/>
                <w:i/>
                <w:sz w:val="19"/>
              </w:rPr>
              <w:t>In re Walt Disney Derivative Litigation</w:t>
            </w:r>
            <w:r>
              <w:rPr>
                <w:b w:val="0"/>
                <w:i w:val="0"/>
                <w:sz w:val="19"/>
              </w:rPr>
              <w:t>, 907 A 2d 693 (2005).</w:t>
            </w:r>
          </w:p>
        </w:tc>
      </w:tr>
      <w:tr>
        <w:tc>
          <w:tcPr>
            <w:tcW w:type="dxa" w:w="4680"/>
          </w:tcPr>
          <w:p>
            <w:r/>
            <w:r>
              <w:rPr>
                <w:b w:val="0"/>
                <w:i w:val="0"/>
                <w:sz w:val="19"/>
              </w:rPr>
              <w:t>43</w:t>
            </w:r>
          </w:p>
        </w:tc>
        <w:tc>
          <w:tcPr>
            <w:tcW w:type="dxa" w:w="4680"/>
          </w:tcPr>
          <w:p>
            <w:r/>
            <w:r>
              <w:rPr>
                <w:b w:val="0"/>
                <w:i/>
                <w:sz w:val="19"/>
              </w:rPr>
              <w:t>In re Walt Disney</w:t>
            </w:r>
            <w:r>
              <w:rPr>
                <w:b w:val="0"/>
                <w:i w:val="0"/>
                <w:sz w:val="19"/>
              </w:rPr>
              <w:t>.</w:t>
            </w:r>
          </w:p>
        </w:tc>
      </w:tr>
      <w:tr>
        <w:tc>
          <w:tcPr>
            <w:tcW w:type="dxa" w:w="4680"/>
          </w:tcPr>
          <w:p>
            <w:r/>
            <w:r>
              <w:rPr>
                <w:b w:val="0"/>
                <w:i w:val="0"/>
                <w:sz w:val="19"/>
              </w:rPr>
              <w:t>44</w:t>
            </w:r>
          </w:p>
        </w:tc>
        <w:tc>
          <w:tcPr>
            <w:tcW w:type="dxa" w:w="4680"/>
          </w:tcPr>
          <w:p>
            <w:r/>
            <w:r>
              <w:rPr>
                <w:b w:val="0"/>
                <w:i/>
                <w:sz w:val="19"/>
              </w:rPr>
              <w:t>In re Walt Disney</w:t>
            </w:r>
            <w:r>
              <w:rPr>
                <w:b w:val="0"/>
                <w:i w:val="0"/>
                <w:sz w:val="19"/>
              </w:rPr>
              <w:t>.</w:t>
            </w:r>
          </w:p>
        </w:tc>
      </w:tr>
      <w:tr>
        <w:tc>
          <w:tcPr>
            <w:tcW w:type="dxa" w:w="4680"/>
          </w:tcPr>
          <w:p>
            <w:r/>
            <w:r>
              <w:rPr>
                <w:b w:val="0"/>
                <w:i w:val="0"/>
                <w:sz w:val="19"/>
              </w:rPr>
              <w:t>45</w:t>
            </w:r>
          </w:p>
        </w:tc>
        <w:tc>
          <w:tcPr>
            <w:tcW w:type="dxa" w:w="4680"/>
          </w:tcPr>
          <w:p>
            <w:r/>
            <w:r>
              <w:rPr>
                <w:b w:val="0"/>
                <w:i w:val="0"/>
                <w:sz w:val="19"/>
              </w:rPr>
              <w:t xml:space="preserve">Laura M. Holson, “Ruling Upholds Disney’s Payment in Firing of Ovitz,” </w:t>
            </w:r>
            <w:r>
              <w:rPr>
                <w:b w:val="0"/>
                <w:i/>
                <w:sz w:val="19"/>
              </w:rPr>
              <w:t>New York Times</w:t>
            </w:r>
            <w:r>
              <w:rPr>
                <w:b w:val="0"/>
                <w:i w:val="0"/>
                <w:sz w:val="19"/>
              </w:rPr>
              <w:t>, August 10, 2005, https://www.nytimes.com/2005/08/10/business/media/ruling-upholds-disneys-payment-in-firing-of-ovitz.html.</w:t>
            </w:r>
          </w:p>
        </w:tc>
      </w:tr>
      <w:tr>
        <w:tc>
          <w:tcPr>
            <w:tcW w:type="dxa" w:w="4680"/>
          </w:tcPr>
          <w:p>
            <w:r/>
            <w:r>
              <w:rPr>
                <w:b w:val="0"/>
                <w:i w:val="0"/>
                <w:sz w:val="19"/>
              </w:rPr>
              <w:t>46</w:t>
            </w:r>
          </w:p>
        </w:tc>
        <w:tc>
          <w:tcPr>
            <w:tcW w:type="dxa" w:w="4680"/>
          </w:tcPr>
          <w:p>
            <w:r/>
            <w:r>
              <w:rPr>
                <w:b w:val="0"/>
                <w:i w:val="0"/>
                <w:sz w:val="19"/>
              </w:rPr>
              <w:t xml:space="preserve">Kara Nuzback, “Chandler Looks Back on Career as Chancellor,” </w:t>
            </w:r>
            <w:r>
              <w:rPr>
                <w:b w:val="0"/>
                <w:i/>
                <w:sz w:val="19"/>
              </w:rPr>
              <w:t>Cape Gazette</w:t>
            </w:r>
            <w:r>
              <w:rPr>
                <w:b w:val="0"/>
                <w:i w:val="0"/>
                <w:sz w:val="19"/>
              </w:rPr>
              <w:t>, June 14, 2011, https://www.capegazette.com/article/chandler-looks-back-career-chancellor/12027.</w:t>
            </w:r>
          </w:p>
        </w:tc>
      </w:tr>
      <w:tr>
        <w:tc>
          <w:tcPr>
            <w:tcW w:type="dxa" w:w="4680"/>
          </w:tcPr>
          <w:p>
            <w:r/>
            <w:r>
              <w:rPr>
                <w:b w:val="0"/>
                <w:i w:val="0"/>
                <w:sz w:val="19"/>
              </w:rPr>
              <w:t>47</w:t>
            </w:r>
          </w:p>
        </w:tc>
        <w:tc>
          <w:tcPr>
            <w:tcW w:type="dxa" w:w="4680"/>
          </w:tcPr>
          <w:p>
            <w:r/>
            <w:r>
              <w:rPr>
                <w:b w:val="0"/>
                <w:i w:val="0"/>
                <w:sz w:val="19"/>
              </w:rPr>
              <w:t>“The Tesla Executive Compensation Ruling: What Directors Need to Know,” Pearl Meyer, February 2024, https://pearlmeyer.com/insights-and-research/client-alert/tesla-executive-compensation-ruling-what-directors-need-know.</w:t>
            </w:r>
          </w:p>
        </w:tc>
      </w:tr>
      <w:tr>
        <w:tc>
          <w:tcPr>
            <w:tcW w:type="dxa" w:w="4680"/>
          </w:tcPr>
          <w:p>
            <w:r/>
            <w:r>
              <w:rPr>
                <w:b w:val="0"/>
                <w:i w:val="0"/>
                <w:sz w:val="19"/>
              </w:rPr>
              <w:t>48</w:t>
            </w:r>
          </w:p>
        </w:tc>
        <w:tc>
          <w:tcPr>
            <w:tcW w:type="dxa" w:w="4680"/>
          </w:tcPr>
          <w:p>
            <w:r/>
            <w:r>
              <w:rPr>
                <w:b w:val="0"/>
                <w:i w:val="0"/>
                <w:sz w:val="19"/>
              </w:rPr>
              <w:t>“Tesla Executive.”</w:t>
            </w:r>
          </w:p>
        </w:tc>
      </w:tr>
      <w:tr>
        <w:tc>
          <w:tcPr>
            <w:tcW w:type="dxa" w:w="4680"/>
          </w:tcPr>
          <w:p>
            <w:r/>
            <w:r>
              <w:rPr>
                <w:b w:val="0"/>
                <w:i w:val="0"/>
                <w:sz w:val="19"/>
              </w:rPr>
              <w:t>49</w:t>
            </w:r>
          </w:p>
        </w:tc>
        <w:tc>
          <w:tcPr>
            <w:tcW w:type="dxa" w:w="4680"/>
          </w:tcPr>
          <w:p>
            <w:r/>
            <w:r>
              <w:rPr>
                <w:b w:val="0"/>
                <w:i w:val="0"/>
                <w:sz w:val="19"/>
              </w:rPr>
              <w:t>“Tesla Executive.”</w:t>
            </w:r>
          </w:p>
        </w:tc>
      </w:tr>
      <w:tr>
        <w:tc>
          <w:tcPr>
            <w:tcW w:type="dxa" w:w="4680"/>
          </w:tcPr>
          <w:p>
            <w:r/>
            <w:r>
              <w:rPr>
                <w:b w:val="0"/>
                <w:i w:val="0"/>
                <w:sz w:val="19"/>
              </w:rPr>
              <w:t>50</w:t>
            </w:r>
          </w:p>
        </w:tc>
        <w:tc>
          <w:tcPr>
            <w:tcW w:type="dxa" w:w="4680"/>
          </w:tcPr>
          <w:p>
            <w:r/>
            <w:r>
              <w:rPr>
                <w:b w:val="0"/>
                <w:i w:val="0"/>
                <w:sz w:val="19"/>
              </w:rPr>
              <w:t xml:space="preserve">Jason Karaian và Jack Ewing, “Musk’s Tesla Pay Package Got Big Margin in Shareholder Vote,” </w:t>
            </w:r>
            <w:r>
              <w:rPr>
                <w:b w:val="0"/>
                <w:i/>
                <w:sz w:val="19"/>
              </w:rPr>
              <w:t>New York Times</w:t>
            </w:r>
            <w:r>
              <w:rPr>
                <w:b w:val="0"/>
                <w:i w:val="0"/>
                <w:sz w:val="19"/>
              </w:rPr>
              <w:t>, June 14, 2024, https://www.nytimes.com/2024/06/14/business/tesla-elon-musk-pay-vote-stock.html.</w:t>
            </w:r>
          </w:p>
        </w:tc>
      </w:tr>
      <w:tr>
        <w:tc>
          <w:tcPr>
            <w:tcW w:type="dxa" w:w="4680"/>
          </w:tcPr>
          <w:p>
            <w:r/>
            <w:r>
              <w:rPr>
                <w:b w:val="0"/>
                <w:i w:val="0"/>
                <w:sz w:val="19"/>
              </w:rPr>
              <w:t>51</w:t>
            </w:r>
          </w:p>
        </w:tc>
        <w:tc>
          <w:tcPr>
            <w:tcW w:type="dxa" w:w="4680"/>
          </w:tcPr>
          <w:p>
            <w:r/>
            <w:r>
              <w:rPr>
                <w:b w:val="0"/>
                <w:i w:val="0"/>
                <w:sz w:val="19"/>
              </w:rPr>
              <w:t>Associated Press, “Elon Musk Wins Back His $44.9 Billion Tesla Pay Package in Shareholder Vote,” NPR, June 14, 2024, https://www.npr.org/2024/06/14/g-s1-4359/elon-musk-tesla-pay-package-shareholder-vote.</w:t>
            </w:r>
          </w:p>
        </w:tc>
      </w:tr>
      <w:tr>
        <w:tc>
          <w:tcPr>
            <w:tcW w:type="dxa" w:w="4680"/>
          </w:tcPr>
          <w:p>
            <w:r/>
            <w:r>
              <w:rPr>
                <w:b w:val="0"/>
                <w:i w:val="0"/>
                <w:sz w:val="19"/>
              </w:rPr>
              <w:t>52</w:t>
            </w:r>
          </w:p>
        </w:tc>
        <w:tc>
          <w:tcPr>
            <w:tcW w:type="dxa" w:w="4680"/>
          </w:tcPr>
          <w:p>
            <w:r/>
            <w:r>
              <w:rPr>
                <w:b w:val="0"/>
                <w:i/>
                <w:sz w:val="19"/>
              </w:rPr>
              <w:t>Richard J. Tornetta v. Elon Musk, Robyn M. Denholm, Antonio J. Gracias, James Murdoch, Linda Johnson Rice, Brad W. Buss, and Ira Ehrenpreis</w:t>
            </w:r>
            <w:r>
              <w:rPr>
                <w:b w:val="0"/>
                <w:i w:val="0"/>
                <w:sz w:val="19"/>
              </w:rPr>
              <w:t>, C.A. No. 2018-0408-KSJM, December 2, 2024, https://courts.delaware.gov/Opinions/Download.aspx?id=372420.</w:t>
            </w:r>
          </w:p>
        </w:tc>
      </w:tr>
      <w:tr>
        <w:tc>
          <w:tcPr>
            <w:tcW w:type="dxa" w:w="4680"/>
          </w:tcPr>
          <w:p>
            <w:r/>
            <w:r>
              <w:rPr>
                <w:b w:val="0"/>
                <w:i w:val="0"/>
                <w:sz w:val="19"/>
              </w:rPr>
              <w:t>53</w:t>
            </w:r>
          </w:p>
        </w:tc>
        <w:tc>
          <w:tcPr>
            <w:tcW w:type="dxa" w:w="4680"/>
          </w:tcPr>
          <w:p>
            <w:r/>
            <w:r>
              <w:rPr>
                <w:b w:val="0"/>
                <w:i w:val="0"/>
                <w:sz w:val="19"/>
              </w:rPr>
              <w:t xml:space="preserve">Jill E. Fisch, Darius Palia, và Steven Davidoff Solomon, “Is Say on Pay All about Pay? The Impact of Firm Performance,” </w:t>
            </w:r>
            <w:r>
              <w:rPr>
                <w:b w:val="0"/>
                <w:i/>
                <w:sz w:val="19"/>
              </w:rPr>
              <w:t>Faculty Scholarship at Penn Carey Law</w:t>
            </w:r>
            <w:r>
              <w:rPr>
                <w:b w:val="0"/>
                <w:i w:val="0"/>
                <w:sz w:val="19"/>
              </w:rPr>
              <w:t xml:space="preserve"> 1931 (2018).</w:t>
            </w:r>
          </w:p>
        </w:tc>
      </w:tr>
      <w:tr>
        <w:tc>
          <w:tcPr>
            <w:tcW w:type="dxa" w:w="4680"/>
          </w:tcPr>
          <w:p>
            <w:r/>
            <w:r>
              <w:rPr>
                <w:b w:val="0"/>
                <w:i w:val="0"/>
                <w:sz w:val="19"/>
              </w:rPr>
              <w:t>54</w:t>
            </w:r>
          </w:p>
        </w:tc>
        <w:tc>
          <w:tcPr>
            <w:tcW w:type="dxa" w:w="4680"/>
          </w:tcPr>
          <w:p>
            <w:r/>
            <w:r>
              <w:rPr>
                <w:b w:val="0"/>
                <w:i w:val="0"/>
                <w:sz w:val="19"/>
              </w:rPr>
              <w:t>Ryan Colucci, “Say on Pay: 10-Year Landscape and 2021 Expectations,” Compensation Advisory Partners, March 8, 2021, https://www.capartners.com/cap-thinking/say-on-pay-10-year-landscape-and-2021-expectations/.</w:t>
            </w:r>
          </w:p>
        </w:tc>
      </w:tr>
      <w:tr>
        <w:tc>
          <w:tcPr>
            <w:tcW w:type="dxa" w:w="4680"/>
          </w:tcPr>
          <w:p>
            <w:r/>
            <w:r>
              <w:rPr>
                <w:b w:val="0"/>
                <w:i w:val="0"/>
                <w:sz w:val="19"/>
              </w:rPr>
              <w:t>55</w:t>
            </w:r>
          </w:p>
        </w:tc>
        <w:tc>
          <w:tcPr>
            <w:tcW w:type="dxa" w:w="4680"/>
          </w:tcPr>
          <w:p>
            <w:r/>
            <w:r>
              <w:rPr>
                <w:b w:val="0"/>
                <w:i w:val="0"/>
                <w:sz w:val="19"/>
              </w:rPr>
              <w:t>Fisch, Palia, và Solomon, “Is Say on Pay All about Pay?”</w:t>
            </w:r>
          </w:p>
        </w:tc>
      </w:tr>
      <w:tr>
        <w:tc>
          <w:tcPr>
            <w:tcW w:type="dxa" w:w="4680"/>
          </w:tcPr>
          <w:p>
            <w:r/>
            <w:r>
              <w:rPr>
                <w:b w:val="0"/>
                <w:i w:val="0"/>
                <w:sz w:val="19"/>
              </w:rPr>
              <w:t>56</w:t>
            </w:r>
          </w:p>
        </w:tc>
        <w:tc>
          <w:tcPr>
            <w:tcW w:type="dxa" w:w="4680"/>
          </w:tcPr>
          <w:p>
            <w:r/>
            <w:r>
              <w:rPr>
                <w:b w:val="0"/>
                <w:i w:val="0"/>
                <w:sz w:val="19"/>
              </w:rPr>
              <w:t>Fisch, Palia, và Solomon.</w:t>
            </w:r>
          </w:p>
        </w:tc>
      </w:tr>
      <w:tr>
        <w:tc>
          <w:tcPr>
            <w:tcW w:type="dxa" w:w="4680"/>
          </w:tcPr>
          <w:p>
            <w:r/>
            <w:r>
              <w:rPr>
                <w:b w:val="0"/>
                <w:i w:val="0"/>
                <w:sz w:val="19"/>
              </w:rPr>
              <w:t>57</w:t>
            </w:r>
          </w:p>
        </w:tc>
        <w:tc>
          <w:tcPr>
            <w:tcW w:type="dxa" w:w="4680"/>
          </w:tcPr>
          <w:p>
            <w:r/>
            <w:r>
              <w:rPr>
                <w:b w:val="0"/>
                <w:i w:val="0"/>
                <w:sz w:val="19"/>
              </w:rPr>
              <w:t>Dade Hayes, “Netflix Shareholders Nix Executive Compensation Plan by Nearly 3-to-1 Margin in Non-binding Vote—Update,” Deadline, June 6, 2023, https://deadline.com/2023/06/netflix-shareholder-meeting-wga-strike-executive-compensation-1235398208/.</w:t>
            </w:r>
          </w:p>
        </w:tc>
      </w:tr>
      <w:tr>
        <w:tc>
          <w:tcPr>
            <w:tcW w:type="dxa" w:w="4680"/>
          </w:tcPr>
          <w:p>
            <w:r/>
            <w:r>
              <w:rPr>
                <w:b w:val="0"/>
                <w:i w:val="0"/>
                <w:sz w:val="19"/>
              </w:rPr>
              <w:t>58</w:t>
            </w:r>
          </w:p>
        </w:tc>
        <w:tc>
          <w:tcPr>
            <w:tcW w:type="dxa" w:w="4680"/>
          </w:tcPr>
          <w:p>
            <w:r/>
            <w:r>
              <w:rPr>
                <w:b w:val="0"/>
                <w:i w:val="0"/>
                <w:sz w:val="19"/>
              </w:rPr>
              <w:t>Hayes.</w:t>
            </w:r>
          </w:p>
        </w:tc>
      </w:tr>
      <w:tr>
        <w:tc>
          <w:tcPr>
            <w:tcW w:type="dxa" w:w="4680"/>
          </w:tcPr>
          <w:p>
            <w:r/>
            <w:r>
              <w:rPr>
                <w:b w:val="0"/>
                <w:i w:val="0"/>
                <w:sz w:val="19"/>
              </w:rPr>
              <w:t>59</w:t>
            </w:r>
          </w:p>
        </w:tc>
        <w:tc>
          <w:tcPr>
            <w:tcW w:type="dxa" w:w="4680"/>
          </w:tcPr>
          <w:p>
            <w:r/>
            <w:r>
              <w:rPr>
                <w:b w:val="0"/>
                <w:i w:val="0"/>
                <w:sz w:val="19"/>
              </w:rPr>
              <w:t>“The Effects of Say on Pay Failures,” Equilar blog, October 3, 2019, https://www.equilar.com/blogs/428-the-effects-of-say-on-pay-failures.html.</w:t>
            </w:r>
          </w:p>
        </w:tc>
      </w:tr>
      <w:tr>
        <w:tc>
          <w:tcPr>
            <w:tcW w:type="dxa" w:w="4680"/>
          </w:tcPr>
          <w:p>
            <w:r/>
            <w:r>
              <w:rPr>
                <w:b w:val="0"/>
                <w:i w:val="0"/>
                <w:sz w:val="19"/>
              </w:rPr>
              <w:t>60</w:t>
            </w:r>
          </w:p>
        </w:tc>
        <w:tc>
          <w:tcPr>
            <w:tcW w:type="dxa" w:w="4680"/>
          </w:tcPr>
          <w:p>
            <w:r/>
            <w:r>
              <w:rPr>
                <w:b w:val="0"/>
                <w:i w:val="0"/>
                <w:sz w:val="19"/>
              </w:rPr>
              <w:t>“Effects of Say on Pay.”</w:t>
            </w:r>
          </w:p>
        </w:tc>
      </w:tr>
      <w:tr>
        <w:tc>
          <w:tcPr>
            <w:tcW w:type="dxa" w:w="4680"/>
          </w:tcPr>
          <w:p>
            <w:r/>
            <w:r>
              <w:rPr>
                <w:b w:val="0"/>
                <w:i w:val="0"/>
                <w:sz w:val="19"/>
              </w:rPr>
              <w:t>61.</w:t>
            </w:r>
          </w:p>
        </w:tc>
        <w:tc>
          <w:tcPr>
            <w:tcW w:type="dxa" w:w="4680"/>
          </w:tcPr>
          <w:p>
            <w:r/>
            <w:r>
              <w:rPr>
                <w:b w:val="0"/>
                <w:i w:val="0"/>
                <w:sz w:val="19"/>
              </w:rPr>
              <w:t xml:space="preserve">Mark Gurman và Bloomberg, “Apple’s Tim Cook Takes a Rare CEO Pay Cut after Pushback. But He’ll Still Earn a Fortune,” </w:t>
            </w:r>
            <w:r>
              <w:rPr>
                <w:b w:val="0"/>
                <w:i/>
                <w:sz w:val="19"/>
              </w:rPr>
              <w:t>Fortune</w:t>
            </w:r>
            <w:r>
              <w:rPr>
                <w:b w:val="0"/>
                <w:i w:val="0"/>
                <w:sz w:val="19"/>
              </w:rPr>
              <w:t>, January 13, 2023, https://fortune.com/2023/01/12/apple-tim-cook-compensation-ceo-pay-cut-investors-base-salary-stock-awards-2023/.</w:t>
            </w:r>
          </w:p>
        </w:tc>
      </w:tr>
      <w:tr>
        <w:tc>
          <w:tcPr>
            <w:tcW w:type="dxa" w:w="4680"/>
          </w:tcPr>
          <w:p>
            <w:r/>
            <w:r>
              <w:rPr>
                <w:b w:val="0"/>
                <w:i w:val="0"/>
                <w:sz w:val="19"/>
              </w:rPr>
              <w:t>62</w:t>
            </w:r>
          </w:p>
        </w:tc>
        <w:tc>
          <w:tcPr>
            <w:tcW w:type="dxa" w:w="4680"/>
          </w:tcPr>
          <w:p>
            <w:r/>
            <w:r>
              <w:rPr>
                <w:b w:val="0"/>
                <w:i w:val="0"/>
                <w:sz w:val="19"/>
              </w:rPr>
              <w:t>“SEC Adopts Rule for Pay Ratio Disclosure,” SEC press release, August 5, 2015, https://www.sec.gov/news/press-release/2015-160.</w:t>
            </w:r>
          </w:p>
        </w:tc>
      </w:tr>
      <w:tr>
        <w:tc>
          <w:tcPr>
            <w:tcW w:type="dxa" w:w="4680"/>
          </w:tcPr>
          <w:p>
            <w:r/>
            <w:r>
              <w:rPr>
                <w:b w:val="0"/>
                <w:i w:val="0"/>
                <w:sz w:val="19"/>
              </w:rPr>
              <w:t>63</w:t>
            </w:r>
          </w:p>
        </w:tc>
        <w:tc>
          <w:tcPr>
            <w:tcW w:type="dxa" w:w="4680"/>
          </w:tcPr>
          <w:p>
            <w:r/>
            <w:r>
              <w:rPr>
                <w:b w:val="0"/>
                <w:i w:val="0"/>
                <w:sz w:val="19"/>
              </w:rPr>
              <w:t>Benjamin Sombi, “CEO Pay Ratio: What You Need to Know,” Human Capital Hub, May 16, 2024, https://www.thehumancapitalhub.com/articles/ceo-pay-ratio-what-you-need-to-know.</w:t>
            </w:r>
          </w:p>
        </w:tc>
      </w:tr>
      <w:tr>
        <w:tc>
          <w:tcPr>
            <w:tcW w:type="dxa" w:w="4680"/>
          </w:tcPr>
          <w:p>
            <w:r/>
            <w:r>
              <w:rPr>
                <w:b w:val="0"/>
                <w:i w:val="0"/>
                <w:sz w:val="19"/>
              </w:rPr>
              <w:t>64</w:t>
            </w:r>
          </w:p>
        </w:tc>
        <w:tc>
          <w:tcPr>
            <w:tcW w:type="dxa" w:w="4680"/>
          </w:tcPr>
          <w:p>
            <w:r/>
            <w:r>
              <w:rPr>
                <w:b w:val="0"/>
                <w:i w:val="0"/>
                <w:sz w:val="19"/>
              </w:rPr>
              <w:t>NACD Future of the American Board: Compensation Committee Blueprint.</w:t>
            </w:r>
          </w:p>
        </w:tc>
      </w:tr>
      <w:tr>
        <w:tc>
          <w:tcPr>
            <w:tcW w:type="dxa" w:w="4680"/>
          </w:tcPr>
          <w:p>
            <w:r/>
            <w:r>
              <w:rPr>
                <w:b w:val="0"/>
                <w:i w:val="0"/>
                <w:sz w:val="19"/>
              </w:rPr>
              <w:t>65</w:t>
            </w:r>
          </w:p>
        </w:tc>
        <w:tc>
          <w:tcPr>
            <w:tcW w:type="dxa" w:w="4680"/>
          </w:tcPr>
          <w:p>
            <w:r/>
            <w:r>
              <w:rPr>
                <w:b w:val="0"/>
                <w:i w:val="0"/>
                <w:sz w:val="19"/>
              </w:rPr>
              <w:t>NACD Future of the American Board: Compensation Committee Blueprint.</w:t>
            </w:r>
          </w:p>
        </w:tc>
      </w:tr>
      <w:tr>
        <w:tc>
          <w:tcPr>
            <w:tcW w:type="dxa" w:w="4680"/>
          </w:tcPr>
          <w:p>
            <w:r/>
            <w:r>
              <w:rPr>
                <w:b w:val="0"/>
                <w:i w:val="0"/>
                <w:sz w:val="19"/>
              </w:rPr>
              <w:t>66.</w:t>
            </w:r>
          </w:p>
        </w:tc>
        <w:tc>
          <w:tcPr>
            <w:tcW w:type="dxa" w:w="4680"/>
          </w:tcPr>
          <w:p>
            <w:r/>
            <w:r>
              <w:rPr>
                <w:b w:val="0"/>
                <w:i w:val="0"/>
                <w:sz w:val="19"/>
              </w:rPr>
              <w:t>“Charter of the Compensation and Human Capital Committee of the Board of Directors,” Levi Strauss &amp; Co., December 7, 2021, https://s23.q4cdn.com/172692177/files/doc_downloads/gov/2021/Compensation-and-Human-Capital-Committee-Charter_Final-12.pdf.</w:t>
            </w:r>
          </w:p>
        </w:tc>
      </w:tr>
      <w:tr>
        <w:tc>
          <w:tcPr>
            <w:tcW w:type="dxa" w:w="4680"/>
          </w:tcPr>
          <w:p>
            <w:r/>
            <w:r>
              <w:rPr>
                <w:b w:val="0"/>
                <w:i w:val="0"/>
                <w:sz w:val="19"/>
              </w:rPr>
              <w:t>67.</w:t>
            </w:r>
          </w:p>
        </w:tc>
        <w:tc>
          <w:tcPr>
            <w:tcW w:type="dxa" w:w="4680"/>
          </w:tcPr>
          <w:p>
            <w:r/>
            <w:r>
              <w:rPr>
                <w:b w:val="0"/>
                <w:i w:val="0"/>
                <w:sz w:val="19"/>
              </w:rPr>
              <w:t>Ani Huang và Richard R. Floersch, “The Expanded Role of the Compensation Committee,” Harvard Law School Forum on Corporate Governance, August 3, 2022, https://corpgov.law.harvard.edu/2022/08/03/the-expanded-role-of-the-compensation-committee/.</w:t>
            </w:r>
          </w:p>
        </w:tc>
      </w:tr>
      <w:tr>
        <w:tc>
          <w:tcPr>
            <w:tcW w:type="dxa" w:w="4680"/>
          </w:tcPr>
          <w:p>
            <w:r/>
            <w:r>
              <w:rPr>
                <w:b w:val="0"/>
                <w:i w:val="0"/>
                <w:sz w:val="19"/>
              </w:rPr>
              <w:t>68</w:t>
            </w:r>
          </w:p>
        </w:tc>
        <w:tc>
          <w:tcPr>
            <w:tcW w:type="dxa" w:w="4680"/>
          </w:tcPr>
          <w:p>
            <w:r/>
            <w:r>
              <w:rPr>
                <w:b w:val="0"/>
                <w:i w:val="0"/>
                <w:sz w:val="19"/>
              </w:rPr>
              <w:t>Vicki L. Bogan, Ekaterina Potemkina, và Scott E. Yonker, “What Drives Racial Diversity on U.S. Corporate Boards?,” Harvard Law School Forum on Corporate Governance, January 17, 2022, https://corpgov.law.harvard.edu/2022/01/17/what-drives-racial-diversity-on-u-s-corporate-boards/.</w:t>
            </w:r>
          </w:p>
        </w:tc>
      </w:tr>
      <w:tr>
        <w:tc>
          <w:tcPr>
            <w:tcW w:type="dxa" w:w="4680"/>
          </w:tcPr>
          <w:p>
            <w:r/>
            <w:r>
              <w:rPr>
                <w:b w:val="0"/>
                <w:i w:val="0"/>
                <w:sz w:val="19"/>
              </w:rPr>
              <w:t>69</w:t>
            </w:r>
          </w:p>
        </w:tc>
        <w:tc>
          <w:tcPr>
            <w:tcW w:type="dxa" w:w="4680"/>
          </w:tcPr>
          <w:p>
            <w:r/>
            <w:r>
              <w:rPr>
                <w:b w:val="0"/>
                <w:i w:val="0"/>
                <w:sz w:val="19"/>
              </w:rPr>
              <w:t xml:space="preserve">Peter Eavis, “Corporate Board Diversity Increased in 2021. Some Ask What Took So Long,” </w:t>
            </w:r>
            <w:r>
              <w:rPr>
                <w:b w:val="0"/>
                <w:i/>
                <w:sz w:val="19"/>
              </w:rPr>
              <w:t>New York Times</w:t>
            </w:r>
            <w:r>
              <w:rPr>
                <w:b w:val="0"/>
                <w:i w:val="0"/>
                <w:sz w:val="19"/>
              </w:rPr>
              <w:t>, January 3, 2022, https://www.nytimes.com/2022/01/03/business/corporate-board-diversity.html.</w:t>
            </w:r>
          </w:p>
        </w:tc>
      </w:tr>
      <w:tr>
        <w:tc>
          <w:tcPr>
            <w:tcW w:type="dxa" w:w="4680"/>
          </w:tcPr>
          <w:p>
            <w:r/>
            <w:r>
              <w:rPr>
                <w:b w:val="0"/>
                <w:i w:val="0"/>
                <w:sz w:val="19"/>
              </w:rPr>
              <w:t>70</w:t>
            </w:r>
          </w:p>
        </w:tc>
        <w:tc>
          <w:tcPr>
            <w:tcW w:type="dxa" w:w="4680"/>
          </w:tcPr>
          <w:p>
            <w:r/>
            <w:r>
              <w:rPr>
                <w:b w:val="0"/>
                <w:i w:val="0"/>
                <w:sz w:val="19"/>
              </w:rPr>
              <w:t>Crist Kolder Associates, Volatility Report, Summer 2024, https://static1.squarespace.com/static/62164a05607c3e5978f251ec/t/66bf839ebdc1163280315f1d/1723827103979/Crist+Kolder+2024+Volatility+Report+Summer.pdf.</w:t>
            </w:r>
          </w:p>
        </w:tc>
      </w:tr>
      <w:tr>
        <w:tc>
          <w:tcPr>
            <w:tcW w:type="dxa" w:w="4680"/>
          </w:tcPr>
          <w:p>
            <w:r/>
            <w:r>
              <w:rPr>
                <w:b w:val="0"/>
                <w:i w:val="0"/>
                <w:sz w:val="19"/>
              </w:rPr>
              <w:t>71</w:t>
            </w:r>
          </w:p>
        </w:tc>
        <w:tc>
          <w:tcPr>
            <w:tcW w:type="dxa" w:w="4680"/>
          </w:tcPr>
          <w:p>
            <w:r/>
            <w:r>
              <w:rPr>
                <w:b w:val="0"/>
                <w:i w:val="0"/>
                <w:sz w:val="19"/>
              </w:rPr>
              <w:t>Crist Kolder Associates.</w:t>
            </w:r>
          </w:p>
        </w:tc>
      </w:tr>
      <w:tr>
        <w:tc>
          <w:tcPr>
            <w:tcW w:type="dxa" w:w="4680"/>
          </w:tcPr>
          <w:p>
            <w:r/>
            <w:r>
              <w:rPr>
                <w:b w:val="0"/>
                <w:i w:val="0"/>
                <w:sz w:val="19"/>
              </w:rPr>
              <w:t>72</w:t>
            </w:r>
          </w:p>
        </w:tc>
        <w:tc>
          <w:tcPr>
            <w:tcW w:type="dxa" w:w="4680"/>
          </w:tcPr>
          <w:p>
            <w:r/>
            <w:r>
              <w:rPr>
                <w:b w:val="0"/>
                <w:i w:val="0"/>
                <w:sz w:val="19"/>
              </w:rPr>
              <w:t>Jody Godoy, “California Law Requiring Women on Company Boards Struck Down,” Reuters, May 17, 2022, https://www.reuters.com/legal/legalindustry/california-law-requiring-women-company-boards-struck-down-2022-05-16/.</w:t>
            </w:r>
          </w:p>
        </w:tc>
      </w:tr>
      <w:tr>
        <w:tc>
          <w:tcPr>
            <w:tcW w:type="dxa" w:w="4680"/>
          </w:tcPr>
          <w:p>
            <w:r/>
            <w:r>
              <w:rPr>
                <w:b w:val="0"/>
                <w:i w:val="0"/>
                <w:sz w:val="19"/>
              </w:rPr>
              <w:t>73</w:t>
            </w:r>
          </w:p>
        </w:tc>
        <w:tc>
          <w:tcPr>
            <w:tcW w:type="dxa" w:w="4680"/>
          </w:tcPr>
          <w:p>
            <w:r/>
            <w:r>
              <w:rPr>
                <w:b w:val="0"/>
                <w:i w:val="0"/>
                <w:sz w:val="19"/>
              </w:rPr>
              <w:t xml:space="preserve">Billy Nauman, “State Street to Insist Companies Disclose Diversity Data,” </w:t>
            </w:r>
            <w:r>
              <w:rPr>
                <w:b w:val="0"/>
                <w:i/>
                <w:sz w:val="19"/>
              </w:rPr>
              <w:t>Financial Times</w:t>
            </w:r>
            <w:r>
              <w:rPr>
                <w:b w:val="0"/>
                <w:i w:val="0"/>
                <w:sz w:val="19"/>
              </w:rPr>
              <w:t>, January 10, 2021, https://www.ft.com/content/2e512c76-4733-4821-8425-136ab9b98426.</w:t>
            </w:r>
          </w:p>
        </w:tc>
      </w:tr>
      <w:tr>
        <w:tc>
          <w:tcPr>
            <w:tcW w:type="dxa" w:w="4680"/>
          </w:tcPr>
          <w:p>
            <w:r/>
            <w:r>
              <w:rPr>
                <w:b w:val="0"/>
                <w:i w:val="0"/>
                <w:sz w:val="19"/>
              </w:rPr>
              <w:t>74</w:t>
            </w:r>
          </w:p>
        </w:tc>
        <w:tc>
          <w:tcPr>
            <w:tcW w:type="dxa" w:w="4680"/>
          </w:tcPr>
          <w:p>
            <w:r/>
            <w:r>
              <w:rPr>
                <w:b w:val="0"/>
                <w:i w:val="0"/>
                <w:sz w:val="19"/>
              </w:rPr>
              <w:t>Institutional Shareholder Services, “Pháp thúc đẩy đa dạng giới trong các cơ quan quản lý doanh nghiệp Pháp thông qua Đạo luật Rixain,” ISS Insights, ngày 3 tháng 10 năm 2022, https://insights.issgovernance.com/posts/france-pushes-forward-on-gender-diversity-within-french-corporate-management-bodies-via-the-rixain-act/.</w:t>
            </w:r>
          </w:p>
        </w:tc>
      </w:tr>
      <w:tr>
        <w:tc>
          <w:tcPr>
            <w:tcW w:type="dxa" w:w="4680"/>
          </w:tcPr>
          <w:p>
            <w:r/>
            <w:r>
              <w:rPr>
                <w:b w:val="0"/>
                <w:i w:val="0"/>
                <w:sz w:val="19"/>
              </w:rPr>
              <w:t>75</w:t>
            </w:r>
          </w:p>
        </w:tc>
        <w:tc>
          <w:tcPr>
            <w:tcW w:type="dxa" w:w="4680"/>
          </w:tcPr>
          <w:p>
            <w:r/>
            <w:r>
              <w:rPr>
                <w:b w:val="0"/>
                <w:i w:val="0"/>
                <w:sz w:val="19"/>
              </w:rPr>
              <w:t>Kerry E. Berchem và cộng sự, “ISS, Glass Lewis và BlackRock ban hành Hướng dẫn bỏ phiếu năm 2025,” Akin Gump Strauss Hauer &amp; Feld LLP, không ngày, https://www.akingump.com/en/insights/alerts/iss-glass-lewis-and-blackrock-issue-2025-voting-guidelines.</w:t>
            </w:r>
          </w:p>
        </w:tc>
      </w:tr>
      <w:tr>
        <w:tc>
          <w:tcPr>
            <w:tcW w:type="dxa" w:w="4680"/>
          </w:tcPr>
          <w:p>
            <w:r/>
            <w:r>
              <w:rPr>
                <w:b w:val="0"/>
                <w:i w:val="0"/>
                <w:sz w:val="19"/>
              </w:rPr>
              <w:t>76</w:t>
            </w:r>
          </w:p>
        </w:tc>
        <w:tc>
          <w:tcPr>
            <w:tcW w:type="dxa" w:w="4680"/>
          </w:tcPr>
          <w:p>
            <w:r/>
            <w:r>
              <w:rPr>
                <w:b w:val="0"/>
                <w:i w:val="0"/>
                <w:sz w:val="19"/>
              </w:rPr>
              <w:t xml:space="preserve">Emma Hinchliffe, “Nữ CEO điều hành 10,4% các công ty trong Fortune 500. Một phần tư trong số 52 nhà lãnh đạo đã trở thành CEO trong năm qua,” </w:t>
            </w:r>
            <w:r>
              <w:rPr>
                <w:b w:val="0"/>
                <w:i/>
                <w:sz w:val="19"/>
              </w:rPr>
              <w:t>Fortune</w:t>
            </w:r>
            <w:r>
              <w:rPr>
                <w:b w:val="0"/>
                <w:i w:val="0"/>
                <w:sz w:val="19"/>
              </w:rPr>
              <w:t>, ngày 5 tháng 6 năm 2023, https://fortune.com/2023/06/05/fortune-500-companies-2023-women-10-percent/.</w:t>
            </w:r>
          </w:p>
        </w:tc>
      </w:tr>
      <w:tr>
        <w:tc>
          <w:tcPr>
            <w:tcW w:type="dxa" w:w="4680"/>
          </w:tcPr>
          <w:p>
            <w:r/>
            <w:r>
              <w:rPr>
                <w:b w:val="0"/>
                <w:i w:val="0"/>
                <w:sz w:val="19"/>
              </w:rPr>
              <w:t>77</w:t>
            </w:r>
          </w:p>
        </w:tc>
        <w:tc>
          <w:tcPr>
            <w:tcW w:type="dxa" w:w="4680"/>
          </w:tcPr>
          <w:p>
            <w:r/>
            <w:r>
              <w:rPr>
                <w:b w:val="0"/>
                <w:i w:val="0"/>
                <w:sz w:val="19"/>
              </w:rPr>
              <w:t xml:space="preserve">Kim Elsesser, “JetBlue sẽ là hãng hàng không lớn đầu tiên của Mỹ có nữ CEO,” </w:t>
            </w:r>
            <w:r>
              <w:rPr>
                <w:b w:val="0"/>
                <w:i/>
                <w:sz w:val="19"/>
              </w:rPr>
              <w:t>Forbes</w:t>
            </w:r>
            <w:r>
              <w:rPr>
                <w:b w:val="0"/>
                <w:i w:val="0"/>
                <w:sz w:val="19"/>
              </w:rPr>
              <w:t>, ngày 9 tháng 1 năm 2024, https://www.forbes.com/sites/kimelsesser/2024/01/09/jetblue-will-be-the-first-major-us-airline-with-a-female-ceo.</w:t>
            </w:r>
          </w:p>
        </w:tc>
      </w:tr>
      <w:tr>
        <w:tc>
          <w:tcPr>
            <w:tcW w:type="dxa" w:w="4680"/>
          </w:tcPr>
          <w:p>
            <w:r/>
            <w:r>
              <w:rPr>
                <w:b w:val="0"/>
                <w:i w:val="0"/>
                <w:sz w:val="19"/>
              </w:rPr>
              <w:t>78</w:t>
            </w:r>
          </w:p>
        </w:tc>
        <w:tc>
          <w:tcPr>
            <w:tcW w:type="dxa" w:w="4680"/>
          </w:tcPr>
          <w:p>
            <w:r/>
            <w:r>
              <w:rPr>
                <w:b w:val="0"/>
                <w:i w:val="0"/>
                <w:sz w:val="19"/>
              </w:rPr>
              <w:t>“Báo cáo Hành động Bền vững: Kết quả khảo sát về công bố và mức độ sẵn sàng ESG,” Deloitte, tháng 12 năm 2022, https://www2.deloitte.com/content/dam/Deloitte/us/Documents/audit/us-survey-findings-on-esg-disclosure-and-preparedness.pdf.</w:t>
            </w:r>
          </w:p>
        </w:tc>
      </w:tr>
    </w:tbl>
    <w:p>
      <w:pPr>
        <w:spacing w:after="0"/>
      </w:pPr>
    </w:p>
    <w:p>
      <w:pPr>
        <w:pStyle w:val="Heading2"/>
      </w:pPr>
      <w:r>
        <w:rPr>
          <w:rFonts w:ascii="Calibri" w:hAnsi="Calibri"/>
          <w:b/>
          <w:i w:val="0"/>
          <w:sz w:val="32"/>
        </w:rPr>
        <w:t>Chương 5: Lãnh đạo Hội đồng quản trị</w:t>
      </w:r>
    </w:p>
    <w:tbl>
      <w:tblPr>
        <w:tblStyle w:val="TableGrid"/>
        <w:tblW w:type="auto" w:w="0"/>
        <w:tblLook w:firstColumn="1" w:firstRow="1" w:lastColumn="0" w:lastRow="0" w:noHBand="0" w:noVBand="1" w:val="04A0"/>
      </w:tblPr>
      <w:tblGrid>
        <w:gridCol w:w="4680"/>
        <w:gridCol w:w="4680"/>
      </w:tblGrid>
      <w:tr>
        <w:tc>
          <w:tcPr>
            <w:tcW w:type="dxa" w:w="4680"/>
          </w:tcPr>
          <w:p>
            <w:r/>
            <w:r>
              <w:rPr>
                <w:b w:val="0"/>
                <w:i w:val="0"/>
                <w:sz w:val="19"/>
              </w:rPr>
              <w:t>1</w:t>
            </w:r>
          </w:p>
        </w:tc>
        <w:tc>
          <w:tcPr>
            <w:tcW w:type="dxa" w:w="4680"/>
          </w:tcPr>
          <w:p>
            <w:r/>
            <w:r>
              <w:rPr>
                <w:b w:val="0"/>
                <w:i w:val="0"/>
                <w:sz w:val="19"/>
              </w:rPr>
              <w:t xml:space="preserve">Stanislav Shekshnia, “Làm thế nào để trở thành một Chủ tịch Hội đồng quản trị giỏi,” </w:t>
            </w:r>
            <w:r>
              <w:rPr>
                <w:b w:val="0"/>
                <w:i/>
                <w:sz w:val="19"/>
              </w:rPr>
              <w:t>Harvard Business Review</w:t>
            </w:r>
            <w:r>
              <w:rPr>
                <w:b w:val="0"/>
                <w:i w:val="0"/>
                <w:sz w:val="19"/>
              </w:rPr>
              <w:t>, ngày 20 tháng 1 năm 2021, https://hbr.org/2018/03/how-to-be-a-good-board-chair.</w:t>
            </w:r>
          </w:p>
        </w:tc>
      </w:tr>
      <w:tr>
        <w:tc>
          <w:tcPr>
            <w:tcW w:type="dxa" w:w="4680"/>
          </w:tcPr>
          <w:p>
            <w:r/>
            <w:r>
              <w:rPr>
                <w:b w:val="0"/>
                <w:i w:val="0"/>
                <w:sz w:val="19"/>
              </w:rPr>
              <w:t>2</w:t>
            </w:r>
          </w:p>
        </w:tc>
        <w:tc>
          <w:tcPr>
            <w:tcW w:type="dxa" w:w="4680"/>
          </w:tcPr>
          <w:p>
            <w:r/>
            <w:r>
              <w:rPr>
                <w:b w:val="0"/>
                <w:i w:val="0"/>
                <w:sz w:val="19"/>
              </w:rPr>
              <w:t>“Chỉ số Hội đồng quản trị Spencer Stuart Hoa Kỳ năm 2022,” Spencer Stuart, 2002, https://www.spencerstuart.com/-/media/2022/october/ssbi2022/2022_us_spencerstuart_board_index_final.pdf.</w:t>
            </w:r>
          </w:p>
        </w:tc>
      </w:tr>
      <w:tr>
        <w:tc>
          <w:tcPr>
            <w:tcW w:type="dxa" w:w="4680"/>
          </w:tcPr>
          <w:p>
            <w:r/>
            <w:r>
              <w:rPr>
                <w:b w:val="0"/>
                <w:i w:val="0"/>
                <w:sz w:val="19"/>
              </w:rPr>
              <w:t>3</w:t>
            </w:r>
          </w:p>
        </w:tc>
        <w:tc>
          <w:tcPr>
            <w:tcW w:type="dxa" w:w="4680"/>
          </w:tcPr>
          <w:p>
            <w:r/>
            <w:r>
              <w:rPr>
                <w:b w:val="0"/>
                <w:i w:val="0"/>
                <w:sz w:val="19"/>
              </w:rPr>
              <w:t>“2023 CEO Transitions,” Spencer Stuart, tháng 1 năm 2024, https://www.spencerstuart.com/research-and-insight/2023-ceo-transitions.</w:t>
            </w:r>
          </w:p>
        </w:tc>
      </w:tr>
      <w:tr>
        <w:tc>
          <w:tcPr>
            <w:tcW w:type="dxa" w:w="4680"/>
          </w:tcPr>
          <w:p>
            <w:r/>
            <w:r>
              <w:rPr>
                <w:b w:val="0"/>
                <w:i w:val="0"/>
                <w:sz w:val="19"/>
              </w:rPr>
              <w:t>4</w:t>
            </w:r>
          </w:p>
        </w:tc>
        <w:tc>
          <w:tcPr>
            <w:tcW w:type="dxa" w:w="4680"/>
          </w:tcPr>
          <w:p>
            <w:r/>
            <w:r>
              <w:rPr>
                <w:b w:val="0"/>
                <w:i w:val="0"/>
                <w:sz w:val="19"/>
              </w:rPr>
              <w:t>“2023 CEO Transitions.”</w:t>
            </w:r>
          </w:p>
        </w:tc>
      </w:tr>
      <w:tr>
        <w:tc>
          <w:tcPr>
            <w:tcW w:type="dxa" w:w="4680"/>
          </w:tcPr>
          <w:p>
            <w:r/>
            <w:r>
              <w:rPr>
                <w:b w:val="0"/>
                <w:i w:val="0"/>
                <w:sz w:val="19"/>
              </w:rPr>
              <w:t>5</w:t>
            </w:r>
          </w:p>
        </w:tc>
        <w:tc>
          <w:tcPr>
            <w:tcW w:type="dxa" w:w="4680"/>
          </w:tcPr>
          <w:p>
            <w:r/>
            <w:r>
              <w:rPr>
                <w:b w:val="0"/>
                <w:i w:val="0"/>
                <w:sz w:val="19"/>
              </w:rPr>
              <w:t>Peter R. Gleason và Sue Cole, “SEC Climate Comment Letter,” NACD, n.d., https://www.nacdonline.org/files/PDF/NACD-%20Board%20Leadership-%20Chairman,%20CEO,%20and%20Lead%20Director.pdf.</w:t>
            </w:r>
          </w:p>
        </w:tc>
      </w:tr>
      <w:tr>
        <w:tc>
          <w:tcPr>
            <w:tcW w:type="dxa" w:w="4680"/>
          </w:tcPr>
          <w:p>
            <w:r/>
            <w:r>
              <w:rPr>
                <w:b w:val="0"/>
                <w:i w:val="0"/>
                <w:sz w:val="19"/>
              </w:rPr>
              <w:t>6</w:t>
            </w:r>
          </w:p>
        </w:tc>
        <w:tc>
          <w:tcPr>
            <w:tcW w:type="dxa" w:w="4680"/>
          </w:tcPr>
          <w:p>
            <w:r/>
            <w:r>
              <w:rPr>
                <w:b w:val="0"/>
                <w:i w:val="0"/>
                <w:sz w:val="19"/>
              </w:rPr>
              <w:t>Amcor, “Amcor and Berry to Combine in an All-Stock Transaction, Creating a Global Leader in Consumer and Healthcare Packaging Solutions,” PR Newswire, ngày 19 tháng 11 năm 2024, https://www.prnewswire.com/news-releases/amcor-and-berry-to-combine-in-an-all-stock-transaction-creating-a-global-leader-in-consumer-and-healthcare-packaging-solutions-302309723.html.</w:t>
            </w:r>
          </w:p>
        </w:tc>
      </w:tr>
      <w:tr>
        <w:tc>
          <w:tcPr>
            <w:tcW w:type="dxa" w:w="4680"/>
          </w:tcPr>
          <w:p>
            <w:r/>
            <w:r>
              <w:rPr>
                <w:b w:val="0"/>
                <w:i w:val="0"/>
                <w:sz w:val="19"/>
              </w:rPr>
              <w:t>7</w:t>
            </w:r>
          </w:p>
        </w:tc>
        <w:tc>
          <w:tcPr>
            <w:tcW w:type="dxa" w:w="4680"/>
          </w:tcPr>
          <w:p>
            <w:r/>
            <w:r>
              <w:rPr>
                <w:b w:val="0"/>
                <w:i w:val="0"/>
                <w:sz w:val="19"/>
              </w:rPr>
              <w:t>Steve Gelsi, “Morgan Stanley’s James Gorman Stepping Down as Executive Chair by Year-End,” Morningstar, ngày 23 tháng 5 năm 2024, https://www.morningstar.com/news/marketwatch/20240523401/morgan-stanleys-james-gorman-stepping-down-as-executive-chair-by-year-end.</w:t>
            </w:r>
          </w:p>
        </w:tc>
      </w:tr>
      <w:tr>
        <w:tc>
          <w:tcPr>
            <w:tcW w:type="dxa" w:w="4680"/>
          </w:tcPr>
          <w:p>
            <w:r/>
            <w:r>
              <w:rPr>
                <w:b w:val="0"/>
                <w:i w:val="0"/>
                <w:sz w:val="19"/>
              </w:rPr>
              <w:t>8</w:t>
            </w:r>
          </w:p>
        </w:tc>
        <w:tc>
          <w:tcPr>
            <w:tcW w:type="dxa" w:w="4680"/>
          </w:tcPr>
          <w:p>
            <w:r/>
            <w:r>
              <w:rPr>
                <w:b w:val="0"/>
                <w:i w:val="0"/>
                <w:sz w:val="19"/>
              </w:rPr>
              <w:t>Amelia Lucas, “Former Starbucks CEO Howard Schultz Steps Down from Coffee Chain’s Board,” CNBC, ngày 14 tháng 9 năm 2023, https://www.cnbc.com/2023/09/13/former-starbucks-ceo-howard-schultz-to-step-down-from-board.html.</w:t>
            </w:r>
          </w:p>
        </w:tc>
      </w:tr>
      <w:tr>
        <w:tc>
          <w:tcPr>
            <w:tcW w:type="dxa" w:w="4680"/>
          </w:tcPr>
          <w:p>
            <w:r/>
            <w:r>
              <w:rPr>
                <w:b w:val="0"/>
                <w:i w:val="0"/>
                <w:sz w:val="19"/>
              </w:rPr>
              <w:t>9.</w:t>
            </w:r>
          </w:p>
        </w:tc>
        <w:tc>
          <w:tcPr>
            <w:tcW w:type="dxa" w:w="4680"/>
          </w:tcPr>
          <w:p>
            <w:r/>
            <w:r>
              <w:rPr>
                <w:b w:val="0"/>
                <w:i w:val="0"/>
                <w:sz w:val="19"/>
              </w:rPr>
              <w:t xml:space="preserve">Heather Haddon, “Howard Schultz Is Back-Seat Driving Starbucks. That’s a Problem for His Successor,” </w:t>
            </w:r>
            <w:r>
              <w:rPr>
                <w:b w:val="0"/>
                <w:i/>
                <w:sz w:val="19"/>
              </w:rPr>
              <w:t>Wall Street Journal</w:t>
            </w:r>
            <w:r>
              <w:rPr>
                <w:b w:val="0"/>
                <w:i w:val="0"/>
                <w:sz w:val="19"/>
              </w:rPr>
              <w:t>, ngày 9 tháng 5 năm 2024, https://www.wsj.com/business/hospitality/howard-schultz-is-back-seat-driving-starbucks-thats-a-problem-for-his-successor-225cd0d9.</w:t>
            </w:r>
          </w:p>
        </w:tc>
      </w:tr>
      <w:tr>
        <w:tc>
          <w:tcPr>
            <w:tcW w:type="dxa" w:w="4680"/>
          </w:tcPr>
          <w:p>
            <w:r/>
            <w:r>
              <w:rPr>
                <w:b w:val="0"/>
                <w:i w:val="0"/>
                <w:sz w:val="19"/>
              </w:rPr>
              <w:t>10</w:t>
            </w:r>
          </w:p>
        </w:tc>
        <w:tc>
          <w:tcPr>
            <w:tcW w:type="dxa" w:w="4680"/>
          </w:tcPr>
          <w:p>
            <w:r/>
            <w:r>
              <w:rPr>
                <w:b w:val="0"/>
                <w:i w:val="0"/>
                <w:sz w:val="19"/>
              </w:rPr>
              <w:t>Haddon.</w:t>
            </w:r>
          </w:p>
        </w:tc>
      </w:tr>
      <w:tr>
        <w:tc>
          <w:tcPr>
            <w:tcW w:type="dxa" w:w="4680"/>
          </w:tcPr>
          <w:p>
            <w:r/>
            <w:r>
              <w:rPr>
                <w:b w:val="0"/>
                <w:i w:val="0"/>
                <w:sz w:val="19"/>
              </w:rPr>
              <w:t>11</w:t>
            </w:r>
          </w:p>
        </w:tc>
        <w:tc>
          <w:tcPr>
            <w:tcW w:type="dxa" w:w="4680"/>
          </w:tcPr>
          <w:p>
            <w:r/>
            <w:r>
              <w:rPr>
                <w:b w:val="0"/>
                <w:i w:val="0"/>
                <w:sz w:val="19"/>
              </w:rPr>
              <w:t xml:space="preserve">Andrew Ross Sorkin và cộng sự, “Starbucks Replaces Chief Executive after Activist Investor Campaigns,” </w:t>
            </w:r>
            <w:r>
              <w:rPr>
                <w:b w:val="0"/>
                <w:i/>
                <w:sz w:val="19"/>
              </w:rPr>
              <w:t>New York Times</w:t>
            </w:r>
            <w:r>
              <w:rPr>
                <w:b w:val="0"/>
                <w:i w:val="0"/>
                <w:sz w:val="19"/>
              </w:rPr>
              <w:t>, ngày 13 tháng 8 năm 2024, https://www.nytimes.com/2024/08/13/business/dealbook/starbucks-ceo-out-laxman-narasimhan.html.</w:t>
            </w:r>
          </w:p>
        </w:tc>
      </w:tr>
      <w:tr>
        <w:tc>
          <w:tcPr>
            <w:tcW w:type="dxa" w:w="4680"/>
          </w:tcPr>
          <w:p>
            <w:r/>
            <w:r>
              <w:rPr>
                <w:b w:val="0"/>
                <w:i w:val="0"/>
                <w:sz w:val="19"/>
              </w:rPr>
              <w:t>12</w:t>
            </w:r>
          </w:p>
        </w:tc>
        <w:tc>
          <w:tcPr>
            <w:tcW w:type="dxa" w:w="4680"/>
          </w:tcPr>
          <w:p>
            <w:r/>
            <w:r>
              <w:rPr>
                <w:b w:val="0"/>
                <w:i w:val="0"/>
                <w:sz w:val="19"/>
              </w:rPr>
              <w:t xml:space="preserve">Martin Lipton và Jay W. Lorsch, “A Modest Proposal for Improved Corporate Governance,” </w:t>
            </w:r>
            <w:r>
              <w:rPr>
                <w:b w:val="0"/>
                <w:i/>
                <w:sz w:val="19"/>
              </w:rPr>
              <w:t>Business Lawyer</w:t>
            </w:r>
            <w:r>
              <w:rPr>
                <w:b w:val="0"/>
                <w:i w:val="0"/>
                <w:sz w:val="19"/>
              </w:rPr>
              <w:t xml:space="preserve"> 48, no. 12 (tháng 11 năm 1992): 59–77.</w:t>
            </w:r>
          </w:p>
        </w:tc>
      </w:tr>
      <w:tr>
        <w:tc>
          <w:tcPr>
            <w:tcW w:type="dxa" w:w="4680"/>
          </w:tcPr>
          <w:p>
            <w:r/>
            <w:r>
              <w:rPr>
                <w:b w:val="0"/>
                <w:i w:val="0"/>
                <w:sz w:val="19"/>
              </w:rPr>
              <w:t>13</w:t>
            </w:r>
          </w:p>
        </w:tc>
        <w:tc>
          <w:tcPr>
            <w:tcW w:type="dxa" w:w="4680"/>
          </w:tcPr>
          <w:p>
            <w:r/>
            <w:r>
              <w:rPr>
                <w:b w:val="0"/>
                <w:i w:val="0"/>
                <w:sz w:val="19"/>
              </w:rPr>
              <w:t>Gleason và Cole, “SEC Climate Comment Letter.”</w:t>
            </w:r>
          </w:p>
        </w:tc>
      </w:tr>
      <w:tr>
        <w:tc>
          <w:tcPr>
            <w:tcW w:type="dxa" w:w="4680"/>
          </w:tcPr>
          <w:p>
            <w:r/>
            <w:r>
              <w:rPr>
                <w:b w:val="0"/>
                <w:i w:val="0"/>
                <w:sz w:val="19"/>
              </w:rPr>
              <w:t>14</w:t>
            </w:r>
          </w:p>
        </w:tc>
        <w:tc>
          <w:tcPr>
            <w:tcW w:type="dxa" w:w="4680"/>
          </w:tcPr>
          <w:p>
            <w:r/>
            <w:r>
              <w:rPr>
                <w:b w:val="0"/>
                <w:i w:val="0"/>
                <w:sz w:val="19"/>
              </w:rPr>
              <w:t>Thuy-Nga T. Vo, “To Be or Not to Be Both CEO and Board Chair,” Faculty Scholarship, bài báo 184 (2010), http://open.mitchellhamline.edu/facsch/184.</w:t>
            </w:r>
          </w:p>
        </w:tc>
      </w:tr>
      <w:tr>
        <w:tc>
          <w:tcPr>
            <w:tcW w:type="dxa" w:w="4680"/>
          </w:tcPr>
          <w:p>
            <w:r/>
            <w:r>
              <w:rPr>
                <w:b w:val="0"/>
                <w:i w:val="0"/>
                <w:sz w:val="19"/>
              </w:rPr>
              <w:t>15</w:t>
            </w:r>
          </w:p>
        </w:tc>
        <w:tc>
          <w:tcPr>
            <w:tcW w:type="dxa" w:w="4680"/>
          </w:tcPr>
          <w:p>
            <w:r/>
            <w:r>
              <w:rPr>
                <w:b w:val="0"/>
                <w:i w:val="0"/>
                <w:sz w:val="19"/>
              </w:rPr>
              <w:t>“About the Center,” Columbia Law School Ira M, Millstein Center, không ngày, https://millstein.law.columbia.edu/content/about-center.</w:t>
            </w:r>
          </w:p>
        </w:tc>
      </w:tr>
      <w:tr>
        <w:tc>
          <w:tcPr>
            <w:tcW w:type="dxa" w:w="4680"/>
          </w:tcPr>
          <w:p>
            <w:r/>
            <w:r>
              <w:rPr>
                <w:b w:val="0"/>
                <w:i w:val="0"/>
                <w:sz w:val="19"/>
              </w:rPr>
              <w:t>16</w:t>
            </w:r>
          </w:p>
        </w:tc>
        <w:tc>
          <w:tcPr>
            <w:tcW w:type="dxa" w:w="4680"/>
          </w:tcPr>
          <w:p>
            <w:r/>
            <w:r>
              <w:rPr>
                <w:b w:val="0"/>
                <w:i w:val="0"/>
                <w:sz w:val="19"/>
              </w:rPr>
              <w:t xml:space="preserve">“Corporate Governance Legend Ira M. Millstein Dies at 97,” Weil, Gotshal &amp; Manges LLP, ngày 14 tháng 3 năm 2024, https://www.weil.com/articles/corporate-governance-legend-ira-m-millstein-dies-at-97; Sam Roberts, “Ira M. Millstein, Corporate Lawyer with Public Impact, Dies at 97,” </w:t>
            </w:r>
            <w:r>
              <w:rPr>
                <w:b w:val="0"/>
                <w:i/>
                <w:sz w:val="19"/>
              </w:rPr>
              <w:t>New York Times</w:t>
            </w:r>
            <w:r>
              <w:rPr>
                <w:b w:val="0"/>
                <w:i w:val="0"/>
                <w:sz w:val="19"/>
              </w:rPr>
              <w:t>, ngày 14 tháng 3 năm 2024, https://www.nytimes.com/2024/03/14/nyregion/ira-millstein-dead.html?smid</w:t>
            </w:r>
            <w:r>
              <w:rPr>
                <w:rFonts w:ascii="Consolas" w:hAnsi="Consolas"/>
                <w:b w:val="0"/>
                <w:i w:val="0"/>
                <w:sz w:val="19"/>
              </w:rPr>
              <w:t>=em-share</w:t>
            </w:r>
            <w:r>
              <w:rPr>
                <w:b w:val="0"/>
                <w:i w:val="0"/>
                <w:sz w:val="19"/>
              </w:rPr>
              <w:t>.</w:t>
            </w:r>
          </w:p>
        </w:tc>
      </w:tr>
      <w:tr>
        <w:tc>
          <w:tcPr>
            <w:tcW w:type="dxa" w:w="4680"/>
          </w:tcPr>
          <w:p>
            <w:r/>
            <w:r>
              <w:rPr>
                <w:b w:val="0"/>
                <w:i w:val="0"/>
                <w:sz w:val="19"/>
              </w:rPr>
              <w:t>17</w:t>
            </w:r>
          </w:p>
        </w:tc>
        <w:tc>
          <w:tcPr>
            <w:tcW w:type="dxa" w:w="4680"/>
          </w:tcPr>
          <w:p>
            <w:r/>
            <w:r>
              <w:rPr>
                <w:b w:val="0"/>
                <w:i w:val="0"/>
                <w:sz w:val="19"/>
              </w:rPr>
              <w:t>“Chairing the Board: The Case for Independent Leadership in Corporate North America,” Millstein Center for Corporate Governance and Performance, 2009, https://scholarship.law.columbia.edu/global_markets_corporate_ownership/34.</w:t>
            </w:r>
          </w:p>
        </w:tc>
      </w:tr>
      <w:tr>
        <w:tc>
          <w:tcPr>
            <w:tcW w:type="dxa" w:w="4680"/>
          </w:tcPr>
          <w:p>
            <w:r/>
            <w:r>
              <w:rPr>
                <w:b w:val="0"/>
                <w:i w:val="0"/>
                <w:sz w:val="19"/>
              </w:rPr>
              <w:t>18</w:t>
            </w:r>
          </w:p>
        </w:tc>
        <w:tc>
          <w:tcPr>
            <w:tcW w:type="dxa" w:w="4680"/>
          </w:tcPr>
          <w:p>
            <w:r/>
            <w:r>
              <w:rPr>
                <w:b w:val="0"/>
                <w:i w:val="0"/>
                <w:sz w:val="19"/>
              </w:rPr>
              <w:t>“Chairing the Board.”</w:t>
            </w:r>
          </w:p>
        </w:tc>
      </w:tr>
      <w:tr>
        <w:tc>
          <w:tcPr>
            <w:tcW w:type="dxa" w:w="4680"/>
          </w:tcPr>
          <w:p>
            <w:r/>
            <w:r>
              <w:rPr>
                <w:b w:val="0"/>
                <w:i w:val="0"/>
                <w:sz w:val="19"/>
              </w:rPr>
              <w:t>19</w:t>
            </w:r>
          </w:p>
        </w:tc>
        <w:tc>
          <w:tcPr>
            <w:tcW w:type="dxa" w:w="4680"/>
          </w:tcPr>
          <w:p>
            <w:r/>
            <w:r>
              <w:rPr>
                <w:b w:val="0"/>
                <w:i w:val="0"/>
                <w:sz w:val="19"/>
              </w:rPr>
              <w:t>“Các yêu cầu đối với Hội đồng quản trị Công ty Đại chúng,” Weil, ngày 3 tháng 1 năm 2022, https://www.weil.com/-/media/files/pdfs/2022/january/requirements_for_public_company_boards_including_ipo_transition_rules.pdf.</w:t>
            </w:r>
          </w:p>
        </w:tc>
      </w:tr>
      <w:tr>
        <w:tc>
          <w:tcPr>
            <w:tcW w:type="dxa" w:w="4680"/>
          </w:tcPr>
          <w:p>
            <w:r/>
            <w:r>
              <w:rPr>
                <w:b w:val="0"/>
                <w:i w:val="0"/>
                <w:sz w:val="19"/>
              </w:rPr>
              <w:t>20</w:t>
            </w:r>
          </w:p>
        </w:tc>
        <w:tc>
          <w:tcPr>
            <w:tcW w:type="dxa" w:w="4680"/>
          </w:tcPr>
          <w:p>
            <w:r/>
            <w:r>
              <w:rPr>
                <w:b w:val="0"/>
                <w:i w:val="0"/>
                <w:sz w:val="19"/>
              </w:rPr>
              <w:t>Vo, “To Be or Not to Be.”</w:t>
            </w:r>
          </w:p>
        </w:tc>
      </w:tr>
      <w:tr>
        <w:tc>
          <w:tcPr>
            <w:tcW w:type="dxa" w:w="4680"/>
          </w:tcPr>
          <w:p>
            <w:r/>
            <w:r>
              <w:rPr>
                <w:b w:val="0"/>
                <w:i w:val="0"/>
                <w:sz w:val="19"/>
              </w:rPr>
              <w:t>21</w:t>
            </w:r>
          </w:p>
        </w:tc>
        <w:tc>
          <w:tcPr>
            <w:tcW w:type="dxa" w:w="4680"/>
          </w:tcPr>
          <w:p>
            <w:r/>
            <w:r>
              <w:rPr>
                <w:b w:val="0"/>
                <w:i w:val="0"/>
                <w:sz w:val="19"/>
              </w:rPr>
              <w:t>David DiMolfetta, “Facebook đối mặt với áp lực mới trong việc tách vai trò CEO và Chủ tịch Hội đồng quản trị giữa những tranh cãi,” S&amp;P Global Market Intelligence, ngày 14 tháng 10 năm 2021, https://www.spglobal.com/marketintelligence/en/news-insights/latest-news-headlines/facebook-faces-renewed-push-to-split-ceo-chairman-roles-amid-controversies-66913978.</w:t>
            </w:r>
          </w:p>
        </w:tc>
      </w:tr>
      <w:tr>
        <w:tc>
          <w:tcPr>
            <w:tcW w:type="dxa" w:w="4680"/>
          </w:tcPr>
          <w:p>
            <w:r/>
            <w:r>
              <w:rPr>
                <w:b w:val="0"/>
                <w:i w:val="0"/>
                <w:sz w:val="19"/>
              </w:rPr>
              <w:t>22.</w:t>
            </w:r>
          </w:p>
        </w:tc>
        <w:tc>
          <w:tcPr>
            <w:tcW w:type="dxa" w:w="4680"/>
          </w:tcPr>
          <w:p>
            <w:r/>
            <w:r>
              <w:rPr>
                <w:b w:val="0"/>
                <w:i w:val="0"/>
                <w:sz w:val="19"/>
              </w:rPr>
              <w:t xml:space="preserve">Emily Glazer, “Các cổ đông gây áp lực lên Facebook để thay đổi quản trị,” </w:t>
            </w:r>
            <w:r>
              <w:rPr>
                <w:b w:val="0"/>
                <w:i/>
                <w:sz w:val="19"/>
              </w:rPr>
              <w:t>Wall Street Journal</w:t>
            </w:r>
            <w:r>
              <w:rPr>
                <w:b w:val="0"/>
                <w:i w:val="0"/>
                <w:sz w:val="19"/>
              </w:rPr>
              <w:t>, ngày 13 tháng 12 năm 2021, https://www.wsj.com/articles/shareholders-press-facebook-for-governance-changes-11639404002.</w:t>
            </w:r>
          </w:p>
        </w:tc>
      </w:tr>
      <w:tr>
        <w:tc>
          <w:tcPr>
            <w:tcW w:type="dxa" w:w="4680"/>
          </w:tcPr>
          <w:p>
            <w:r/>
            <w:r>
              <w:rPr>
                <w:b w:val="0"/>
                <w:i w:val="0"/>
                <w:sz w:val="19"/>
              </w:rPr>
              <w:t>23</w:t>
            </w:r>
          </w:p>
        </w:tc>
        <w:tc>
          <w:tcPr>
            <w:tcW w:type="dxa" w:w="4680"/>
          </w:tcPr>
          <w:p>
            <w:r/>
            <w:r>
              <w:rPr>
                <w:b w:val="0"/>
                <w:i w:val="0"/>
                <w:sz w:val="19"/>
              </w:rPr>
              <w:t>Glazer.</w:t>
            </w:r>
          </w:p>
        </w:tc>
      </w:tr>
      <w:tr>
        <w:tc>
          <w:tcPr>
            <w:tcW w:type="dxa" w:w="4680"/>
          </w:tcPr>
          <w:p>
            <w:r/>
            <w:r>
              <w:rPr>
                <w:b w:val="0"/>
                <w:i w:val="0"/>
                <w:sz w:val="19"/>
              </w:rPr>
              <w:t>24</w:t>
            </w:r>
          </w:p>
        </w:tc>
        <w:tc>
          <w:tcPr>
            <w:tcW w:type="dxa" w:w="4680"/>
          </w:tcPr>
          <w:p>
            <w:r/>
            <w:r>
              <w:rPr>
                <w:b w:val="0"/>
                <w:i w:val="0"/>
                <w:sz w:val="19"/>
              </w:rPr>
              <w:t>DiMolfetta, “Facebook đối mặt với áp lực mới.”</w:t>
            </w:r>
          </w:p>
        </w:tc>
      </w:tr>
      <w:tr>
        <w:tc>
          <w:tcPr>
            <w:tcW w:type="dxa" w:w="4680"/>
          </w:tcPr>
          <w:p>
            <w:r/>
            <w:r>
              <w:rPr>
                <w:b w:val="0"/>
                <w:i w:val="0"/>
                <w:sz w:val="19"/>
              </w:rPr>
              <w:t>25</w:t>
            </w:r>
          </w:p>
        </w:tc>
        <w:tc>
          <w:tcPr>
            <w:tcW w:type="dxa" w:w="4680"/>
          </w:tcPr>
          <w:p>
            <w:r/>
            <w:r>
              <w:rPr>
                <w:b w:val="0"/>
                <w:i w:val="0"/>
                <w:sz w:val="19"/>
              </w:rPr>
              <w:t>Noor Al-Sibai, “Nhiều cổ đông Facebook ước gì họ có thể sa thải Mark Zuckerberg,” Futurism, ngày 1 tháng 11 năm 2022, https://futurism.com/the-byte/facebook-shareholders-mark-zuckerberg-control.</w:t>
            </w:r>
          </w:p>
        </w:tc>
      </w:tr>
      <w:tr>
        <w:tc>
          <w:tcPr>
            <w:tcW w:type="dxa" w:w="4680"/>
          </w:tcPr>
          <w:p>
            <w:r/>
            <w:r>
              <w:rPr>
                <w:b w:val="0"/>
                <w:i w:val="0"/>
                <w:sz w:val="19"/>
              </w:rPr>
              <w:t>26</w:t>
            </w:r>
          </w:p>
        </w:tc>
        <w:tc>
          <w:tcPr>
            <w:tcW w:type="dxa" w:w="4680"/>
          </w:tcPr>
          <w:p>
            <w:r/>
            <w:r>
              <w:rPr>
                <w:b w:val="0"/>
                <w:i w:val="0"/>
                <w:sz w:val="19"/>
              </w:rPr>
              <w:t>Wachtell, Lipton, Rosen &amp; Katz, “Hướng dẫn Ủy ban Đề cử và Quản trị Công ty 2023.”</w:t>
            </w:r>
          </w:p>
        </w:tc>
      </w:tr>
      <w:tr>
        <w:tc>
          <w:tcPr>
            <w:tcW w:type="dxa" w:w="4680"/>
          </w:tcPr>
          <w:p>
            <w:r/>
            <w:r>
              <w:rPr>
                <w:b w:val="0"/>
                <w:i w:val="0"/>
                <w:sz w:val="19"/>
              </w:rPr>
              <w:t>27</w:t>
            </w:r>
          </w:p>
        </w:tc>
        <w:tc>
          <w:tcPr>
            <w:tcW w:type="dxa" w:w="4680"/>
          </w:tcPr>
          <w:p>
            <w:r/>
            <w:r>
              <w:rPr>
                <w:b w:val="0"/>
                <w:i w:val="0"/>
                <w:sz w:val="19"/>
              </w:rPr>
              <w:t>Wachtell, Lipton, Rosen &amp; Katz.</w:t>
            </w:r>
          </w:p>
        </w:tc>
      </w:tr>
      <w:tr>
        <w:tc>
          <w:tcPr>
            <w:tcW w:type="dxa" w:w="4680"/>
          </w:tcPr>
          <w:p>
            <w:r/>
            <w:r>
              <w:rPr>
                <w:b w:val="0"/>
                <w:i w:val="0"/>
                <w:sz w:val="19"/>
              </w:rPr>
              <w:t>28</w:t>
            </w:r>
          </w:p>
        </w:tc>
        <w:tc>
          <w:tcPr>
            <w:tcW w:type="dxa" w:w="4680"/>
          </w:tcPr>
          <w:p>
            <w:r/>
            <w:r>
              <w:rPr>
                <w:b w:val="0"/>
                <w:i w:val="0"/>
                <w:sz w:val="19"/>
              </w:rPr>
              <w:t xml:space="preserve">Joseph Mandato và William Devine, “Why the CEO Shouldn’t Also Be the Board Chair,” </w:t>
            </w:r>
            <w:r>
              <w:rPr>
                <w:b w:val="0"/>
                <w:i/>
                <w:sz w:val="19"/>
              </w:rPr>
              <w:t>Harvard Business Review</w:t>
            </w:r>
            <w:r>
              <w:rPr>
                <w:b w:val="0"/>
                <w:i w:val="0"/>
                <w:sz w:val="19"/>
              </w:rPr>
              <w:t>, 4 tháng 3, 2020, https://hbr.org/2020/03/why-the-ceo-shouldnt-also-be-the-board-chair.</w:t>
            </w:r>
          </w:p>
        </w:tc>
      </w:tr>
      <w:tr>
        <w:tc>
          <w:tcPr>
            <w:tcW w:type="dxa" w:w="4680"/>
          </w:tcPr>
          <w:p>
            <w:r/>
            <w:r>
              <w:rPr>
                <w:b w:val="0"/>
                <w:i w:val="0"/>
                <w:sz w:val="19"/>
              </w:rPr>
              <w:t>29</w:t>
            </w:r>
          </w:p>
        </w:tc>
        <w:tc>
          <w:tcPr>
            <w:tcW w:type="dxa" w:w="4680"/>
          </w:tcPr>
          <w:p>
            <w:r/>
            <w:r>
              <w:rPr>
                <w:b w:val="0"/>
                <w:i w:val="0"/>
                <w:sz w:val="19"/>
              </w:rPr>
              <w:t>Leslie Josephs, “It’s Not Just Boeing. More Companies Are Splitting CEO and Chairman Roles,” CNBC, 5 tháng 11, 2019, https://www.cnbc.com/2019/11/05/its-not-just-boeing-more-companies-are-splitting-ceo-and-chairman-roles.html.</w:t>
            </w:r>
          </w:p>
        </w:tc>
      </w:tr>
      <w:tr>
        <w:tc>
          <w:tcPr>
            <w:tcW w:type="dxa" w:w="4680"/>
          </w:tcPr>
          <w:p>
            <w:r/>
            <w:r>
              <w:rPr>
                <w:b w:val="0"/>
                <w:i w:val="0"/>
                <w:sz w:val="19"/>
              </w:rPr>
              <w:t>30</w:t>
            </w:r>
          </w:p>
        </w:tc>
        <w:tc>
          <w:tcPr>
            <w:tcW w:type="dxa" w:w="4680"/>
          </w:tcPr>
          <w:p>
            <w:r/>
            <w:r>
              <w:rPr>
                <w:b w:val="0"/>
                <w:i w:val="0"/>
                <w:sz w:val="19"/>
              </w:rPr>
              <w:t>Mandato và Devine, “Why the CEO.”</w:t>
            </w:r>
          </w:p>
        </w:tc>
      </w:tr>
      <w:tr>
        <w:tc>
          <w:tcPr>
            <w:tcW w:type="dxa" w:w="4680"/>
          </w:tcPr>
          <w:p>
            <w:r/>
            <w:r>
              <w:rPr>
                <w:b w:val="0"/>
                <w:i w:val="0"/>
                <w:sz w:val="19"/>
              </w:rPr>
              <w:t>31</w:t>
            </w:r>
          </w:p>
        </w:tc>
        <w:tc>
          <w:tcPr>
            <w:tcW w:type="dxa" w:w="4680"/>
          </w:tcPr>
          <w:p>
            <w:r/>
            <w:r>
              <w:rPr>
                <w:b w:val="0"/>
                <w:i w:val="0"/>
                <w:sz w:val="19"/>
              </w:rPr>
              <w:t>Mandato và Devine.</w:t>
            </w:r>
          </w:p>
        </w:tc>
      </w:tr>
      <w:tr>
        <w:tc>
          <w:tcPr>
            <w:tcW w:type="dxa" w:w="4680"/>
          </w:tcPr>
          <w:p>
            <w:r/>
            <w:r>
              <w:rPr>
                <w:b w:val="0"/>
                <w:i w:val="0"/>
                <w:sz w:val="19"/>
              </w:rPr>
              <w:t>32</w:t>
            </w:r>
          </w:p>
        </w:tc>
        <w:tc>
          <w:tcPr>
            <w:tcW w:type="dxa" w:w="4680"/>
          </w:tcPr>
          <w:p>
            <w:r/>
            <w:r>
              <w:rPr>
                <w:b w:val="0"/>
                <w:i w:val="0"/>
                <w:sz w:val="19"/>
              </w:rPr>
              <w:t xml:space="preserve">Andrew Tangel, Sharon Terlep, và Alison Sider, “Airline CEOs Seek Meeting with Boeing Directors to Address Production Problems,” </w:t>
            </w:r>
            <w:r>
              <w:rPr>
                <w:b w:val="0"/>
                <w:i/>
                <w:sz w:val="19"/>
              </w:rPr>
              <w:t>Wall Street Journal</w:t>
            </w:r>
            <w:r>
              <w:rPr>
                <w:b w:val="0"/>
                <w:i w:val="0"/>
                <w:sz w:val="19"/>
              </w:rPr>
              <w:t>, 21 tháng 3, 2024, https://www.wsj.com/business/airlines/airline-ceos-seek-meeting-with-boeing-directors-to-address-production-problems-cb12e6d4?.</w:t>
            </w:r>
          </w:p>
        </w:tc>
      </w:tr>
      <w:tr>
        <w:tc>
          <w:tcPr>
            <w:tcW w:type="dxa" w:w="4680"/>
          </w:tcPr>
          <w:p>
            <w:r/>
            <w:r>
              <w:rPr>
                <w:b w:val="0"/>
                <w:i w:val="0"/>
                <w:sz w:val="19"/>
              </w:rPr>
              <w:t>33</w:t>
            </w:r>
          </w:p>
        </w:tc>
        <w:tc>
          <w:tcPr>
            <w:tcW w:type="dxa" w:w="4680"/>
          </w:tcPr>
          <w:p>
            <w:r/>
            <w:r>
              <w:rPr>
                <w:b w:val="0"/>
                <w:i w:val="0"/>
                <w:sz w:val="19"/>
              </w:rPr>
              <w:t>Mandato và Devine, “Why the CEO.”</w:t>
            </w:r>
          </w:p>
        </w:tc>
      </w:tr>
      <w:tr>
        <w:tc>
          <w:tcPr>
            <w:tcW w:type="dxa" w:w="4680"/>
          </w:tcPr>
          <w:p>
            <w:r/>
            <w:r>
              <w:rPr>
                <w:b w:val="0"/>
                <w:i w:val="0"/>
                <w:sz w:val="19"/>
              </w:rPr>
              <w:t>34</w:t>
            </w:r>
          </w:p>
        </w:tc>
        <w:tc>
          <w:tcPr>
            <w:tcW w:type="dxa" w:w="4680"/>
          </w:tcPr>
          <w:p>
            <w:r/>
            <w:r>
              <w:rPr>
                <w:b w:val="0"/>
                <w:i w:val="0"/>
                <w:sz w:val="19"/>
              </w:rPr>
              <w:t>Wachtell, Lipton, Rosen &amp; Katz, “Nominating and Corporate Governance Committee Guide 2023.”</w:t>
            </w:r>
          </w:p>
        </w:tc>
      </w:tr>
      <w:tr>
        <w:tc>
          <w:tcPr>
            <w:tcW w:type="dxa" w:w="4680"/>
          </w:tcPr>
          <w:p>
            <w:r/>
            <w:r>
              <w:rPr>
                <w:b w:val="0"/>
                <w:i w:val="0"/>
                <w:sz w:val="19"/>
              </w:rPr>
              <w:t>35</w:t>
            </w:r>
          </w:p>
        </w:tc>
        <w:tc>
          <w:tcPr>
            <w:tcW w:type="dxa" w:w="4680"/>
          </w:tcPr>
          <w:p>
            <w:r/>
            <w:r>
              <w:rPr>
                <w:b w:val="0"/>
                <w:i w:val="0"/>
                <w:sz w:val="19"/>
              </w:rPr>
              <w:t>“Hướng dẫn Biểu quyết Đại diện của Hoa Kỳ – Khuyến nghị Chính sách Chuẩn mực,” ISS, ngày 9 tháng 1 năm 2025, https://www.issgovernance.com/file/policy/active/americas/US-Voting-Guidelines.pdf.</w:t>
            </w:r>
          </w:p>
        </w:tc>
      </w:tr>
      <w:tr>
        <w:tc>
          <w:tcPr>
            <w:tcW w:type="dxa" w:w="4680"/>
          </w:tcPr>
          <w:p>
            <w:r/>
            <w:r>
              <w:rPr>
                <w:b w:val="0"/>
                <w:i w:val="0"/>
                <w:sz w:val="19"/>
              </w:rPr>
              <w:t>36</w:t>
            </w:r>
          </w:p>
        </w:tc>
        <w:tc>
          <w:tcPr>
            <w:tcW w:type="dxa" w:w="4680"/>
          </w:tcPr>
          <w:p>
            <w:r/>
            <w:r>
              <w:rPr>
                <w:b w:val="0"/>
                <w:i w:val="0"/>
                <w:sz w:val="19"/>
              </w:rPr>
              <w:t>“Chuyên sâu: Chủ tịch Hội đồng Quản trị Độc lập,” Glass Lewis, tháng 3 năm 2016, https://www.sec.gov/Archives/edgar/data/1048286/000119312522081138/d235712ddef14a.htm.</w:t>
            </w:r>
          </w:p>
        </w:tc>
      </w:tr>
      <w:tr>
        <w:tc>
          <w:tcPr>
            <w:tcW w:type="dxa" w:w="4680"/>
          </w:tcPr>
          <w:p>
            <w:r/>
            <w:r>
              <w:rPr>
                <w:b w:val="0"/>
                <w:i w:val="0"/>
                <w:sz w:val="19"/>
              </w:rPr>
              <w:t>37</w:t>
            </w:r>
          </w:p>
        </w:tc>
        <w:tc>
          <w:tcPr>
            <w:tcW w:type="dxa" w:w="4680"/>
          </w:tcPr>
          <w:p>
            <w:r/>
            <w:r>
              <w:rPr>
                <w:b w:val="0"/>
                <w:i w:val="0"/>
                <w:sz w:val="19"/>
              </w:rPr>
              <w:t>“Vai trò của Hội đồng Quản trị, Chủ tịch và các Giám đốc Phi điều hành – Bộ Quy tắc Quản trị Công ty của Vương quốc Anh,” Pinsent Masons, ngày 2 tháng 1 năm 2010, https://www.pinsentmasons.com/out-law/guides/the-role-of-the-board-chairman-and-non-executive-directors--the-uk-corporate-governance-code.</w:t>
            </w:r>
          </w:p>
        </w:tc>
      </w:tr>
      <w:tr>
        <w:tc>
          <w:tcPr>
            <w:tcW w:type="dxa" w:w="4680"/>
          </w:tcPr>
          <w:p>
            <w:r/>
            <w:r>
              <w:rPr>
                <w:b w:val="0"/>
                <w:i w:val="0"/>
                <w:sz w:val="19"/>
              </w:rPr>
              <w:t>38</w:t>
            </w:r>
          </w:p>
        </w:tc>
        <w:tc>
          <w:tcPr>
            <w:tcW w:type="dxa" w:w="4680"/>
          </w:tcPr>
          <w:p>
            <w:r/>
            <w:r>
              <w:rPr>
                <w:b w:val="0"/>
                <w:i w:val="0"/>
                <w:sz w:val="19"/>
              </w:rPr>
              <w:t>Trung tâm Millstein về Quản trị Công ty và Hiệu quả Hoạt động, “Chủ trì Hội đồng Quản trị: Lập luận cho Sự Lãnh đạo Độc lập tại Bắc Mỹ,” 2009.</w:t>
            </w:r>
          </w:p>
        </w:tc>
      </w:tr>
      <w:tr>
        <w:tc>
          <w:tcPr>
            <w:tcW w:type="dxa" w:w="4680"/>
          </w:tcPr>
          <w:p>
            <w:r/>
            <w:r>
              <w:rPr>
                <w:b w:val="0"/>
                <w:i w:val="0"/>
                <w:sz w:val="19"/>
              </w:rPr>
              <w:t>39</w:t>
            </w:r>
          </w:p>
        </w:tc>
        <w:tc>
          <w:tcPr>
            <w:tcW w:type="dxa" w:w="4680"/>
          </w:tcPr>
          <w:p>
            <w:r/>
            <w:r>
              <w:rPr>
                <w:b w:val="0"/>
                <w:i w:val="0"/>
                <w:sz w:val="19"/>
              </w:rPr>
              <w:t>Trung tâm Millstein về Quản trị Công ty và Hiệu quả Hoạt động.</w:t>
            </w:r>
          </w:p>
        </w:tc>
      </w:tr>
      <w:tr>
        <w:tc>
          <w:tcPr>
            <w:tcW w:type="dxa" w:w="4680"/>
          </w:tcPr>
          <w:p>
            <w:r/>
            <w:r>
              <w:rPr>
                <w:b w:val="0"/>
                <w:i w:val="0"/>
                <w:sz w:val="19"/>
              </w:rPr>
              <w:t>40</w:t>
            </w:r>
          </w:p>
        </w:tc>
        <w:tc>
          <w:tcPr>
            <w:tcW w:type="dxa" w:w="4680"/>
          </w:tcPr>
          <w:p>
            <w:r/>
            <w:r>
              <w:rPr>
                <w:b w:val="0"/>
                <w:i w:val="0"/>
                <w:sz w:val="19"/>
              </w:rPr>
              <w:t>Trung tâm Millstein về Quản trị Công ty và Hiệu quả Hoạt động.</w:t>
            </w:r>
          </w:p>
        </w:tc>
      </w:tr>
      <w:tr>
        <w:tc>
          <w:tcPr>
            <w:tcW w:type="dxa" w:w="4680"/>
          </w:tcPr>
          <w:p>
            <w:r/>
            <w:r>
              <w:rPr>
                <w:b w:val="0"/>
                <w:i w:val="0"/>
                <w:sz w:val="19"/>
              </w:rPr>
              <w:t>41</w:t>
            </w:r>
          </w:p>
        </w:tc>
        <w:tc>
          <w:tcPr>
            <w:tcW w:type="dxa" w:w="4680"/>
          </w:tcPr>
          <w:p>
            <w:r/>
            <w:r>
              <w:rPr>
                <w:b w:val="0"/>
                <w:i w:val="0"/>
                <w:sz w:val="19"/>
              </w:rPr>
              <w:t>“Quản trị Công ty,” OECD, không ngày, https://www.oecd.org/corporate/OECD-Corporate-Governance-Factbook.pdf.</w:t>
            </w:r>
          </w:p>
        </w:tc>
      </w:tr>
      <w:tr>
        <w:tc>
          <w:tcPr>
            <w:tcW w:type="dxa" w:w="4680"/>
          </w:tcPr>
          <w:p>
            <w:r/>
            <w:r>
              <w:rPr>
                <w:b w:val="0"/>
                <w:i w:val="0"/>
                <w:sz w:val="19"/>
              </w:rPr>
              <w:t>42</w:t>
            </w:r>
          </w:p>
        </w:tc>
        <w:tc>
          <w:tcPr>
            <w:tcW w:type="dxa" w:w="4680"/>
          </w:tcPr>
          <w:p>
            <w:r/>
            <w:r>
              <w:rPr>
                <w:b w:val="0"/>
                <w:i w:val="0"/>
                <w:sz w:val="19"/>
              </w:rPr>
              <w:t xml:space="preserve">Ryan Krause và Matthew Semadeni, “Học việc, Rời đi và Giáng chức: Một Nghiên cứu về Ba Loại Tách biệt giữa CEO và Chủ tịch Hội đồng Quản trị,” </w:t>
            </w:r>
            <w:r>
              <w:rPr>
                <w:b w:val="0"/>
                <w:i/>
                <w:sz w:val="19"/>
              </w:rPr>
              <w:t>Academy of Management Journal</w:t>
            </w:r>
            <w:r>
              <w:rPr>
                <w:b w:val="0"/>
                <w:i w:val="0"/>
                <w:sz w:val="19"/>
              </w:rPr>
              <w:t xml:space="preserve"> 56, no. 3 (2013): 805–26, http://dx.doi.org/10.5465/amj.2011.0121.</w:t>
            </w:r>
          </w:p>
        </w:tc>
      </w:tr>
      <w:tr>
        <w:tc>
          <w:tcPr>
            <w:tcW w:type="dxa" w:w="4680"/>
          </w:tcPr>
          <w:p>
            <w:r/>
            <w:r>
              <w:rPr>
                <w:b w:val="0"/>
                <w:i w:val="0"/>
                <w:sz w:val="19"/>
              </w:rPr>
              <w:t>43</w:t>
            </w:r>
          </w:p>
        </w:tc>
        <w:tc>
          <w:tcPr>
            <w:tcW w:type="dxa" w:w="4680"/>
          </w:tcPr>
          <w:p>
            <w:r/>
            <w:r>
              <w:rPr>
                <w:b w:val="0"/>
                <w:i w:val="0"/>
                <w:sz w:val="19"/>
              </w:rPr>
              <w:t>Jamie Dimon, “Thư gửi cổ đông của Chủ tịch và CEO: Báo cáo thường niên 2023,” JPMorganChase, ngày 8 tháng 4 năm 2024, https://reports.jpmorganchase.com/investor-relations/2023/ar-ceo-letters.htm.</w:t>
            </w:r>
          </w:p>
        </w:tc>
      </w:tr>
      <w:tr>
        <w:tc>
          <w:tcPr>
            <w:tcW w:type="dxa" w:w="4680"/>
          </w:tcPr>
          <w:p>
            <w:r/>
            <w:r>
              <w:rPr>
                <w:b w:val="0"/>
                <w:i w:val="0"/>
                <w:sz w:val="19"/>
              </w:rPr>
              <w:t>44</w:t>
            </w:r>
          </w:p>
        </w:tc>
        <w:tc>
          <w:tcPr>
            <w:tcW w:type="dxa" w:w="4680"/>
          </w:tcPr>
          <w:p>
            <w:r/>
            <w:r>
              <w:rPr>
                <w:b w:val="0"/>
                <w:i w:val="0"/>
                <w:sz w:val="19"/>
              </w:rPr>
              <w:t>David F. Larcker và Brian Tayan, “Chủ tịch và CEO: Cuộc tranh luận về cấu trúc lãnh đạo hội đồng quản trị,” Stanford Closer Look Series, ngày 24 tháng 6 năm 2016, https://www.gsb.stanford.edu/sites/default/files/publication-pdf/cgri-closer-look-58-independent-chair.pdf.</w:t>
            </w:r>
          </w:p>
        </w:tc>
      </w:tr>
      <w:tr>
        <w:tc>
          <w:tcPr>
            <w:tcW w:type="dxa" w:w="4680"/>
          </w:tcPr>
          <w:p>
            <w:r/>
            <w:r>
              <w:rPr>
                <w:b w:val="0"/>
                <w:i w:val="0"/>
                <w:sz w:val="19"/>
              </w:rPr>
              <w:t>45</w:t>
            </w:r>
          </w:p>
        </w:tc>
        <w:tc>
          <w:tcPr>
            <w:tcW w:type="dxa" w:w="4680"/>
          </w:tcPr>
          <w:p>
            <w:r/>
            <w:r>
              <w:rPr>
                <w:b w:val="0"/>
                <w:i w:val="0"/>
                <w:sz w:val="19"/>
              </w:rPr>
              <w:t>Matteo Tonello, “Tách biệt vai trò Chủ tịch và CEO,” Harvard Law School Forum on Corporate Governance, ngày 1 tháng 9 năm 2011, https://corpgov.law.harvard.edu/2011/09/01/separation-of-chair-and-ceo-roles/.</w:t>
            </w:r>
          </w:p>
        </w:tc>
      </w:tr>
      <w:tr>
        <w:tc>
          <w:tcPr>
            <w:tcW w:type="dxa" w:w="4680"/>
          </w:tcPr>
          <w:p>
            <w:r/>
            <w:r>
              <w:rPr>
                <w:b w:val="0"/>
                <w:i w:val="0"/>
                <w:sz w:val="19"/>
              </w:rPr>
              <w:t>46</w:t>
            </w:r>
          </w:p>
        </w:tc>
        <w:tc>
          <w:tcPr>
            <w:tcW w:type="dxa" w:w="4680"/>
          </w:tcPr>
          <w:p>
            <w:r/>
            <w:r>
              <w:rPr>
                <w:b w:val="0"/>
                <w:i w:val="0"/>
                <w:sz w:val="19"/>
              </w:rPr>
              <w:t>Tonello.</w:t>
            </w:r>
          </w:p>
        </w:tc>
      </w:tr>
      <w:tr>
        <w:tc>
          <w:tcPr>
            <w:tcW w:type="dxa" w:w="4680"/>
          </w:tcPr>
          <w:p>
            <w:r/>
            <w:r>
              <w:rPr>
                <w:b w:val="0"/>
                <w:i w:val="0"/>
                <w:sz w:val="19"/>
              </w:rPr>
              <w:t>47</w:t>
            </w:r>
          </w:p>
        </w:tc>
        <w:tc>
          <w:tcPr>
            <w:tcW w:type="dxa" w:w="4680"/>
          </w:tcPr>
          <w:p>
            <w:r/>
            <w:r>
              <w:rPr>
                <w:b w:val="0"/>
                <w:i w:val="0"/>
                <w:sz w:val="19"/>
              </w:rPr>
              <w:t>Dennis Carey, Ram Charan, Joseph E. Griesedieck và Michael Useem, “Chọn người lãnh đạo hội đồng quản trị mới: Tám câu hỏi,” Knowledge at Wharton, ngày 7 tháng 3 năm 2023, https://knowledge.wharton.upenn.edu/article/choosing-a-new-board-leader-eight-questions/.</w:t>
            </w:r>
          </w:p>
        </w:tc>
      </w:tr>
      <w:tr>
        <w:tc>
          <w:tcPr>
            <w:tcW w:type="dxa" w:w="4680"/>
          </w:tcPr>
          <w:p>
            <w:r/>
            <w:r>
              <w:rPr>
                <w:b w:val="0"/>
                <w:i w:val="0"/>
                <w:sz w:val="19"/>
              </w:rPr>
              <w:t>48</w:t>
            </w:r>
          </w:p>
        </w:tc>
        <w:tc>
          <w:tcPr>
            <w:tcW w:type="dxa" w:w="4680"/>
          </w:tcPr>
          <w:p>
            <w:r/>
            <w:r>
              <w:rPr>
                <w:b w:val="0"/>
                <w:i w:val="0"/>
                <w:sz w:val="19"/>
              </w:rPr>
              <w:t>Larcker và Tayan, “Chủ tịch và CEO.”</w:t>
            </w:r>
          </w:p>
        </w:tc>
      </w:tr>
      <w:tr>
        <w:tc>
          <w:tcPr>
            <w:tcW w:type="dxa" w:w="4680"/>
          </w:tcPr>
          <w:p>
            <w:r/>
            <w:r>
              <w:rPr>
                <w:b w:val="0"/>
                <w:i w:val="0"/>
                <w:sz w:val="19"/>
              </w:rPr>
              <w:t>49</w:t>
            </w:r>
          </w:p>
        </w:tc>
        <w:tc>
          <w:tcPr>
            <w:tcW w:type="dxa" w:w="4680"/>
          </w:tcPr>
          <w:p>
            <w:r/>
            <w:r>
              <w:rPr>
                <w:b w:val="0"/>
                <w:i w:val="0"/>
                <w:sz w:val="19"/>
              </w:rPr>
              <w:t>Larcker và Tayan.</w:t>
            </w:r>
          </w:p>
        </w:tc>
      </w:tr>
      <w:tr>
        <w:tc>
          <w:tcPr>
            <w:tcW w:type="dxa" w:w="4680"/>
          </w:tcPr>
          <w:p>
            <w:r/>
            <w:r>
              <w:rPr>
                <w:b w:val="0"/>
                <w:i w:val="0"/>
                <w:sz w:val="19"/>
              </w:rPr>
              <w:t>50</w:t>
            </w:r>
          </w:p>
        </w:tc>
        <w:tc>
          <w:tcPr>
            <w:tcW w:type="dxa" w:w="4680"/>
          </w:tcPr>
          <w:p>
            <w:r/>
            <w:r>
              <w:rPr>
                <w:b w:val="0"/>
                <w:i w:val="0"/>
                <w:sz w:val="19"/>
              </w:rPr>
              <w:t>Michael Blanding, với sự tham gia của Hubert Joly, “Best Buy: Cách kết nối con người cứu một nhà bán lẻ đang thất bại,” Harvard Business School, ngày 4 tháng 5 năm 2021, https://www.library.hbs.edu/working-knowledge/best-buy-how-human-connection-saved-a-failing-retailer.</w:t>
            </w:r>
          </w:p>
        </w:tc>
      </w:tr>
      <w:tr>
        <w:tc>
          <w:tcPr>
            <w:tcW w:type="dxa" w:w="4680"/>
          </w:tcPr>
          <w:p>
            <w:r/>
            <w:r>
              <w:rPr>
                <w:b w:val="0"/>
                <w:i w:val="0"/>
                <w:sz w:val="19"/>
              </w:rPr>
              <w:t>51</w:t>
            </w:r>
          </w:p>
        </w:tc>
        <w:tc>
          <w:tcPr>
            <w:tcW w:type="dxa" w:w="4680"/>
          </w:tcPr>
          <w:p>
            <w:r/>
            <w:r>
              <w:rPr>
                <w:b w:val="0"/>
                <w:i w:val="0"/>
                <w:sz w:val="19"/>
              </w:rPr>
              <w:t>Larcker và Tayan, “Chairman and CEO.”</w:t>
            </w:r>
          </w:p>
        </w:tc>
      </w:tr>
      <w:tr>
        <w:tc>
          <w:tcPr>
            <w:tcW w:type="dxa" w:w="4680"/>
          </w:tcPr>
          <w:p>
            <w:r/>
            <w:r>
              <w:rPr>
                <w:b w:val="0"/>
                <w:i w:val="0"/>
                <w:sz w:val="19"/>
              </w:rPr>
              <w:t>52</w:t>
            </w:r>
          </w:p>
        </w:tc>
        <w:tc>
          <w:tcPr>
            <w:tcW w:type="dxa" w:w="4680"/>
          </w:tcPr>
          <w:p>
            <w:r/>
            <w:r>
              <w:rPr>
                <w:b w:val="0"/>
                <w:i w:val="0"/>
                <w:sz w:val="19"/>
              </w:rPr>
              <w:t>Mackenzie Weinger, “Dimon Keeps CEO, Chairman Titles,” Politico, May 15, 2012, https://www.politico.com/story/2012/05/dimon-keeps-ceo-chairman-titles-076323.</w:t>
            </w:r>
          </w:p>
        </w:tc>
      </w:tr>
      <w:tr>
        <w:tc>
          <w:tcPr>
            <w:tcW w:type="dxa" w:w="4680"/>
          </w:tcPr>
          <w:p>
            <w:r/>
            <w:r>
              <w:rPr>
                <w:b w:val="0"/>
                <w:i w:val="0"/>
                <w:sz w:val="19"/>
              </w:rPr>
              <w:t>53</w:t>
            </w:r>
          </w:p>
        </w:tc>
        <w:tc>
          <w:tcPr>
            <w:tcW w:type="dxa" w:w="4680"/>
          </w:tcPr>
          <w:p>
            <w:r/>
            <w:r>
              <w:rPr>
                <w:b w:val="0"/>
                <w:i w:val="0"/>
                <w:sz w:val="19"/>
              </w:rPr>
              <w:t>Donal Griffin, “Stripping Dimon of Chairman Title Is ‘Nuts,’ Langone Says,” Bloomberg, April 26, 2013, https://www.bloomberg.com/news/articles/2013-04-26/stripping-dimon-of-chairman-title-is-nuts-langone-says.</w:t>
            </w:r>
          </w:p>
        </w:tc>
      </w:tr>
    </w:tbl>
    <w:p>
      <w:pPr>
        <w:spacing w:after="0"/>
      </w:pPr>
    </w:p>
    <w:p>
      <w:pPr>
        <w:pStyle w:val="Heading2"/>
      </w:pPr>
      <w:r>
        <w:rPr>
          <w:rFonts w:ascii="Calibri" w:hAnsi="Calibri"/>
          <w:b/>
          <w:i w:val="0"/>
          <w:sz w:val="32"/>
        </w:rPr>
        <w:t>Chương 6: Sáp nhập, Mua lại và Bán công ty</w:t>
      </w:r>
    </w:p>
    <w:tbl>
      <w:tblPr>
        <w:tblStyle w:val="TableGrid"/>
        <w:tblW w:type="auto" w:w="0"/>
        <w:tblLook w:firstColumn="1" w:firstRow="1" w:lastColumn="0" w:lastRow="0" w:noHBand="0" w:noVBand="1" w:val="04A0"/>
      </w:tblPr>
      <w:tblGrid>
        <w:gridCol w:w="4680"/>
        <w:gridCol w:w="4680"/>
      </w:tblGrid>
      <w:tr>
        <w:tc>
          <w:tcPr>
            <w:tcW w:type="dxa" w:w="4680"/>
          </w:tcPr>
          <w:p>
            <w:r/>
            <w:r>
              <w:rPr>
                <w:b w:val="0"/>
                <w:i w:val="0"/>
                <w:sz w:val="19"/>
              </w:rPr>
              <w:t>1</w:t>
            </w:r>
          </w:p>
        </w:tc>
        <w:tc>
          <w:tcPr>
            <w:tcW w:type="dxa" w:w="4680"/>
          </w:tcPr>
          <w:p>
            <w:r/>
            <w:r>
              <w:rPr>
                <w:b w:val="0"/>
                <w:i w:val="0"/>
                <w:sz w:val="19"/>
              </w:rPr>
              <w:t>“Shareholder Litigation Involving Acquisitions of Public Companies,” Cornerstone Research, 2019, https://www.cornerstone.com/wp-content/uploads/2021/12/Shareholder-Litigation-Involving-Acquisitions-of-Public-Companies-2018.pdf.</w:t>
            </w:r>
          </w:p>
        </w:tc>
      </w:tr>
      <w:tr>
        <w:tc>
          <w:tcPr>
            <w:tcW w:type="dxa" w:w="4680"/>
          </w:tcPr>
          <w:p>
            <w:r/>
            <w:r>
              <w:rPr>
                <w:b w:val="0"/>
                <w:i w:val="0"/>
                <w:sz w:val="19"/>
              </w:rPr>
              <w:t>2</w:t>
            </w:r>
          </w:p>
        </w:tc>
        <w:tc>
          <w:tcPr>
            <w:tcW w:type="dxa" w:w="4680"/>
          </w:tcPr>
          <w:p>
            <w:r/>
            <w:r>
              <w:rPr>
                <w:b w:val="0"/>
                <w:i w:val="0"/>
                <w:sz w:val="19"/>
              </w:rPr>
              <w:t>Elizabeth Clark và Courtney Quirós, “The Last of Us: Mergers and Acquisitions Lawsuits in Decline,” American Bar Association, May 30, 2023, https://www.americanbar.org/groups/litigation/resources/newsletters/class-actions-derivative-suits/last-us-mergers-acquisitions-lawsuits-decline/; “Securities Class Action Filings: 2023 Midyear Assessment,” Cornerstone Research, 2023, https://www.cornerstone.com/wp-content/uploads/2023/07/Securities-Class-Action-Filings-2023-Midyear-Assessment.pdf.</w:t>
            </w:r>
          </w:p>
        </w:tc>
      </w:tr>
      <w:tr>
        <w:tc>
          <w:tcPr>
            <w:tcW w:type="dxa" w:w="4680"/>
          </w:tcPr>
          <w:p>
            <w:r/>
            <w:r>
              <w:rPr>
                <w:b w:val="0"/>
                <w:i w:val="0"/>
                <w:sz w:val="19"/>
              </w:rPr>
              <w:t>3</w:t>
            </w:r>
          </w:p>
        </w:tc>
        <w:tc>
          <w:tcPr>
            <w:tcW w:type="dxa" w:w="4680"/>
          </w:tcPr>
          <w:p>
            <w:r/>
            <w:r>
              <w:rPr>
                <w:b w:val="0"/>
                <w:i w:val="0"/>
                <w:sz w:val="19"/>
              </w:rPr>
              <w:t>Marina Martynova và Luc Renneboog, “A Century of Corporate Takeovers: What Have We Learned and Where Do We Stand?,” ECGI, https://www.ecgi.global/sites/default/files/working_papers/documents/SSRN-id820984.pdf.</w:t>
            </w:r>
          </w:p>
        </w:tc>
      </w:tr>
      <w:tr>
        <w:tc>
          <w:tcPr>
            <w:tcW w:type="dxa" w:w="4680"/>
          </w:tcPr>
          <w:p>
            <w:r/>
            <w:r>
              <w:rPr>
                <w:b w:val="0"/>
                <w:i w:val="0"/>
                <w:sz w:val="19"/>
              </w:rPr>
              <w:t>4</w:t>
            </w:r>
          </w:p>
        </w:tc>
        <w:tc>
          <w:tcPr>
            <w:tcW w:type="dxa" w:w="4680"/>
          </w:tcPr>
          <w:p>
            <w:r/>
            <w:r>
              <w:rPr>
                <w:b w:val="0"/>
                <w:i w:val="0"/>
                <w:sz w:val="19"/>
              </w:rPr>
              <w:t>Martynova và Renneboog.</w:t>
            </w:r>
          </w:p>
        </w:tc>
      </w:tr>
      <w:tr>
        <w:tc>
          <w:tcPr>
            <w:tcW w:type="dxa" w:w="4680"/>
          </w:tcPr>
          <w:p>
            <w:r/>
            <w:r>
              <w:rPr>
                <w:b w:val="0"/>
                <w:i w:val="0"/>
                <w:sz w:val="19"/>
              </w:rPr>
              <w:t>5</w:t>
            </w:r>
          </w:p>
        </w:tc>
        <w:tc>
          <w:tcPr>
            <w:tcW w:type="dxa" w:w="4680"/>
          </w:tcPr>
          <w:p>
            <w:r/>
            <w:r>
              <w:rPr>
                <w:b w:val="0"/>
                <w:i w:val="0"/>
                <w:sz w:val="19"/>
              </w:rPr>
              <w:t>Emily Liner, “What’s behind the All-Time High in M&amp;A?,” Harvard Law School Forum on Corporate Governance, March 16, 2016, https://corpgov.law.harvard.edu/2016/03/16/whats-behind-the-all-time-high-in-ma/.</w:t>
            </w:r>
          </w:p>
        </w:tc>
      </w:tr>
      <w:tr>
        <w:tc>
          <w:tcPr>
            <w:tcW w:type="dxa" w:w="4680"/>
          </w:tcPr>
          <w:p>
            <w:r/>
            <w:r>
              <w:rPr>
                <w:b w:val="0"/>
                <w:i w:val="0"/>
                <w:sz w:val="19"/>
              </w:rPr>
              <w:t>6</w:t>
            </w:r>
          </w:p>
        </w:tc>
        <w:tc>
          <w:tcPr>
            <w:tcW w:type="dxa" w:w="4680"/>
          </w:tcPr>
          <w:p>
            <w:r/>
            <w:r>
              <w:rPr>
                <w:b w:val="0"/>
                <w:i w:val="0"/>
                <w:sz w:val="19"/>
              </w:rPr>
              <w:t>Liner.</w:t>
            </w:r>
          </w:p>
        </w:tc>
      </w:tr>
      <w:tr>
        <w:tc>
          <w:tcPr>
            <w:tcW w:type="dxa" w:w="4680"/>
          </w:tcPr>
          <w:p>
            <w:r/>
            <w:r>
              <w:rPr>
                <w:b w:val="0"/>
                <w:i w:val="0"/>
                <w:sz w:val="19"/>
              </w:rPr>
              <w:t>7</w:t>
            </w:r>
          </w:p>
        </w:tc>
        <w:tc>
          <w:tcPr>
            <w:tcW w:type="dxa" w:w="4680"/>
          </w:tcPr>
          <w:p>
            <w:r/>
            <w:r>
              <w:rPr>
                <w:b w:val="0"/>
                <w:i w:val="0"/>
                <w:sz w:val="19"/>
              </w:rPr>
              <w:t xml:space="preserve">Sangjun Cho và Chune Young Chung, “Review of the Literature on Merger Waves,” </w:t>
            </w:r>
            <w:r>
              <w:rPr>
                <w:b w:val="0"/>
                <w:i/>
                <w:sz w:val="19"/>
              </w:rPr>
              <w:t>Journal of Risk and Financial Management</w:t>
            </w:r>
            <w:r>
              <w:rPr>
                <w:b w:val="0"/>
                <w:i w:val="0"/>
                <w:sz w:val="19"/>
              </w:rPr>
              <w:t xml:space="preserve"> 15, no. 10 (2022): 432, https://www.mdpi.com/1911-8074/15/10/432.</w:t>
            </w:r>
          </w:p>
        </w:tc>
      </w:tr>
      <w:tr>
        <w:tc>
          <w:tcPr>
            <w:tcW w:type="dxa" w:w="4680"/>
          </w:tcPr>
          <w:p>
            <w:r/>
            <w:r>
              <w:rPr>
                <w:b w:val="0"/>
                <w:i w:val="0"/>
                <w:sz w:val="19"/>
              </w:rPr>
              <w:t>8</w:t>
            </w:r>
          </w:p>
        </w:tc>
        <w:tc>
          <w:tcPr>
            <w:tcW w:type="dxa" w:w="4680"/>
          </w:tcPr>
          <w:p>
            <w:r/>
            <w:r>
              <w:rPr>
                <w:b w:val="0"/>
                <w:i w:val="0"/>
                <w:sz w:val="19"/>
              </w:rPr>
              <w:t>“United States—M&amp;A Statistics,” IMAA—Institute for Mergers, Acquisitions, and Alliances, December 20, 2024, https://imaa-institute.org/mergers-and-acquisitions-statistics/united-states-ma-statistics/.</w:t>
            </w:r>
          </w:p>
        </w:tc>
      </w:tr>
      <w:tr>
        <w:tc>
          <w:tcPr>
            <w:tcW w:type="dxa" w:w="4680"/>
          </w:tcPr>
          <w:p>
            <w:r/>
            <w:r>
              <w:rPr>
                <w:b w:val="0"/>
                <w:i w:val="0"/>
                <w:sz w:val="19"/>
              </w:rPr>
              <w:t>9</w:t>
            </w:r>
          </w:p>
        </w:tc>
        <w:tc>
          <w:tcPr>
            <w:tcW w:type="dxa" w:w="4680"/>
          </w:tcPr>
          <w:p>
            <w:r/>
            <w:r>
              <w:rPr>
                <w:b w:val="0"/>
                <w:i w:val="0"/>
                <w:sz w:val="19"/>
              </w:rPr>
              <w:t>“United States—M&amp;A Statistics.”</w:t>
            </w:r>
          </w:p>
        </w:tc>
      </w:tr>
      <w:tr>
        <w:tc>
          <w:tcPr>
            <w:tcW w:type="dxa" w:w="4680"/>
          </w:tcPr>
          <w:p>
            <w:r/>
            <w:r>
              <w:rPr>
                <w:b w:val="0"/>
                <w:i w:val="0"/>
                <w:sz w:val="19"/>
              </w:rPr>
              <w:t>10</w:t>
            </w:r>
          </w:p>
        </w:tc>
        <w:tc>
          <w:tcPr>
            <w:tcW w:type="dxa" w:w="4680"/>
          </w:tcPr>
          <w:p>
            <w:r/>
            <w:r>
              <w:rPr>
                <w:b w:val="0"/>
                <w:i w:val="0"/>
                <w:sz w:val="19"/>
              </w:rPr>
              <w:t>Berkeley Lovelace Jr., “Steve Case to AT&amp;T: Learn from My AOL-Time Warner Failures,” CNBC, June 13, 2018, https://www.cnbc.com/2018/06/13/steve-case-to-att-learn-from-my-aol-time-warner-failures.html.</w:t>
            </w:r>
          </w:p>
        </w:tc>
      </w:tr>
      <w:tr>
        <w:tc>
          <w:tcPr>
            <w:tcW w:type="dxa" w:w="4680"/>
          </w:tcPr>
          <w:p>
            <w:r/>
            <w:r>
              <w:rPr>
                <w:b w:val="0"/>
                <w:i w:val="0"/>
                <w:sz w:val="19"/>
              </w:rPr>
              <w:t>11.</w:t>
            </w:r>
          </w:p>
        </w:tc>
        <w:tc>
          <w:tcPr>
            <w:tcW w:type="dxa" w:w="4680"/>
          </w:tcPr>
          <w:p>
            <w:r/>
            <w:r>
              <w:rPr>
                <w:b w:val="0"/>
                <w:i w:val="0"/>
                <w:sz w:val="19"/>
              </w:rPr>
              <w:t xml:space="preserve">Bruce Nelan, “Felix Rohatyn, Wall Street Wizard Who Helped Save NYC From Bankruptcy, Dies at 91,” </w:t>
            </w:r>
            <w:r>
              <w:rPr>
                <w:b w:val="0"/>
                <w:i/>
                <w:sz w:val="19"/>
              </w:rPr>
              <w:t>Washington Post</w:t>
            </w:r>
            <w:r>
              <w:rPr>
                <w:b w:val="0"/>
                <w:i w:val="0"/>
                <w:sz w:val="19"/>
              </w:rPr>
              <w:t>, December 14, 2019, https://www.washingtonpost.com/local/obituaries/felix-rohatyn-wall-street-wizard-who-helped-save-nyc-from-bankruptcy-dies-at-91/2019/12/14/41f880fe-1ebe-11ea-87f7-f2e91143c60d_story.html.</w:t>
            </w:r>
          </w:p>
        </w:tc>
      </w:tr>
      <w:tr>
        <w:tc>
          <w:tcPr>
            <w:tcW w:type="dxa" w:w="4680"/>
          </w:tcPr>
          <w:p>
            <w:r/>
            <w:r>
              <w:rPr>
                <w:b w:val="0"/>
                <w:i w:val="0"/>
                <w:sz w:val="19"/>
              </w:rPr>
              <w:t>12</w:t>
            </w:r>
          </w:p>
        </w:tc>
        <w:tc>
          <w:tcPr>
            <w:tcW w:type="dxa" w:w="4680"/>
          </w:tcPr>
          <w:p>
            <w:r/>
            <w:r>
              <w:rPr>
                <w:b w:val="0"/>
                <w:i w:val="0"/>
                <w:sz w:val="19"/>
              </w:rPr>
              <w:t xml:space="preserve">Sewell Chan, “Felix G. Rohatyn, Financier Who Piloted New York’s Rescue, Dies at 91,” </w:t>
            </w:r>
            <w:r>
              <w:rPr>
                <w:b w:val="0"/>
                <w:i/>
                <w:sz w:val="19"/>
              </w:rPr>
              <w:t>New York Times</w:t>
            </w:r>
            <w:r>
              <w:rPr>
                <w:b w:val="0"/>
                <w:i w:val="0"/>
                <w:sz w:val="19"/>
              </w:rPr>
              <w:t>, December 23, 2019, https://www.nytimes.com/2019/12/14/nyregion/felix-rohatyn-dead.html.</w:t>
            </w:r>
          </w:p>
        </w:tc>
      </w:tr>
      <w:tr>
        <w:tc>
          <w:tcPr>
            <w:tcW w:type="dxa" w:w="4680"/>
          </w:tcPr>
          <w:p>
            <w:r/>
            <w:r>
              <w:rPr>
                <w:b w:val="0"/>
                <w:i w:val="0"/>
                <w:sz w:val="19"/>
              </w:rPr>
              <w:t>13</w:t>
            </w:r>
          </w:p>
        </w:tc>
        <w:tc>
          <w:tcPr>
            <w:tcW w:type="dxa" w:w="4680"/>
          </w:tcPr>
          <w:p>
            <w:r/>
            <w:r>
              <w:rPr>
                <w:b w:val="0"/>
                <w:i/>
                <w:sz w:val="19"/>
              </w:rPr>
              <w:t>Smith v. Van Gorkom</w:t>
            </w:r>
            <w:r>
              <w:rPr>
                <w:b w:val="0"/>
                <w:i w:val="0"/>
                <w:sz w:val="19"/>
              </w:rPr>
              <w:t>, 488 A.2d 858 (Del. 1985).</w:t>
            </w:r>
          </w:p>
        </w:tc>
      </w:tr>
      <w:tr>
        <w:tc>
          <w:tcPr>
            <w:tcW w:type="dxa" w:w="4680"/>
          </w:tcPr>
          <w:p>
            <w:r/>
            <w:r>
              <w:rPr>
                <w:b w:val="0"/>
                <w:i w:val="0"/>
                <w:sz w:val="19"/>
              </w:rPr>
              <w:t>14</w:t>
            </w:r>
          </w:p>
        </w:tc>
        <w:tc>
          <w:tcPr>
            <w:tcW w:type="dxa" w:w="4680"/>
          </w:tcPr>
          <w:p>
            <w:r/>
            <w:r>
              <w:rPr>
                <w:b w:val="0"/>
                <w:i/>
                <w:sz w:val="19"/>
              </w:rPr>
              <w:t>Smith v. Van Gorkom</w:t>
            </w:r>
            <w:r>
              <w:rPr>
                <w:b w:val="0"/>
                <w:i w:val="0"/>
                <w:sz w:val="19"/>
              </w:rPr>
              <w:t>.</w:t>
            </w:r>
          </w:p>
        </w:tc>
      </w:tr>
      <w:tr>
        <w:tc>
          <w:tcPr>
            <w:tcW w:type="dxa" w:w="4680"/>
          </w:tcPr>
          <w:p>
            <w:r/>
            <w:r>
              <w:rPr>
                <w:b w:val="0"/>
                <w:i w:val="0"/>
                <w:sz w:val="19"/>
              </w:rPr>
              <w:t>15</w:t>
            </w:r>
          </w:p>
        </w:tc>
        <w:tc>
          <w:tcPr>
            <w:tcW w:type="dxa" w:w="4680"/>
          </w:tcPr>
          <w:p>
            <w:r/>
            <w:r>
              <w:rPr>
                <w:b w:val="0"/>
                <w:i/>
                <w:sz w:val="19"/>
              </w:rPr>
              <w:t>Smith v. Van Gorkom</w:t>
            </w:r>
            <w:r>
              <w:rPr>
                <w:b w:val="0"/>
                <w:i w:val="0"/>
                <w:sz w:val="19"/>
              </w:rPr>
              <w:t>.</w:t>
            </w:r>
          </w:p>
        </w:tc>
      </w:tr>
      <w:tr>
        <w:tc>
          <w:tcPr>
            <w:tcW w:type="dxa" w:w="4680"/>
          </w:tcPr>
          <w:p>
            <w:r/>
            <w:r>
              <w:rPr>
                <w:b w:val="0"/>
                <w:i w:val="0"/>
                <w:sz w:val="19"/>
              </w:rPr>
              <w:t>16</w:t>
            </w:r>
          </w:p>
        </w:tc>
        <w:tc>
          <w:tcPr>
            <w:tcW w:type="dxa" w:w="4680"/>
          </w:tcPr>
          <w:p>
            <w:r/>
            <w:r>
              <w:rPr>
                <w:b w:val="0"/>
                <w:i/>
                <w:sz w:val="19"/>
              </w:rPr>
              <w:t>Smith v. Van Gorkom</w:t>
            </w:r>
            <w:r>
              <w:rPr>
                <w:b w:val="0"/>
                <w:i w:val="0"/>
                <w:sz w:val="19"/>
              </w:rPr>
              <w:t>.</w:t>
            </w:r>
          </w:p>
        </w:tc>
      </w:tr>
      <w:tr>
        <w:tc>
          <w:tcPr>
            <w:tcW w:type="dxa" w:w="4680"/>
          </w:tcPr>
          <w:p>
            <w:r/>
            <w:r>
              <w:rPr>
                <w:b w:val="0"/>
                <w:i w:val="0"/>
                <w:sz w:val="19"/>
              </w:rPr>
              <w:t>17</w:t>
            </w:r>
          </w:p>
        </w:tc>
        <w:tc>
          <w:tcPr>
            <w:tcW w:type="dxa" w:w="4680"/>
          </w:tcPr>
          <w:p>
            <w:r/>
            <w:r>
              <w:rPr>
                <w:b w:val="0"/>
                <w:i/>
                <w:sz w:val="19"/>
              </w:rPr>
              <w:t>Smith v. Van Gorkom</w:t>
            </w:r>
            <w:r>
              <w:rPr>
                <w:b w:val="0"/>
                <w:i w:val="0"/>
                <w:sz w:val="19"/>
              </w:rPr>
              <w:t>.</w:t>
            </w:r>
          </w:p>
        </w:tc>
      </w:tr>
      <w:tr>
        <w:tc>
          <w:tcPr>
            <w:tcW w:type="dxa" w:w="4680"/>
          </w:tcPr>
          <w:p>
            <w:r/>
            <w:r>
              <w:rPr>
                <w:b w:val="0"/>
                <w:i w:val="0"/>
                <w:sz w:val="19"/>
              </w:rPr>
              <w:t>18</w:t>
            </w:r>
          </w:p>
        </w:tc>
        <w:tc>
          <w:tcPr>
            <w:tcW w:type="dxa" w:w="4680"/>
          </w:tcPr>
          <w:p>
            <w:r/>
            <w:r>
              <w:rPr>
                <w:b w:val="0"/>
                <w:i/>
                <w:sz w:val="19"/>
              </w:rPr>
              <w:t>Smith v. Van Gorkom</w:t>
            </w:r>
            <w:r>
              <w:rPr>
                <w:b w:val="0"/>
                <w:i w:val="0"/>
                <w:sz w:val="19"/>
              </w:rPr>
              <w:t>.</w:t>
            </w:r>
          </w:p>
        </w:tc>
      </w:tr>
      <w:tr>
        <w:tc>
          <w:tcPr>
            <w:tcW w:type="dxa" w:w="4680"/>
          </w:tcPr>
          <w:p>
            <w:r/>
            <w:r>
              <w:rPr>
                <w:b w:val="0"/>
                <w:i w:val="0"/>
                <w:sz w:val="19"/>
              </w:rPr>
              <w:t>19</w:t>
            </w:r>
          </w:p>
        </w:tc>
        <w:tc>
          <w:tcPr>
            <w:tcW w:type="dxa" w:w="4680"/>
          </w:tcPr>
          <w:p>
            <w:r/>
            <w:r>
              <w:rPr>
                <w:b w:val="0"/>
                <w:i/>
                <w:sz w:val="19"/>
              </w:rPr>
              <w:t>Smith v. Van Gorkom</w:t>
            </w:r>
            <w:r>
              <w:rPr>
                <w:b w:val="0"/>
                <w:i w:val="0"/>
                <w:sz w:val="19"/>
              </w:rPr>
              <w:t>.</w:t>
            </w:r>
          </w:p>
        </w:tc>
      </w:tr>
      <w:tr>
        <w:tc>
          <w:tcPr>
            <w:tcW w:type="dxa" w:w="4680"/>
          </w:tcPr>
          <w:p>
            <w:r/>
            <w:r>
              <w:rPr>
                <w:b w:val="0"/>
                <w:i w:val="0"/>
                <w:sz w:val="19"/>
              </w:rPr>
              <w:t>20</w:t>
            </w:r>
          </w:p>
        </w:tc>
        <w:tc>
          <w:tcPr>
            <w:tcW w:type="dxa" w:w="4680"/>
          </w:tcPr>
          <w:p>
            <w:r/>
            <w:r>
              <w:rPr>
                <w:b w:val="0"/>
                <w:i/>
                <w:sz w:val="19"/>
              </w:rPr>
              <w:t>Smith v. Van Gorkom</w:t>
            </w:r>
            <w:r>
              <w:rPr>
                <w:b w:val="0"/>
                <w:i w:val="0"/>
                <w:sz w:val="19"/>
              </w:rPr>
              <w:t>.</w:t>
            </w:r>
          </w:p>
        </w:tc>
      </w:tr>
      <w:tr>
        <w:tc>
          <w:tcPr>
            <w:tcW w:type="dxa" w:w="4680"/>
          </w:tcPr>
          <w:p>
            <w:r/>
            <w:r>
              <w:rPr>
                <w:b w:val="0"/>
                <w:i w:val="0"/>
                <w:sz w:val="19"/>
              </w:rPr>
              <w:t>21</w:t>
            </w:r>
          </w:p>
        </w:tc>
        <w:tc>
          <w:tcPr>
            <w:tcW w:type="dxa" w:w="4680"/>
          </w:tcPr>
          <w:p>
            <w:r/>
            <w:r>
              <w:rPr>
                <w:b w:val="0"/>
                <w:i/>
                <w:sz w:val="19"/>
              </w:rPr>
              <w:t>Smith v. Van Gorkom</w:t>
            </w:r>
            <w:r>
              <w:rPr>
                <w:b w:val="0"/>
                <w:i w:val="0"/>
                <w:sz w:val="19"/>
              </w:rPr>
              <w:t>.</w:t>
            </w:r>
          </w:p>
        </w:tc>
      </w:tr>
      <w:tr>
        <w:tc>
          <w:tcPr>
            <w:tcW w:type="dxa" w:w="4680"/>
          </w:tcPr>
          <w:p>
            <w:r/>
            <w:r>
              <w:rPr>
                <w:b w:val="0"/>
                <w:i w:val="0"/>
                <w:sz w:val="19"/>
              </w:rPr>
              <w:t>22</w:t>
            </w:r>
          </w:p>
        </w:tc>
        <w:tc>
          <w:tcPr>
            <w:tcW w:type="dxa" w:w="4680"/>
          </w:tcPr>
          <w:p>
            <w:r/>
            <w:r>
              <w:rPr>
                <w:b w:val="0"/>
                <w:i/>
                <w:sz w:val="19"/>
              </w:rPr>
              <w:t>Smith v. Van Gorkom</w:t>
            </w:r>
            <w:r>
              <w:rPr>
                <w:b w:val="0"/>
                <w:i w:val="0"/>
                <w:sz w:val="19"/>
              </w:rPr>
              <w:t>.</w:t>
            </w:r>
          </w:p>
        </w:tc>
      </w:tr>
      <w:tr>
        <w:tc>
          <w:tcPr>
            <w:tcW w:type="dxa" w:w="4680"/>
          </w:tcPr>
          <w:p>
            <w:r/>
            <w:r>
              <w:rPr>
                <w:b w:val="0"/>
                <w:i w:val="0"/>
                <w:sz w:val="19"/>
              </w:rPr>
              <w:t>23</w:t>
            </w:r>
          </w:p>
        </w:tc>
        <w:tc>
          <w:tcPr>
            <w:tcW w:type="dxa" w:w="4680"/>
          </w:tcPr>
          <w:p>
            <w:r/>
            <w:r>
              <w:rPr>
                <w:b w:val="0"/>
                <w:i/>
                <w:sz w:val="19"/>
              </w:rPr>
              <w:t>Smith v. Van Gorkom</w:t>
            </w:r>
            <w:r>
              <w:rPr>
                <w:b w:val="0"/>
                <w:i w:val="0"/>
                <w:sz w:val="19"/>
              </w:rPr>
              <w:t>.</w:t>
            </w:r>
          </w:p>
        </w:tc>
      </w:tr>
      <w:tr>
        <w:tc>
          <w:tcPr>
            <w:tcW w:type="dxa" w:w="4680"/>
          </w:tcPr>
          <w:p>
            <w:r/>
            <w:r>
              <w:rPr>
                <w:b w:val="0"/>
                <w:i w:val="0"/>
                <w:sz w:val="19"/>
              </w:rPr>
              <w:t>24</w:t>
            </w:r>
          </w:p>
        </w:tc>
        <w:tc>
          <w:tcPr>
            <w:tcW w:type="dxa" w:w="4680"/>
          </w:tcPr>
          <w:p>
            <w:r/>
            <w:r>
              <w:rPr>
                <w:b w:val="0"/>
                <w:i w:val="0"/>
                <w:sz w:val="19"/>
              </w:rPr>
              <w:t xml:space="preserve">Stephen A. Radin, “The Director’s Duty of Care Three Years after Smith v. Van Gorkom,” </w:t>
            </w:r>
            <w:r>
              <w:rPr>
                <w:b w:val="0"/>
                <w:i/>
                <w:sz w:val="19"/>
              </w:rPr>
              <w:t>Hastings Law Journal</w:t>
            </w:r>
            <w:r>
              <w:rPr>
                <w:b w:val="0"/>
                <w:i w:val="0"/>
                <w:sz w:val="19"/>
              </w:rPr>
              <w:t xml:space="preserve"> 39 (1988), https://repository.uchastings.edu/hastings_law_journal/vol39/iss3/9.</w:t>
            </w:r>
          </w:p>
        </w:tc>
      </w:tr>
      <w:tr>
        <w:tc>
          <w:tcPr>
            <w:tcW w:type="dxa" w:w="4680"/>
          </w:tcPr>
          <w:p>
            <w:r/>
            <w:r>
              <w:rPr>
                <w:b w:val="0"/>
                <w:i w:val="0"/>
                <w:sz w:val="19"/>
              </w:rPr>
              <w:t>25</w:t>
            </w:r>
          </w:p>
        </w:tc>
        <w:tc>
          <w:tcPr>
            <w:tcW w:type="dxa" w:w="4680"/>
          </w:tcPr>
          <w:p>
            <w:r/>
            <w:r>
              <w:rPr>
                <w:b w:val="0"/>
                <w:i w:val="0"/>
                <w:sz w:val="19"/>
              </w:rPr>
              <w:t>Radin.</w:t>
            </w:r>
          </w:p>
        </w:tc>
      </w:tr>
      <w:tr>
        <w:tc>
          <w:tcPr>
            <w:tcW w:type="dxa" w:w="4680"/>
          </w:tcPr>
          <w:p>
            <w:r/>
            <w:r>
              <w:rPr>
                <w:b w:val="0"/>
                <w:i w:val="0"/>
                <w:sz w:val="19"/>
              </w:rPr>
              <w:t>26</w:t>
            </w:r>
          </w:p>
        </w:tc>
        <w:tc>
          <w:tcPr>
            <w:tcW w:type="dxa" w:w="4680"/>
          </w:tcPr>
          <w:p>
            <w:r/>
            <w:r>
              <w:rPr>
                <w:b w:val="0"/>
                <w:i w:val="0"/>
                <w:sz w:val="19"/>
              </w:rPr>
              <w:t>Radin.</w:t>
            </w:r>
          </w:p>
        </w:tc>
      </w:tr>
      <w:tr>
        <w:tc>
          <w:tcPr>
            <w:tcW w:type="dxa" w:w="4680"/>
          </w:tcPr>
          <w:p>
            <w:r/>
            <w:r>
              <w:rPr>
                <w:b w:val="0"/>
                <w:i w:val="0"/>
                <w:sz w:val="19"/>
              </w:rPr>
              <w:t>27</w:t>
            </w:r>
          </w:p>
        </w:tc>
        <w:tc>
          <w:tcPr>
            <w:tcW w:type="dxa" w:w="4680"/>
          </w:tcPr>
          <w:p>
            <w:r/>
            <w:r>
              <w:rPr>
                <w:b w:val="0"/>
                <w:i w:val="0"/>
                <w:sz w:val="19"/>
              </w:rPr>
              <w:t xml:space="preserve">Bernard S. Sharfman, “The Enduring Legacy of Smith v. Van Gorkom,” </w:t>
            </w:r>
            <w:r>
              <w:rPr>
                <w:b w:val="0"/>
                <w:i/>
                <w:sz w:val="19"/>
              </w:rPr>
              <w:t>Delaware Journal of Corporate Law</w:t>
            </w:r>
            <w:r>
              <w:rPr>
                <w:b w:val="0"/>
                <w:i w:val="0"/>
                <w:sz w:val="19"/>
              </w:rPr>
              <w:t xml:space="preserve"> 33, no. 2 (2008): 287–309, October 7, 2008, https://ssrn.com/abstract=1059962.</w:t>
            </w:r>
          </w:p>
        </w:tc>
      </w:tr>
      <w:tr>
        <w:tc>
          <w:tcPr>
            <w:tcW w:type="dxa" w:w="4680"/>
          </w:tcPr>
          <w:p>
            <w:r/>
            <w:r>
              <w:rPr>
                <w:b w:val="0"/>
                <w:i w:val="0"/>
                <w:sz w:val="19"/>
              </w:rPr>
              <w:t>28</w:t>
            </w:r>
          </w:p>
        </w:tc>
        <w:tc>
          <w:tcPr>
            <w:tcW w:type="dxa" w:w="4680"/>
          </w:tcPr>
          <w:p>
            <w:r/>
            <w:r>
              <w:rPr>
                <w:b w:val="0"/>
                <w:i w:val="0"/>
                <w:sz w:val="19"/>
              </w:rPr>
              <w:t>Sharfman.</w:t>
            </w:r>
          </w:p>
        </w:tc>
      </w:tr>
      <w:tr>
        <w:tc>
          <w:tcPr>
            <w:tcW w:type="dxa" w:w="4680"/>
          </w:tcPr>
          <w:p>
            <w:r/>
            <w:r>
              <w:rPr>
                <w:b w:val="0"/>
                <w:i w:val="0"/>
                <w:sz w:val="19"/>
              </w:rPr>
              <w:t>29</w:t>
            </w:r>
          </w:p>
        </w:tc>
        <w:tc>
          <w:tcPr>
            <w:tcW w:type="dxa" w:w="4680"/>
          </w:tcPr>
          <w:p>
            <w:r/>
            <w:r>
              <w:rPr>
                <w:b w:val="0"/>
                <w:i w:val="0"/>
                <w:sz w:val="19"/>
              </w:rPr>
              <w:t>Radin, “Director’s Duty of Care.”</w:t>
            </w:r>
          </w:p>
        </w:tc>
      </w:tr>
      <w:tr>
        <w:tc>
          <w:tcPr>
            <w:tcW w:type="dxa" w:w="4680"/>
          </w:tcPr>
          <w:p>
            <w:r/>
            <w:r>
              <w:rPr>
                <w:b w:val="0"/>
                <w:i w:val="0"/>
                <w:sz w:val="19"/>
              </w:rPr>
              <w:t>30</w:t>
            </w:r>
          </w:p>
        </w:tc>
        <w:tc>
          <w:tcPr>
            <w:tcW w:type="dxa" w:w="4680"/>
          </w:tcPr>
          <w:p>
            <w:r/>
            <w:r>
              <w:rPr>
                <w:b w:val="0"/>
                <w:i w:val="0"/>
                <w:sz w:val="19"/>
              </w:rPr>
              <w:t xml:space="preserve">John A. Humbach, “Director Liability for Corporate Crimes: Lawyers as Safe Haven?,” </w:t>
            </w:r>
            <w:r>
              <w:rPr>
                <w:b w:val="0"/>
                <w:i/>
                <w:sz w:val="19"/>
              </w:rPr>
              <w:t>New York Law School Law Review</w:t>
            </w:r>
            <w:r>
              <w:rPr>
                <w:b w:val="0"/>
                <w:i w:val="0"/>
                <w:sz w:val="19"/>
              </w:rPr>
              <w:t xml:space="preserve"> 55 (2010), http://digitalcommons.pace.edu/lawfaculty/650/.</w:t>
            </w:r>
          </w:p>
        </w:tc>
      </w:tr>
      <w:tr>
        <w:tc>
          <w:tcPr>
            <w:tcW w:type="dxa" w:w="4680"/>
          </w:tcPr>
          <w:p>
            <w:r/>
            <w:r>
              <w:rPr>
                <w:b w:val="0"/>
                <w:i w:val="0"/>
                <w:sz w:val="19"/>
              </w:rPr>
              <w:t>31</w:t>
            </w:r>
          </w:p>
        </w:tc>
        <w:tc>
          <w:tcPr>
            <w:tcW w:type="dxa" w:w="4680"/>
          </w:tcPr>
          <w:p>
            <w:r/>
            <w:r>
              <w:rPr>
                <w:b w:val="0"/>
                <w:i w:val="0"/>
                <w:sz w:val="19"/>
              </w:rPr>
              <w:t xml:space="preserve">Jacob Bernstein, “The Debt King,” </w:t>
            </w:r>
            <w:r>
              <w:rPr>
                <w:b w:val="0"/>
                <w:i/>
                <w:sz w:val="19"/>
              </w:rPr>
              <w:t>New York Times</w:t>
            </w:r>
            <w:r>
              <w:rPr>
                <w:b w:val="0"/>
                <w:i w:val="0"/>
                <w:sz w:val="19"/>
              </w:rPr>
              <w:t>, January 11, 2022, https://www.nytimes.com/2022/01/07/style/ron-perelman.html; Tom Maloney, “Ron Perelman’s Empire Loses Crown Jewel as Revlon Goes Bankrupt,” Bloomberg, June 17, 2022, https://www.bloomberg.com/news/articles/2022-06-17/ron-perelman-s-empire-loses-crown-jewel-as-revlon-goes-bankrupt?embedded-checkout</w:t>
            </w:r>
            <w:r>
              <w:rPr>
                <w:rFonts w:ascii="Consolas" w:hAnsi="Consolas"/>
                <w:b w:val="0"/>
                <w:i w:val="0"/>
                <w:sz w:val="19"/>
              </w:rPr>
              <w:t>=true</w:t>
            </w:r>
            <w:r>
              <w:rPr>
                <w:b w:val="0"/>
                <w:i w:val="0"/>
                <w:sz w:val="19"/>
              </w:rPr>
              <w:t>; Carlie Porterfield, “Collector Ron Perelman Sold $963m Worth of Art to Pay Off Debt,” The Art Newspaper—International Art News and Events, May 22, 2024, https://www.theartnewspaper.com/2024/05/22/collector-ron-perelman-sold-963m-worth-of-art-to-pay-off-debt.</w:t>
            </w:r>
          </w:p>
        </w:tc>
      </w:tr>
      <w:tr>
        <w:tc>
          <w:tcPr>
            <w:tcW w:type="dxa" w:w="4680"/>
          </w:tcPr>
          <w:p>
            <w:r/>
            <w:r>
              <w:rPr>
                <w:b w:val="0"/>
                <w:i w:val="0"/>
                <w:sz w:val="19"/>
              </w:rPr>
              <w:t>32</w:t>
            </w:r>
          </w:p>
        </w:tc>
        <w:tc>
          <w:tcPr>
            <w:tcW w:type="dxa" w:w="4680"/>
          </w:tcPr>
          <w:p>
            <w:r/>
            <w:r>
              <w:rPr>
                <w:b w:val="0"/>
                <w:i w:val="0"/>
                <w:sz w:val="19"/>
              </w:rPr>
              <w:t>Bernstein, “Debt King.”</w:t>
            </w:r>
          </w:p>
        </w:tc>
      </w:tr>
      <w:tr>
        <w:tc>
          <w:tcPr>
            <w:tcW w:type="dxa" w:w="4680"/>
          </w:tcPr>
          <w:p>
            <w:r/>
            <w:r>
              <w:rPr>
                <w:b w:val="0"/>
                <w:i w:val="0"/>
                <w:sz w:val="19"/>
              </w:rPr>
              <w:t>33</w:t>
            </w:r>
          </w:p>
        </w:tc>
        <w:tc>
          <w:tcPr>
            <w:tcW w:type="dxa" w:w="4680"/>
          </w:tcPr>
          <w:p>
            <w:r/>
            <w:r>
              <w:rPr>
                <w:b w:val="0"/>
                <w:i w:val="0"/>
                <w:sz w:val="19"/>
              </w:rPr>
              <w:t>Bernstein.</w:t>
            </w:r>
          </w:p>
        </w:tc>
      </w:tr>
      <w:tr>
        <w:tc>
          <w:tcPr>
            <w:tcW w:type="dxa" w:w="4680"/>
          </w:tcPr>
          <w:p>
            <w:r/>
            <w:r>
              <w:rPr>
                <w:b w:val="0"/>
                <w:i w:val="0"/>
                <w:sz w:val="19"/>
              </w:rPr>
              <w:t>34</w:t>
            </w:r>
          </w:p>
        </w:tc>
        <w:tc>
          <w:tcPr>
            <w:tcW w:type="dxa" w:w="4680"/>
          </w:tcPr>
          <w:p>
            <w:r/>
            <w:r>
              <w:rPr>
                <w:b w:val="0"/>
                <w:i/>
                <w:sz w:val="19"/>
              </w:rPr>
              <w:t>Revlon, Inc. v. MacAndrews &amp; Forbes Holdings</w:t>
            </w:r>
            <w:r>
              <w:rPr>
                <w:b w:val="0"/>
                <w:i w:val="0"/>
                <w:sz w:val="19"/>
              </w:rPr>
              <w:t>, 506 A.2d 173 (1986).</w:t>
            </w:r>
          </w:p>
        </w:tc>
      </w:tr>
      <w:tr>
        <w:tc>
          <w:tcPr>
            <w:tcW w:type="dxa" w:w="4680"/>
          </w:tcPr>
          <w:p>
            <w:r/>
            <w:r>
              <w:rPr>
                <w:b w:val="0"/>
                <w:i w:val="0"/>
                <w:sz w:val="19"/>
              </w:rPr>
              <w:t>35</w:t>
            </w:r>
          </w:p>
        </w:tc>
        <w:tc>
          <w:tcPr>
            <w:tcW w:type="dxa" w:w="4680"/>
          </w:tcPr>
          <w:p>
            <w:r/>
            <w:r>
              <w:rPr>
                <w:b w:val="0"/>
                <w:i w:val="0"/>
                <w:sz w:val="19"/>
              </w:rPr>
              <w:t xml:space="preserve">Julian Velasco, “Just Do It: An Antidote to the Poison Pill,” </w:t>
            </w:r>
            <w:r>
              <w:rPr>
                <w:b w:val="0"/>
                <w:i/>
                <w:sz w:val="19"/>
              </w:rPr>
              <w:t>Emory Law Journal</w:t>
            </w:r>
            <w:r>
              <w:rPr>
                <w:b w:val="0"/>
                <w:i w:val="0"/>
                <w:sz w:val="19"/>
              </w:rPr>
              <w:t xml:space="preserve"> 52 (2003), https://scholarship.law.nd.edu/law_faculty_scholarship/103.</w:t>
            </w:r>
          </w:p>
        </w:tc>
      </w:tr>
      <w:tr>
        <w:tc>
          <w:tcPr>
            <w:tcW w:type="dxa" w:w="4680"/>
          </w:tcPr>
          <w:p>
            <w:r/>
            <w:r>
              <w:rPr>
                <w:b w:val="0"/>
                <w:i w:val="0"/>
                <w:sz w:val="19"/>
              </w:rPr>
              <w:t>36</w:t>
            </w:r>
          </w:p>
        </w:tc>
        <w:tc>
          <w:tcPr>
            <w:tcW w:type="dxa" w:w="4680"/>
          </w:tcPr>
          <w:p>
            <w:r/>
            <w:r>
              <w:rPr>
                <w:b w:val="0"/>
                <w:i w:val="0"/>
                <w:sz w:val="19"/>
              </w:rPr>
              <w:t xml:space="preserve">Kris Frieswick, “Poison Pill Popping,” </w:t>
            </w:r>
            <w:r>
              <w:rPr>
                <w:b w:val="0"/>
                <w:i/>
                <w:sz w:val="19"/>
              </w:rPr>
              <w:t>CFO</w:t>
            </w:r>
            <w:r>
              <w:rPr>
                <w:b w:val="0"/>
                <w:i w:val="0"/>
                <w:sz w:val="19"/>
              </w:rPr>
              <w:t>, October 15, 2001, https://www.cfo.com/news/poison-pill-popping/682610/.</w:t>
            </w:r>
          </w:p>
        </w:tc>
      </w:tr>
      <w:tr>
        <w:tc>
          <w:tcPr>
            <w:tcW w:type="dxa" w:w="4680"/>
          </w:tcPr>
          <w:p>
            <w:r/>
            <w:r>
              <w:rPr>
                <w:b w:val="0"/>
                <w:i w:val="0"/>
                <w:sz w:val="19"/>
              </w:rPr>
              <w:t>37.</w:t>
            </w:r>
          </w:p>
        </w:tc>
        <w:tc>
          <w:tcPr>
            <w:tcW w:type="dxa" w:w="4680"/>
          </w:tcPr>
          <w:p>
            <w:r/>
            <w:r>
              <w:rPr>
                <w:b w:val="0"/>
                <w:i w:val="0"/>
                <w:sz w:val="19"/>
              </w:rPr>
              <w:t xml:space="preserve">Guhan Subramanian, “A New Era for Raiders,” </w:t>
            </w:r>
            <w:r>
              <w:rPr>
                <w:b w:val="0"/>
                <w:i/>
                <w:sz w:val="19"/>
              </w:rPr>
              <w:t>Harvard Business Review</w:t>
            </w:r>
            <w:r>
              <w:rPr>
                <w:b w:val="0"/>
                <w:i w:val="0"/>
                <w:sz w:val="19"/>
              </w:rPr>
              <w:t>, November 2010, https://hbr.org/2010/11/a-new-era-for-raiders.</w:t>
            </w:r>
          </w:p>
        </w:tc>
      </w:tr>
      <w:tr>
        <w:tc>
          <w:tcPr>
            <w:tcW w:type="dxa" w:w="4680"/>
          </w:tcPr>
          <w:p>
            <w:r/>
            <w:r>
              <w:rPr>
                <w:b w:val="0"/>
                <w:i w:val="0"/>
                <w:sz w:val="19"/>
              </w:rPr>
              <w:t>38</w:t>
            </w:r>
          </w:p>
        </w:tc>
        <w:tc>
          <w:tcPr>
            <w:tcW w:type="dxa" w:w="4680"/>
          </w:tcPr>
          <w:p>
            <w:r/>
            <w:r>
              <w:rPr>
                <w:b w:val="0"/>
                <w:i w:val="0"/>
                <w:sz w:val="19"/>
              </w:rPr>
              <w:t>Charles M. Nathan, “Triggering a Poison Pill,” Harvard Law School Forum on Corporate Governance, April 11, 2009, https://corpgov.law.harvard.edu/2009/04/11/triggering-a-poison-pill/.</w:t>
            </w:r>
          </w:p>
        </w:tc>
      </w:tr>
      <w:tr>
        <w:tc>
          <w:tcPr>
            <w:tcW w:type="dxa" w:w="4680"/>
          </w:tcPr>
          <w:p>
            <w:r/>
            <w:r>
              <w:rPr>
                <w:b w:val="0"/>
                <w:i w:val="0"/>
                <w:sz w:val="19"/>
              </w:rPr>
              <w:t>39</w:t>
            </w:r>
          </w:p>
        </w:tc>
        <w:tc>
          <w:tcPr>
            <w:tcW w:type="dxa" w:w="4680"/>
          </w:tcPr>
          <w:p>
            <w:r/>
            <w:r>
              <w:rPr>
                <w:b w:val="0"/>
                <w:i w:val="0"/>
                <w:sz w:val="19"/>
              </w:rPr>
              <w:t>Scott J. Davis, “Delaware Supreme Court Upholds Poison Pill in Versata,” Harvard Law School Forum on Corporate Governance, October 19, 2010, https://corpgov.law.harvard.edu/2010/10/19/delaware-supreme-court-upholds-poison-pill-in-versata/.</w:t>
            </w:r>
          </w:p>
        </w:tc>
      </w:tr>
      <w:tr>
        <w:tc>
          <w:tcPr>
            <w:tcW w:type="dxa" w:w="4680"/>
          </w:tcPr>
          <w:p>
            <w:r/>
            <w:r>
              <w:rPr>
                <w:b w:val="0"/>
                <w:i w:val="0"/>
                <w:sz w:val="19"/>
              </w:rPr>
              <w:t>40</w:t>
            </w:r>
          </w:p>
        </w:tc>
        <w:tc>
          <w:tcPr>
            <w:tcW w:type="dxa" w:w="4680"/>
          </w:tcPr>
          <w:p>
            <w:r/>
            <w:r>
              <w:rPr>
                <w:b w:val="0"/>
                <w:i w:val="0"/>
                <w:sz w:val="19"/>
              </w:rPr>
              <w:t>Subramanian, “New Era for Raiders.”</w:t>
            </w:r>
          </w:p>
        </w:tc>
      </w:tr>
      <w:tr>
        <w:tc>
          <w:tcPr>
            <w:tcW w:type="dxa" w:w="4680"/>
          </w:tcPr>
          <w:p>
            <w:r/>
            <w:r>
              <w:rPr>
                <w:b w:val="0"/>
                <w:i w:val="0"/>
                <w:sz w:val="19"/>
              </w:rPr>
              <w:t>41</w:t>
            </w:r>
          </w:p>
        </w:tc>
        <w:tc>
          <w:tcPr>
            <w:tcW w:type="dxa" w:w="4680"/>
          </w:tcPr>
          <w:p>
            <w:r/>
            <w:r>
              <w:rPr>
                <w:b w:val="0"/>
                <w:i w:val="0"/>
                <w:sz w:val="19"/>
              </w:rPr>
              <w:t>“Corporate America’s Medicine against Coronavirus,” Deal Point Data, March 20, 2020, https://www.dealpointdata.com/res/dpd_coronavirus_corp_america_03202020.pdf.</w:t>
            </w:r>
          </w:p>
        </w:tc>
      </w:tr>
      <w:tr>
        <w:tc>
          <w:tcPr>
            <w:tcW w:type="dxa" w:w="4680"/>
          </w:tcPr>
          <w:p>
            <w:r/>
            <w:r>
              <w:rPr>
                <w:b w:val="0"/>
                <w:i w:val="0"/>
                <w:sz w:val="19"/>
              </w:rPr>
              <w:t>42</w:t>
            </w:r>
          </w:p>
        </w:tc>
        <w:tc>
          <w:tcPr>
            <w:tcW w:type="dxa" w:w="4680"/>
          </w:tcPr>
          <w:p>
            <w:r/>
            <w:r>
              <w:rPr>
                <w:b w:val="0"/>
                <w:i w:val="0"/>
                <w:sz w:val="19"/>
              </w:rPr>
              <w:t xml:space="preserve">Shira Ovide, “Marty Lipton: Why I Invented the Poison Pill,” </w:t>
            </w:r>
            <w:r>
              <w:rPr>
                <w:b w:val="0"/>
                <w:i/>
                <w:sz w:val="19"/>
              </w:rPr>
              <w:t>Wall Street Journal</w:t>
            </w:r>
            <w:r>
              <w:rPr>
                <w:b w:val="0"/>
                <w:i w:val="0"/>
                <w:sz w:val="19"/>
              </w:rPr>
              <w:t>, December 29, 2010, https://www.wsj.com/articles/BL-DLB-30356.</w:t>
            </w:r>
          </w:p>
        </w:tc>
      </w:tr>
      <w:tr>
        <w:tc>
          <w:tcPr>
            <w:tcW w:type="dxa" w:w="4680"/>
          </w:tcPr>
          <w:p>
            <w:r/>
            <w:r>
              <w:rPr>
                <w:b w:val="0"/>
                <w:i w:val="0"/>
                <w:sz w:val="19"/>
              </w:rPr>
              <w:t>43</w:t>
            </w:r>
          </w:p>
        </w:tc>
        <w:tc>
          <w:tcPr>
            <w:tcW w:type="dxa" w:w="4680"/>
          </w:tcPr>
          <w:p>
            <w:r/>
            <w:r>
              <w:rPr>
                <w:b w:val="0"/>
                <w:i w:val="0"/>
                <w:sz w:val="19"/>
              </w:rPr>
              <w:t xml:space="preserve">Zachary Gubler, “What’s the Deal with Revlon?,” </w:t>
            </w:r>
            <w:r>
              <w:rPr>
                <w:b w:val="0"/>
                <w:i/>
                <w:sz w:val="19"/>
              </w:rPr>
              <w:t>Indiana Law Journal</w:t>
            </w:r>
            <w:r>
              <w:rPr>
                <w:b w:val="0"/>
                <w:i w:val="0"/>
                <w:sz w:val="19"/>
              </w:rPr>
              <w:t xml:space="preserve"> 96, no. 2 (2021), https://www.repository.law.indiana.edu/ilj/vol96/iss2/3.</w:t>
            </w:r>
          </w:p>
        </w:tc>
      </w:tr>
      <w:tr>
        <w:tc>
          <w:tcPr>
            <w:tcW w:type="dxa" w:w="4680"/>
          </w:tcPr>
          <w:p>
            <w:r/>
            <w:r>
              <w:rPr>
                <w:b w:val="0"/>
                <w:i w:val="0"/>
                <w:sz w:val="19"/>
              </w:rPr>
              <w:t>44</w:t>
            </w:r>
          </w:p>
        </w:tc>
        <w:tc>
          <w:tcPr>
            <w:tcW w:type="dxa" w:w="4680"/>
          </w:tcPr>
          <w:p>
            <w:r/>
            <w:r>
              <w:rPr>
                <w:b w:val="0"/>
                <w:i w:val="0"/>
                <w:sz w:val="19"/>
              </w:rPr>
              <w:t>Gubler.</w:t>
            </w:r>
          </w:p>
        </w:tc>
      </w:tr>
      <w:tr>
        <w:tc>
          <w:tcPr>
            <w:tcW w:type="dxa" w:w="4680"/>
          </w:tcPr>
          <w:p>
            <w:r/>
            <w:r>
              <w:rPr>
                <w:b w:val="0"/>
                <w:i w:val="0"/>
                <w:sz w:val="19"/>
              </w:rPr>
              <w:t>45</w:t>
            </w:r>
          </w:p>
        </w:tc>
        <w:tc>
          <w:tcPr>
            <w:tcW w:type="dxa" w:w="4680"/>
          </w:tcPr>
          <w:p>
            <w:r/>
            <w:r>
              <w:rPr>
                <w:b w:val="0"/>
                <w:i w:val="0"/>
                <w:sz w:val="19"/>
              </w:rPr>
              <w:t xml:space="preserve">Robert J. Cole, “High-Stakes Drama at Revlon,” </w:t>
            </w:r>
            <w:r>
              <w:rPr>
                <w:b w:val="0"/>
                <w:i/>
                <w:sz w:val="19"/>
              </w:rPr>
              <w:t>New York Times</w:t>
            </w:r>
            <w:r>
              <w:rPr>
                <w:b w:val="0"/>
                <w:i w:val="0"/>
                <w:sz w:val="19"/>
              </w:rPr>
              <w:t>, November 11, 1985, https://www.nytimes.com/1985/11/11/business/high-stakes-drama-at-revlon.html.</w:t>
            </w:r>
          </w:p>
        </w:tc>
      </w:tr>
      <w:tr>
        <w:tc>
          <w:tcPr>
            <w:tcW w:type="dxa" w:w="4680"/>
          </w:tcPr>
          <w:p>
            <w:r/>
            <w:r>
              <w:rPr>
                <w:b w:val="0"/>
                <w:i w:val="0"/>
                <w:sz w:val="19"/>
              </w:rPr>
              <w:t>46</w:t>
            </w:r>
          </w:p>
        </w:tc>
        <w:tc>
          <w:tcPr>
            <w:tcW w:type="dxa" w:w="4680"/>
          </w:tcPr>
          <w:p>
            <w:r/>
            <w:r>
              <w:rPr>
                <w:b w:val="0"/>
                <w:i w:val="0"/>
                <w:sz w:val="19"/>
              </w:rPr>
              <w:t>Cole.</w:t>
            </w:r>
          </w:p>
        </w:tc>
      </w:tr>
      <w:tr>
        <w:tc>
          <w:tcPr>
            <w:tcW w:type="dxa" w:w="4680"/>
          </w:tcPr>
          <w:p>
            <w:r/>
            <w:r>
              <w:rPr>
                <w:b w:val="0"/>
                <w:i w:val="0"/>
                <w:sz w:val="19"/>
              </w:rPr>
              <w:t>47</w:t>
            </w:r>
          </w:p>
        </w:tc>
        <w:tc>
          <w:tcPr>
            <w:tcW w:type="dxa" w:w="4680"/>
          </w:tcPr>
          <w:p>
            <w:r/>
            <w:r>
              <w:rPr>
                <w:b w:val="0"/>
                <w:i w:val="0"/>
                <w:sz w:val="19"/>
              </w:rPr>
              <w:t xml:space="preserve">Sujeet Indap, “Revlon to Leave Bankruptcy without Longtime Owner Ron Perelman,” </w:t>
            </w:r>
            <w:r>
              <w:rPr>
                <w:b w:val="0"/>
                <w:i/>
                <w:sz w:val="19"/>
              </w:rPr>
              <w:t>Financial Times</w:t>
            </w:r>
            <w:r>
              <w:rPr>
                <w:b w:val="0"/>
                <w:i w:val="0"/>
                <w:sz w:val="19"/>
              </w:rPr>
              <w:t>, April 3, 2023, https://www.ft.com/content/2b54fb24-d6ba-4114-94ec-db40e485a037.</w:t>
            </w:r>
          </w:p>
        </w:tc>
      </w:tr>
      <w:tr>
        <w:tc>
          <w:tcPr>
            <w:tcW w:type="dxa" w:w="4680"/>
          </w:tcPr>
          <w:p>
            <w:r/>
            <w:r>
              <w:rPr>
                <w:b w:val="0"/>
                <w:i w:val="0"/>
                <w:sz w:val="19"/>
              </w:rPr>
              <w:t>48</w:t>
            </w:r>
          </w:p>
        </w:tc>
        <w:tc>
          <w:tcPr>
            <w:tcW w:type="dxa" w:w="4680"/>
          </w:tcPr>
          <w:p>
            <w:r/>
            <w:r>
              <w:rPr>
                <w:b w:val="0"/>
                <w:i w:val="0"/>
                <w:sz w:val="19"/>
              </w:rPr>
              <w:t xml:space="preserve">Clark W. Furlow, “Reflections on the Revlon Doctrine,” </w:t>
            </w:r>
            <w:r>
              <w:rPr>
                <w:b w:val="0"/>
                <w:i/>
                <w:sz w:val="19"/>
              </w:rPr>
              <w:t>University of Pennsylvania Journal of Business Law</w:t>
            </w:r>
            <w:r>
              <w:rPr>
                <w:b w:val="0"/>
                <w:i w:val="0"/>
                <w:sz w:val="19"/>
              </w:rPr>
              <w:t xml:space="preserve"> 11 (2009), https://scholarship.law.upenn.edu/jbl/vol11/iss3/1.</w:t>
            </w:r>
          </w:p>
        </w:tc>
      </w:tr>
      <w:tr>
        <w:tc>
          <w:tcPr>
            <w:tcW w:type="dxa" w:w="4680"/>
          </w:tcPr>
          <w:p>
            <w:r/>
            <w:r>
              <w:rPr>
                <w:b w:val="0"/>
                <w:i w:val="0"/>
                <w:sz w:val="19"/>
              </w:rPr>
              <w:t>49</w:t>
            </w:r>
          </w:p>
        </w:tc>
        <w:tc>
          <w:tcPr>
            <w:tcW w:type="dxa" w:w="4680"/>
          </w:tcPr>
          <w:p>
            <w:r/>
            <w:r>
              <w:rPr>
                <w:b w:val="0"/>
                <w:i w:val="0"/>
                <w:sz w:val="19"/>
              </w:rPr>
              <w:t>“Takeover Law and Practice,” Wachtell, Lipton, Rosen &amp; Katz, 2022, https://www.wlrk.com/webdocs/wlrknew/ClientMemos/WLRK/WLRK.28044.22.pdf.</w:t>
            </w:r>
          </w:p>
        </w:tc>
      </w:tr>
      <w:tr>
        <w:tc>
          <w:tcPr>
            <w:tcW w:type="dxa" w:w="4680"/>
          </w:tcPr>
          <w:p>
            <w:r/>
            <w:r>
              <w:rPr>
                <w:b w:val="0"/>
                <w:i w:val="0"/>
                <w:sz w:val="19"/>
              </w:rPr>
              <w:t>50</w:t>
            </w:r>
          </w:p>
        </w:tc>
        <w:tc>
          <w:tcPr>
            <w:tcW w:type="dxa" w:w="4680"/>
          </w:tcPr>
          <w:p>
            <w:r/>
            <w:r>
              <w:rPr>
                <w:b w:val="0"/>
                <w:i w:val="0"/>
                <w:sz w:val="19"/>
              </w:rPr>
              <w:t>“Takeover Law and Practice.”</w:t>
            </w:r>
          </w:p>
        </w:tc>
      </w:tr>
      <w:tr>
        <w:tc>
          <w:tcPr>
            <w:tcW w:type="dxa" w:w="4680"/>
          </w:tcPr>
          <w:p>
            <w:r/>
            <w:r>
              <w:rPr>
                <w:b w:val="0"/>
                <w:i w:val="0"/>
                <w:sz w:val="19"/>
              </w:rPr>
              <w:t>51</w:t>
            </w:r>
          </w:p>
        </w:tc>
        <w:tc>
          <w:tcPr>
            <w:tcW w:type="dxa" w:w="4680"/>
          </w:tcPr>
          <w:p>
            <w:r/>
            <w:r>
              <w:rPr>
                <w:b w:val="0"/>
                <w:i w:val="0"/>
                <w:sz w:val="19"/>
              </w:rPr>
              <w:t>Gubler, “What’s the Deal with Revlon?”</w:t>
            </w:r>
          </w:p>
        </w:tc>
      </w:tr>
      <w:tr>
        <w:tc>
          <w:tcPr>
            <w:tcW w:type="dxa" w:w="4680"/>
          </w:tcPr>
          <w:p>
            <w:r/>
            <w:r>
              <w:rPr>
                <w:b w:val="0"/>
                <w:i w:val="0"/>
                <w:sz w:val="19"/>
              </w:rPr>
              <w:t>52</w:t>
            </w:r>
          </w:p>
        </w:tc>
        <w:tc>
          <w:tcPr>
            <w:tcW w:type="dxa" w:w="4680"/>
          </w:tcPr>
          <w:p>
            <w:r/>
            <w:r>
              <w:rPr>
                <w:b w:val="0"/>
                <w:i w:val="0"/>
                <w:sz w:val="19"/>
              </w:rPr>
              <w:t>“Takeover Law and Practice.”</w:t>
            </w:r>
          </w:p>
        </w:tc>
      </w:tr>
      <w:tr>
        <w:tc>
          <w:tcPr>
            <w:tcW w:type="dxa" w:w="4680"/>
          </w:tcPr>
          <w:p>
            <w:r/>
            <w:r>
              <w:rPr>
                <w:b w:val="0"/>
                <w:i w:val="0"/>
                <w:sz w:val="19"/>
              </w:rPr>
              <w:t>53</w:t>
            </w:r>
          </w:p>
        </w:tc>
        <w:tc>
          <w:tcPr>
            <w:tcW w:type="dxa" w:w="4680"/>
          </w:tcPr>
          <w:p>
            <w:r/>
            <w:r>
              <w:rPr>
                <w:b w:val="0"/>
                <w:i/>
                <w:sz w:val="19"/>
              </w:rPr>
              <w:t>Moran v. Household Intern., Inc.</w:t>
            </w:r>
            <w:r>
              <w:rPr>
                <w:b w:val="0"/>
                <w:i w:val="0"/>
                <w:sz w:val="19"/>
              </w:rPr>
              <w:t>, 500 A.2d 1346 (Del. 1985).</w:t>
            </w:r>
          </w:p>
        </w:tc>
      </w:tr>
      <w:tr>
        <w:tc>
          <w:tcPr>
            <w:tcW w:type="dxa" w:w="4680"/>
          </w:tcPr>
          <w:p>
            <w:r/>
            <w:r>
              <w:rPr>
                <w:b w:val="0"/>
                <w:i w:val="0"/>
                <w:sz w:val="19"/>
              </w:rPr>
              <w:t>54</w:t>
            </w:r>
          </w:p>
        </w:tc>
        <w:tc>
          <w:tcPr>
            <w:tcW w:type="dxa" w:w="4680"/>
          </w:tcPr>
          <w:p>
            <w:r/>
            <w:r>
              <w:rPr>
                <w:b w:val="0"/>
                <w:i w:val="0"/>
                <w:sz w:val="19"/>
              </w:rPr>
              <w:t xml:space="preserve">Leslie Picker, “Why Airgas Was Finally Sold, for $10 Billion Instead of $5 Billion,” </w:t>
            </w:r>
            <w:r>
              <w:rPr>
                <w:b w:val="0"/>
                <w:i/>
                <w:sz w:val="19"/>
              </w:rPr>
              <w:t>New York Times</w:t>
            </w:r>
            <w:r>
              <w:rPr>
                <w:b w:val="0"/>
                <w:i w:val="0"/>
                <w:sz w:val="19"/>
              </w:rPr>
              <w:t>, September 5, 2016, https://www.nytimes.com/2016/09/06/business/dealbook/why-airgas-was-finally-sold-for-10-billion-instead-of-5-billion.html.</w:t>
            </w:r>
          </w:p>
        </w:tc>
      </w:tr>
      <w:tr>
        <w:tc>
          <w:tcPr>
            <w:tcW w:type="dxa" w:w="4680"/>
          </w:tcPr>
          <w:p>
            <w:r/>
            <w:r>
              <w:rPr>
                <w:b w:val="0"/>
                <w:i w:val="0"/>
                <w:sz w:val="19"/>
              </w:rPr>
              <w:t>55</w:t>
            </w:r>
          </w:p>
        </w:tc>
        <w:tc>
          <w:tcPr>
            <w:tcW w:type="dxa" w:w="4680"/>
          </w:tcPr>
          <w:p>
            <w:r/>
            <w:r>
              <w:rPr>
                <w:b w:val="0"/>
                <w:i w:val="0"/>
                <w:sz w:val="19"/>
              </w:rPr>
              <w:t xml:space="preserve">Bob Fernandez, “Newest Purchase by Airgas Is a Packaged-Gas Business,” </w:t>
            </w:r>
            <w:r>
              <w:rPr>
                <w:b w:val="0"/>
                <w:i/>
                <w:sz w:val="19"/>
              </w:rPr>
              <w:t>Philadelphia Inquirer</w:t>
            </w:r>
            <w:r>
              <w:rPr>
                <w:b w:val="0"/>
                <w:i w:val="0"/>
                <w:sz w:val="19"/>
              </w:rPr>
              <w:t>, April 3, 2007, https://www.inquirer.com/philly/business/20070403_Newest_purchase_by_Airgas_is_a_packaged-gas_business.html.</w:t>
            </w:r>
          </w:p>
        </w:tc>
      </w:tr>
      <w:tr>
        <w:tc>
          <w:tcPr>
            <w:tcW w:type="dxa" w:w="4680"/>
          </w:tcPr>
          <w:p>
            <w:r/>
            <w:r>
              <w:rPr>
                <w:b w:val="0"/>
                <w:i w:val="0"/>
                <w:sz w:val="19"/>
              </w:rPr>
              <w:t>56</w:t>
            </w:r>
          </w:p>
        </w:tc>
        <w:tc>
          <w:tcPr>
            <w:tcW w:type="dxa" w:w="4680"/>
          </w:tcPr>
          <w:p>
            <w:r/>
            <w:r>
              <w:rPr>
                <w:b w:val="0"/>
                <w:i w:val="0"/>
                <w:sz w:val="19"/>
              </w:rPr>
              <w:t>Picker, “Why Airgas.”</w:t>
            </w:r>
          </w:p>
        </w:tc>
      </w:tr>
      <w:tr>
        <w:tc>
          <w:tcPr>
            <w:tcW w:type="dxa" w:w="4680"/>
          </w:tcPr>
          <w:p>
            <w:r/>
            <w:r>
              <w:rPr>
                <w:b w:val="0"/>
                <w:i w:val="0"/>
                <w:sz w:val="19"/>
              </w:rPr>
              <w:t>57.</w:t>
            </w:r>
          </w:p>
        </w:tc>
        <w:tc>
          <w:tcPr>
            <w:tcW w:type="dxa" w:w="4680"/>
          </w:tcPr>
          <w:p>
            <w:r/>
            <w:r>
              <w:rPr>
                <w:b w:val="0"/>
                <w:i w:val="0"/>
                <w:sz w:val="19"/>
              </w:rPr>
              <w:t>Potter Anderson &amp; Corroon LLP, “Air Products and Chemicals, Inc. V. Airgas, Inc,” Lexology, March 3, 2011, https://www.lexology.com/library/detail.aspx?g</w:t>
            </w:r>
            <w:r>
              <w:rPr>
                <w:rFonts w:ascii="Consolas" w:hAnsi="Consolas"/>
                <w:b w:val="0"/>
                <w:i w:val="0"/>
                <w:sz w:val="19"/>
              </w:rPr>
              <w:t>=9b54dff2-5701-4d30-8d19-ca7526ef348c</w:t>
            </w:r>
            <w:r>
              <w:rPr>
                <w:b w:val="0"/>
                <w:i w:val="0"/>
                <w:sz w:val="19"/>
              </w:rPr>
              <w:t>.</w:t>
            </w:r>
          </w:p>
        </w:tc>
      </w:tr>
      <w:tr>
        <w:tc>
          <w:tcPr>
            <w:tcW w:type="dxa" w:w="4680"/>
          </w:tcPr>
          <w:p>
            <w:r/>
            <w:r>
              <w:rPr>
                <w:b w:val="0"/>
                <w:i w:val="0"/>
                <w:sz w:val="19"/>
              </w:rPr>
              <w:t>58</w:t>
            </w:r>
          </w:p>
        </w:tc>
        <w:tc>
          <w:tcPr>
            <w:tcW w:type="dxa" w:w="4680"/>
          </w:tcPr>
          <w:p>
            <w:r/>
            <w:r>
              <w:rPr>
                <w:b w:val="0"/>
                <w:i w:val="0"/>
                <w:sz w:val="19"/>
              </w:rPr>
              <w:t>David Carnevali và Anirban Sen, “PGT Rebuffs Latest $2.2 Bln Bid from Koch-Backed Miter Brands—Sources,” Yahoo Finance, December 13, 2023, https://finance.yahoo.com/news/pgt-rebuffs-latest-2-2-171106212.html.</w:t>
            </w:r>
          </w:p>
        </w:tc>
      </w:tr>
      <w:tr>
        <w:tc>
          <w:tcPr>
            <w:tcW w:type="dxa" w:w="4680"/>
          </w:tcPr>
          <w:p>
            <w:r/>
            <w:r>
              <w:rPr>
                <w:b w:val="0"/>
                <w:i w:val="0"/>
                <w:sz w:val="19"/>
              </w:rPr>
              <w:t>59</w:t>
            </w:r>
          </w:p>
        </w:tc>
        <w:tc>
          <w:tcPr>
            <w:tcW w:type="dxa" w:w="4680"/>
          </w:tcPr>
          <w:p>
            <w:r/>
            <w:r>
              <w:rPr>
                <w:b w:val="0"/>
                <w:i/>
                <w:sz w:val="19"/>
              </w:rPr>
              <w:t>Corwin v. KKR Financial Holdings LLC</w:t>
            </w:r>
            <w:r>
              <w:rPr>
                <w:b w:val="0"/>
                <w:i w:val="0"/>
                <w:sz w:val="19"/>
              </w:rPr>
              <w:t>, 125 A.3d 304.</w:t>
            </w:r>
          </w:p>
        </w:tc>
      </w:tr>
      <w:tr>
        <w:tc>
          <w:tcPr>
            <w:tcW w:type="dxa" w:w="4680"/>
          </w:tcPr>
          <w:p>
            <w:r/>
            <w:r>
              <w:rPr>
                <w:b w:val="0"/>
                <w:i w:val="0"/>
                <w:sz w:val="19"/>
              </w:rPr>
              <w:t>60</w:t>
            </w:r>
          </w:p>
        </w:tc>
        <w:tc>
          <w:tcPr>
            <w:tcW w:type="dxa" w:w="4680"/>
          </w:tcPr>
          <w:p>
            <w:r/>
            <w:r>
              <w:rPr>
                <w:b w:val="0"/>
                <w:i/>
                <w:sz w:val="19"/>
              </w:rPr>
              <w:t>Corwin v. KKR</w:t>
            </w:r>
            <w:r>
              <w:rPr>
                <w:b w:val="0"/>
                <w:i w:val="0"/>
                <w:sz w:val="19"/>
              </w:rPr>
              <w:t>.</w:t>
            </w:r>
          </w:p>
        </w:tc>
      </w:tr>
      <w:tr>
        <w:tc>
          <w:tcPr>
            <w:tcW w:type="dxa" w:w="4680"/>
          </w:tcPr>
          <w:p>
            <w:r/>
            <w:r>
              <w:rPr>
                <w:b w:val="0"/>
                <w:i w:val="0"/>
                <w:sz w:val="19"/>
              </w:rPr>
              <w:t>61</w:t>
            </w:r>
          </w:p>
        </w:tc>
        <w:tc>
          <w:tcPr>
            <w:tcW w:type="dxa" w:w="4680"/>
          </w:tcPr>
          <w:p>
            <w:r/>
            <w:r>
              <w:rPr>
                <w:b w:val="0"/>
                <w:i w:val="0"/>
                <w:sz w:val="19"/>
              </w:rPr>
              <w:t>Oderah Nwaeze, “The Corporate Guide: Stockholders Demanding Corporate Records? What You Should Know,” JD Supra, January 21, 2022, https://www.jdsupra.com/legalnews/the-corporate-guide-stockholders-4897031/.</w:t>
            </w:r>
          </w:p>
        </w:tc>
      </w:tr>
      <w:tr>
        <w:tc>
          <w:tcPr>
            <w:tcW w:type="dxa" w:w="4680"/>
          </w:tcPr>
          <w:p>
            <w:r/>
            <w:r>
              <w:rPr>
                <w:b w:val="0"/>
                <w:i w:val="0"/>
                <w:sz w:val="19"/>
              </w:rPr>
              <w:t>62</w:t>
            </w:r>
          </w:p>
        </w:tc>
        <w:tc>
          <w:tcPr>
            <w:tcW w:type="dxa" w:w="4680"/>
          </w:tcPr>
          <w:p>
            <w:r/>
            <w:r>
              <w:rPr>
                <w:b w:val="0"/>
                <w:i/>
                <w:sz w:val="19"/>
              </w:rPr>
              <w:t>Lavin v. West Corporation</w:t>
            </w:r>
            <w:r>
              <w:rPr>
                <w:b w:val="0"/>
                <w:i w:val="0"/>
                <w:sz w:val="19"/>
              </w:rPr>
              <w:t>, C.A. No. 2017-0547-JRS (Del. Ch. ngày 29 tháng 12 năm 2017).</w:t>
            </w:r>
          </w:p>
        </w:tc>
      </w:tr>
      <w:tr>
        <w:tc>
          <w:tcPr>
            <w:tcW w:type="dxa" w:w="4680"/>
          </w:tcPr>
          <w:p>
            <w:r/>
            <w:r>
              <w:rPr>
                <w:b w:val="0"/>
                <w:i w:val="0"/>
                <w:sz w:val="19"/>
              </w:rPr>
              <w:t>63</w:t>
            </w:r>
          </w:p>
        </w:tc>
        <w:tc>
          <w:tcPr>
            <w:tcW w:type="dxa" w:w="4680"/>
          </w:tcPr>
          <w:p>
            <w:r/>
            <w:r>
              <w:rPr>
                <w:b w:val="0"/>
                <w:i/>
                <w:sz w:val="19"/>
              </w:rPr>
              <w:t>Lavin v. West Corporation</w:t>
            </w:r>
            <w:r>
              <w:rPr>
                <w:b w:val="0"/>
                <w:i w:val="0"/>
                <w:sz w:val="19"/>
              </w:rPr>
              <w:t>.</w:t>
            </w:r>
          </w:p>
        </w:tc>
      </w:tr>
      <w:tr>
        <w:tc>
          <w:tcPr>
            <w:tcW w:type="dxa" w:w="4680"/>
          </w:tcPr>
          <w:p>
            <w:r/>
            <w:r>
              <w:rPr>
                <w:b w:val="0"/>
                <w:i w:val="0"/>
                <w:sz w:val="19"/>
              </w:rPr>
              <w:t>64</w:t>
            </w:r>
          </w:p>
        </w:tc>
        <w:tc>
          <w:tcPr>
            <w:tcW w:type="dxa" w:w="4680"/>
          </w:tcPr>
          <w:p>
            <w:r/>
            <w:r>
              <w:rPr>
                <w:b w:val="0"/>
                <w:i w:val="0"/>
                <w:sz w:val="19"/>
              </w:rPr>
              <w:t xml:space="preserve">Brent J. Horton, “Terra Incognita: Applying the Entire Fairness Standard of Review to Benefit Corporations,” </w:t>
            </w:r>
            <w:r>
              <w:rPr>
                <w:b w:val="0"/>
                <w:i/>
                <w:sz w:val="19"/>
              </w:rPr>
              <w:t>University of Pennsylvania Journal of Business Law</w:t>
            </w:r>
            <w:r>
              <w:rPr>
                <w:b w:val="0"/>
                <w:i w:val="0"/>
                <w:sz w:val="19"/>
              </w:rPr>
              <w:t xml:space="preserve"> 22, no. 4 (2020), https://scholarship.law.upenn.edu/cgi/viewcontent.cgi?article</w:t>
            </w:r>
            <w:r>
              <w:rPr>
                <w:rFonts w:ascii="Consolas" w:hAnsi="Consolas"/>
                <w:b w:val="0"/>
                <w:i w:val="0"/>
                <w:sz w:val="19"/>
              </w:rPr>
              <w:t>=1611&amp;context=jbl</w:t>
            </w:r>
            <w:r>
              <w:rPr>
                <w:b w:val="0"/>
                <w:i w:val="0"/>
                <w:sz w:val="19"/>
              </w:rPr>
              <w:t>.</w:t>
            </w:r>
          </w:p>
        </w:tc>
      </w:tr>
      <w:tr>
        <w:tc>
          <w:tcPr>
            <w:tcW w:type="dxa" w:w="4680"/>
          </w:tcPr>
          <w:p>
            <w:r/>
            <w:r>
              <w:rPr>
                <w:b w:val="0"/>
                <w:i w:val="0"/>
                <w:sz w:val="19"/>
              </w:rPr>
              <w:t>65</w:t>
            </w:r>
          </w:p>
        </w:tc>
        <w:tc>
          <w:tcPr>
            <w:tcW w:type="dxa" w:w="4680"/>
          </w:tcPr>
          <w:p>
            <w:r/>
            <w:r>
              <w:rPr>
                <w:b w:val="0"/>
                <w:i w:val="0"/>
                <w:sz w:val="19"/>
              </w:rPr>
              <w:t>Horton.</w:t>
            </w:r>
          </w:p>
        </w:tc>
      </w:tr>
      <w:tr>
        <w:tc>
          <w:tcPr>
            <w:tcW w:type="dxa" w:w="4680"/>
          </w:tcPr>
          <w:p>
            <w:r/>
            <w:r>
              <w:rPr>
                <w:b w:val="0"/>
                <w:i w:val="0"/>
                <w:sz w:val="19"/>
              </w:rPr>
              <w:t>66</w:t>
            </w:r>
          </w:p>
        </w:tc>
        <w:tc>
          <w:tcPr>
            <w:tcW w:type="dxa" w:w="4680"/>
          </w:tcPr>
          <w:p>
            <w:r/>
            <w:r>
              <w:rPr>
                <w:b w:val="0"/>
                <w:i/>
                <w:sz w:val="19"/>
              </w:rPr>
              <w:t>Gottlieb v. Heyden Chemical Corporation</w:t>
            </w:r>
            <w:r>
              <w:rPr>
                <w:b w:val="0"/>
                <w:i w:val="0"/>
                <w:sz w:val="19"/>
              </w:rPr>
              <w:t>, 33 Del. Ch. 177 (Del. 1952) 91 A.2d 57.</w:t>
            </w:r>
          </w:p>
        </w:tc>
      </w:tr>
      <w:tr>
        <w:tc>
          <w:tcPr>
            <w:tcW w:type="dxa" w:w="4680"/>
          </w:tcPr>
          <w:p>
            <w:r/>
            <w:r>
              <w:rPr>
                <w:b w:val="0"/>
                <w:i w:val="0"/>
                <w:sz w:val="19"/>
              </w:rPr>
              <w:t>67</w:t>
            </w:r>
          </w:p>
        </w:tc>
        <w:tc>
          <w:tcPr>
            <w:tcW w:type="dxa" w:w="4680"/>
          </w:tcPr>
          <w:p>
            <w:r/>
            <w:r>
              <w:rPr>
                <w:b w:val="0"/>
                <w:i/>
                <w:sz w:val="19"/>
              </w:rPr>
              <w:t>Weinberger v. UOP, Inc.</w:t>
            </w:r>
            <w:r>
              <w:rPr>
                <w:b w:val="0"/>
                <w:i w:val="0"/>
                <w:sz w:val="19"/>
              </w:rPr>
              <w:t>, 457 A.2d 701 (Del. 1983)</w:t>
            </w:r>
          </w:p>
        </w:tc>
      </w:tr>
      <w:tr>
        <w:tc>
          <w:tcPr>
            <w:tcW w:type="dxa" w:w="4680"/>
          </w:tcPr>
          <w:p>
            <w:r/>
            <w:r>
              <w:rPr>
                <w:b w:val="0"/>
                <w:i w:val="0"/>
                <w:sz w:val="19"/>
              </w:rPr>
              <w:t>68</w:t>
            </w:r>
          </w:p>
        </w:tc>
        <w:tc>
          <w:tcPr>
            <w:tcW w:type="dxa" w:w="4680"/>
          </w:tcPr>
          <w:p>
            <w:r/>
            <w:r>
              <w:rPr>
                <w:b w:val="0"/>
                <w:i w:val="0"/>
                <w:sz w:val="19"/>
              </w:rPr>
              <w:t>Horton, “Terra Incognita.”</w:t>
            </w:r>
          </w:p>
        </w:tc>
      </w:tr>
      <w:tr>
        <w:tc>
          <w:tcPr>
            <w:tcW w:type="dxa" w:w="4680"/>
          </w:tcPr>
          <w:p>
            <w:r/>
            <w:r>
              <w:rPr>
                <w:b w:val="0"/>
                <w:i w:val="0"/>
                <w:sz w:val="19"/>
              </w:rPr>
              <w:t>69</w:t>
            </w:r>
          </w:p>
        </w:tc>
        <w:tc>
          <w:tcPr>
            <w:tcW w:type="dxa" w:w="4680"/>
          </w:tcPr>
          <w:p>
            <w:r/>
            <w:r>
              <w:rPr>
                <w:b w:val="0"/>
                <w:i w:val="0"/>
                <w:sz w:val="19"/>
              </w:rPr>
              <w:t>“Takeover Law and Practice.”</w:t>
            </w:r>
          </w:p>
        </w:tc>
      </w:tr>
      <w:tr>
        <w:tc>
          <w:tcPr>
            <w:tcW w:type="dxa" w:w="4680"/>
          </w:tcPr>
          <w:p>
            <w:r/>
            <w:r>
              <w:rPr>
                <w:b w:val="0"/>
                <w:i w:val="0"/>
                <w:sz w:val="19"/>
              </w:rPr>
              <w:t>70</w:t>
            </w:r>
          </w:p>
        </w:tc>
        <w:tc>
          <w:tcPr>
            <w:tcW w:type="dxa" w:w="4680"/>
          </w:tcPr>
          <w:p>
            <w:r/>
            <w:r>
              <w:rPr>
                <w:b w:val="0"/>
                <w:i/>
                <w:sz w:val="19"/>
              </w:rPr>
              <w:t>In re MFW Shareholders Litigation</w:t>
            </w:r>
            <w:r>
              <w:rPr>
                <w:b w:val="0"/>
                <w:i w:val="0"/>
                <w:sz w:val="19"/>
              </w:rPr>
              <w:t>, Tòa án Chancery của Bang Delaware, ngày 29 tháng 5 năm 2013, 67 A.3d 496 (Del. Ch. 2013)</w:t>
            </w:r>
          </w:p>
        </w:tc>
      </w:tr>
      <w:tr>
        <w:tc>
          <w:tcPr>
            <w:tcW w:type="dxa" w:w="4680"/>
          </w:tcPr>
          <w:p>
            <w:r/>
            <w:r>
              <w:rPr>
                <w:b w:val="0"/>
                <w:i w:val="0"/>
                <w:sz w:val="19"/>
              </w:rPr>
              <w:t>71</w:t>
            </w:r>
          </w:p>
        </w:tc>
        <w:tc>
          <w:tcPr>
            <w:tcW w:type="dxa" w:w="4680"/>
          </w:tcPr>
          <w:p>
            <w:r/>
            <w:r>
              <w:rPr>
                <w:b w:val="0"/>
                <w:i w:val="0"/>
                <w:sz w:val="19"/>
              </w:rPr>
              <w:t>“Luật và Thực hành về Thâu tóm.”</w:t>
            </w:r>
          </w:p>
        </w:tc>
      </w:tr>
      <w:tr>
        <w:tc>
          <w:tcPr>
            <w:tcW w:type="dxa" w:w="4680"/>
          </w:tcPr>
          <w:p>
            <w:r/>
            <w:r>
              <w:rPr>
                <w:b w:val="0"/>
                <w:i w:val="0"/>
                <w:sz w:val="19"/>
              </w:rPr>
              <w:t>72</w:t>
            </w:r>
          </w:p>
        </w:tc>
        <w:tc>
          <w:tcPr>
            <w:tcW w:type="dxa" w:w="4680"/>
          </w:tcPr>
          <w:p>
            <w:r/>
            <w:r>
              <w:rPr>
                <w:b w:val="0"/>
                <w:i w:val="0"/>
                <w:sz w:val="19"/>
              </w:rPr>
              <w:t xml:space="preserve">Emily Sanders Hopkins, “Charles Dyson: Nhà tài chính, Nhà từ thiện,” </w:t>
            </w:r>
            <w:r>
              <w:rPr>
                <w:b w:val="0"/>
                <w:i/>
                <w:sz w:val="19"/>
              </w:rPr>
              <w:t>Ezra Magazine</w:t>
            </w:r>
            <w:r>
              <w:rPr>
                <w:b w:val="0"/>
                <w:i w:val="0"/>
                <w:sz w:val="19"/>
              </w:rPr>
              <w:t xml:space="preserve"> 3, số 1 (Mùa thu 2010), https://ezramagazine.cornell.edu/FALL10/worthsupporting1.html.</w:t>
            </w:r>
          </w:p>
        </w:tc>
      </w:tr>
      <w:tr>
        <w:tc>
          <w:tcPr>
            <w:tcW w:type="dxa" w:w="4680"/>
          </w:tcPr>
          <w:p>
            <w:r/>
            <w:r>
              <w:rPr>
                <w:b w:val="0"/>
                <w:i w:val="0"/>
                <w:sz w:val="19"/>
              </w:rPr>
              <w:t>73</w:t>
            </w:r>
          </w:p>
        </w:tc>
        <w:tc>
          <w:tcPr>
            <w:tcW w:type="dxa" w:w="4680"/>
          </w:tcPr>
          <w:p>
            <w:r/>
            <w:r>
              <w:rPr>
                <w:b w:val="0"/>
                <w:i w:val="0"/>
                <w:sz w:val="19"/>
              </w:rPr>
              <w:t xml:space="preserve">Daniel Gross và Forbes Magazine, </w:t>
            </w:r>
            <w:r>
              <w:rPr>
                <w:b w:val="0"/>
                <w:i/>
                <w:sz w:val="19"/>
              </w:rPr>
              <w:t>Forbes Greatest Business Stories of All Time</w:t>
            </w:r>
            <w:r>
              <w:rPr>
                <w:b w:val="0"/>
                <w:i w:val="0"/>
                <w:sz w:val="19"/>
              </w:rPr>
              <w:t xml:space="preserve"> (New York: John Wiley, 1996).</w:t>
            </w:r>
          </w:p>
        </w:tc>
      </w:tr>
      <w:tr>
        <w:tc>
          <w:tcPr>
            <w:tcW w:type="dxa" w:w="4680"/>
          </w:tcPr>
          <w:p>
            <w:r/>
            <w:r>
              <w:rPr>
                <w:b w:val="0"/>
                <w:i w:val="0"/>
                <w:sz w:val="19"/>
              </w:rPr>
              <w:t>74</w:t>
            </w:r>
          </w:p>
        </w:tc>
        <w:tc>
          <w:tcPr>
            <w:tcW w:type="dxa" w:w="4680"/>
          </w:tcPr>
          <w:p>
            <w:r/>
            <w:r>
              <w:rPr>
                <w:b w:val="0"/>
                <w:i w:val="0"/>
                <w:sz w:val="19"/>
              </w:rPr>
              <w:t>Arleen Jacobius, “KKR báo cáo 601 tỷ USD AUM, tăng 16% so với cùng kỳ năm trước, với các quỹ chủ lực giờ chỉ chiếm thiểu số trong hoạt động gọi vốn,” Pensions &amp; Investments, ngày 1 tháng 8 năm 2024, https://www.pionline.com/money-managers/kkr-reports-601-billion-aum-16-year-over-year-flagships-now-minority-fundraising; “KKR Private Equity,” KKR, 2025, https://www.kkr.com/invest/private-equity.</w:t>
            </w:r>
          </w:p>
        </w:tc>
      </w:tr>
      <w:tr>
        <w:tc>
          <w:tcPr>
            <w:tcW w:type="dxa" w:w="4680"/>
          </w:tcPr>
          <w:p>
            <w:r/>
            <w:r>
              <w:rPr>
                <w:b w:val="0"/>
                <w:i w:val="0"/>
                <w:sz w:val="19"/>
              </w:rPr>
              <w:t>75</w:t>
            </w:r>
          </w:p>
        </w:tc>
        <w:tc>
          <w:tcPr>
            <w:tcW w:type="dxa" w:w="4680"/>
          </w:tcPr>
          <w:p>
            <w:r/>
            <w:r>
              <w:rPr>
                <w:b w:val="0"/>
                <w:i w:val="0"/>
                <w:sz w:val="19"/>
              </w:rPr>
              <w:t>Leslie M. Smith, “Vai trò ngày càng lớn của Private Equity trong M&amp;A mang lại lợi ích rõ ràng,” Dentons, ngày 7 tháng 8 năm 2023, https://www.dentons.com/en/insights/articles/2023/august/7/private-equitys-growing-role-in-m-and-a-has-clear-benefits.</w:t>
            </w:r>
          </w:p>
        </w:tc>
      </w:tr>
      <w:tr>
        <w:tc>
          <w:tcPr>
            <w:tcW w:type="dxa" w:w="4680"/>
          </w:tcPr>
          <w:p>
            <w:r/>
            <w:r>
              <w:rPr>
                <w:b w:val="0"/>
                <w:i w:val="0"/>
                <w:sz w:val="19"/>
              </w:rPr>
              <w:t>76</w:t>
            </w:r>
          </w:p>
        </w:tc>
        <w:tc>
          <w:tcPr>
            <w:tcW w:type="dxa" w:w="4680"/>
          </w:tcPr>
          <w:p>
            <w:r/>
            <w:r>
              <w:rPr>
                <w:b w:val="0"/>
                <w:i w:val="0"/>
                <w:sz w:val="19"/>
              </w:rPr>
              <w:t xml:space="preserve">Ellen Carr, “Thị trường LBO mới: Đã chuyển sang khu vực tư nhân,” </w:t>
            </w:r>
            <w:r>
              <w:rPr>
                <w:b w:val="0"/>
                <w:i/>
                <w:sz w:val="19"/>
              </w:rPr>
              <w:t>Financial Times</w:t>
            </w:r>
            <w:r>
              <w:rPr>
                <w:b w:val="0"/>
                <w:i w:val="0"/>
                <w:sz w:val="19"/>
              </w:rPr>
              <w:t>, ngày 24 tháng 2 năm 2023, https://www.ft.com/content/0758d47f-ed50-47b5-bea1-20946271bc6a.</w:t>
            </w:r>
          </w:p>
        </w:tc>
      </w:tr>
      <w:tr>
        <w:tc>
          <w:tcPr>
            <w:tcW w:type="dxa" w:w="4680"/>
          </w:tcPr>
          <w:p>
            <w:r/>
            <w:r>
              <w:rPr>
                <w:b w:val="0"/>
                <w:i w:val="0"/>
                <w:sz w:val="19"/>
              </w:rPr>
              <w:t>77.</w:t>
            </w:r>
          </w:p>
        </w:tc>
        <w:tc>
          <w:tcPr>
            <w:tcW w:type="dxa" w:w="4680"/>
          </w:tcPr>
          <w:p>
            <w:r/>
            <w:r>
              <w:rPr>
                <w:b w:val="0"/>
                <w:i w:val="0"/>
                <w:sz w:val="19"/>
              </w:rPr>
              <w:t>Kate Briquelet, “Leon Black cuối cùng cũng lên tiếng về người bạn Jeffrey Epstein của mình,” Daily Beast, ngày 19 tháng 9 năm 2024, https://www.thedailybeast.com/leon-black-finally-opens-up-about-his-pal-jeffrey-epstein/.</w:t>
            </w:r>
          </w:p>
        </w:tc>
      </w:tr>
      <w:tr>
        <w:tc>
          <w:tcPr>
            <w:tcW w:type="dxa" w:w="4680"/>
          </w:tcPr>
          <w:p>
            <w:r/>
            <w:r>
              <w:rPr>
                <w:b w:val="0"/>
                <w:i w:val="0"/>
                <w:sz w:val="19"/>
              </w:rPr>
              <w:t>78</w:t>
            </w:r>
          </w:p>
        </w:tc>
        <w:tc>
          <w:tcPr>
            <w:tcW w:type="dxa" w:w="4680"/>
          </w:tcPr>
          <w:p>
            <w:r/>
            <w:r>
              <w:rPr>
                <w:b w:val="0"/>
                <w:i w:val="0"/>
                <w:sz w:val="19"/>
              </w:rPr>
              <w:t xml:space="preserve">John Plender, “Private Equity Faces a Reckoning,” </w:t>
            </w:r>
            <w:r>
              <w:rPr>
                <w:b w:val="0"/>
                <w:i/>
                <w:sz w:val="19"/>
              </w:rPr>
              <w:t>Financial Times</w:t>
            </w:r>
            <w:r>
              <w:rPr>
                <w:b w:val="0"/>
                <w:i w:val="0"/>
                <w:sz w:val="19"/>
              </w:rPr>
              <w:t>, November 11, 2023, https://www.ft.com/content/b27e7a59-d319-4f84-bf4a-a3659efd725b.</w:t>
            </w:r>
          </w:p>
        </w:tc>
      </w:tr>
      <w:tr>
        <w:tc>
          <w:tcPr>
            <w:tcW w:type="dxa" w:w="4680"/>
          </w:tcPr>
          <w:p>
            <w:r/>
            <w:r>
              <w:rPr>
                <w:b w:val="0"/>
                <w:i w:val="0"/>
                <w:sz w:val="19"/>
              </w:rPr>
              <w:t>79</w:t>
            </w:r>
          </w:p>
        </w:tc>
        <w:tc>
          <w:tcPr>
            <w:tcW w:type="dxa" w:w="4680"/>
          </w:tcPr>
          <w:p>
            <w:r/>
            <w:r>
              <w:rPr>
                <w:b w:val="0"/>
                <w:i w:val="0"/>
                <w:sz w:val="19"/>
              </w:rPr>
              <w:t>“The Truth Revealed: Private Markets Beats Public Markets—Even after Fees,” Hamilton Lane, May 18, 2023, https://www.hamiltonlane.com/en-us/insight/truths-revealed/private-beats-public.</w:t>
            </w:r>
          </w:p>
        </w:tc>
      </w:tr>
      <w:tr>
        <w:tc>
          <w:tcPr>
            <w:tcW w:type="dxa" w:w="4680"/>
          </w:tcPr>
          <w:p>
            <w:r/>
            <w:r>
              <w:rPr>
                <w:b w:val="0"/>
                <w:i w:val="0"/>
                <w:sz w:val="19"/>
              </w:rPr>
              <w:t>80</w:t>
            </w:r>
          </w:p>
        </w:tc>
        <w:tc>
          <w:tcPr>
            <w:tcW w:type="dxa" w:w="4680"/>
          </w:tcPr>
          <w:p>
            <w:r/>
            <w:r>
              <w:rPr>
                <w:b w:val="0"/>
                <w:i w:val="0"/>
                <w:sz w:val="19"/>
              </w:rPr>
              <w:t>Plender, “Private Equity.”</w:t>
            </w:r>
          </w:p>
        </w:tc>
      </w:tr>
      <w:tr>
        <w:tc>
          <w:tcPr>
            <w:tcW w:type="dxa" w:w="4680"/>
          </w:tcPr>
          <w:p>
            <w:r/>
            <w:r>
              <w:rPr>
                <w:b w:val="0"/>
                <w:i w:val="0"/>
                <w:sz w:val="19"/>
              </w:rPr>
              <w:t>81</w:t>
            </w:r>
          </w:p>
        </w:tc>
        <w:tc>
          <w:tcPr>
            <w:tcW w:type="dxa" w:w="4680"/>
          </w:tcPr>
          <w:p>
            <w:r/>
            <w:r>
              <w:rPr>
                <w:b w:val="0"/>
                <w:i w:val="0"/>
                <w:sz w:val="19"/>
              </w:rPr>
              <w:t>Andrew R. Brownstein, Benjamin M. Roth, và Elina Tetelbaum, “Use of Special Committees in Conflict Transactions,” Harvard Law School Forum on Corporate Governance, September 23, 2019, https://corpgov.law.harvard.edu/2019/09/23/use-of-special-committees-in-conflict-transactions/.</w:t>
            </w:r>
          </w:p>
        </w:tc>
      </w:tr>
      <w:tr>
        <w:tc>
          <w:tcPr>
            <w:tcW w:type="dxa" w:w="4680"/>
          </w:tcPr>
          <w:p>
            <w:r/>
            <w:r>
              <w:rPr>
                <w:b w:val="0"/>
                <w:i w:val="0"/>
                <w:sz w:val="19"/>
              </w:rPr>
              <w:t>82</w:t>
            </w:r>
          </w:p>
        </w:tc>
        <w:tc>
          <w:tcPr>
            <w:tcW w:type="dxa" w:w="4680"/>
          </w:tcPr>
          <w:p>
            <w:r/>
            <w:r>
              <w:rPr>
                <w:b w:val="0"/>
                <w:i w:val="0"/>
                <w:sz w:val="19"/>
              </w:rPr>
              <w:t xml:space="preserve">Peter Howson, </w:t>
            </w:r>
            <w:r>
              <w:rPr>
                <w:b w:val="0"/>
                <w:i/>
                <w:sz w:val="19"/>
              </w:rPr>
              <w:t>Due Diligence: The Critical Stage in Mergers &amp; Acquisitions</w:t>
            </w:r>
            <w:r>
              <w:rPr>
                <w:b w:val="0"/>
                <w:i w:val="0"/>
                <w:sz w:val="19"/>
              </w:rPr>
              <w:t xml:space="preserve"> (London: Routledge, 2017).</w:t>
            </w:r>
          </w:p>
        </w:tc>
      </w:tr>
      <w:tr>
        <w:tc>
          <w:tcPr>
            <w:tcW w:type="dxa" w:w="4680"/>
          </w:tcPr>
          <w:p>
            <w:r/>
            <w:r>
              <w:rPr>
                <w:b w:val="0"/>
                <w:i w:val="0"/>
                <w:sz w:val="19"/>
              </w:rPr>
              <w:t>83</w:t>
            </w:r>
          </w:p>
        </w:tc>
        <w:tc>
          <w:tcPr>
            <w:tcW w:type="dxa" w:w="4680"/>
          </w:tcPr>
          <w:p>
            <w:r/>
            <w:r>
              <w:rPr>
                <w:b w:val="0"/>
                <w:i w:val="0"/>
                <w:sz w:val="19"/>
              </w:rPr>
              <w:t xml:space="preserve">Patrick A. Gaughan </w:t>
            </w:r>
            <w:r>
              <w:rPr>
                <w:b w:val="0"/>
                <w:i/>
                <w:sz w:val="19"/>
              </w:rPr>
              <w:t>Mergers, Acquisitions, and Corporate Restructurings</w:t>
            </w:r>
            <w:r>
              <w:rPr>
                <w:b w:val="0"/>
                <w:i w:val="0"/>
                <w:sz w:val="19"/>
              </w:rPr>
              <w:t>, 4th ed. (Hoboken: John Wiley &amp; Sons, 2007).</w:t>
            </w:r>
          </w:p>
        </w:tc>
      </w:tr>
      <w:tr>
        <w:tc>
          <w:tcPr>
            <w:tcW w:type="dxa" w:w="4680"/>
          </w:tcPr>
          <w:p>
            <w:r/>
            <w:r>
              <w:rPr>
                <w:b w:val="0"/>
                <w:i w:val="0"/>
                <w:sz w:val="19"/>
              </w:rPr>
              <w:t>84</w:t>
            </w:r>
          </w:p>
        </w:tc>
        <w:tc>
          <w:tcPr>
            <w:tcW w:type="dxa" w:w="4680"/>
          </w:tcPr>
          <w:p>
            <w:r/>
            <w:r>
              <w:rPr>
                <w:b w:val="0"/>
                <w:i w:val="0"/>
                <w:sz w:val="19"/>
              </w:rPr>
              <w:t xml:space="preserve">Joshua Rosenbaum và Joshua Pearl, </w:t>
            </w:r>
            <w:r>
              <w:rPr>
                <w:b w:val="0"/>
                <w:i/>
                <w:sz w:val="19"/>
              </w:rPr>
              <w:t>Investment Banking: Valuation, Leveraged Buyouts, and Mergers &amp; Acquisitions</w:t>
            </w:r>
            <w:r>
              <w:rPr>
                <w:b w:val="0"/>
                <w:i w:val="0"/>
                <w:sz w:val="19"/>
              </w:rPr>
              <w:t xml:space="preserve"> (Hoboken: Wiley, 2013).</w:t>
            </w:r>
          </w:p>
        </w:tc>
      </w:tr>
      <w:tr>
        <w:tc>
          <w:tcPr>
            <w:tcW w:type="dxa" w:w="4680"/>
          </w:tcPr>
          <w:p>
            <w:r/>
            <w:r>
              <w:rPr>
                <w:b w:val="0"/>
                <w:i w:val="0"/>
                <w:sz w:val="19"/>
              </w:rPr>
              <w:t>85</w:t>
            </w:r>
          </w:p>
        </w:tc>
        <w:tc>
          <w:tcPr>
            <w:tcW w:type="dxa" w:w="4680"/>
          </w:tcPr>
          <w:p>
            <w:r/>
            <w:r>
              <w:rPr>
                <w:b w:val="0"/>
                <w:i w:val="0"/>
                <w:sz w:val="19"/>
              </w:rPr>
              <w:t>John C. Coates IV, “M&amp;A Contracts: Purposes, Types, Regulation, and Patterns of Practice” (ECGI Working Paper Series in Law, working paper no. 292/2015, May 2015), https://www.ecgi.global/sites/default/files/working_papers/documents/SSRN-id2593866.pdf.</w:t>
            </w:r>
          </w:p>
        </w:tc>
      </w:tr>
      <w:tr>
        <w:tc>
          <w:tcPr>
            <w:tcW w:type="dxa" w:w="4680"/>
          </w:tcPr>
          <w:p>
            <w:r/>
            <w:r>
              <w:rPr>
                <w:b w:val="0"/>
                <w:i w:val="0"/>
                <w:sz w:val="19"/>
              </w:rPr>
              <w:t>86</w:t>
            </w:r>
          </w:p>
        </w:tc>
        <w:tc>
          <w:tcPr>
            <w:tcW w:type="dxa" w:w="4680"/>
          </w:tcPr>
          <w:p>
            <w:r/>
            <w:r>
              <w:rPr>
                <w:b w:val="0"/>
                <w:i w:val="0"/>
                <w:sz w:val="19"/>
              </w:rPr>
              <w:t xml:space="preserve">Alexandra Reed Lajoux, </w:t>
            </w:r>
            <w:r>
              <w:rPr>
                <w:b w:val="0"/>
                <w:i/>
                <w:sz w:val="19"/>
              </w:rPr>
              <w:t>The Art of M&amp;A</w:t>
            </w:r>
            <w:r>
              <w:rPr>
                <w:b w:val="0"/>
                <w:i w:val="0"/>
                <w:sz w:val="19"/>
              </w:rPr>
              <w:t>, 5th ed. (New York: McGraw Hill, 2019).</w:t>
            </w:r>
          </w:p>
        </w:tc>
      </w:tr>
      <w:tr>
        <w:tc>
          <w:tcPr>
            <w:tcW w:type="dxa" w:w="4680"/>
          </w:tcPr>
          <w:p>
            <w:r/>
            <w:r>
              <w:rPr>
                <w:b w:val="0"/>
                <w:i w:val="0"/>
                <w:sz w:val="19"/>
              </w:rPr>
              <w:t>87</w:t>
            </w:r>
          </w:p>
        </w:tc>
        <w:tc>
          <w:tcPr>
            <w:tcW w:type="dxa" w:w="4680"/>
          </w:tcPr>
          <w:p>
            <w:r/>
            <w:r>
              <w:rPr>
                <w:b w:val="0"/>
                <w:i w:val="0"/>
                <w:sz w:val="19"/>
              </w:rPr>
              <w:t xml:space="preserve">Steve Kaplan, “Forget What You’ve Read: Most Mergers Create Value,” </w:t>
            </w:r>
            <w:r>
              <w:rPr>
                <w:b w:val="0"/>
                <w:i/>
                <w:sz w:val="19"/>
              </w:rPr>
              <w:t>Chicago Booth Review</w:t>
            </w:r>
            <w:r>
              <w:rPr>
                <w:b w:val="0"/>
                <w:i w:val="0"/>
                <w:sz w:val="19"/>
              </w:rPr>
              <w:t>, May 21, 2016, https://www.chicagobooth.edu/review/forget-what-youve-read-most-mergers-create-value.</w:t>
            </w:r>
          </w:p>
        </w:tc>
      </w:tr>
      <w:tr>
        <w:tc>
          <w:tcPr>
            <w:tcW w:type="dxa" w:w="4680"/>
          </w:tcPr>
          <w:p>
            <w:r/>
            <w:r>
              <w:rPr>
                <w:b w:val="0"/>
                <w:i w:val="0"/>
                <w:sz w:val="19"/>
              </w:rPr>
              <w:t>88</w:t>
            </w:r>
          </w:p>
        </w:tc>
        <w:tc>
          <w:tcPr>
            <w:tcW w:type="dxa" w:w="4680"/>
          </w:tcPr>
          <w:p>
            <w:r/>
            <w:r>
              <w:rPr>
                <w:b w:val="0"/>
                <w:i w:val="0"/>
                <w:sz w:val="19"/>
              </w:rPr>
              <w:t>Kaplan.</w:t>
            </w:r>
          </w:p>
        </w:tc>
      </w:tr>
      <w:tr>
        <w:tc>
          <w:tcPr>
            <w:tcW w:type="dxa" w:w="4680"/>
          </w:tcPr>
          <w:p>
            <w:r/>
            <w:r>
              <w:rPr>
                <w:b w:val="0"/>
                <w:i w:val="0"/>
                <w:sz w:val="19"/>
              </w:rPr>
              <w:t>89</w:t>
            </w:r>
          </w:p>
        </w:tc>
        <w:tc>
          <w:tcPr>
            <w:tcW w:type="dxa" w:w="4680"/>
          </w:tcPr>
          <w:p>
            <w:r/>
            <w:r>
              <w:rPr>
                <w:b w:val="0"/>
                <w:i w:val="0"/>
                <w:sz w:val="19"/>
              </w:rPr>
              <w:t>Marc Goedhart, Tim Koller, and David Wessels, “The Six Types of Successful Acquisitions,” McKinsey &amp; Company, May 10, 2017, https://www.mckinsey.com/capabilities/strategy-and-corporate-finance/our-insights/the-six-types-of-successful-acquisitions.</w:t>
            </w:r>
          </w:p>
        </w:tc>
      </w:tr>
      <w:tr>
        <w:tc>
          <w:tcPr>
            <w:tcW w:type="dxa" w:w="4680"/>
          </w:tcPr>
          <w:p>
            <w:r/>
            <w:r>
              <w:rPr>
                <w:b w:val="0"/>
                <w:i w:val="0"/>
                <w:sz w:val="19"/>
              </w:rPr>
              <w:t>90</w:t>
            </w:r>
          </w:p>
        </w:tc>
        <w:tc>
          <w:tcPr>
            <w:tcW w:type="dxa" w:w="4680"/>
          </w:tcPr>
          <w:p>
            <w:r/>
            <w:r>
              <w:rPr>
                <w:b w:val="0"/>
                <w:i w:val="0"/>
                <w:sz w:val="19"/>
              </w:rPr>
              <w:t xml:space="preserve">Andrew Ross Sorkin et al., “Jamie Dimon Issues an Economic Warning,” </w:t>
            </w:r>
            <w:r>
              <w:rPr>
                <w:b w:val="0"/>
                <w:i/>
                <w:sz w:val="19"/>
              </w:rPr>
              <w:t>New York Times</w:t>
            </w:r>
            <w:r>
              <w:rPr>
                <w:b w:val="0"/>
                <w:i w:val="0"/>
                <w:sz w:val="19"/>
              </w:rPr>
              <w:t>, April 8, 2024, https://www.nytimes.com/2024/04/08/business/dealbook/jamie-dimon-economy-inflation-letter.html.</w:t>
            </w:r>
          </w:p>
        </w:tc>
      </w:tr>
      <w:tr>
        <w:tc>
          <w:tcPr>
            <w:tcW w:type="dxa" w:w="4680"/>
          </w:tcPr>
          <w:p>
            <w:r/>
            <w:r>
              <w:rPr>
                <w:b w:val="0"/>
                <w:i w:val="0"/>
                <w:sz w:val="19"/>
              </w:rPr>
              <w:t>91</w:t>
            </w:r>
          </w:p>
        </w:tc>
        <w:tc>
          <w:tcPr>
            <w:tcW w:type="dxa" w:w="4680"/>
          </w:tcPr>
          <w:p>
            <w:r/>
            <w:r>
              <w:rPr>
                <w:b w:val="0"/>
                <w:i w:val="0"/>
                <w:sz w:val="19"/>
              </w:rPr>
              <w:t>Sorkin et al.</w:t>
            </w:r>
          </w:p>
        </w:tc>
      </w:tr>
    </w:tbl>
    <w:p>
      <w:pPr>
        <w:spacing w:after="0"/>
      </w:pPr>
    </w:p>
    <w:p>
      <w:pPr>
        <w:pStyle w:val="Heading2"/>
      </w:pPr>
      <w:r>
        <w:rPr>
          <w:rFonts w:ascii="Calibri" w:hAnsi="Calibri"/>
          <w:b/>
          <w:i w:val="0"/>
          <w:sz w:val="32"/>
        </w:rPr>
        <w:t>Chương 7: Ảnh hưởng đang lên của các nhà đầu tư hoạt động</w:t>
      </w:r>
    </w:p>
    <w:tbl>
      <w:tblPr>
        <w:tblStyle w:val="TableGrid"/>
        <w:tblW w:type="auto" w:w="0"/>
        <w:tblLook w:firstColumn="1" w:firstRow="1" w:lastColumn="0" w:lastRow="0" w:noHBand="0" w:noVBand="1" w:val="04A0"/>
      </w:tblPr>
      <w:tblGrid>
        <w:gridCol w:w="4680"/>
        <w:gridCol w:w="4680"/>
      </w:tblGrid>
      <w:tr>
        <w:tc>
          <w:tcPr>
            <w:tcW w:type="dxa" w:w="4680"/>
          </w:tcPr>
          <w:p>
            <w:r/>
            <w:r>
              <w:rPr>
                <w:b w:val="0"/>
                <w:i w:val="0"/>
                <w:sz w:val="19"/>
              </w:rPr>
              <w:t>1.</w:t>
            </w:r>
          </w:p>
        </w:tc>
        <w:tc>
          <w:tcPr>
            <w:tcW w:type="dxa" w:w="4680"/>
          </w:tcPr>
          <w:p>
            <w:r/>
            <w:r>
              <w:rPr>
                <w:b w:val="0"/>
                <w:i w:val="0"/>
                <w:sz w:val="19"/>
              </w:rPr>
              <w:t>Emma Sjöström, “Shareholder Activism for Corporate Social Responsibility: What Do We Know?,” Wiley Online Library, June 13, 2008, https://onlinelibrary.wiley.com/doi/abs/10.1002/sd.361.</w:t>
            </w:r>
          </w:p>
        </w:tc>
      </w:tr>
      <w:tr>
        <w:tc>
          <w:tcPr>
            <w:tcW w:type="dxa" w:w="4680"/>
          </w:tcPr>
          <w:p>
            <w:r/>
            <w:r>
              <w:rPr>
                <w:b w:val="0"/>
                <w:i w:val="0"/>
                <w:sz w:val="19"/>
              </w:rPr>
              <w:t>2</w:t>
            </w:r>
          </w:p>
        </w:tc>
        <w:tc>
          <w:tcPr>
            <w:tcW w:type="dxa" w:w="4680"/>
          </w:tcPr>
          <w:p>
            <w:r/>
            <w:r>
              <w:rPr>
                <w:b w:val="0"/>
                <w:i w:val="0"/>
                <w:sz w:val="19"/>
              </w:rPr>
              <w:t>David Kostin và Jenny Ma, “Shareholder Activism: What Investors Seek, Which Companies Are Targeted, and How Stocks Perform,” Harvard Law School Forum on Corporate Governance, May 30, 2023, https://corpgov.law.harvard.edu/2023/05/30/shareholder-activism-what-investors-seek-which-companies-are-targeted-and-how-stocks-perform/.</w:t>
            </w:r>
          </w:p>
        </w:tc>
      </w:tr>
      <w:tr>
        <w:tc>
          <w:tcPr>
            <w:tcW w:type="dxa" w:w="4680"/>
          </w:tcPr>
          <w:p>
            <w:r/>
            <w:r>
              <w:rPr>
                <w:b w:val="0"/>
                <w:i w:val="0"/>
                <w:sz w:val="19"/>
              </w:rPr>
              <w:t>3</w:t>
            </w:r>
          </w:p>
        </w:tc>
        <w:tc>
          <w:tcPr>
            <w:tcW w:type="dxa" w:w="4680"/>
          </w:tcPr>
          <w:p>
            <w:r/>
            <w:r>
              <w:rPr>
                <w:b w:val="0"/>
                <w:i w:val="0"/>
                <w:sz w:val="19"/>
              </w:rPr>
              <w:t>Kostin và Ma.</w:t>
            </w:r>
          </w:p>
        </w:tc>
      </w:tr>
      <w:tr>
        <w:tc>
          <w:tcPr>
            <w:tcW w:type="dxa" w:w="4680"/>
          </w:tcPr>
          <w:p>
            <w:r/>
            <w:r>
              <w:rPr>
                <w:b w:val="0"/>
                <w:i w:val="0"/>
                <w:sz w:val="19"/>
              </w:rPr>
              <w:t>4</w:t>
            </w:r>
          </w:p>
        </w:tc>
        <w:tc>
          <w:tcPr>
            <w:tcW w:type="dxa" w:w="4680"/>
          </w:tcPr>
          <w:p>
            <w:r/>
            <w:r>
              <w:rPr>
                <w:b w:val="0"/>
                <w:i w:val="0"/>
                <w:sz w:val="19"/>
              </w:rPr>
              <w:t>Steve Klemash và David Hunker, “What Boards Need to Know about Shareholder Activism,” Harvard Law School Forum on Corporate Governance, April 3, 2021, https://corpgov.law.harvard.edu/2021/04/03/what-boards-need-to-know-about-shareholder-activism/.</w:t>
            </w:r>
          </w:p>
        </w:tc>
      </w:tr>
      <w:tr>
        <w:tc>
          <w:tcPr>
            <w:tcW w:type="dxa" w:w="4680"/>
          </w:tcPr>
          <w:p>
            <w:r/>
            <w:r>
              <w:rPr>
                <w:b w:val="0"/>
                <w:i w:val="0"/>
                <w:sz w:val="19"/>
              </w:rPr>
              <w:t>5</w:t>
            </w:r>
          </w:p>
        </w:tc>
        <w:tc>
          <w:tcPr>
            <w:tcW w:type="dxa" w:w="4680"/>
          </w:tcPr>
          <w:p>
            <w:r/>
            <w:r>
              <w:rPr>
                <w:b w:val="0"/>
                <w:i w:val="0"/>
                <w:sz w:val="19"/>
              </w:rPr>
              <w:t>Adam Kommel, Arun Verma, và Ken Kohn, “Bloomberg Activism Screening Model,” Harvard Law School Forum on Corporate Governance, February 20, 2021, https://corpgov.law.harvard.edu/2021/02/20/bloomberg-activism-screening-model.</w:t>
            </w:r>
          </w:p>
        </w:tc>
      </w:tr>
      <w:tr>
        <w:tc>
          <w:tcPr>
            <w:tcW w:type="dxa" w:w="4680"/>
          </w:tcPr>
          <w:p>
            <w:r/>
            <w:r>
              <w:rPr>
                <w:b w:val="0"/>
                <w:i w:val="0"/>
                <w:sz w:val="19"/>
              </w:rPr>
              <w:t>6</w:t>
            </w:r>
          </w:p>
        </w:tc>
        <w:tc>
          <w:tcPr>
            <w:tcW w:type="dxa" w:w="4680"/>
          </w:tcPr>
          <w:p>
            <w:r/>
            <w:r>
              <w:rPr>
                <w:b w:val="0"/>
                <w:i w:val="0"/>
                <w:sz w:val="19"/>
              </w:rPr>
              <w:t>Svea Herbst-Bayliss, “Activist Hedge Fund Marcato Capital to Shut Down after Drop in Assets,” Reuters, December 22, 2019, https://www.reuters.com/article/us-hedgefunds-marcato/activist-hedge-fund-marcato-capital-to-shut-down-after-drop-in-assets-idUSKBN1YQ0LW.</w:t>
            </w:r>
          </w:p>
        </w:tc>
      </w:tr>
      <w:tr>
        <w:tc>
          <w:tcPr>
            <w:tcW w:type="dxa" w:w="4680"/>
          </w:tcPr>
          <w:p>
            <w:r/>
            <w:r>
              <w:rPr>
                <w:b w:val="0"/>
                <w:i w:val="0"/>
                <w:sz w:val="19"/>
              </w:rPr>
              <w:t>7</w:t>
            </w:r>
          </w:p>
        </w:tc>
        <w:tc>
          <w:tcPr>
            <w:tcW w:type="dxa" w:w="4680"/>
          </w:tcPr>
          <w:p>
            <w:r/>
            <w:r>
              <w:rPr>
                <w:b w:val="0"/>
                <w:i w:val="0"/>
                <w:sz w:val="19"/>
              </w:rPr>
              <w:t>“Corrected-Update 2-Lear Settles with Activist Investors, to Boost Buybacks,” Reuters, April 1, 2013, https://www.reuters.com/article/lear-marcato/corrected-update-2-lear-settles-with-activist-investors-to-boost-buybacks-idUSL3N0CO1QU20130401.</w:t>
            </w:r>
          </w:p>
        </w:tc>
      </w:tr>
      <w:tr>
        <w:tc>
          <w:tcPr>
            <w:tcW w:type="dxa" w:w="4680"/>
          </w:tcPr>
          <w:p>
            <w:r/>
            <w:r>
              <w:rPr>
                <w:b w:val="0"/>
                <w:i w:val="0"/>
                <w:sz w:val="19"/>
              </w:rPr>
              <w:t>8</w:t>
            </w:r>
          </w:p>
        </w:tc>
        <w:tc>
          <w:tcPr>
            <w:tcW w:type="dxa" w:w="4680"/>
          </w:tcPr>
          <w:p>
            <w:r/>
            <w:r>
              <w:rPr>
                <w:b w:val="0"/>
                <w:i w:val="0"/>
                <w:sz w:val="19"/>
              </w:rPr>
              <w:t xml:space="preserve">Jeff Bennett và David Benoit, “Activist Investor Urges Auto Parts Maker Lear to Split Up,” </w:t>
            </w:r>
            <w:r>
              <w:rPr>
                <w:b w:val="0"/>
                <w:i/>
                <w:sz w:val="19"/>
              </w:rPr>
              <w:t>Wall Street Journal</w:t>
            </w:r>
            <w:r>
              <w:rPr>
                <w:b w:val="0"/>
                <w:i w:val="0"/>
                <w:sz w:val="19"/>
              </w:rPr>
              <w:t>, February 3, 2015, https://www.wsj.com/articles/activist-investor-urges-auto-parts-maker-lear-to-split-up-1423000727.</w:t>
            </w:r>
          </w:p>
        </w:tc>
      </w:tr>
      <w:tr>
        <w:tc>
          <w:tcPr>
            <w:tcW w:type="dxa" w:w="4680"/>
          </w:tcPr>
          <w:p>
            <w:r/>
            <w:r>
              <w:rPr>
                <w:b w:val="0"/>
                <w:i w:val="0"/>
                <w:sz w:val="19"/>
              </w:rPr>
              <w:t>9</w:t>
            </w:r>
          </w:p>
        </w:tc>
        <w:tc>
          <w:tcPr>
            <w:tcW w:type="dxa" w:w="4680"/>
          </w:tcPr>
          <w:p>
            <w:r/>
            <w:r>
              <w:rPr>
                <w:b w:val="0"/>
                <w:i w:val="0"/>
                <w:sz w:val="19"/>
              </w:rPr>
              <w:t xml:space="preserve">Nathan Bomey, “Lear Makes Move after Activist Investor’s Maneuver,” </w:t>
            </w:r>
            <w:r>
              <w:rPr>
                <w:b w:val="0"/>
                <w:i/>
                <w:sz w:val="19"/>
              </w:rPr>
              <w:t>Detroit Free Press</w:t>
            </w:r>
            <w:r>
              <w:rPr>
                <w:b w:val="0"/>
                <w:i w:val="0"/>
                <w:sz w:val="19"/>
              </w:rPr>
              <w:t>, February 17, 2015, https://www.freep.com/story/money/cars/2015/02/17/lear-share-buyback-dividend-mick-mcguire/23542259/.</w:t>
            </w:r>
          </w:p>
        </w:tc>
      </w:tr>
      <w:tr>
        <w:tc>
          <w:tcPr>
            <w:tcW w:type="dxa" w:w="4680"/>
          </w:tcPr>
          <w:p>
            <w:r/>
            <w:r>
              <w:rPr>
                <w:b w:val="0"/>
                <w:i w:val="0"/>
                <w:sz w:val="19"/>
              </w:rPr>
              <w:t>10</w:t>
            </w:r>
          </w:p>
        </w:tc>
        <w:tc>
          <w:tcPr>
            <w:tcW w:type="dxa" w:w="4680"/>
          </w:tcPr>
          <w:p>
            <w:r/>
            <w:r>
              <w:rPr>
                <w:b w:val="0"/>
                <w:i w:val="0"/>
                <w:sz w:val="19"/>
              </w:rPr>
              <w:t>Jeff Gramm, “Sách hướng dẫn của nhà hoạt động cổ đông đã gần 90 năm tuổi—và chương đầu tiên được viết bởi người thầy của Warren Buffett,” Business Insider, ngày 16 tháng 6 năm 2016, https://www.businessinsider.com/benjamin-graham-was-the-first-shareholder-activist-2016-6.</w:t>
            </w:r>
          </w:p>
        </w:tc>
      </w:tr>
      <w:tr>
        <w:tc>
          <w:tcPr>
            <w:tcW w:type="dxa" w:w="4680"/>
          </w:tcPr>
          <w:p>
            <w:r/>
            <w:r>
              <w:rPr>
                <w:b w:val="0"/>
                <w:i w:val="0"/>
                <w:sz w:val="19"/>
              </w:rPr>
              <w:t>11</w:t>
            </w:r>
          </w:p>
        </w:tc>
        <w:tc>
          <w:tcPr>
            <w:tcW w:type="dxa" w:w="4680"/>
          </w:tcPr>
          <w:p>
            <w:r/>
            <w:r>
              <w:rPr>
                <w:b w:val="0"/>
                <w:i w:val="0"/>
                <w:sz w:val="19"/>
              </w:rPr>
              <w:t xml:space="preserve">Walter Frick, “Lập luận ủng hộ các nhà đầu tư hoạt động,” </w:t>
            </w:r>
            <w:r>
              <w:rPr>
                <w:b w:val="0"/>
                <w:i/>
                <w:sz w:val="19"/>
              </w:rPr>
              <w:t>Harvard Business Review</w:t>
            </w:r>
            <w:r>
              <w:rPr>
                <w:b w:val="0"/>
                <w:i w:val="0"/>
                <w:sz w:val="19"/>
              </w:rPr>
              <w:t>, tháng 3 năm 2016, https://hbr.org/2016/03/the-case-for-activist-investors.</w:t>
            </w:r>
          </w:p>
        </w:tc>
      </w:tr>
      <w:tr>
        <w:tc>
          <w:tcPr>
            <w:tcW w:type="dxa" w:w="4680"/>
          </w:tcPr>
          <w:p>
            <w:r/>
            <w:r>
              <w:rPr>
                <w:b w:val="0"/>
                <w:i w:val="0"/>
                <w:sz w:val="19"/>
              </w:rPr>
              <w:t>12</w:t>
            </w:r>
          </w:p>
        </w:tc>
        <w:tc>
          <w:tcPr>
            <w:tcW w:type="dxa" w:w="4680"/>
          </w:tcPr>
          <w:p>
            <w:r/>
            <w:r>
              <w:rPr>
                <w:b w:val="0"/>
                <w:i w:val="0"/>
                <w:sz w:val="19"/>
              </w:rPr>
              <w:t>Frick.</w:t>
            </w:r>
          </w:p>
        </w:tc>
      </w:tr>
      <w:tr>
        <w:tc>
          <w:tcPr>
            <w:tcW w:type="dxa" w:w="4680"/>
          </w:tcPr>
          <w:p>
            <w:r/>
            <w:r>
              <w:rPr>
                <w:b w:val="0"/>
                <w:i w:val="0"/>
                <w:sz w:val="19"/>
              </w:rPr>
              <w:t>13</w:t>
            </w:r>
          </w:p>
        </w:tc>
        <w:tc>
          <w:tcPr>
            <w:tcW w:type="dxa" w:w="4680"/>
          </w:tcPr>
          <w:p>
            <w:r/>
            <w:r>
              <w:rPr>
                <w:b w:val="0"/>
                <w:i w:val="0"/>
                <w:sz w:val="19"/>
              </w:rPr>
              <w:t>Frick.</w:t>
            </w:r>
          </w:p>
        </w:tc>
      </w:tr>
      <w:tr>
        <w:tc>
          <w:tcPr>
            <w:tcW w:type="dxa" w:w="4680"/>
          </w:tcPr>
          <w:p>
            <w:r/>
            <w:r>
              <w:rPr>
                <w:b w:val="0"/>
                <w:i w:val="0"/>
                <w:sz w:val="19"/>
              </w:rPr>
              <w:t>14</w:t>
            </w:r>
          </w:p>
        </w:tc>
        <w:tc>
          <w:tcPr>
            <w:tcW w:type="dxa" w:w="4680"/>
          </w:tcPr>
          <w:p>
            <w:r/>
            <w:r>
              <w:rPr>
                <w:b w:val="0"/>
                <w:i w:val="0"/>
                <w:sz w:val="19"/>
              </w:rPr>
              <w:t xml:space="preserve">Douglas Martin, “John J. Gilbert qua đời ở tuổi 88; Kẻ hay quấy rầy tại các cuộc họp công ty,” </w:t>
            </w:r>
            <w:r>
              <w:rPr>
                <w:b w:val="0"/>
                <w:i/>
                <w:sz w:val="19"/>
              </w:rPr>
              <w:t>New York Times</w:t>
            </w:r>
            <w:r>
              <w:rPr>
                <w:b w:val="0"/>
                <w:i w:val="0"/>
                <w:sz w:val="19"/>
              </w:rPr>
              <w:t>, ngày 17 tháng 7 năm 2002, https://www.nytimes.com/2002/07/17/business/john-j-gilbert-is-dead-at-88-gadfly-at-corporate-meetings.html.</w:t>
            </w:r>
          </w:p>
        </w:tc>
      </w:tr>
      <w:tr>
        <w:tc>
          <w:tcPr>
            <w:tcW w:type="dxa" w:w="4680"/>
          </w:tcPr>
          <w:p>
            <w:r/>
            <w:r>
              <w:rPr>
                <w:b w:val="0"/>
                <w:i w:val="0"/>
                <w:sz w:val="19"/>
              </w:rPr>
              <w:t>15</w:t>
            </w:r>
          </w:p>
        </w:tc>
        <w:tc>
          <w:tcPr>
            <w:tcW w:type="dxa" w:w="4680"/>
          </w:tcPr>
          <w:p>
            <w:r/>
            <w:r>
              <w:rPr>
                <w:b w:val="0"/>
                <w:i w:val="0"/>
                <w:sz w:val="19"/>
              </w:rPr>
              <w:t>Douglas.</w:t>
            </w:r>
          </w:p>
        </w:tc>
      </w:tr>
      <w:tr>
        <w:tc>
          <w:tcPr>
            <w:tcW w:type="dxa" w:w="4680"/>
          </w:tcPr>
          <w:p>
            <w:r/>
            <w:r>
              <w:rPr>
                <w:b w:val="0"/>
                <w:i w:val="0"/>
                <w:sz w:val="19"/>
              </w:rPr>
              <w:t>16</w:t>
            </w:r>
          </w:p>
        </w:tc>
        <w:tc>
          <w:tcPr>
            <w:tcW w:type="dxa" w:w="4680"/>
          </w:tcPr>
          <w:p>
            <w:r/>
            <w:r>
              <w:rPr>
                <w:b w:val="0"/>
                <w:i w:val="0"/>
                <w:sz w:val="19"/>
              </w:rPr>
              <w:t xml:space="preserve">J. Robert Brown, “Quản trị công ty, đề xuất của cổ đông, và sự tương tác giữa nhà quản lý và chủ sở hữu,” </w:t>
            </w:r>
            <w:r>
              <w:rPr>
                <w:b w:val="0"/>
                <w:i/>
                <w:sz w:val="19"/>
              </w:rPr>
              <w:t>Denver Law Review Forum</w:t>
            </w:r>
            <w:r>
              <w:rPr>
                <w:b w:val="0"/>
                <w:i w:val="0"/>
                <w:sz w:val="19"/>
              </w:rPr>
              <w:t xml:space="preserve"> 94, no. 36 (2017), https://digitalcommons.du.edu/cgi/viewcontent.cgi?article</w:t>
            </w:r>
            <w:r>
              <w:rPr>
                <w:rFonts w:ascii="Consolas" w:hAnsi="Consolas"/>
                <w:b w:val="0"/>
                <w:i w:val="0"/>
                <w:sz w:val="19"/>
              </w:rPr>
              <w:t>=1071&amp;context=dlrforum</w:t>
            </w:r>
            <w:r>
              <w:rPr>
                <w:b w:val="0"/>
                <w:i w:val="0"/>
                <w:sz w:val="19"/>
              </w:rPr>
              <w:t>.</w:t>
            </w:r>
          </w:p>
        </w:tc>
      </w:tr>
      <w:tr>
        <w:tc>
          <w:tcPr>
            <w:tcW w:type="dxa" w:w="4680"/>
          </w:tcPr>
          <w:p>
            <w:r/>
            <w:r>
              <w:rPr>
                <w:b w:val="0"/>
                <w:i w:val="0"/>
                <w:sz w:val="19"/>
              </w:rPr>
              <w:t>17</w:t>
            </w:r>
          </w:p>
        </w:tc>
        <w:tc>
          <w:tcPr>
            <w:tcW w:type="dxa" w:w="4680"/>
          </w:tcPr>
          <w:p>
            <w:r/>
            <w:r>
              <w:rPr>
                <w:b w:val="0"/>
                <w:i w:val="0"/>
                <w:sz w:val="19"/>
              </w:rPr>
              <w:t xml:space="preserve">Stuart L. Gillian và Laura T. Starks, “Các đề xuất quản trị công ty và hoạt động của cổ đông: Vai trò của các nhà đầu tư tổ chức,” </w:t>
            </w:r>
            <w:r>
              <w:rPr>
                <w:b w:val="0"/>
                <w:i/>
                <w:sz w:val="19"/>
              </w:rPr>
              <w:t>Journal of Financial Economics</w:t>
            </w:r>
            <w:r>
              <w:rPr>
                <w:b w:val="0"/>
                <w:i w:val="0"/>
                <w:sz w:val="19"/>
              </w:rPr>
              <w:t xml:space="preserve"> 275 (2000).</w:t>
            </w:r>
          </w:p>
        </w:tc>
      </w:tr>
      <w:tr>
        <w:tc>
          <w:tcPr>
            <w:tcW w:type="dxa" w:w="4680"/>
          </w:tcPr>
          <w:p>
            <w:r/>
            <w:r>
              <w:rPr>
                <w:b w:val="0"/>
                <w:i w:val="0"/>
                <w:sz w:val="19"/>
              </w:rPr>
              <w:t>18</w:t>
            </w:r>
          </w:p>
        </w:tc>
        <w:tc>
          <w:tcPr>
            <w:tcW w:type="dxa" w:w="4680"/>
          </w:tcPr>
          <w:p>
            <w:r/>
            <w:r>
              <w:rPr>
                <w:b w:val="0"/>
                <w:i w:val="0"/>
                <w:sz w:val="19"/>
              </w:rPr>
              <w:t>“Mở khóa giá trị: Vai trò của các nhà quản lý đầu tư thay thế theo chủ nghĩa hoạt động,” Simmons &amp; Simmons, 2014.</w:t>
            </w:r>
          </w:p>
        </w:tc>
      </w:tr>
      <w:tr>
        <w:tc>
          <w:tcPr>
            <w:tcW w:type="dxa" w:w="4680"/>
          </w:tcPr>
          <w:p>
            <w:r/>
            <w:r>
              <w:rPr>
                <w:b w:val="0"/>
                <w:i w:val="0"/>
                <w:sz w:val="19"/>
              </w:rPr>
              <w:t>19</w:t>
            </w:r>
          </w:p>
        </w:tc>
        <w:tc>
          <w:tcPr>
            <w:tcW w:type="dxa" w:w="4680"/>
          </w:tcPr>
          <w:p>
            <w:r/>
            <w:r>
              <w:rPr>
                <w:b w:val="0"/>
                <w:i w:val="0"/>
                <w:sz w:val="19"/>
              </w:rPr>
              <w:t>“Mở khóa giá trị.”</w:t>
            </w:r>
          </w:p>
        </w:tc>
      </w:tr>
      <w:tr>
        <w:tc>
          <w:tcPr>
            <w:tcW w:type="dxa" w:w="4680"/>
          </w:tcPr>
          <w:p>
            <w:r/>
            <w:r>
              <w:rPr>
                <w:b w:val="0"/>
                <w:i w:val="0"/>
                <w:sz w:val="19"/>
              </w:rPr>
              <w:t>20</w:t>
            </w:r>
          </w:p>
        </w:tc>
        <w:tc>
          <w:tcPr>
            <w:tcW w:type="dxa" w:w="4680"/>
          </w:tcPr>
          <w:p>
            <w:r/>
            <w:r>
              <w:rPr>
                <w:b w:val="0"/>
                <w:i w:val="0"/>
                <w:sz w:val="19"/>
              </w:rPr>
              <w:t>Svea Herbst-Bayliss, “Các nhà đầu tư hoạt động tận hưởng đà phục hồi mạnh mẽ trong năm 2023, chuẩn bị cho nhiều cuộc chiến ủy quyền hơn,” Reuters, ngày 16 tháng 1 năm 2024, https://www.reuters.com/business/finance/activist-investors-enjoy-strong-rebound-23-gird-more-proxy-fights-2024-01-16/.</w:t>
            </w:r>
          </w:p>
        </w:tc>
      </w:tr>
      <w:tr>
        <w:tc>
          <w:tcPr>
            <w:tcW w:type="dxa" w:w="4680"/>
          </w:tcPr>
          <w:p>
            <w:r/>
            <w:r>
              <w:rPr>
                <w:b w:val="0"/>
                <w:i w:val="0"/>
                <w:sz w:val="19"/>
              </w:rPr>
              <w:t>21</w:t>
            </w:r>
          </w:p>
        </w:tc>
        <w:tc>
          <w:tcPr>
            <w:tcW w:type="dxa" w:w="4680"/>
          </w:tcPr>
          <w:p>
            <w:r/>
            <w:r>
              <w:rPr>
                <w:b w:val="0"/>
                <w:i w:val="0"/>
                <w:sz w:val="19"/>
              </w:rPr>
              <w:t>Malcolm McKenzie, “Các chiến dịch hoạt động vượt trội so với thị trường khi nhắm vào chuyển đổi vận hành,” Alvarez &amp; Marsal, ngày 8 tháng 10 năm 2020, https://www.alvarezandmarsal.com/insights/uk-activist-targets-outperform-despite-covid-19.</w:t>
            </w:r>
          </w:p>
        </w:tc>
      </w:tr>
      <w:tr>
        <w:tc>
          <w:tcPr>
            <w:tcW w:type="dxa" w:w="4680"/>
          </w:tcPr>
          <w:p>
            <w:r/>
            <w:r>
              <w:rPr>
                <w:b w:val="0"/>
                <w:i w:val="0"/>
                <w:sz w:val="19"/>
              </w:rPr>
              <w:t>22</w:t>
            </w:r>
          </w:p>
        </w:tc>
        <w:tc>
          <w:tcPr>
            <w:tcW w:type="dxa" w:w="4680"/>
          </w:tcPr>
          <w:p>
            <w:r/>
            <w:r>
              <w:rPr>
                <w:b w:val="0"/>
                <w:i w:val="0"/>
                <w:sz w:val="19"/>
              </w:rPr>
              <w:t>Mary Ann Deignan, Rich Thomas, và Kathryn Night, “Các nhà hoạt động có đánh bại được thị trường không?,” Diễn đàn Trường Luật Harvard về Quản trị Doanh nghiệp, ngày 1 tháng 8 năm 2023, https://corpgov.law.harvard.edu/2023/08/01/do-activists-beat-the-market/.</w:t>
            </w:r>
          </w:p>
        </w:tc>
      </w:tr>
      <w:tr>
        <w:tc>
          <w:tcPr>
            <w:tcW w:type="dxa" w:w="4680"/>
          </w:tcPr>
          <w:p>
            <w:r/>
            <w:r>
              <w:rPr>
                <w:b w:val="0"/>
                <w:i w:val="0"/>
                <w:sz w:val="19"/>
              </w:rPr>
              <w:t>23</w:t>
            </w:r>
          </w:p>
        </w:tc>
        <w:tc>
          <w:tcPr>
            <w:tcW w:type="dxa" w:w="4680"/>
          </w:tcPr>
          <w:p>
            <w:r/>
            <w:r>
              <w:rPr>
                <w:b w:val="0"/>
                <w:i w:val="0"/>
                <w:sz w:val="19"/>
              </w:rPr>
              <w:t>Deignan, Thomas, và Night.</w:t>
            </w:r>
          </w:p>
        </w:tc>
      </w:tr>
      <w:tr>
        <w:tc>
          <w:tcPr>
            <w:tcW w:type="dxa" w:w="4680"/>
          </w:tcPr>
          <w:p>
            <w:r/>
            <w:r>
              <w:rPr>
                <w:b w:val="0"/>
                <w:i w:val="0"/>
                <w:sz w:val="19"/>
              </w:rPr>
              <w:t>24</w:t>
            </w:r>
          </w:p>
        </w:tc>
        <w:tc>
          <w:tcPr>
            <w:tcW w:type="dxa" w:w="4680"/>
          </w:tcPr>
          <w:p>
            <w:r/>
            <w:r>
              <w:rPr>
                <w:b w:val="0"/>
                <w:i w:val="0"/>
                <w:sz w:val="19"/>
              </w:rPr>
              <w:t xml:space="preserve">Andrew Kutscher và Douglas Saper, “Nâng cao giá trị hay kìm hãm đổi mới: Xem xét tác động của chủ nghĩa hoạt động cổ đông và ảnh hưởng của nó đối với chủ nghĩa tư bản Mỹ,” Đại học Brown, ngày 4 tháng 5 năm 2018, https://entrepreneurship.brown.edu/wp-content/uploads/2019/01/Kutscher-and-Saper_Final-Shareholder-Activism-Essay.pdf; Paolo Confino, “Nhiệm kỳ thắng lợi của Satya Nadella đạt đỉnh mới khi Microsoft vượt mốc 3 nghìn tỷ đô la giá trị thị trường—Cổ phiếu của công ty đã tăng 1.006% kể từ khi ông tiếp quản,” </w:t>
            </w:r>
            <w:r>
              <w:rPr>
                <w:b w:val="0"/>
                <w:i/>
                <w:sz w:val="19"/>
              </w:rPr>
              <w:t>Fortune</w:t>
            </w:r>
            <w:r>
              <w:rPr>
                <w:b w:val="0"/>
                <w:i w:val="0"/>
                <w:sz w:val="19"/>
              </w:rPr>
              <w:t>, ngày 24 tháng 1 năm 2024, https://fortune.com/2024/01/24/microsoft-3-trillion-market-capitalization-ceo-satya-nadella-apple-rivalry/.</w:t>
            </w:r>
          </w:p>
        </w:tc>
      </w:tr>
      <w:tr>
        <w:tc>
          <w:tcPr>
            <w:tcW w:type="dxa" w:w="4680"/>
          </w:tcPr>
          <w:p>
            <w:r/>
            <w:r>
              <w:rPr>
                <w:b w:val="0"/>
                <w:i w:val="0"/>
                <w:sz w:val="19"/>
              </w:rPr>
              <w:t>25</w:t>
            </w:r>
          </w:p>
        </w:tc>
        <w:tc>
          <w:tcPr>
            <w:tcW w:type="dxa" w:w="4680"/>
          </w:tcPr>
          <w:p>
            <w:r/>
            <w:r>
              <w:rPr>
                <w:b w:val="0"/>
                <w:i w:val="0"/>
                <w:sz w:val="19"/>
              </w:rPr>
              <w:t xml:space="preserve">Nicole Norfleet, “Kết thúc rồi: Ackman bán cổ phần Target của mình,” </w:t>
            </w:r>
            <w:r>
              <w:rPr>
                <w:b w:val="0"/>
                <w:i/>
                <w:sz w:val="19"/>
              </w:rPr>
              <w:t>Minnesota Star Tribune</w:t>
            </w:r>
            <w:r>
              <w:rPr>
                <w:b w:val="0"/>
                <w:i w:val="0"/>
                <w:sz w:val="19"/>
              </w:rPr>
              <w:t>, ngày 17 tháng 5 năm 2011, https://www.startribune.com/it-s-over-ackman-sells-his-target-shares/121994259/.</w:t>
            </w:r>
          </w:p>
        </w:tc>
      </w:tr>
      <w:tr>
        <w:tc>
          <w:tcPr>
            <w:tcW w:type="dxa" w:w="4680"/>
          </w:tcPr>
          <w:p>
            <w:r/>
            <w:r>
              <w:rPr>
                <w:b w:val="0"/>
                <w:i w:val="0"/>
                <w:sz w:val="19"/>
              </w:rPr>
              <w:t>26</w:t>
            </w:r>
          </w:p>
        </w:tc>
        <w:tc>
          <w:tcPr>
            <w:tcW w:type="dxa" w:w="4680"/>
          </w:tcPr>
          <w:p>
            <w:r/>
            <w:r>
              <w:rPr>
                <w:b w:val="0"/>
                <w:i w:val="0"/>
                <w:sz w:val="19"/>
              </w:rPr>
              <w:t xml:space="preserve">Joe Nocera, “Nhà đầu tư rút lui và để lại sự hoang mang,” </w:t>
            </w:r>
            <w:r>
              <w:rPr>
                <w:b w:val="0"/>
                <w:i/>
                <w:sz w:val="19"/>
              </w:rPr>
              <w:t>New York Times</w:t>
            </w:r>
            <w:r>
              <w:rPr>
                <w:b w:val="0"/>
                <w:i w:val="0"/>
                <w:sz w:val="19"/>
              </w:rPr>
              <w:t>, 29 tháng 5, 2009, https://www.nytimes.com/2009/05/30/business/30nocera.html.</w:t>
            </w:r>
          </w:p>
        </w:tc>
      </w:tr>
      <w:tr>
        <w:tc>
          <w:tcPr>
            <w:tcW w:type="dxa" w:w="4680"/>
          </w:tcPr>
          <w:p>
            <w:r/>
            <w:r>
              <w:rPr>
                <w:b w:val="0"/>
                <w:i w:val="0"/>
                <w:sz w:val="19"/>
              </w:rPr>
              <w:t>27</w:t>
            </w:r>
          </w:p>
        </w:tc>
        <w:tc>
          <w:tcPr>
            <w:tcW w:type="dxa" w:w="4680"/>
          </w:tcPr>
          <w:p>
            <w:r/>
            <w:r>
              <w:rPr>
                <w:b w:val="0"/>
                <w:i w:val="0"/>
                <w:sz w:val="19"/>
              </w:rPr>
              <w:t>“Carl Icahn: Phim tài liệu The Icahn Lift với 60 Minutes,” Investing Principle, 18 tháng 12, 2018, https://www.youtube.com/watch?v</w:t>
            </w:r>
            <w:r>
              <w:rPr>
                <w:rFonts w:ascii="Consolas" w:hAnsi="Consolas"/>
                <w:b w:val="0"/>
                <w:i w:val="0"/>
                <w:sz w:val="19"/>
              </w:rPr>
              <w:t>=02xY5M8v5jo</w:t>
            </w:r>
            <w:r>
              <w:rPr>
                <w:b w:val="0"/>
                <w:i w:val="0"/>
                <w:sz w:val="19"/>
              </w:rPr>
              <w:t>.</w:t>
            </w:r>
          </w:p>
        </w:tc>
      </w:tr>
      <w:tr>
        <w:tc>
          <w:tcPr>
            <w:tcW w:type="dxa" w:w="4680"/>
          </w:tcPr>
          <w:p>
            <w:r/>
            <w:r>
              <w:rPr>
                <w:b w:val="0"/>
                <w:i w:val="0"/>
                <w:sz w:val="19"/>
              </w:rPr>
              <w:t>28</w:t>
            </w:r>
          </w:p>
        </w:tc>
        <w:tc>
          <w:tcPr>
            <w:tcW w:type="dxa" w:w="4680"/>
          </w:tcPr>
          <w:p>
            <w:r/>
            <w:r>
              <w:rPr>
                <w:b w:val="0"/>
                <w:i w:val="0"/>
                <w:sz w:val="19"/>
              </w:rPr>
              <w:t>iBillionaire Capital, “Lịch sử của Carl Icahn với Netflix,” Medium, 1 tháng 7, 2015, https://medium.com/ibillionaire/carl-icahns-history-with-netflix-3c7e25a9ce6e.</w:t>
            </w:r>
          </w:p>
        </w:tc>
      </w:tr>
      <w:tr>
        <w:tc>
          <w:tcPr>
            <w:tcW w:type="dxa" w:w="4680"/>
          </w:tcPr>
          <w:p>
            <w:r/>
            <w:r>
              <w:rPr>
                <w:b w:val="0"/>
                <w:i w:val="0"/>
                <w:sz w:val="19"/>
              </w:rPr>
              <w:t>29</w:t>
            </w:r>
          </w:p>
        </w:tc>
        <w:tc>
          <w:tcPr>
            <w:tcW w:type="dxa" w:w="4680"/>
          </w:tcPr>
          <w:p>
            <w:r/>
            <w:r>
              <w:rPr>
                <w:b w:val="0"/>
                <w:i w:val="0"/>
                <w:sz w:val="19"/>
              </w:rPr>
              <w:t>Nathan Bomey, “Carl Icahn không tiết lộ tài sản thế chấp cổ phiếu, SEC buộc tội,” Axios, 19 tháng 8, 2024, https://www.axios.com/2024/08/19/carl-icahn-stock-sec-charges-settlement; Niket Nishant, “Công ty của Carl Icahn cắt cổ tức một nửa sau cuộc tấn công của nhà bán khống, cổ phiếu lao dốc,” Reuters, 4 tháng 8, 2023, https://www.reuters.com/business/finance/carl-icahns-investment-firm-cuts-dividend-months-after-hindenburg-report-2023-08-04/.</w:t>
            </w:r>
          </w:p>
        </w:tc>
      </w:tr>
      <w:tr>
        <w:tc>
          <w:tcPr>
            <w:tcW w:type="dxa" w:w="4680"/>
          </w:tcPr>
          <w:p>
            <w:r/>
            <w:r>
              <w:rPr>
                <w:b w:val="0"/>
                <w:i w:val="0"/>
                <w:sz w:val="19"/>
              </w:rPr>
              <w:t>30</w:t>
            </w:r>
          </w:p>
        </w:tc>
        <w:tc>
          <w:tcPr>
            <w:tcW w:type="dxa" w:w="4680"/>
          </w:tcPr>
          <w:p>
            <w:r/>
            <w:r>
              <w:rPr>
                <w:b w:val="0"/>
                <w:i w:val="0"/>
                <w:sz w:val="19"/>
              </w:rPr>
              <w:t>Christiaan Hetzner, “Tỷ phú quỹ đầu cơ Bill Ackman tung đòn hiểm vào đối thủ không đội trời chung Carl Icahn khi ông này đang bị dồn vào chân tường, so sánh công ty của ông với vụ sụp đổ tai tiếng của Archegos,” Yahoo Finance, 25 tháng 5, 2023, https://finance.yahoo.com/news/hedge-fund-billionaire-bill-ackman-132557971.html.</w:t>
            </w:r>
          </w:p>
        </w:tc>
      </w:tr>
      <w:tr>
        <w:tc>
          <w:tcPr>
            <w:tcW w:type="dxa" w:w="4680"/>
          </w:tcPr>
          <w:p>
            <w:r/>
            <w:r>
              <w:rPr>
                <w:b w:val="0"/>
                <w:i w:val="0"/>
                <w:sz w:val="19"/>
              </w:rPr>
              <w:t>31</w:t>
            </w:r>
          </w:p>
        </w:tc>
        <w:tc>
          <w:tcPr>
            <w:tcW w:type="dxa" w:w="4680"/>
          </w:tcPr>
          <w:p>
            <w:r/>
            <w:r>
              <w:rPr>
                <w:b w:val="0"/>
                <w:i w:val="0"/>
                <w:sz w:val="19"/>
              </w:rPr>
              <w:t>Yvan Allaire và François Dauphin, “Một trường hợp ‘thành công’ của hoạt động vận động cổ đông tại Canadian Pacific Railway: Bài học về quản trị doanh nghiệp,” Harvard Law School Forum on Corporate Governance, 23 tháng 12, 2016, https://corpgov.law.harvard.edu/2016/12/23/a-successful-case-of-activism-at-the-canadian-pacific-railway-lessons-in-corporate-governance/.</w:t>
            </w:r>
          </w:p>
        </w:tc>
      </w:tr>
      <w:tr>
        <w:tc>
          <w:tcPr>
            <w:tcW w:type="dxa" w:w="4680"/>
          </w:tcPr>
          <w:p>
            <w:r/>
            <w:r>
              <w:rPr>
                <w:b w:val="0"/>
                <w:i w:val="0"/>
                <w:sz w:val="19"/>
              </w:rPr>
              <w:t>32</w:t>
            </w:r>
          </w:p>
        </w:tc>
        <w:tc>
          <w:tcPr>
            <w:tcW w:type="dxa" w:w="4680"/>
          </w:tcPr>
          <w:p>
            <w:r/>
            <w:r>
              <w:rPr>
                <w:b w:val="0"/>
                <w:i w:val="0"/>
                <w:sz w:val="19"/>
              </w:rPr>
              <w:t>Zaw Thiha Tun, “Những thương vụ thành công và thất bại lớn nhất của Bill Ackman,” Investopedia, 25 tháng 6, 2019, https://www.investopedia.com/articles/investing/032216/bill-ackmans-greatest-hits-and-misses.asp.</w:t>
            </w:r>
          </w:p>
        </w:tc>
      </w:tr>
      <w:tr>
        <w:tc>
          <w:tcPr>
            <w:tcW w:type="dxa" w:w="4680"/>
          </w:tcPr>
          <w:p>
            <w:r/>
            <w:r>
              <w:rPr>
                <w:b w:val="0"/>
                <w:i w:val="0"/>
                <w:sz w:val="19"/>
              </w:rPr>
              <w:t>33.</w:t>
            </w:r>
          </w:p>
        </w:tc>
        <w:tc>
          <w:tcPr>
            <w:tcW w:type="dxa" w:w="4680"/>
          </w:tcPr>
          <w:p>
            <w:r/>
            <w:r>
              <w:rPr>
                <w:b w:val="0"/>
                <w:i w:val="0"/>
                <w:sz w:val="19"/>
              </w:rPr>
              <w:t xml:space="preserve">William D. Cohan, “Jeff Smith của Starboard Value: Nhà đầu tư mà các CEO sợ nhất,” </w:t>
            </w:r>
            <w:r>
              <w:rPr>
                <w:b w:val="0"/>
                <w:i/>
                <w:sz w:val="19"/>
              </w:rPr>
              <w:t>Fortune</w:t>
            </w:r>
            <w:r>
              <w:rPr>
                <w:b w:val="0"/>
                <w:i w:val="0"/>
                <w:sz w:val="19"/>
              </w:rPr>
              <w:t>, 3 tháng 12, 2014, https://fortune.com/2014/12/03/starboard-capitals-jeff-smith-activist-investor-darden-restaurants/.</w:t>
            </w:r>
          </w:p>
        </w:tc>
      </w:tr>
      <w:tr>
        <w:tc>
          <w:tcPr>
            <w:tcW w:type="dxa" w:w="4680"/>
          </w:tcPr>
          <w:p>
            <w:r/>
            <w:r>
              <w:rPr>
                <w:b w:val="0"/>
                <w:i w:val="0"/>
                <w:sz w:val="19"/>
              </w:rPr>
              <w:t>34</w:t>
            </w:r>
          </w:p>
        </w:tc>
        <w:tc>
          <w:tcPr>
            <w:tcW w:type="dxa" w:w="4680"/>
          </w:tcPr>
          <w:p>
            <w:r/>
            <w:r>
              <w:rPr>
                <w:b w:val="0"/>
                <w:i w:val="0"/>
                <w:sz w:val="19"/>
              </w:rPr>
              <w:t>Emily Stewart, “Peltz Says He’s No Activist; Discovers Power of Cheeseburger,” The Deal, June 8, 2016, https://thedealnewsroom.tumblr.com/post/145609711857/peltz-says-hes-no-activist-discovers-power-of.</w:t>
            </w:r>
          </w:p>
        </w:tc>
      </w:tr>
      <w:tr>
        <w:tc>
          <w:tcPr>
            <w:tcW w:type="dxa" w:w="4680"/>
          </w:tcPr>
          <w:p>
            <w:r/>
            <w:r>
              <w:rPr>
                <w:b w:val="0"/>
                <w:i w:val="0"/>
                <w:sz w:val="19"/>
              </w:rPr>
              <w:t>35</w:t>
            </w:r>
          </w:p>
        </w:tc>
        <w:tc>
          <w:tcPr>
            <w:tcW w:type="dxa" w:w="4680"/>
          </w:tcPr>
          <w:p>
            <w:r/>
            <w:r>
              <w:rPr>
                <w:b w:val="0"/>
                <w:i w:val="0"/>
                <w:sz w:val="19"/>
              </w:rPr>
              <w:t>Siddharth Cavale, “Nelson Peltz Revives Campaign to Split up PepsiCo,” Reuters, February 20, 2014, https://www.reuters.com/article/us-peltz-pepsico-idUSBREA1J0B720140220.</w:t>
            </w:r>
          </w:p>
        </w:tc>
      </w:tr>
      <w:tr>
        <w:tc>
          <w:tcPr>
            <w:tcW w:type="dxa" w:w="4680"/>
          </w:tcPr>
          <w:p>
            <w:r/>
            <w:r>
              <w:rPr>
                <w:b w:val="0"/>
                <w:i w:val="0"/>
                <w:sz w:val="19"/>
              </w:rPr>
              <w:t>36</w:t>
            </w:r>
          </w:p>
        </w:tc>
        <w:tc>
          <w:tcPr>
            <w:tcW w:type="dxa" w:w="4680"/>
          </w:tcPr>
          <w:p>
            <w:r/>
            <w:r>
              <w:rPr>
                <w:b w:val="0"/>
                <w:i w:val="0"/>
                <w:sz w:val="19"/>
              </w:rPr>
              <w:t xml:space="preserve">Leslie Picker, “Billionaire Investor Nelson Peltz Sells Stake in PepsiCo,” </w:t>
            </w:r>
            <w:r>
              <w:rPr>
                <w:b w:val="0"/>
                <w:i/>
                <w:sz w:val="19"/>
              </w:rPr>
              <w:t>New York Times</w:t>
            </w:r>
            <w:r>
              <w:rPr>
                <w:b w:val="0"/>
                <w:i w:val="0"/>
                <w:sz w:val="19"/>
              </w:rPr>
              <w:t>, May 14, 2016, https://www.nytimes.com/2016/05/14/business/dealbook/billionaire-investor-nelson-peltz-sells-stake-in-pepsico.html.</w:t>
            </w:r>
          </w:p>
        </w:tc>
      </w:tr>
      <w:tr>
        <w:tc>
          <w:tcPr>
            <w:tcW w:type="dxa" w:w="4680"/>
          </w:tcPr>
          <w:p>
            <w:r/>
            <w:r>
              <w:rPr>
                <w:b w:val="0"/>
                <w:i w:val="0"/>
                <w:sz w:val="19"/>
              </w:rPr>
              <w:t>37.</w:t>
            </w:r>
          </w:p>
        </w:tc>
        <w:tc>
          <w:tcPr>
            <w:tcW w:type="dxa" w:w="4680"/>
          </w:tcPr>
          <w:p>
            <w:r/>
            <w:r>
              <w:rPr>
                <w:b w:val="0"/>
                <w:i w:val="0"/>
                <w:sz w:val="19"/>
              </w:rPr>
              <w:t xml:space="preserve">Michelle Celarier, “SEC Tightens 13D Disclosure Rules—and Throws Swaps into the Mix,” </w:t>
            </w:r>
            <w:r>
              <w:rPr>
                <w:b w:val="0"/>
                <w:i/>
                <w:sz w:val="19"/>
              </w:rPr>
              <w:t>Institutional Investor</w:t>
            </w:r>
            <w:r>
              <w:rPr>
                <w:b w:val="0"/>
                <w:i w:val="0"/>
                <w:sz w:val="19"/>
              </w:rPr>
              <w:t>, October 11, 2023, https://www.institutionalinvestor.com/article/2cb1rsku6c8u09zfxo5q8/culture/sec-tightens-13d-disclosure-rules-and-throws-swaps-into-the-mix.</w:t>
            </w:r>
          </w:p>
        </w:tc>
      </w:tr>
      <w:tr>
        <w:tc>
          <w:tcPr>
            <w:tcW w:type="dxa" w:w="4680"/>
          </w:tcPr>
          <w:p>
            <w:r/>
            <w:r>
              <w:rPr>
                <w:b w:val="0"/>
                <w:i w:val="0"/>
                <w:sz w:val="19"/>
              </w:rPr>
              <w:t>38</w:t>
            </w:r>
          </w:p>
        </w:tc>
        <w:tc>
          <w:tcPr>
            <w:tcW w:type="dxa" w:w="4680"/>
          </w:tcPr>
          <w:p>
            <w:r/>
            <w:r>
              <w:rPr>
                <w:b w:val="0"/>
                <w:i w:val="0"/>
                <w:sz w:val="19"/>
              </w:rPr>
              <w:t xml:space="preserve">Andrew Ackerman, “SEC Rule Change Could Ease Path for Activist Investors to Gain Seats on Corporate Boards,” </w:t>
            </w:r>
            <w:r>
              <w:rPr>
                <w:b w:val="0"/>
                <w:i/>
                <w:sz w:val="19"/>
              </w:rPr>
              <w:t>Wall Street Journal</w:t>
            </w:r>
            <w:r>
              <w:rPr>
                <w:b w:val="0"/>
                <w:i w:val="0"/>
                <w:sz w:val="19"/>
              </w:rPr>
              <w:t>, November 17, 2021, https://www.wsj.com/articles/sec-corporate-board-universal-ballot-11637164553.</w:t>
            </w:r>
          </w:p>
        </w:tc>
      </w:tr>
      <w:tr>
        <w:tc>
          <w:tcPr>
            <w:tcW w:type="dxa" w:w="4680"/>
          </w:tcPr>
          <w:p>
            <w:r/>
            <w:r>
              <w:rPr>
                <w:b w:val="0"/>
                <w:i w:val="0"/>
                <w:sz w:val="19"/>
              </w:rPr>
              <w:t>39</w:t>
            </w:r>
          </w:p>
        </w:tc>
        <w:tc>
          <w:tcPr>
            <w:tcW w:type="dxa" w:w="4680"/>
          </w:tcPr>
          <w:p>
            <w:r/>
            <w:r>
              <w:rPr>
                <w:b w:val="0"/>
                <w:i w:val="0"/>
                <w:sz w:val="19"/>
              </w:rPr>
              <w:t>“5 Trends in Shareholder Activism That Have Emerged in 2023,” Barclays, July 19, 2023, https://www.cib.barclays/our-insights/5-trends-in-shareholder-activism-that-have-emerged-in-2023.html.</w:t>
            </w:r>
          </w:p>
        </w:tc>
      </w:tr>
      <w:tr>
        <w:tc>
          <w:tcPr>
            <w:tcW w:type="dxa" w:w="4680"/>
          </w:tcPr>
          <w:p>
            <w:r/>
            <w:r>
              <w:rPr>
                <w:b w:val="0"/>
                <w:i w:val="0"/>
                <w:sz w:val="19"/>
              </w:rPr>
              <w:t>40</w:t>
            </w:r>
          </w:p>
        </w:tc>
        <w:tc>
          <w:tcPr>
            <w:tcW w:type="dxa" w:w="4680"/>
          </w:tcPr>
          <w:p>
            <w:r/>
            <w:r>
              <w:rPr>
                <w:b w:val="0"/>
                <w:i w:val="0"/>
                <w:sz w:val="19"/>
              </w:rPr>
              <w:t>“Shareholder Activism Update: Early Look at 2023 Trends,” Lazard, April 18, 2023, https://www.lazard.com/research-insights/shareholder-activism-update-early-look-at-2023-trends.</w:t>
            </w:r>
          </w:p>
        </w:tc>
      </w:tr>
      <w:tr>
        <w:tc>
          <w:tcPr>
            <w:tcW w:type="dxa" w:w="4680"/>
          </w:tcPr>
          <w:p>
            <w:r/>
            <w:r>
              <w:rPr>
                <w:b w:val="0"/>
                <w:i w:val="0"/>
                <w:sz w:val="19"/>
              </w:rPr>
              <w:t>41</w:t>
            </w:r>
          </w:p>
        </w:tc>
        <w:tc>
          <w:tcPr>
            <w:tcW w:type="dxa" w:w="4680"/>
          </w:tcPr>
          <w:p>
            <w:r/>
            <w:r>
              <w:rPr>
                <w:b w:val="0"/>
                <w:i w:val="0"/>
                <w:sz w:val="19"/>
              </w:rPr>
              <w:t>Jody Foldesy, Gregory Rice, and Simon Weinstein, “To Defeat an Activist Investor, Think Like One,” BCG Global, April 28, 2021, https://www.bcg.com/publications/2021/strategies-for-managing-activist-investors.</w:t>
            </w:r>
          </w:p>
        </w:tc>
      </w:tr>
      <w:tr>
        <w:tc>
          <w:tcPr>
            <w:tcW w:type="dxa" w:w="4680"/>
          </w:tcPr>
          <w:p>
            <w:r/>
            <w:r>
              <w:rPr>
                <w:b w:val="0"/>
                <w:i w:val="0"/>
                <w:sz w:val="19"/>
              </w:rPr>
              <w:t>42</w:t>
            </w:r>
          </w:p>
        </w:tc>
        <w:tc>
          <w:tcPr>
            <w:tcW w:type="dxa" w:w="4680"/>
          </w:tcPr>
          <w:p>
            <w:r/>
            <w:r>
              <w:rPr>
                <w:b w:val="0"/>
                <w:i w:val="0"/>
                <w:sz w:val="19"/>
              </w:rPr>
              <w:t>Deignan, Thomas, và Night, “Do Activists Beat the Market?”</w:t>
            </w:r>
          </w:p>
        </w:tc>
      </w:tr>
      <w:tr>
        <w:tc>
          <w:tcPr>
            <w:tcW w:type="dxa" w:w="4680"/>
          </w:tcPr>
          <w:p>
            <w:r/>
            <w:r>
              <w:rPr>
                <w:b w:val="0"/>
                <w:i w:val="0"/>
                <w:sz w:val="19"/>
              </w:rPr>
              <w:t>43</w:t>
            </w:r>
          </w:p>
        </w:tc>
        <w:tc>
          <w:tcPr>
            <w:tcW w:type="dxa" w:w="4680"/>
          </w:tcPr>
          <w:p>
            <w:r/>
            <w:r>
              <w:rPr>
                <w:b w:val="0"/>
                <w:i w:val="0"/>
                <w:sz w:val="19"/>
              </w:rPr>
              <w:t>“2019 Annual Activism Survey: Active Managers and Activism,” SquareWell Partners, 2019, https://squarewell-partners.com/wp-content/uploads/2018/07/2019-SquareWell-Survey-Active-Managers-and-Activism-1.pdf.</w:t>
            </w:r>
          </w:p>
        </w:tc>
      </w:tr>
      <w:tr>
        <w:tc>
          <w:tcPr>
            <w:tcW w:type="dxa" w:w="4680"/>
          </w:tcPr>
          <w:p>
            <w:r/>
            <w:r>
              <w:rPr>
                <w:b w:val="0"/>
                <w:i w:val="0"/>
                <w:sz w:val="19"/>
              </w:rPr>
              <w:t>44</w:t>
            </w:r>
          </w:p>
        </w:tc>
        <w:tc>
          <w:tcPr>
            <w:tcW w:type="dxa" w:w="4680"/>
          </w:tcPr>
          <w:p>
            <w:r/>
            <w:r>
              <w:rPr>
                <w:b w:val="0"/>
                <w:i w:val="0"/>
                <w:sz w:val="19"/>
              </w:rPr>
              <w:t xml:space="preserve">David Benoit, “Activism’s Long Road from Corporate Raiding to Banner Year,” </w:t>
            </w:r>
            <w:r>
              <w:rPr>
                <w:b w:val="0"/>
                <w:i/>
                <w:sz w:val="19"/>
              </w:rPr>
              <w:t>Wall Street Journal</w:t>
            </w:r>
            <w:r>
              <w:rPr>
                <w:b w:val="0"/>
                <w:i w:val="0"/>
                <w:sz w:val="19"/>
              </w:rPr>
              <w:t>, December 26, 2015, https://www.wsj.com/articles/activisms-long-road-from-corporate-raiding-to-banner-year-1451070910.</w:t>
            </w:r>
          </w:p>
        </w:tc>
      </w:tr>
      <w:tr>
        <w:tc>
          <w:tcPr>
            <w:tcW w:type="dxa" w:w="4680"/>
          </w:tcPr>
          <w:p>
            <w:r/>
            <w:r>
              <w:rPr>
                <w:b w:val="0"/>
                <w:i w:val="0"/>
                <w:sz w:val="19"/>
              </w:rPr>
              <w:t>45</w:t>
            </w:r>
          </w:p>
        </w:tc>
        <w:tc>
          <w:tcPr>
            <w:tcW w:type="dxa" w:w="4680"/>
          </w:tcPr>
          <w:p>
            <w:r/>
            <w:r>
              <w:rPr>
                <w:b w:val="0"/>
                <w:i w:val="0"/>
                <w:sz w:val="19"/>
              </w:rPr>
              <w:t>“Annual Review of Shareholder Activism 2023,” Lazard, January 8, 2024, https://www.lazard.com/research-insights/annual-review-of-shareholder-activism-2023/.</w:t>
            </w:r>
          </w:p>
        </w:tc>
      </w:tr>
      <w:tr>
        <w:tc>
          <w:tcPr>
            <w:tcW w:type="dxa" w:w="4680"/>
          </w:tcPr>
          <w:p>
            <w:r/>
            <w:r>
              <w:rPr>
                <w:b w:val="0"/>
                <w:i w:val="0"/>
                <w:sz w:val="19"/>
              </w:rPr>
              <w:t>46</w:t>
            </w:r>
          </w:p>
        </w:tc>
        <w:tc>
          <w:tcPr>
            <w:tcW w:type="dxa" w:w="4680"/>
          </w:tcPr>
          <w:p>
            <w:r/>
            <w:r>
              <w:rPr>
                <w:b w:val="0"/>
                <w:i w:val="0"/>
                <w:sz w:val="19"/>
              </w:rPr>
              <w:t>Andrew Baker, David F. Larcker, Brian Tayan, và Derek Zaba, “The Evolving Battlefronts of Shareholder Activism” (bài làm việc của Rock Center for Corporate Governance tại Đại học Stanford, March 6, 2023), https://ssrn.com/abstract=4380801.</w:t>
            </w:r>
          </w:p>
        </w:tc>
      </w:tr>
      <w:tr>
        <w:tc>
          <w:tcPr>
            <w:tcW w:type="dxa" w:w="4680"/>
          </w:tcPr>
          <w:p>
            <w:r/>
            <w:r>
              <w:rPr>
                <w:b w:val="0"/>
                <w:i w:val="0"/>
                <w:sz w:val="19"/>
              </w:rPr>
              <w:t>47</w:t>
            </w:r>
          </w:p>
        </w:tc>
        <w:tc>
          <w:tcPr>
            <w:tcW w:type="dxa" w:w="4680"/>
          </w:tcPr>
          <w:p>
            <w:r/>
            <w:r>
              <w:rPr>
                <w:b w:val="0"/>
                <w:i w:val="0"/>
                <w:sz w:val="19"/>
              </w:rPr>
              <w:t xml:space="preserve">Michael J. De La Merced, “Disney Gains Support from ValueAct Capital as Nelson Peltz Challenges Board,” </w:t>
            </w:r>
            <w:r>
              <w:rPr>
                <w:b w:val="0"/>
                <w:i/>
                <w:sz w:val="19"/>
              </w:rPr>
              <w:t>New York Times</w:t>
            </w:r>
            <w:r>
              <w:rPr>
                <w:b w:val="0"/>
                <w:i w:val="0"/>
                <w:sz w:val="19"/>
              </w:rPr>
              <w:t>, January 3, 2024, https://www.nytimes.com/2024/01/03/business/dealbook/disney-valueact-nelson-peltz.html.</w:t>
            </w:r>
          </w:p>
        </w:tc>
      </w:tr>
      <w:tr>
        <w:tc>
          <w:tcPr>
            <w:tcW w:type="dxa" w:w="4680"/>
          </w:tcPr>
          <w:p>
            <w:r/>
            <w:r>
              <w:rPr>
                <w:b w:val="0"/>
                <w:i w:val="0"/>
                <w:sz w:val="19"/>
              </w:rPr>
              <w:t>48</w:t>
            </w:r>
          </w:p>
        </w:tc>
        <w:tc>
          <w:tcPr>
            <w:tcW w:type="dxa" w:w="4680"/>
          </w:tcPr>
          <w:p>
            <w:r/>
            <w:r>
              <w:rPr>
                <w:b w:val="0"/>
                <w:i w:val="0"/>
                <w:sz w:val="19"/>
              </w:rPr>
              <w:t xml:space="preserve">Lauren Thomas, “The Priciest Shareholder Fight Ever Is Headed to Disney’s Boardroom,” </w:t>
            </w:r>
            <w:r>
              <w:rPr>
                <w:b w:val="0"/>
                <w:i/>
                <w:sz w:val="19"/>
              </w:rPr>
              <w:t>Wall Street Journal</w:t>
            </w:r>
            <w:r>
              <w:rPr>
                <w:b w:val="0"/>
                <w:i w:val="0"/>
                <w:sz w:val="19"/>
              </w:rPr>
              <w:t>, February 11, 2024, https://www.wsj.com/business/deals/disney-investors-stock-shareholders-2bb7382d.</w:t>
            </w:r>
          </w:p>
        </w:tc>
      </w:tr>
      <w:tr>
        <w:tc>
          <w:tcPr>
            <w:tcW w:type="dxa" w:w="4680"/>
          </w:tcPr>
          <w:p>
            <w:r/>
            <w:r>
              <w:rPr>
                <w:b w:val="0"/>
                <w:i w:val="0"/>
                <w:sz w:val="19"/>
              </w:rPr>
              <w:t>49</w:t>
            </w:r>
          </w:p>
        </w:tc>
        <w:tc>
          <w:tcPr>
            <w:tcW w:type="dxa" w:w="4680"/>
          </w:tcPr>
          <w:p>
            <w:r/>
            <w:r>
              <w:rPr>
                <w:b w:val="0"/>
                <w:i w:val="0"/>
                <w:sz w:val="19"/>
              </w:rPr>
              <w:t>“Berry Global Announces Appointment of Three New Directors and Forms Capital Allocation Committee,” Business Wire, November 23, 2022, https://www.businesswire.com/news/home/20221122005901/en/Berry-Global-Announces-Appointment-of-Three-New-Directors-and-Forms-Capital-Allocation-Committee.</w:t>
            </w:r>
          </w:p>
        </w:tc>
      </w:tr>
      <w:tr>
        <w:tc>
          <w:tcPr>
            <w:tcW w:type="dxa" w:w="4680"/>
          </w:tcPr>
          <w:p>
            <w:r/>
            <w:r>
              <w:rPr>
                <w:b w:val="0"/>
                <w:i w:val="0"/>
                <w:sz w:val="19"/>
              </w:rPr>
              <w:t>50.</w:t>
            </w:r>
          </w:p>
        </w:tc>
        <w:tc>
          <w:tcPr>
            <w:tcW w:type="dxa" w:w="4680"/>
          </w:tcPr>
          <w:p>
            <w:r/>
            <w:r>
              <w:rPr>
                <w:b w:val="0"/>
                <w:i w:val="0"/>
                <w:sz w:val="19"/>
              </w:rPr>
              <w:t xml:space="preserve">Alexandra Stevenson, “Ngôi sao quỹ đầu cơ hoạt động Starboard thành công trong việc thay thế ban lãnh đạo Darden,” </w:t>
            </w:r>
            <w:r>
              <w:rPr>
                <w:b w:val="0"/>
                <w:i/>
                <w:sz w:val="19"/>
              </w:rPr>
              <w:t>New York Times</w:t>
            </w:r>
            <w:r>
              <w:rPr>
                <w:b w:val="0"/>
                <w:i w:val="0"/>
                <w:sz w:val="19"/>
              </w:rPr>
              <w:t>, ngày 10 tháng 10 năm 2014, https://archive.nytimes.com/dealbook.nytimes.com/2014/10/10/activist-hedge-fund-starboard-succeeds-in-replacing-darden-board/.</w:t>
            </w:r>
          </w:p>
        </w:tc>
      </w:tr>
      <w:tr>
        <w:tc>
          <w:tcPr>
            <w:tcW w:type="dxa" w:w="4680"/>
          </w:tcPr>
          <w:p>
            <w:r/>
            <w:r>
              <w:rPr>
                <w:b w:val="0"/>
                <w:i w:val="0"/>
                <w:sz w:val="19"/>
              </w:rPr>
              <w:t>51</w:t>
            </w:r>
          </w:p>
        </w:tc>
        <w:tc>
          <w:tcPr>
            <w:tcW w:type="dxa" w:w="4680"/>
          </w:tcPr>
          <w:p>
            <w:r/>
            <w:r>
              <w:rPr>
                <w:b w:val="0"/>
                <w:i w:val="0"/>
                <w:sz w:val="19"/>
              </w:rPr>
              <w:t>Stevenson.</w:t>
            </w:r>
          </w:p>
        </w:tc>
      </w:tr>
      <w:tr>
        <w:tc>
          <w:tcPr>
            <w:tcW w:type="dxa" w:w="4680"/>
          </w:tcPr>
          <w:p>
            <w:r/>
            <w:r>
              <w:rPr>
                <w:b w:val="0"/>
                <w:i w:val="0"/>
                <w:sz w:val="19"/>
              </w:rPr>
              <w:t>52</w:t>
            </w:r>
          </w:p>
        </w:tc>
        <w:tc>
          <w:tcPr>
            <w:tcW w:type="dxa" w:w="4680"/>
          </w:tcPr>
          <w:p>
            <w:r/>
            <w:r>
              <w:rPr>
                <w:b w:val="0"/>
                <w:i w:val="0"/>
                <w:sz w:val="19"/>
              </w:rPr>
              <w:t>Stevenson.</w:t>
            </w:r>
          </w:p>
        </w:tc>
      </w:tr>
      <w:tr>
        <w:tc>
          <w:tcPr>
            <w:tcW w:type="dxa" w:w="4680"/>
          </w:tcPr>
          <w:p>
            <w:r/>
            <w:r>
              <w:rPr>
                <w:b w:val="0"/>
                <w:i w:val="0"/>
                <w:sz w:val="19"/>
              </w:rPr>
              <w:t>53</w:t>
            </w:r>
          </w:p>
        </w:tc>
        <w:tc>
          <w:tcPr>
            <w:tcW w:type="dxa" w:w="4680"/>
          </w:tcPr>
          <w:p>
            <w:r/>
            <w:r>
              <w:rPr>
                <w:b w:val="0"/>
                <w:i w:val="0"/>
                <w:sz w:val="19"/>
              </w:rPr>
              <w:t>Joseph Guinto, “Ai đã phá hủy J.C. Penney?” D Magazine, ngày 16 tháng 10 năm 2013, https://www.dmagazine.com/publications/d-ceo/2013/november/who-wrecked-jc-penney/.</w:t>
            </w:r>
          </w:p>
        </w:tc>
      </w:tr>
      <w:tr>
        <w:tc>
          <w:tcPr>
            <w:tcW w:type="dxa" w:w="4680"/>
          </w:tcPr>
          <w:p>
            <w:r/>
            <w:r>
              <w:rPr>
                <w:b w:val="0"/>
                <w:i w:val="0"/>
                <w:sz w:val="19"/>
              </w:rPr>
              <w:t>54</w:t>
            </w:r>
          </w:p>
        </w:tc>
        <w:tc>
          <w:tcPr>
            <w:tcW w:type="dxa" w:w="4680"/>
          </w:tcPr>
          <w:p>
            <w:r/>
            <w:r>
              <w:rPr>
                <w:b w:val="0"/>
                <w:i w:val="0"/>
                <w:sz w:val="19"/>
              </w:rPr>
              <w:t xml:space="preserve">“Một nhà đầu tư lên tiếng,” </w:t>
            </w:r>
            <w:r>
              <w:rPr>
                <w:b w:val="0"/>
                <w:i/>
                <w:sz w:val="19"/>
              </w:rPr>
              <w:t>Economist</w:t>
            </w:r>
            <w:r>
              <w:rPr>
                <w:b w:val="0"/>
                <w:i w:val="0"/>
                <w:sz w:val="19"/>
              </w:rPr>
              <w:t>, ngày 5 tháng 2 năm 2015, https://www.economist.com/briefing/2015/02/05/an-investor-calls.</w:t>
            </w:r>
          </w:p>
        </w:tc>
      </w:tr>
      <w:tr>
        <w:tc>
          <w:tcPr>
            <w:tcW w:type="dxa" w:w="4680"/>
          </w:tcPr>
          <w:p>
            <w:r/>
            <w:r>
              <w:rPr>
                <w:b w:val="0"/>
                <w:i w:val="0"/>
                <w:sz w:val="19"/>
              </w:rPr>
              <w:t>55</w:t>
            </w:r>
          </w:p>
        </w:tc>
        <w:tc>
          <w:tcPr>
            <w:tcW w:type="dxa" w:w="4680"/>
          </w:tcPr>
          <w:p>
            <w:r/>
            <w:r>
              <w:rPr>
                <w:b w:val="0"/>
                <w:i w:val="0"/>
                <w:sz w:val="19"/>
              </w:rPr>
              <w:t xml:space="preserve">David Benoit và Vipal Monga, “Các nhà đầu tư hoạt động đang giúp hay đang làm suy yếu các công ty Mỹ?,” </w:t>
            </w:r>
            <w:r>
              <w:rPr>
                <w:b w:val="0"/>
                <w:i/>
                <w:sz w:val="19"/>
              </w:rPr>
              <w:t>Wall Street Journal</w:t>
            </w:r>
            <w:r>
              <w:rPr>
                <w:b w:val="0"/>
                <w:i w:val="0"/>
                <w:sz w:val="19"/>
              </w:rPr>
              <w:t>, ngày 5 tháng 10 năm 2015, https://www.wsj.com/articles/activist-investors-helping-or-hindering-1444067712.</w:t>
            </w:r>
          </w:p>
        </w:tc>
      </w:tr>
      <w:tr>
        <w:tc>
          <w:tcPr>
            <w:tcW w:type="dxa" w:w="4680"/>
          </w:tcPr>
          <w:p>
            <w:r/>
            <w:r>
              <w:rPr>
                <w:b w:val="0"/>
                <w:i w:val="0"/>
                <w:sz w:val="19"/>
              </w:rPr>
              <w:t>56</w:t>
            </w:r>
          </w:p>
        </w:tc>
        <w:tc>
          <w:tcPr>
            <w:tcW w:type="dxa" w:w="4680"/>
          </w:tcPr>
          <w:p>
            <w:r/>
            <w:r>
              <w:rPr>
                <w:b w:val="0"/>
                <w:i w:val="0"/>
                <w:sz w:val="19"/>
              </w:rPr>
              <w:t>Kevin Helliker, “Châu Âu tán tỉnh Marty Lipton,” Brunswick, ngày 7 tháng 3 năm 2018, https://www.brunswickgroup.com/marty-lipton-lawyer-i7277/.</w:t>
            </w:r>
          </w:p>
        </w:tc>
      </w:tr>
      <w:tr>
        <w:tc>
          <w:tcPr>
            <w:tcW w:type="dxa" w:w="4680"/>
          </w:tcPr>
          <w:p>
            <w:r/>
            <w:r>
              <w:rPr>
                <w:b w:val="0"/>
                <w:i w:val="0"/>
                <w:sz w:val="19"/>
              </w:rPr>
              <w:t>57</w:t>
            </w:r>
          </w:p>
        </w:tc>
        <w:tc>
          <w:tcPr>
            <w:tcW w:type="dxa" w:w="4680"/>
          </w:tcPr>
          <w:p>
            <w:r/>
            <w:r>
              <w:rPr>
                <w:b w:val="0"/>
                <w:i w:val="0"/>
                <w:sz w:val="19"/>
              </w:rPr>
              <w:t xml:space="preserve">Leo E. Strine Jr., “Ai chảy máu khi bầy sói cắn? Góc nhìn bằng xương bằng thịt về hoạt động của quỹ đầu cơ và hệ thống quản trị doanh nghiệp kỳ lạ của chúng ta,” </w:t>
            </w:r>
            <w:r>
              <w:rPr>
                <w:b w:val="0"/>
                <w:i/>
                <w:sz w:val="19"/>
              </w:rPr>
              <w:t>Yale Law Journal</w:t>
            </w:r>
            <w:r>
              <w:rPr>
                <w:b w:val="0"/>
                <w:i w:val="0"/>
                <w:sz w:val="19"/>
              </w:rPr>
              <w:t xml:space="preserve"> 126, số 6 (2017), https://www.yalelawjournal.org/feature/who-bleeds-when-the-wolves-bite-a-flesh-and-blood-perspective-on-hedge-fund-activism-and-our-strange-corporate-governance-system.</w:t>
            </w:r>
          </w:p>
        </w:tc>
      </w:tr>
      <w:tr>
        <w:tc>
          <w:tcPr>
            <w:tcW w:type="dxa" w:w="4680"/>
          </w:tcPr>
          <w:p>
            <w:r/>
            <w:r>
              <w:rPr>
                <w:b w:val="0"/>
                <w:i w:val="0"/>
                <w:sz w:val="19"/>
              </w:rPr>
              <w:t>58</w:t>
            </w:r>
          </w:p>
        </w:tc>
        <w:tc>
          <w:tcPr>
            <w:tcW w:type="dxa" w:w="4680"/>
          </w:tcPr>
          <w:p>
            <w:r/>
            <w:r>
              <w:rPr>
                <w:b w:val="0"/>
                <w:i w:val="0"/>
                <w:sz w:val="19"/>
              </w:rPr>
              <w:t>Chương trình Quản trị Công ty, Trường Luật Harvard, tháng 2 năm 2025, https://pcg.law.harvard.edu.</w:t>
            </w:r>
          </w:p>
        </w:tc>
      </w:tr>
      <w:tr>
        <w:tc>
          <w:tcPr>
            <w:tcW w:type="dxa" w:w="4680"/>
          </w:tcPr>
          <w:p>
            <w:r/>
            <w:r>
              <w:rPr>
                <w:b w:val="0"/>
                <w:i w:val="0"/>
                <w:sz w:val="19"/>
              </w:rPr>
              <w:t>59</w:t>
            </w:r>
          </w:p>
        </w:tc>
        <w:tc>
          <w:tcPr>
            <w:tcW w:type="dxa" w:w="4680"/>
          </w:tcPr>
          <w:p>
            <w:r/>
            <w:r>
              <w:rPr>
                <w:b w:val="0"/>
                <w:i w:val="0"/>
                <w:sz w:val="19"/>
              </w:rPr>
              <w:t>“Vì sao các nhà hoạt động lại tích cực đến vậy, và cần làm gì ngay bây giờ,” Bản tin điện tử Corporate Board Member, ngày 29 tháng 9 năm 2023.</w:t>
            </w:r>
          </w:p>
        </w:tc>
      </w:tr>
      <w:tr>
        <w:tc>
          <w:tcPr>
            <w:tcW w:type="dxa" w:w="4680"/>
          </w:tcPr>
          <w:p>
            <w:r/>
            <w:r>
              <w:rPr>
                <w:b w:val="0"/>
                <w:i w:val="0"/>
                <w:sz w:val="19"/>
              </w:rPr>
              <w:t>60</w:t>
            </w:r>
          </w:p>
        </w:tc>
        <w:tc>
          <w:tcPr>
            <w:tcW w:type="dxa" w:w="4680"/>
          </w:tcPr>
          <w:p>
            <w:r/>
            <w:r>
              <w:rPr>
                <w:b w:val="0"/>
                <w:i w:val="0"/>
                <w:sz w:val="19"/>
              </w:rPr>
              <w:t>“Thông cáo truyền thông của SRP,” Dự án Quyền Cổ đông tại Trường Luật Harvard, không ngày, http://www.srp.law.harvard.edu/communications.shtml.</w:t>
            </w:r>
          </w:p>
        </w:tc>
      </w:tr>
      <w:tr>
        <w:tc>
          <w:tcPr>
            <w:tcW w:type="dxa" w:w="4680"/>
          </w:tcPr>
          <w:p>
            <w:r/>
            <w:r>
              <w:rPr>
                <w:b w:val="0"/>
                <w:i w:val="0"/>
                <w:sz w:val="19"/>
              </w:rPr>
              <w:t>61</w:t>
            </w:r>
          </w:p>
        </w:tc>
        <w:tc>
          <w:tcPr>
            <w:tcW w:type="dxa" w:w="4680"/>
          </w:tcPr>
          <w:p>
            <w:r/>
            <w:r>
              <w:rPr>
                <w:b w:val="0"/>
                <w:i w:val="0"/>
                <w:sz w:val="19"/>
              </w:rPr>
              <w:t>“Quản trị Công ty và Hội đồng Quản trị theo Nhiệm kỳ Xen kẽ: Xu hướng và Phân tích,” Star Equity Fund, không ngày, https://www.sec.gov/Archives/edgar/data/1600422/000092189522001556/ex995to13da109271001_051022.pdf.</w:t>
            </w:r>
          </w:p>
        </w:tc>
      </w:tr>
      <w:tr>
        <w:tc>
          <w:tcPr>
            <w:tcW w:type="dxa" w:w="4680"/>
          </w:tcPr>
          <w:p>
            <w:r/>
            <w:r>
              <w:rPr>
                <w:b w:val="0"/>
                <w:i w:val="0"/>
                <w:sz w:val="19"/>
              </w:rPr>
              <w:t>62</w:t>
            </w:r>
          </w:p>
        </w:tc>
        <w:tc>
          <w:tcPr>
            <w:tcW w:type="dxa" w:w="4680"/>
          </w:tcPr>
          <w:p>
            <w:r/>
            <w:r>
              <w:rPr>
                <w:b w:val="0"/>
                <w:i w:val="0"/>
                <w:sz w:val="19"/>
              </w:rPr>
              <w:t>Lynn S. Paine và Will Hurwitz, “Ghi chú Ngắn về Hội đồng Quản trị theo Nhiệm kỳ Xen kẽ,” Khoa &amp; Nghiên cứu, Trường Kinh doanh Harvard, tháng 12 năm 2022, https://www.hbs.edu/faculty/Pages/item.aspx?num=63294.</w:t>
            </w:r>
          </w:p>
        </w:tc>
      </w:tr>
      <w:tr>
        <w:tc>
          <w:tcPr>
            <w:tcW w:type="dxa" w:w="4680"/>
          </w:tcPr>
          <w:p>
            <w:r/>
            <w:r>
              <w:rPr>
                <w:b w:val="0"/>
                <w:i w:val="0"/>
                <w:sz w:val="19"/>
              </w:rPr>
              <w:t>63</w:t>
            </w:r>
          </w:p>
        </w:tc>
        <w:tc>
          <w:tcPr>
            <w:tcW w:type="dxa" w:w="4680"/>
          </w:tcPr>
          <w:p>
            <w:r/>
            <w:r>
              <w:rPr>
                <w:b w:val="0"/>
                <w:i w:val="0"/>
                <w:sz w:val="19"/>
              </w:rPr>
              <w:t>“Đề xuất Bãi bỏ Hội đồng Quản trị Phân loại,” Dự án Quyền Cổ đông tại Trường Luật Harvard, không ngày, http://www.srp.law.harvard.edu/Template-Proposal.pdf.</w:t>
            </w:r>
          </w:p>
        </w:tc>
      </w:tr>
      <w:tr>
        <w:tc>
          <w:tcPr>
            <w:tcW w:type="dxa" w:w="4680"/>
          </w:tcPr>
          <w:p>
            <w:r/>
            <w:r>
              <w:rPr>
                <w:b w:val="0"/>
                <w:i w:val="0"/>
                <w:sz w:val="19"/>
              </w:rPr>
              <w:t>64</w:t>
            </w:r>
          </w:p>
        </w:tc>
        <w:tc>
          <w:tcPr>
            <w:tcW w:type="dxa" w:w="4680"/>
          </w:tcPr>
          <w:p>
            <w:r/>
            <w:r>
              <w:rPr>
                <w:b w:val="0"/>
                <w:i w:val="0"/>
                <w:sz w:val="19"/>
              </w:rPr>
              <w:t xml:space="preserve">Lucian A. Bebchuk, John C. Coates, và Guhan Subramanian, “Sức mạnh Chống thâu tóm Mạnh mẽ của Hội đồng Quản trị theo Nhiệm kỳ Xen kẽ: Lý thuyết, Bằng chứng và Chính sách,” </w:t>
            </w:r>
            <w:r>
              <w:rPr>
                <w:b w:val="0"/>
                <w:i/>
                <w:sz w:val="19"/>
              </w:rPr>
              <w:t>Stanford Law Review</w:t>
            </w:r>
            <w:r>
              <w:rPr>
                <w:b w:val="0"/>
                <w:i w:val="0"/>
                <w:sz w:val="19"/>
              </w:rPr>
              <w:t xml:space="preserve"> 54 (2002): 887–951, https://ssrn.com/abstract=304388.</w:t>
            </w:r>
          </w:p>
        </w:tc>
      </w:tr>
      <w:tr>
        <w:tc>
          <w:tcPr>
            <w:tcW w:type="dxa" w:w="4680"/>
          </w:tcPr>
          <w:p>
            <w:r/>
            <w:r>
              <w:rPr>
                <w:b w:val="0"/>
                <w:i w:val="0"/>
                <w:sz w:val="19"/>
              </w:rPr>
              <w:t>65</w:t>
            </w:r>
          </w:p>
        </w:tc>
        <w:tc>
          <w:tcPr>
            <w:tcW w:type="dxa" w:w="4680"/>
          </w:tcPr>
          <w:p>
            <w:r/>
            <w:r>
              <w:rPr>
                <w:b w:val="0"/>
                <w:i w:val="0"/>
                <w:sz w:val="19"/>
              </w:rPr>
              <w:t xml:space="preserve">Ryan Derousseau, “Vì sao Hội đồng Quản trị ‘theo Nhiệm kỳ Xen kẽ’ lại Mang lại Lợi ích cho Nhà đầu tư Cổ phiếu,” </w:t>
            </w:r>
            <w:r>
              <w:rPr>
                <w:b w:val="0"/>
                <w:i/>
                <w:sz w:val="19"/>
              </w:rPr>
              <w:t>Fortune</w:t>
            </w:r>
            <w:r>
              <w:rPr>
                <w:b w:val="0"/>
                <w:i w:val="0"/>
                <w:sz w:val="19"/>
              </w:rPr>
              <w:t>, ngày 30 tháng 4 năm 2019, https://fortune.com/2019/04/30/staggered-boards-stock-investors/.</w:t>
            </w:r>
          </w:p>
        </w:tc>
      </w:tr>
      <w:tr>
        <w:tc>
          <w:tcPr>
            <w:tcW w:type="dxa" w:w="4680"/>
          </w:tcPr>
          <w:p>
            <w:r/>
            <w:r>
              <w:rPr>
                <w:b w:val="0"/>
                <w:i w:val="0"/>
                <w:sz w:val="19"/>
              </w:rPr>
              <w:t>66</w:t>
            </w:r>
          </w:p>
        </w:tc>
        <w:tc>
          <w:tcPr>
            <w:tcW w:type="dxa" w:w="4680"/>
          </w:tcPr>
          <w:p>
            <w:r/>
            <w:r>
              <w:rPr>
                <w:b w:val="0"/>
                <w:i w:val="0"/>
                <w:sz w:val="19"/>
              </w:rPr>
              <w:t xml:space="preserve">Yakov Amihud, Markus Schmid, và Steven D. Solomon, “Settling the Staggered Board Debate,” </w:t>
            </w:r>
            <w:r>
              <w:rPr>
                <w:b w:val="0"/>
                <w:i/>
                <w:sz w:val="19"/>
              </w:rPr>
              <w:t>University of Pennsylvania Law Review</w:t>
            </w:r>
            <w:r>
              <w:rPr>
                <w:b w:val="0"/>
                <w:i w:val="0"/>
                <w:sz w:val="19"/>
              </w:rPr>
              <w:t xml:space="preserve"> 166 (2018), https://scholarship.law.upenn.edu/penn_law_review/vol166/iss6/3.</w:t>
            </w:r>
          </w:p>
        </w:tc>
      </w:tr>
      <w:tr>
        <w:tc>
          <w:tcPr>
            <w:tcW w:type="dxa" w:w="4680"/>
          </w:tcPr>
          <w:p>
            <w:r/>
            <w:r>
              <w:rPr>
                <w:b w:val="0"/>
                <w:i w:val="0"/>
                <w:sz w:val="19"/>
              </w:rPr>
              <w:t>67</w:t>
            </w:r>
          </w:p>
        </w:tc>
        <w:tc>
          <w:tcPr>
            <w:tcW w:type="dxa" w:w="4680"/>
          </w:tcPr>
          <w:p>
            <w:r/>
            <w:r>
              <w:rPr>
                <w:b w:val="0"/>
                <w:i w:val="0"/>
                <w:sz w:val="19"/>
              </w:rPr>
              <w:t>Lyuba Goltser, Kaitlin Descovich, Bianca Lazar, và Julie Rong, “Governance and Securities Alert,” Weil, 2023, https://www.weil.com/-/media/files/pdfs/2022/december/alert_2023_iss_and_gl_voting_policy_updates.pdf.</w:t>
            </w:r>
          </w:p>
        </w:tc>
      </w:tr>
      <w:tr>
        <w:tc>
          <w:tcPr>
            <w:tcW w:type="dxa" w:w="4680"/>
          </w:tcPr>
          <w:p>
            <w:r/>
            <w:r>
              <w:rPr>
                <w:b w:val="0"/>
                <w:i w:val="0"/>
                <w:sz w:val="19"/>
              </w:rPr>
              <w:t>68</w:t>
            </w:r>
          </w:p>
        </w:tc>
        <w:tc>
          <w:tcPr>
            <w:tcW w:type="dxa" w:w="4680"/>
          </w:tcPr>
          <w:p>
            <w:r/>
            <w:r>
              <w:rPr>
                <w:b w:val="0"/>
                <w:i w:val="0"/>
                <w:sz w:val="19"/>
              </w:rPr>
              <w:t>Rosa A. Testani và cộng sự, “Proxy Advisory Firms Issue 2023 Voting Guidelines,” Akin Gump Strauss Hauer &amp; Feld LLP, ngày 6 tháng 2 năm 2023, https://www.akingump.com/en/insights/alerts/proxy-advisory-firms-issue-2023-voting-guidelines.</w:t>
            </w:r>
          </w:p>
        </w:tc>
      </w:tr>
      <w:tr>
        <w:tc>
          <w:tcPr>
            <w:tcW w:type="dxa" w:w="4680"/>
          </w:tcPr>
          <w:p>
            <w:r/>
            <w:r>
              <w:rPr>
                <w:b w:val="0"/>
                <w:i w:val="0"/>
                <w:sz w:val="19"/>
              </w:rPr>
              <w:t>69</w:t>
            </w:r>
          </w:p>
        </w:tc>
        <w:tc>
          <w:tcPr>
            <w:tcW w:type="dxa" w:w="4680"/>
          </w:tcPr>
          <w:p>
            <w:r/>
            <w:r>
              <w:rPr>
                <w:b w:val="0"/>
                <w:i w:val="0"/>
                <w:sz w:val="19"/>
              </w:rPr>
              <w:t>“2022 Policy Guidelines,” Glass Lewis, 2022, https://resources.glasslewis.com/hubfs/2023%20Guidelines/2023%20United%20States%20Benchmark%20Policy%20Guidelines.pdf.</w:t>
            </w:r>
          </w:p>
        </w:tc>
      </w:tr>
      <w:tr>
        <w:tc>
          <w:tcPr>
            <w:tcW w:type="dxa" w:w="4680"/>
          </w:tcPr>
          <w:p>
            <w:r/>
            <w:r>
              <w:rPr>
                <w:b w:val="0"/>
                <w:i w:val="0"/>
                <w:sz w:val="19"/>
              </w:rPr>
              <w:t>70</w:t>
            </w:r>
          </w:p>
        </w:tc>
        <w:tc>
          <w:tcPr>
            <w:tcW w:type="dxa" w:w="4680"/>
          </w:tcPr>
          <w:p>
            <w:r/>
            <w:r>
              <w:rPr>
                <w:b w:val="0"/>
                <w:i w:val="0"/>
                <w:sz w:val="19"/>
              </w:rPr>
              <w:t xml:space="preserve">Emiliano M. Catan và Marcel Kahan, “The Never-Ending Quest for Shareholder Rights: Special Meetings and Written Consent,” </w:t>
            </w:r>
            <w:r>
              <w:rPr>
                <w:b w:val="0"/>
                <w:i/>
                <w:sz w:val="19"/>
              </w:rPr>
              <w:t>Boston University Law Review</w:t>
            </w:r>
            <w:r>
              <w:rPr>
                <w:b w:val="0"/>
                <w:i w:val="0"/>
                <w:sz w:val="19"/>
              </w:rPr>
              <w:t xml:space="preserve"> 99, no. 3 (2019): 743–86, https://www.bu.edu/bulawreview/files/2019/06/CATAN-KAHAN.pdf.</w:t>
            </w:r>
          </w:p>
        </w:tc>
      </w:tr>
      <w:tr>
        <w:tc>
          <w:tcPr>
            <w:tcW w:type="dxa" w:w="4680"/>
          </w:tcPr>
          <w:p>
            <w:r/>
            <w:r>
              <w:rPr>
                <w:b w:val="0"/>
                <w:i w:val="0"/>
                <w:sz w:val="19"/>
              </w:rPr>
              <w:t>71</w:t>
            </w:r>
          </w:p>
        </w:tc>
        <w:tc>
          <w:tcPr>
            <w:tcW w:type="dxa" w:w="4680"/>
          </w:tcPr>
          <w:p>
            <w:r/>
            <w:r>
              <w:rPr>
                <w:b w:val="0"/>
                <w:i w:val="0"/>
                <w:sz w:val="19"/>
              </w:rPr>
              <w:t>“Delaware Courts Provide Guidance on Advance Notice Bylaws,” Paul, Weiss, ngày 5 tháng 2 năm 2024, https://www.paulweiss.com/practices/transactional/mergers-acquisitions/publications/delaware-courts-provide-guidance-on-advance-notice-bylaws?id=50152.</w:t>
            </w:r>
          </w:p>
        </w:tc>
      </w:tr>
      <w:tr>
        <w:tc>
          <w:tcPr>
            <w:tcW w:type="dxa" w:w="4680"/>
          </w:tcPr>
          <w:p>
            <w:r/>
            <w:r>
              <w:rPr>
                <w:b w:val="0"/>
                <w:i w:val="0"/>
                <w:sz w:val="19"/>
              </w:rPr>
              <w:t>72</w:t>
            </w:r>
          </w:p>
        </w:tc>
        <w:tc>
          <w:tcPr>
            <w:tcW w:type="dxa" w:w="4680"/>
          </w:tcPr>
          <w:p>
            <w:r/>
            <w:r>
              <w:rPr>
                <w:b w:val="0"/>
                <w:i w:val="0"/>
                <w:sz w:val="19"/>
              </w:rPr>
              <w:t>Catan và Kahan, “Never-Ending Quest.”</w:t>
            </w:r>
          </w:p>
        </w:tc>
      </w:tr>
    </w:tbl>
    <w:p>
      <w:pPr>
        <w:spacing w:after="0"/>
      </w:pPr>
    </w:p>
    <w:p>
      <w:pPr>
        <w:pStyle w:val="Heading2"/>
      </w:pPr>
      <w:r>
        <w:rPr>
          <w:rFonts w:ascii="Calibri" w:hAnsi="Calibri"/>
          <w:b/>
          <w:i w:val="0"/>
          <w:sz w:val="32"/>
        </w:rPr>
        <w:t>Chương 8: Tác động ngày càng tăng của các nhà đầu tư tổ chức</w:t>
      </w:r>
    </w:p>
    <w:tbl>
      <w:tblPr>
        <w:tblStyle w:val="TableGrid"/>
        <w:tblW w:type="auto" w:w="0"/>
        <w:tblLook w:firstColumn="1" w:firstRow="1" w:lastColumn="0" w:lastRow="0" w:noHBand="0" w:noVBand="1" w:val="04A0"/>
      </w:tblPr>
      <w:tblGrid>
        <w:gridCol w:w="4680"/>
        <w:gridCol w:w="4680"/>
      </w:tblGrid>
      <w:tr>
        <w:tc>
          <w:tcPr>
            <w:tcW w:type="dxa" w:w="4680"/>
          </w:tcPr>
          <w:p>
            <w:r/>
            <w:r>
              <w:rPr>
                <w:b w:val="0"/>
                <w:i w:val="0"/>
                <w:sz w:val="19"/>
              </w:rPr>
              <w:t>1</w:t>
            </w:r>
          </w:p>
        </w:tc>
        <w:tc>
          <w:tcPr>
            <w:tcW w:type="dxa" w:w="4680"/>
          </w:tcPr>
          <w:p>
            <w:r/>
            <w:r>
              <w:rPr>
                <w:b w:val="0"/>
                <w:i w:val="0"/>
                <w:sz w:val="19"/>
              </w:rPr>
              <w:t>Simon Glossner, Pedro Matos, Stefano Ramelli, và Alexander F. Wagner, “Do Institutional Investors Stabilize Equity Markets in Crisis Periods? Evidence from COVID-19,” Swiss Finance Institute Research Paper No. 20–56, European Corporate Governance Institute—Finance Working Paper No. 688/2020, ngày 20 tháng 2 năm 2024, https://ssrn.com/abstract=3655271.</w:t>
            </w:r>
          </w:p>
        </w:tc>
      </w:tr>
      <w:tr>
        <w:tc>
          <w:tcPr>
            <w:tcW w:type="dxa" w:w="4680"/>
          </w:tcPr>
          <w:p>
            <w:r/>
            <w:r>
              <w:rPr>
                <w:b w:val="0"/>
                <w:i w:val="0"/>
                <w:sz w:val="19"/>
              </w:rPr>
              <w:t>2</w:t>
            </w:r>
          </w:p>
        </w:tc>
        <w:tc>
          <w:tcPr>
            <w:tcW w:type="dxa" w:w="4680"/>
          </w:tcPr>
          <w:p>
            <w:r/>
            <w:r>
              <w:rPr>
                <w:b w:val="0"/>
                <w:i w:val="0"/>
                <w:sz w:val="19"/>
              </w:rPr>
              <w:t xml:space="preserve">John Coates, </w:t>
            </w:r>
            <w:r>
              <w:rPr>
                <w:b w:val="0"/>
                <w:i/>
                <w:sz w:val="19"/>
              </w:rPr>
              <w:t>The Problem of Twelve: When a Few Financial Institutions Control Everything</w:t>
            </w:r>
            <w:r>
              <w:rPr>
                <w:b w:val="0"/>
                <w:i w:val="0"/>
                <w:sz w:val="19"/>
              </w:rPr>
              <w:t xml:space="preserve"> (New York: Columbia Global Reports, 2023).</w:t>
            </w:r>
          </w:p>
        </w:tc>
      </w:tr>
      <w:tr>
        <w:tc>
          <w:tcPr>
            <w:tcW w:type="dxa" w:w="4680"/>
          </w:tcPr>
          <w:p>
            <w:r/>
            <w:r>
              <w:rPr>
                <w:b w:val="0"/>
                <w:i w:val="0"/>
                <w:sz w:val="19"/>
              </w:rPr>
              <w:t>3</w:t>
            </w:r>
          </w:p>
        </w:tc>
        <w:tc>
          <w:tcPr>
            <w:tcW w:type="dxa" w:w="4680"/>
          </w:tcPr>
          <w:p>
            <w:r/>
            <w:r>
              <w:rPr>
                <w:b w:val="0"/>
                <w:i w:val="0"/>
                <w:sz w:val="19"/>
              </w:rPr>
              <w:t>Coates.</w:t>
            </w:r>
          </w:p>
        </w:tc>
      </w:tr>
      <w:tr>
        <w:tc>
          <w:tcPr>
            <w:tcW w:type="dxa" w:w="4680"/>
          </w:tcPr>
          <w:p>
            <w:r/>
            <w:r>
              <w:rPr>
                <w:b w:val="0"/>
                <w:i w:val="0"/>
                <w:sz w:val="19"/>
              </w:rPr>
              <w:t>4</w:t>
            </w:r>
          </w:p>
        </w:tc>
        <w:tc>
          <w:tcPr>
            <w:tcW w:type="dxa" w:w="4680"/>
          </w:tcPr>
          <w:p>
            <w:r/>
            <w:r>
              <w:rPr>
                <w:b w:val="0"/>
                <w:i w:val="0"/>
                <w:sz w:val="19"/>
              </w:rPr>
              <w:t xml:space="preserve">Claire Donnelly và Meghna Chakrabarti, “Are Index Funds Getting Too Powerful?,” </w:t>
            </w:r>
            <w:r>
              <w:rPr>
                <w:b w:val="0"/>
                <w:i/>
                <w:sz w:val="19"/>
              </w:rPr>
              <w:t>On Point</w:t>
            </w:r>
            <w:r>
              <w:rPr>
                <w:b w:val="0"/>
                <w:i w:val="0"/>
                <w:sz w:val="19"/>
              </w:rPr>
              <w:t>, WBUR.Org, August 7, 2023, https://www.wbur.org/onpoint/2023/08/07/how-index-funds-are-shaping-corporations-and-the-american-economy.</w:t>
            </w:r>
          </w:p>
        </w:tc>
      </w:tr>
      <w:tr>
        <w:tc>
          <w:tcPr>
            <w:tcW w:type="dxa" w:w="4680"/>
          </w:tcPr>
          <w:p>
            <w:r/>
            <w:r>
              <w:rPr>
                <w:b w:val="0"/>
                <w:i w:val="0"/>
                <w:sz w:val="19"/>
              </w:rPr>
              <w:t>5</w:t>
            </w:r>
          </w:p>
        </w:tc>
        <w:tc>
          <w:tcPr>
            <w:tcW w:type="dxa" w:w="4680"/>
          </w:tcPr>
          <w:p>
            <w:r/>
            <w:r>
              <w:rPr>
                <w:b w:val="0"/>
                <w:i w:val="0"/>
                <w:sz w:val="19"/>
              </w:rPr>
              <w:t xml:space="preserve">Coates, </w:t>
            </w:r>
            <w:r>
              <w:rPr>
                <w:b w:val="0"/>
                <w:i/>
                <w:sz w:val="19"/>
              </w:rPr>
              <w:t>Problem of Twelve</w:t>
            </w:r>
            <w:r>
              <w:rPr>
                <w:b w:val="0"/>
                <w:i w:val="0"/>
                <w:sz w:val="19"/>
              </w:rPr>
              <w:t>.</w:t>
            </w:r>
          </w:p>
        </w:tc>
      </w:tr>
      <w:tr>
        <w:tc>
          <w:tcPr>
            <w:tcW w:type="dxa" w:w="4680"/>
          </w:tcPr>
          <w:p>
            <w:r/>
            <w:r>
              <w:rPr>
                <w:b w:val="0"/>
                <w:i w:val="0"/>
                <w:sz w:val="19"/>
              </w:rPr>
              <w:t>6</w:t>
            </w:r>
          </w:p>
        </w:tc>
        <w:tc>
          <w:tcPr>
            <w:tcW w:type="dxa" w:w="4680"/>
          </w:tcPr>
          <w:p>
            <w:r/>
            <w:r>
              <w:rPr>
                <w:b w:val="0"/>
                <w:i w:val="0"/>
                <w:sz w:val="19"/>
              </w:rPr>
              <w:t>Jonathan Lewellen và Katharina Lewellen, “Institutional Investors and Corporate Governance: The Incentive to Increase Value,” Tuck School of Business at Dartmouth, May 2018, https://faculty.tuck.dartmouth.edu/images/uploads/faculty/katharina-lewellen/Institutional_incentives_5_2018.pdf.</w:t>
            </w:r>
          </w:p>
        </w:tc>
      </w:tr>
      <w:tr>
        <w:tc>
          <w:tcPr>
            <w:tcW w:type="dxa" w:w="4680"/>
          </w:tcPr>
          <w:p>
            <w:r/>
            <w:r>
              <w:rPr>
                <w:b w:val="0"/>
                <w:i w:val="0"/>
                <w:sz w:val="19"/>
              </w:rPr>
              <w:t>7</w:t>
            </w:r>
          </w:p>
        </w:tc>
        <w:tc>
          <w:tcPr>
            <w:tcW w:type="dxa" w:w="4680"/>
          </w:tcPr>
          <w:p>
            <w:r/>
            <w:r>
              <w:rPr>
                <w:b w:val="0"/>
                <w:i w:val="0"/>
                <w:sz w:val="19"/>
              </w:rPr>
              <w:t>Lewellen và Lewellen.</w:t>
            </w:r>
          </w:p>
        </w:tc>
      </w:tr>
      <w:tr>
        <w:tc>
          <w:tcPr>
            <w:tcW w:type="dxa" w:w="4680"/>
          </w:tcPr>
          <w:p>
            <w:r/>
            <w:r>
              <w:rPr>
                <w:b w:val="0"/>
                <w:i w:val="0"/>
                <w:sz w:val="19"/>
              </w:rPr>
              <w:t>8</w:t>
            </w:r>
          </w:p>
        </w:tc>
        <w:tc>
          <w:tcPr>
            <w:tcW w:type="dxa" w:w="4680"/>
          </w:tcPr>
          <w:p>
            <w:r/>
            <w:r>
              <w:rPr>
                <w:b w:val="0"/>
                <w:i w:val="0"/>
                <w:sz w:val="19"/>
              </w:rPr>
              <w:t xml:space="preserve">Lucian A. Bebchuk, Alma Cohen, và Scott Hirst, “The Agency Problems of Institutional Investors,” </w:t>
            </w:r>
            <w:r>
              <w:rPr>
                <w:b w:val="0"/>
                <w:i/>
                <w:sz w:val="19"/>
              </w:rPr>
              <w:t>Journal of Economic Perspectives</w:t>
            </w:r>
            <w:r>
              <w:rPr>
                <w:b w:val="0"/>
                <w:i w:val="0"/>
                <w:sz w:val="19"/>
              </w:rPr>
              <w:t xml:space="preserve"> 31, no. 3 (Summer 2017), https://pubs.aeaweb.org/doi/pdfplus/10.1257/jep.31.3.89.</w:t>
            </w:r>
          </w:p>
        </w:tc>
      </w:tr>
      <w:tr>
        <w:tc>
          <w:tcPr>
            <w:tcW w:type="dxa" w:w="4680"/>
          </w:tcPr>
          <w:p>
            <w:r/>
            <w:r>
              <w:rPr>
                <w:b w:val="0"/>
                <w:i w:val="0"/>
                <w:sz w:val="19"/>
              </w:rPr>
              <w:t>9</w:t>
            </w:r>
          </w:p>
        </w:tc>
        <w:tc>
          <w:tcPr>
            <w:tcW w:type="dxa" w:w="4680"/>
          </w:tcPr>
          <w:p>
            <w:r/>
            <w:r>
              <w:rPr>
                <w:b w:val="0"/>
                <w:i w:val="0"/>
                <w:sz w:val="19"/>
              </w:rPr>
              <w:t>Bebchuk, Cohen, và Hirst.</w:t>
            </w:r>
          </w:p>
        </w:tc>
      </w:tr>
      <w:tr>
        <w:tc>
          <w:tcPr>
            <w:tcW w:type="dxa" w:w="4680"/>
          </w:tcPr>
          <w:p>
            <w:r/>
            <w:r>
              <w:rPr>
                <w:b w:val="0"/>
                <w:i w:val="0"/>
                <w:sz w:val="19"/>
              </w:rPr>
              <w:t>10</w:t>
            </w:r>
          </w:p>
        </w:tc>
        <w:tc>
          <w:tcPr>
            <w:tcW w:type="dxa" w:w="4680"/>
          </w:tcPr>
          <w:p>
            <w:r/>
            <w:r>
              <w:rPr>
                <w:b w:val="0"/>
                <w:i w:val="0"/>
                <w:sz w:val="19"/>
              </w:rPr>
              <w:t>Bebchuk, Cohen, và Hirst.</w:t>
            </w:r>
          </w:p>
        </w:tc>
      </w:tr>
      <w:tr>
        <w:tc>
          <w:tcPr>
            <w:tcW w:type="dxa" w:w="4680"/>
          </w:tcPr>
          <w:p>
            <w:r/>
            <w:r>
              <w:rPr>
                <w:b w:val="0"/>
                <w:i w:val="0"/>
                <w:sz w:val="19"/>
              </w:rPr>
              <w:t>11</w:t>
            </w:r>
          </w:p>
        </w:tc>
        <w:tc>
          <w:tcPr>
            <w:tcW w:type="dxa" w:w="4680"/>
          </w:tcPr>
          <w:p>
            <w:r/>
            <w:r>
              <w:rPr>
                <w:b w:val="0"/>
                <w:i w:val="0"/>
                <w:sz w:val="19"/>
              </w:rPr>
              <w:t>Matt Krantz, “Một nhà đầu tư là chủ sở hữu lớn nhất của hai phần ba số công ty tại Hoa Kỳ,” Investor’s Business Daily, ngày 15 tháng 8 năm 2022, https://www.investors.com/etfs-and-funds/sectors/sp500-one-investor-is-the-largest-owner-of-two-thirds-of-u-s-companies/.</w:t>
            </w:r>
          </w:p>
        </w:tc>
      </w:tr>
      <w:tr>
        <w:tc>
          <w:tcPr>
            <w:tcW w:type="dxa" w:w="4680"/>
          </w:tcPr>
          <w:p>
            <w:r/>
            <w:r>
              <w:rPr>
                <w:b w:val="0"/>
                <w:i w:val="0"/>
                <w:sz w:val="19"/>
              </w:rPr>
              <w:t>12</w:t>
            </w:r>
          </w:p>
        </w:tc>
        <w:tc>
          <w:tcPr>
            <w:tcW w:type="dxa" w:w="4680"/>
          </w:tcPr>
          <w:p>
            <w:r/>
            <w:r>
              <w:rPr>
                <w:b w:val="0"/>
                <w:i w:val="0"/>
                <w:sz w:val="19"/>
              </w:rPr>
              <w:t>“Bản tin về Kế hoạch Hưu trí Tư nhân: Bảng biểu và Đồ thị Lịch sử, 1975–2022,” Bộ Lao động Hoa Kỳ, Cơ quan Quản lý An sinh Phúc lợi Người lao động, tháng 9 năm 2024, https://www.dol.gov/sites/dolgov/files/ebsa/researchers/statistics/retirement-bulletins/private-pension-plan-bulletin-historical-tables-and-graphs.pdf.</w:t>
            </w:r>
          </w:p>
        </w:tc>
      </w:tr>
      <w:tr>
        <w:tc>
          <w:tcPr>
            <w:tcW w:type="dxa" w:w="4680"/>
          </w:tcPr>
          <w:p>
            <w:r/>
            <w:r>
              <w:rPr>
                <w:b w:val="0"/>
                <w:i w:val="0"/>
                <w:sz w:val="19"/>
              </w:rPr>
              <w:t>13</w:t>
            </w:r>
          </w:p>
        </w:tc>
        <w:tc>
          <w:tcPr>
            <w:tcW w:type="dxa" w:w="4680"/>
          </w:tcPr>
          <w:p>
            <w:r/>
            <w:r>
              <w:rPr>
                <w:b w:val="0"/>
                <w:i w:val="0"/>
                <w:sz w:val="19"/>
              </w:rPr>
              <w:t>“L.120.B Quỹ Hưu trí Nhân viên Chính quyền Tiểu bang và Địa phương: Các Kế hoạch Phúc lợi Xác định,” Hướng dẫn Tài khoản Tài chính, Ban Thống đốc Hệ thống Dự trữ Liên bang, không ngày, https://www.federalreserve.gov/apps/fof/DisplayTable.aspx?t</w:t>
            </w:r>
            <w:r>
              <w:rPr>
                <w:rFonts w:ascii="Consolas" w:hAnsi="Consolas"/>
                <w:b w:val="0"/>
                <w:i w:val="0"/>
                <w:sz w:val="19"/>
              </w:rPr>
              <w:t>=l.120.b</w:t>
            </w:r>
            <w:r>
              <w:rPr>
                <w:b w:val="0"/>
                <w:i w:val="0"/>
                <w:sz w:val="19"/>
              </w:rPr>
              <w:t>.</w:t>
            </w:r>
          </w:p>
        </w:tc>
      </w:tr>
      <w:tr>
        <w:tc>
          <w:tcPr>
            <w:tcW w:type="dxa" w:w="4680"/>
          </w:tcPr>
          <w:p>
            <w:r/>
            <w:r>
              <w:rPr>
                <w:b w:val="0"/>
                <w:i w:val="0"/>
                <w:sz w:val="19"/>
              </w:rPr>
              <w:t>14</w:t>
            </w:r>
          </w:p>
        </w:tc>
        <w:tc>
          <w:tcPr>
            <w:tcW w:type="dxa" w:w="4680"/>
          </w:tcPr>
          <w:p>
            <w:r/>
            <w:r>
              <w:rPr>
                <w:b w:val="0"/>
                <w:i w:val="0"/>
                <w:sz w:val="19"/>
              </w:rPr>
              <w:t xml:space="preserve">Stuart Gillan và Laura Starks, “Các Đề xuất Quản trị Công ty và Chủ nghĩa Hoạt động của Cổ đông: Vai trò của các Nhà đầu tư Tổ chức,” </w:t>
            </w:r>
            <w:r>
              <w:rPr>
                <w:b w:val="0"/>
                <w:i/>
                <w:sz w:val="19"/>
              </w:rPr>
              <w:t>Journal of Financial Economics</w:t>
            </w:r>
            <w:r>
              <w:rPr>
                <w:b w:val="0"/>
                <w:i w:val="0"/>
                <w:sz w:val="19"/>
              </w:rPr>
              <w:t>, 57 (2000), https://mx.nthu.edu.tw/∼jtyang/Teaching/Corporate_Governance/Papers/Gillan,%20Stark%202000.pdf.</w:t>
            </w:r>
          </w:p>
        </w:tc>
      </w:tr>
      <w:tr>
        <w:tc>
          <w:tcPr>
            <w:tcW w:type="dxa" w:w="4680"/>
          </w:tcPr>
          <w:p>
            <w:r/>
            <w:r>
              <w:rPr>
                <w:b w:val="0"/>
                <w:i w:val="0"/>
                <w:sz w:val="19"/>
              </w:rPr>
              <w:t>15</w:t>
            </w:r>
          </w:p>
        </w:tc>
        <w:tc>
          <w:tcPr>
            <w:tcW w:type="dxa" w:w="4680"/>
          </w:tcPr>
          <w:p>
            <w:r/>
            <w:r>
              <w:rPr>
                <w:b w:val="0"/>
                <w:i w:val="0"/>
                <w:sz w:val="19"/>
              </w:rPr>
              <w:t xml:space="preserve">Paul N. Watkins và Kathleen Barceleau, “Lịch sử 30 năm làm suy yếu Nghĩa vụ Ủy thác của ERISA,” </w:t>
            </w:r>
            <w:r>
              <w:rPr>
                <w:b w:val="0"/>
                <w:i/>
                <w:sz w:val="19"/>
              </w:rPr>
              <w:t>Federalist Society</w:t>
            </w:r>
            <w:r>
              <w:rPr>
                <w:b w:val="0"/>
                <w:i w:val="0"/>
                <w:sz w:val="19"/>
              </w:rPr>
              <w:t xml:space="preserve"> 25 (ngày 16 tháng 1 năm 2024), https://fedsoc.org/fedsoc-review/the-30-year-history-of-diluting-erisa-s-fiduciary-duty.</w:t>
            </w:r>
          </w:p>
        </w:tc>
      </w:tr>
      <w:tr>
        <w:tc>
          <w:tcPr>
            <w:tcW w:type="dxa" w:w="4680"/>
          </w:tcPr>
          <w:p>
            <w:r/>
            <w:r>
              <w:rPr>
                <w:b w:val="0"/>
                <w:i w:val="0"/>
                <w:sz w:val="19"/>
              </w:rPr>
              <w:t>16</w:t>
            </w:r>
          </w:p>
        </w:tc>
        <w:tc>
          <w:tcPr>
            <w:tcW w:type="dxa" w:w="4680"/>
          </w:tcPr>
          <w:p>
            <w:r/>
            <w:r>
              <w:rPr>
                <w:b w:val="0"/>
                <w:i w:val="0"/>
                <w:sz w:val="19"/>
              </w:rPr>
              <w:t>Kurt N. Schacht và Karina Karakulova, “Bộ Lao động ném bom thảm vào việc bảo vệ nhà đầu tư,” Blue Sky Blog, ngày 29 tháng 9 năm 2020, https://clsbluesky.law.columbia.edu/2020/09/29/the-department-of-labor-carpet-bombs-investor-protection/.</w:t>
            </w:r>
          </w:p>
        </w:tc>
      </w:tr>
      <w:tr>
        <w:tc>
          <w:tcPr>
            <w:tcW w:type="dxa" w:w="4680"/>
          </w:tcPr>
          <w:p>
            <w:r/>
            <w:r>
              <w:rPr>
                <w:b w:val="0"/>
                <w:i w:val="0"/>
                <w:sz w:val="19"/>
              </w:rPr>
              <w:t>17</w:t>
            </w:r>
          </w:p>
        </w:tc>
        <w:tc>
          <w:tcPr>
            <w:tcW w:type="dxa" w:w="4680"/>
          </w:tcPr>
          <w:p>
            <w:r/>
            <w:r>
              <w:rPr>
                <w:b w:val="0"/>
                <w:i w:val="0"/>
                <w:sz w:val="19"/>
              </w:rPr>
              <w:t>“Thập kỷ Giao dịch: Sự trỗi dậy của các Nhà đầu tư Tổ chức,” Hội Lịch sử Ủy ban Chứng khoán và Giao dịch, Phòng trưng bày về Quản trị Công ty của Trung tâm Chất lượng Kiểm toán, không ngày, https://www.sechistorical.org/museum/galleries/caq/caq04b_rise_of_institutional_investors.php.</w:t>
            </w:r>
          </w:p>
        </w:tc>
      </w:tr>
      <w:tr>
        <w:tc>
          <w:tcPr>
            <w:tcW w:type="dxa" w:w="4680"/>
          </w:tcPr>
          <w:p>
            <w:r/>
            <w:r>
              <w:rPr>
                <w:b w:val="0"/>
                <w:i w:val="0"/>
                <w:sz w:val="19"/>
              </w:rPr>
              <w:t>18</w:t>
            </w:r>
          </w:p>
        </w:tc>
        <w:tc>
          <w:tcPr>
            <w:tcW w:type="dxa" w:w="4680"/>
          </w:tcPr>
          <w:p>
            <w:r/>
            <w:r>
              <w:rPr>
                <w:b w:val="0"/>
                <w:i w:val="0"/>
                <w:sz w:val="19"/>
              </w:rPr>
              <w:t>“Thập kỷ Giao dịch.”</w:t>
            </w:r>
          </w:p>
        </w:tc>
      </w:tr>
      <w:tr>
        <w:tc>
          <w:tcPr>
            <w:tcW w:type="dxa" w:w="4680"/>
          </w:tcPr>
          <w:p>
            <w:r/>
            <w:r>
              <w:rPr>
                <w:b w:val="0"/>
                <w:i w:val="0"/>
                <w:sz w:val="19"/>
              </w:rPr>
              <w:t>19</w:t>
            </w:r>
          </w:p>
        </w:tc>
        <w:tc>
          <w:tcPr>
            <w:tcW w:type="dxa" w:w="4680"/>
          </w:tcPr>
          <w:p>
            <w:r/>
            <w:r>
              <w:rPr>
                <w:b w:val="0"/>
                <w:i w:val="0"/>
                <w:sz w:val="19"/>
              </w:rPr>
              <w:t>“Thập kỷ Giao dịch.”</w:t>
            </w:r>
          </w:p>
        </w:tc>
      </w:tr>
      <w:tr>
        <w:tc>
          <w:tcPr>
            <w:tcW w:type="dxa" w:w="4680"/>
          </w:tcPr>
          <w:p>
            <w:r/>
            <w:r>
              <w:rPr>
                <w:b w:val="0"/>
                <w:i w:val="0"/>
                <w:sz w:val="19"/>
              </w:rPr>
              <w:t>20</w:t>
            </w:r>
          </w:p>
        </w:tc>
        <w:tc>
          <w:tcPr>
            <w:tcW w:type="dxa" w:w="4680"/>
          </w:tcPr>
          <w:p>
            <w:r/>
            <w:r>
              <w:rPr>
                <w:b w:val="0"/>
                <w:i w:val="0"/>
                <w:sz w:val="19"/>
              </w:rPr>
              <w:t xml:space="preserve">Ban Biên tập, “Phá vỡ thế độc quyền của các công ty tư vấn ủy quyền,” </w:t>
            </w:r>
            <w:r>
              <w:rPr>
                <w:b w:val="0"/>
                <w:i/>
                <w:sz w:val="19"/>
              </w:rPr>
              <w:t>Wall Street Journal</w:t>
            </w:r>
            <w:r>
              <w:rPr>
                <w:b w:val="0"/>
                <w:i w:val="0"/>
                <w:sz w:val="19"/>
              </w:rPr>
              <w:t>, ngày 12 tháng 7 năm 2023, https://www.wsj.com/articles/proxy-advisory-firms-glass-lewis-institutional-shareholder-services-esg-investing-761e044f; Ike Brannon, “Giảm bớt quyền lực của các công ty tư vấn ủy quyền,” Capital Policy Analytics, không ngày, https://www.sec.gov/comments/s7-22-19/s72219-6702944-206071.pdf.</w:t>
            </w:r>
          </w:p>
        </w:tc>
      </w:tr>
      <w:tr>
        <w:tc>
          <w:tcPr>
            <w:tcW w:type="dxa" w:w="4680"/>
          </w:tcPr>
          <w:p>
            <w:r/>
            <w:r>
              <w:rPr>
                <w:b w:val="0"/>
                <w:i w:val="0"/>
                <w:sz w:val="19"/>
              </w:rPr>
              <w:t>21</w:t>
            </w:r>
          </w:p>
        </w:tc>
        <w:tc>
          <w:tcPr>
            <w:tcW w:type="dxa" w:w="4680"/>
          </w:tcPr>
          <w:p>
            <w:r/>
            <w:r>
              <w:rPr>
                <w:b w:val="0"/>
                <w:i w:val="0"/>
                <w:sz w:val="19"/>
              </w:rPr>
              <w:t xml:space="preserve">Coates, </w:t>
            </w:r>
            <w:r>
              <w:rPr>
                <w:b w:val="0"/>
                <w:i/>
                <w:sz w:val="19"/>
              </w:rPr>
              <w:t>Vấn đề Mười hai</w:t>
            </w:r>
            <w:r>
              <w:rPr>
                <w:b w:val="0"/>
                <w:i w:val="0"/>
                <w:sz w:val="19"/>
              </w:rPr>
              <w:t>.</w:t>
            </w:r>
          </w:p>
        </w:tc>
      </w:tr>
      <w:tr>
        <w:tc>
          <w:tcPr>
            <w:tcW w:type="dxa" w:w="4680"/>
          </w:tcPr>
          <w:p>
            <w:r/>
            <w:r>
              <w:rPr>
                <w:b w:val="0"/>
                <w:i w:val="0"/>
                <w:sz w:val="19"/>
              </w:rPr>
              <w:t>22</w:t>
            </w:r>
          </w:p>
        </w:tc>
        <w:tc>
          <w:tcPr>
            <w:tcW w:type="dxa" w:w="4680"/>
          </w:tcPr>
          <w:p>
            <w:r/>
            <w:r>
              <w:rPr>
                <w:b w:val="0"/>
                <w:i w:val="0"/>
                <w:sz w:val="19"/>
              </w:rPr>
              <w:t>Coates.</w:t>
            </w:r>
          </w:p>
        </w:tc>
      </w:tr>
      <w:tr>
        <w:tc>
          <w:tcPr>
            <w:tcW w:type="dxa" w:w="4680"/>
          </w:tcPr>
          <w:p>
            <w:r/>
            <w:r>
              <w:rPr>
                <w:b w:val="0"/>
                <w:i w:val="0"/>
                <w:sz w:val="19"/>
              </w:rPr>
              <w:t>23</w:t>
            </w:r>
          </w:p>
        </w:tc>
        <w:tc>
          <w:tcPr>
            <w:tcW w:type="dxa" w:w="4680"/>
          </w:tcPr>
          <w:p>
            <w:r/>
            <w:r>
              <w:rPr>
                <w:b w:val="0"/>
                <w:i w:val="0"/>
                <w:sz w:val="19"/>
              </w:rPr>
              <w:t>“Vanguard thông báo về sự ra đi của người sáng lập John C. Bogle,” Vanguard, thông cáo báo chí, ngày 16 tháng 1 năm 2019, https://corporate.vanguard.com/content/corporatesite/us/en/corp/who-we-are/pressroom/Press-Release-Vanguard-Announces-Passing-Of-Founder-Jack-Bogle-011619.html.</w:t>
            </w:r>
          </w:p>
        </w:tc>
      </w:tr>
      <w:tr>
        <w:tc>
          <w:tcPr>
            <w:tcW w:type="dxa" w:w="4680"/>
          </w:tcPr>
          <w:p>
            <w:r/>
            <w:r>
              <w:rPr>
                <w:b w:val="0"/>
                <w:i w:val="0"/>
                <w:sz w:val="19"/>
              </w:rPr>
              <w:t>24</w:t>
            </w:r>
          </w:p>
        </w:tc>
        <w:tc>
          <w:tcPr>
            <w:tcW w:type="dxa" w:w="4680"/>
          </w:tcPr>
          <w:p>
            <w:r/>
            <w:r>
              <w:rPr>
                <w:b w:val="0"/>
                <w:i w:val="0"/>
                <w:sz w:val="19"/>
              </w:rPr>
              <w:t>Nhân viên Knowledge at Wharton, “Tạm biệt, John Bogle: Lời tri ân dành cho cha đẻ của chỉ số hóa,” Knowledge at Wharton, ngày 17 tháng 1 năm 2019, https://knowledge.wharton.upenn.edu/article/farewell-john-bogle-tribute-father-indexing/.</w:t>
            </w:r>
          </w:p>
        </w:tc>
      </w:tr>
      <w:tr>
        <w:tc>
          <w:tcPr>
            <w:tcW w:type="dxa" w:w="4680"/>
          </w:tcPr>
          <w:p>
            <w:r/>
            <w:r>
              <w:rPr>
                <w:b w:val="0"/>
                <w:i w:val="0"/>
                <w:sz w:val="19"/>
              </w:rPr>
              <w:t>25</w:t>
            </w:r>
          </w:p>
        </w:tc>
        <w:tc>
          <w:tcPr>
            <w:tcW w:type="dxa" w:w="4680"/>
          </w:tcPr>
          <w:p>
            <w:r/>
            <w:r>
              <w:rPr>
                <w:b w:val="0"/>
                <w:i w:val="0"/>
                <w:sz w:val="19"/>
              </w:rPr>
              <w:t>Warren Buffett, “Những lời khen ngợi: Warren Buffett nói về Jack Bogle,” A Simple Model, ngày 7 tháng 7 năm 2022, https://www.asimplemodel.com/bips/bip-feed/words-of-praise-warren-buffett-on-jack-bogle.</w:t>
            </w:r>
          </w:p>
        </w:tc>
      </w:tr>
      <w:tr>
        <w:tc>
          <w:tcPr>
            <w:tcW w:type="dxa" w:w="4680"/>
          </w:tcPr>
          <w:p>
            <w:r/>
            <w:r>
              <w:rPr>
                <w:b w:val="0"/>
                <w:i w:val="0"/>
                <w:sz w:val="19"/>
              </w:rPr>
              <w:t>26</w:t>
            </w:r>
          </w:p>
        </w:tc>
        <w:tc>
          <w:tcPr>
            <w:tcW w:type="dxa" w:w="4680"/>
          </w:tcPr>
          <w:p>
            <w:r/>
            <w:r>
              <w:rPr>
                <w:b w:val="0"/>
                <w:i w:val="0"/>
                <w:sz w:val="19"/>
              </w:rPr>
              <w:t xml:space="preserve">Coates, </w:t>
            </w:r>
            <w:r>
              <w:rPr>
                <w:b w:val="0"/>
                <w:i/>
                <w:sz w:val="19"/>
              </w:rPr>
              <w:t>Problem of Twelve</w:t>
            </w:r>
            <w:r>
              <w:rPr>
                <w:b w:val="0"/>
                <w:i w:val="0"/>
                <w:sz w:val="19"/>
              </w:rPr>
              <w:t>.</w:t>
            </w:r>
          </w:p>
        </w:tc>
      </w:tr>
      <w:tr>
        <w:tc>
          <w:tcPr>
            <w:tcW w:type="dxa" w:w="4680"/>
          </w:tcPr>
          <w:p>
            <w:r/>
            <w:r>
              <w:rPr>
                <w:b w:val="0"/>
                <w:i w:val="0"/>
                <w:sz w:val="19"/>
              </w:rPr>
              <w:t>27</w:t>
            </w:r>
          </w:p>
        </w:tc>
        <w:tc>
          <w:tcPr>
            <w:tcW w:type="dxa" w:w="4680"/>
          </w:tcPr>
          <w:p>
            <w:r/>
            <w:r>
              <w:rPr>
                <w:b w:val="0"/>
                <w:i w:val="0"/>
                <w:sz w:val="19"/>
              </w:rPr>
              <w:t xml:space="preserve">Caleb Griffin, “Margins: Estimating the Influence of the Big Three on Shareholder Proposals,” </w:t>
            </w:r>
            <w:r>
              <w:rPr>
                <w:b w:val="0"/>
                <w:i/>
                <w:sz w:val="19"/>
              </w:rPr>
              <w:t>SMU Law Review</w:t>
            </w:r>
            <w:r>
              <w:rPr>
                <w:b w:val="0"/>
                <w:i w:val="0"/>
                <w:sz w:val="19"/>
              </w:rPr>
              <w:t xml:space="preserve"> 73, no. 3 (2020), https://scholar.smu.edu/smulr/vol73/iss3/6.</w:t>
            </w:r>
          </w:p>
        </w:tc>
      </w:tr>
      <w:tr>
        <w:tc>
          <w:tcPr>
            <w:tcW w:type="dxa" w:w="4680"/>
          </w:tcPr>
          <w:p>
            <w:r/>
            <w:r>
              <w:rPr>
                <w:b w:val="0"/>
                <w:i w:val="0"/>
                <w:sz w:val="19"/>
              </w:rPr>
              <w:t>28</w:t>
            </w:r>
          </w:p>
        </w:tc>
        <w:tc>
          <w:tcPr>
            <w:tcW w:type="dxa" w:w="4680"/>
          </w:tcPr>
          <w:p>
            <w:r/>
            <w:r>
              <w:rPr>
                <w:b w:val="0"/>
                <w:i w:val="0"/>
                <w:sz w:val="19"/>
              </w:rPr>
              <w:t>Griffin.</w:t>
            </w:r>
          </w:p>
        </w:tc>
      </w:tr>
      <w:tr>
        <w:tc>
          <w:tcPr>
            <w:tcW w:type="dxa" w:w="4680"/>
          </w:tcPr>
          <w:p>
            <w:r/>
            <w:r>
              <w:rPr>
                <w:b w:val="0"/>
                <w:i w:val="0"/>
                <w:sz w:val="19"/>
              </w:rPr>
              <w:t>29</w:t>
            </w:r>
          </w:p>
        </w:tc>
        <w:tc>
          <w:tcPr>
            <w:tcW w:type="dxa" w:w="4680"/>
          </w:tcPr>
          <w:p>
            <w:r/>
            <w:r>
              <w:rPr>
                <w:b w:val="0"/>
                <w:i w:val="0"/>
                <w:sz w:val="19"/>
              </w:rPr>
              <w:t>Griffin.</w:t>
            </w:r>
          </w:p>
        </w:tc>
      </w:tr>
      <w:tr>
        <w:tc>
          <w:tcPr>
            <w:tcW w:type="dxa" w:w="4680"/>
          </w:tcPr>
          <w:p>
            <w:r/>
            <w:r>
              <w:rPr>
                <w:b w:val="0"/>
                <w:i w:val="0"/>
                <w:sz w:val="19"/>
              </w:rPr>
              <w:t>30</w:t>
            </w:r>
          </w:p>
        </w:tc>
        <w:tc>
          <w:tcPr>
            <w:tcW w:type="dxa" w:w="4680"/>
          </w:tcPr>
          <w:p>
            <w:r/>
            <w:r>
              <w:rPr>
                <w:b w:val="0"/>
                <w:i w:val="0"/>
                <w:sz w:val="19"/>
              </w:rPr>
              <w:t xml:space="preserve">Caleb Griffin, “We Three Kings: Disintermediating Voting at the Index Fund Giants,” </w:t>
            </w:r>
            <w:r>
              <w:rPr>
                <w:b w:val="0"/>
                <w:i/>
                <w:sz w:val="19"/>
              </w:rPr>
              <w:t>Maryland Law Review</w:t>
            </w:r>
            <w:r>
              <w:rPr>
                <w:b w:val="0"/>
                <w:i w:val="0"/>
                <w:sz w:val="19"/>
              </w:rPr>
              <w:t xml:space="preserve"> 79 (2020), https://ssrn.com/abstract=3365222.</w:t>
            </w:r>
          </w:p>
        </w:tc>
      </w:tr>
      <w:tr>
        <w:tc>
          <w:tcPr>
            <w:tcW w:type="dxa" w:w="4680"/>
          </w:tcPr>
          <w:p>
            <w:r/>
            <w:r>
              <w:rPr>
                <w:b w:val="0"/>
                <w:i w:val="0"/>
                <w:sz w:val="19"/>
              </w:rPr>
              <w:t>31</w:t>
            </w:r>
          </w:p>
        </w:tc>
        <w:tc>
          <w:tcPr>
            <w:tcW w:type="dxa" w:w="4680"/>
          </w:tcPr>
          <w:p>
            <w:r/>
            <w:r>
              <w:rPr>
                <w:b w:val="0"/>
                <w:i w:val="0"/>
                <w:sz w:val="19"/>
              </w:rPr>
              <w:t>Griffin, “Margins.”</w:t>
            </w:r>
          </w:p>
        </w:tc>
      </w:tr>
      <w:tr>
        <w:tc>
          <w:tcPr>
            <w:tcW w:type="dxa" w:w="4680"/>
          </w:tcPr>
          <w:p>
            <w:r/>
            <w:r>
              <w:rPr>
                <w:b w:val="0"/>
                <w:i w:val="0"/>
                <w:sz w:val="19"/>
              </w:rPr>
              <w:t>32</w:t>
            </w:r>
          </w:p>
        </w:tc>
        <w:tc>
          <w:tcPr>
            <w:tcW w:type="dxa" w:w="4680"/>
          </w:tcPr>
          <w:p>
            <w:r/>
            <w:r>
              <w:rPr>
                <w:b w:val="0"/>
                <w:i w:val="0"/>
                <w:sz w:val="19"/>
              </w:rPr>
              <w:t>Griffin.</w:t>
            </w:r>
          </w:p>
        </w:tc>
      </w:tr>
      <w:tr>
        <w:tc>
          <w:tcPr>
            <w:tcW w:type="dxa" w:w="4680"/>
          </w:tcPr>
          <w:p>
            <w:r/>
            <w:r>
              <w:rPr>
                <w:b w:val="0"/>
                <w:i w:val="0"/>
                <w:sz w:val="19"/>
              </w:rPr>
              <w:t>33</w:t>
            </w:r>
          </w:p>
        </w:tc>
        <w:tc>
          <w:tcPr>
            <w:tcW w:type="dxa" w:w="4680"/>
          </w:tcPr>
          <w:p>
            <w:r/>
            <w:r>
              <w:rPr>
                <w:b w:val="0"/>
                <w:i w:val="0"/>
                <w:sz w:val="19"/>
              </w:rPr>
              <w:t xml:space="preserve">John C. Bogle, “Bogle Sounds a Warning on Index Funds,” </w:t>
            </w:r>
            <w:r>
              <w:rPr>
                <w:b w:val="0"/>
                <w:i/>
                <w:sz w:val="19"/>
              </w:rPr>
              <w:t>Wall Street Journal</w:t>
            </w:r>
            <w:r>
              <w:rPr>
                <w:b w:val="0"/>
                <w:i w:val="0"/>
                <w:sz w:val="19"/>
              </w:rPr>
              <w:t>, November 29, 2018, https://www.wsj.com/articles/bogle-sounds-a-warning-on-index-funds-1543504551.</w:t>
            </w:r>
          </w:p>
        </w:tc>
      </w:tr>
      <w:tr>
        <w:tc>
          <w:tcPr>
            <w:tcW w:type="dxa" w:w="4680"/>
          </w:tcPr>
          <w:p>
            <w:r/>
            <w:r>
              <w:rPr>
                <w:b w:val="0"/>
                <w:i w:val="0"/>
                <w:sz w:val="19"/>
              </w:rPr>
              <w:t>34</w:t>
            </w:r>
          </w:p>
        </w:tc>
        <w:tc>
          <w:tcPr>
            <w:tcW w:type="dxa" w:w="4680"/>
          </w:tcPr>
          <w:p>
            <w:r/>
            <w:r>
              <w:rPr>
                <w:b w:val="0"/>
                <w:i w:val="0"/>
                <w:sz w:val="19"/>
              </w:rPr>
              <w:t xml:space="preserve">Farhad Manjoo, “What BlackRock, Vanguard và State Street đang làm với nền kinh tế,” </w:t>
            </w:r>
            <w:r>
              <w:rPr>
                <w:b w:val="0"/>
                <w:i/>
                <w:sz w:val="19"/>
              </w:rPr>
              <w:t>New York Times</w:t>
            </w:r>
            <w:r>
              <w:rPr>
                <w:b w:val="0"/>
                <w:i w:val="0"/>
                <w:sz w:val="19"/>
              </w:rPr>
              <w:t>, 12 tháng 5, 2022, https://www.nytimes.com/2022/05/12/opinion/vanguard-power-blackrock-state-street.html.</w:t>
            </w:r>
          </w:p>
        </w:tc>
      </w:tr>
      <w:tr>
        <w:tc>
          <w:tcPr>
            <w:tcW w:type="dxa" w:w="4680"/>
          </w:tcPr>
          <w:p>
            <w:r/>
            <w:r>
              <w:rPr>
                <w:b w:val="0"/>
                <w:i w:val="0"/>
                <w:sz w:val="19"/>
              </w:rPr>
              <w:t>35</w:t>
            </w:r>
          </w:p>
        </w:tc>
        <w:tc>
          <w:tcPr>
            <w:tcW w:type="dxa" w:w="4680"/>
          </w:tcPr>
          <w:p>
            <w:r/>
            <w:r>
              <w:rPr>
                <w:b w:val="0"/>
                <w:i w:val="0"/>
                <w:sz w:val="19"/>
              </w:rPr>
              <w:t>Andrea Pawliczek, Ashley Nicole Skinner, và Laura Wellman, “Một góc nhìn mới về tiếng nói: Ảnh hưởng từ những lá thư ‘Dear CEO’ của BlackRock,” SSRN, tháng 1, 2021, https://ssrn.com/abstract=3763042.</w:t>
            </w:r>
          </w:p>
        </w:tc>
      </w:tr>
      <w:tr>
        <w:tc>
          <w:tcPr>
            <w:tcW w:type="dxa" w:w="4680"/>
          </w:tcPr>
          <w:p>
            <w:r/>
            <w:r>
              <w:rPr>
                <w:b w:val="0"/>
                <w:i w:val="0"/>
                <w:sz w:val="19"/>
              </w:rPr>
              <w:t>36</w:t>
            </w:r>
          </w:p>
        </w:tc>
        <w:tc>
          <w:tcPr>
            <w:tcW w:type="dxa" w:w="4680"/>
          </w:tcPr>
          <w:p>
            <w:r/>
            <w:r>
              <w:rPr>
                <w:b w:val="0"/>
                <w:i w:val="0"/>
                <w:sz w:val="19"/>
              </w:rPr>
              <w:t>Pawliczek, Skinner, và Wellman.</w:t>
            </w:r>
          </w:p>
        </w:tc>
      </w:tr>
      <w:tr>
        <w:tc>
          <w:tcPr>
            <w:tcW w:type="dxa" w:w="4680"/>
          </w:tcPr>
          <w:p>
            <w:r/>
            <w:r>
              <w:rPr>
                <w:b w:val="0"/>
                <w:i w:val="0"/>
                <w:sz w:val="19"/>
              </w:rPr>
              <w:t>37</w:t>
            </w:r>
          </w:p>
        </w:tc>
        <w:tc>
          <w:tcPr>
            <w:tcW w:type="dxa" w:w="4680"/>
          </w:tcPr>
          <w:p>
            <w:r/>
            <w:r>
              <w:rPr>
                <w:b w:val="0"/>
                <w:i w:val="0"/>
                <w:sz w:val="19"/>
              </w:rPr>
              <w:t>“Tìm hiểu về công ty chúng tôi,” State Street, không ngày, https://www.statestreet.com/us/en/asset-manager/about/our-story.</w:t>
            </w:r>
          </w:p>
        </w:tc>
      </w:tr>
      <w:tr>
        <w:tc>
          <w:tcPr>
            <w:tcW w:type="dxa" w:w="4680"/>
          </w:tcPr>
          <w:p>
            <w:r/>
            <w:r>
              <w:rPr>
                <w:b w:val="0"/>
                <w:i w:val="0"/>
                <w:sz w:val="19"/>
              </w:rPr>
              <w:t>38</w:t>
            </w:r>
          </w:p>
        </w:tc>
        <w:tc>
          <w:tcPr>
            <w:tcW w:type="dxa" w:w="4680"/>
          </w:tcPr>
          <w:p>
            <w:r/>
            <w:r>
              <w:rPr>
                <w:b w:val="0"/>
                <w:i w:val="0"/>
                <w:sz w:val="19"/>
              </w:rPr>
              <w:t xml:space="preserve">Jeremy W. Peters, “State Street sẽ mua lại Investors Financial với giá 4,5 tỷ đô la,” </w:t>
            </w:r>
            <w:r>
              <w:rPr>
                <w:b w:val="0"/>
                <w:i/>
                <w:sz w:val="19"/>
              </w:rPr>
              <w:t>New York Times</w:t>
            </w:r>
            <w:r>
              <w:rPr>
                <w:b w:val="0"/>
                <w:i w:val="0"/>
                <w:sz w:val="19"/>
              </w:rPr>
              <w:t>, 6 tháng 2, 2007, https://www.nytimes.com/2007/02/06/business/06street.html.</w:t>
            </w:r>
          </w:p>
        </w:tc>
      </w:tr>
      <w:tr>
        <w:tc>
          <w:tcPr>
            <w:tcW w:type="dxa" w:w="4680"/>
          </w:tcPr>
          <w:p>
            <w:r/>
            <w:r>
              <w:rPr>
                <w:b w:val="0"/>
                <w:i w:val="0"/>
                <w:sz w:val="19"/>
              </w:rPr>
              <w:t>39</w:t>
            </w:r>
          </w:p>
        </w:tc>
        <w:tc>
          <w:tcPr>
            <w:tcW w:type="dxa" w:w="4680"/>
          </w:tcPr>
          <w:p>
            <w:r/>
            <w:r>
              <w:rPr>
                <w:b w:val="0"/>
                <w:i w:val="0"/>
                <w:sz w:val="19"/>
              </w:rPr>
              <w:t>“BlackRock 2004 Global Voting Spotlight,” BlackRock Investment Stewardship, 2024, https://www.blackrock.com/corporate/literature/publication/2024-investment-stewardship-voting-spotlight.pdf.</w:t>
            </w:r>
          </w:p>
        </w:tc>
      </w:tr>
      <w:tr>
        <w:tc>
          <w:tcPr>
            <w:tcW w:type="dxa" w:w="4680"/>
          </w:tcPr>
          <w:p>
            <w:r/>
            <w:r>
              <w:rPr>
                <w:b w:val="0"/>
                <w:i w:val="0"/>
                <w:sz w:val="19"/>
              </w:rPr>
              <w:t>40</w:t>
            </w:r>
          </w:p>
        </w:tc>
        <w:tc>
          <w:tcPr>
            <w:tcW w:type="dxa" w:w="4680"/>
          </w:tcPr>
          <w:p>
            <w:r/>
            <w:r>
              <w:rPr>
                <w:b w:val="0"/>
                <w:i w:val="0"/>
                <w:sz w:val="19"/>
              </w:rPr>
              <w:t>“BlackRock 2004 Global Voting Spotlight.”</w:t>
            </w:r>
          </w:p>
        </w:tc>
      </w:tr>
      <w:tr>
        <w:tc>
          <w:tcPr>
            <w:tcW w:type="dxa" w:w="4680"/>
          </w:tcPr>
          <w:p>
            <w:r/>
            <w:r>
              <w:rPr>
                <w:b w:val="0"/>
                <w:i w:val="0"/>
                <w:sz w:val="19"/>
              </w:rPr>
              <w:t>41</w:t>
            </w:r>
          </w:p>
        </w:tc>
        <w:tc>
          <w:tcPr>
            <w:tcW w:type="dxa" w:w="4680"/>
          </w:tcPr>
          <w:p>
            <w:r/>
            <w:r>
              <w:rPr>
                <w:b w:val="0"/>
                <w:i w:val="0"/>
                <w:sz w:val="19"/>
              </w:rPr>
              <w:t>“Investment Stewardship: Báo cáo thường niên 2023,” Vanguard, 2024, https://corporate.vanguard.com/content/dam/corp/advocate/investment-stewardship/pdf/policies-and-reports/investment_stewardship_2023_annual_report.pdf.</w:t>
            </w:r>
          </w:p>
        </w:tc>
      </w:tr>
      <w:tr>
        <w:tc>
          <w:tcPr>
            <w:tcW w:type="dxa" w:w="4680"/>
          </w:tcPr>
          <w:p>
            <w:r/>
            <w:r>
              <w:rPr>
                <w:b w:val="0"/>
                <w:i w:val="0"/>
                <w:sz w:val="19"/>
              </w:rPr>
              <w:t>42</w:t>
            </w:r>
          </w:p>
        </w:tc>
        <w:tc>
          <w:tcPr>
            <w:tcW w:type="dxa" w:w="4680"/>
          </w:tcPr>
          <w:p>
            <w:r/>
            <w:r>
              <w:rPr>
                <w:b w:val="0"/>
                <w:i w:val="0"/>
                <w:sz w:val="19"/>
              </w:rPr>
              <w:t>“Báo cáo Quản lý Tài sản,” State Street, n.d., https://www.ssga.com/us/en/institutional/ic/insights/asset-stewardship-report.</w:t>
            </w:r>
          </w:p>
        </w:tc>
      </w:tr>
      <w:tr>
        <w:tc>
          <w:tcPr>
            <w:tcW w:type="dxa" w:w="4680"/>
          </w:tcPr>
          <w:p>
            <w:r/>
            <w:r>
              <w:rPr>
                <w:b w:val="0"/>
                <w:i w:val="0"/>
                <w:sz w:val="19"/>
              </w:rPr>
              <w:t>43</w:t>
            </w:r>
          </w:p>
        </w:tc>
        <w:tc>
          <w:tcPr>
            <w:tcW w:type="dxa" w:w="4680"/>
          </w:tcPr>
          <w:p>
            <w:r/>
            <w:r>
              <w:rPr>
                <w:b w:val="0"/>
                <w:i w:val="0"/>
                <w:sz w:val="19"/>
              </w:rPr>
              <w:t>Lindsey Stewart, “BlackRock, State Street và Vanguard bỏ phiếu đại diện ESG như thế nào,” Morningstar, ngày 12 tháng 6 năm 2023, https://www.morningstar.com/sustainable-investing/how-blackrock-state-street-vanguard-cast-their-esg-proxy-votes.</w:t>
            </w:r>
          </w:p>
        </w:tc>
      </w:tr>
      <w:tr>
        <w:tc>
          <w:tcPr>
            <w:tcW w:type="dxa" w:w="4680"/>
          </w:tcPr>
          <w:p>
            <w:r/>
            <w:r>
              <w:rPr>
                <w:b w:val="0"/>
                <w:i w:val="0"/>
                <w:sz w:val="19"/>
              </w:rPr>
              <w:t>44</w:t>
            </w:r>
          </w:p>
        </w:tc>
        <w:tc>
          <w:tcPr>
            <w:tcW w:type="dxa" w:w="4680"/>
          </w:tcPr>
          <w:p>
            <w:r/>
            <w:r>
              <w:rPr>
                <w:b w:val="0"/>
                <w:i w:val="0"/>
                <w:sz w:val="19"/>
              </w:rPr>
              <w:t>“BlackRock tiếp tục mở rộng Quyền Lựa Chọn Bỏ Phiếu cho nhà đầu tư cá nhân,” Wachtell Memo, ngày 20 tháng 2 năm 2024.</w:t>
            </w:r>
          </w:p>
        </w:tc>
      </w:tr>
      <w:tr>
        <w:tc>
          <w:tcPr>
            <w:tcW w:type="dxa" w:w="4680"/>
          </w:tcPr>
          <w:p>
            <w:r/>
            <w:r>
              <w:rPr>
                <w:b w:val="0"/>
                <w:i w:val="0"/>
                <w:sz w:val="19"/>
              </w:rPr>
              <w:t>45</w:t>
            </w:r>
          </w:p>
        </w:tc>
        <w:tc>
          <w:tcPr>
            <w:tcW w:type="dxa" w:w="4680"/>
          </w:tcPr>
          <w:p>
            <w:r/>
            <w:r>
              <w:rPr>
                <w:b w:val="0"/>
                <w:i w:val="0"/>
                <w:sz w:val="19"/>
              </w:rPr>
              <w:t>Jim Woodrum, “Hội đồng quản trị có thể cùng tồn tại với ISS và Glass Lewis như thế nào?,” Northwestern Kellogg, n.d., https://www.kellogg.northwestern.edu/executive-education/the-kellogg-experience/thought-leadership/iss-glass-lewis.aspx.</w:t>
            </w:r>
          </w:p>
        </w:tc>
      </w:tr>
      <w:tr>
        <w:tc>
          <w:tcPr>
            <w:tcW w:type="dxa" w:w="4680"/>
          </w:tcPr>
          <w:p>
            <w:r/>
            <w:r>
              <w:rPr>
                <w:b w:val="0"/>
                <w:i w:val="0"/>
                <w:sz w:val="19"/>
              </w:rPr>
              <w:t>46</w:t>
            </w:r>
          </w:p>
        </w:tc>
        <w:tc>
          <w:tcPr>
            <w:tcW w:type="dxa" w:w="4680"/>
          </w:tcPr>
          <w:p>
            <w:r/>
            <w:r>
              <w:rPr>
                <w:b w:val="0"/>
                <w:i w:val="0"/>
                <w:sz w:val="19"/>
              </w:rPr>
              <w:t>Woodrum.</w:t>
            </w:r>
          </w:p>
        </w:tc>
      </w:tr>
      <w:tr>
        <w:tc>
          <w:tcPr>
            <w:tcW w:type="dxa" w:w="4680"/>
          </w:tcPr>
          <w:p>
            <w:r/>
            <w:r>
              <w:rPr>
                <w:b w:val="0"/>
                <w:i w:val="0"/>
                <w:sz w:val="19"/>
              </w:rPr>
              <w:t>47</w:t>
            </w:r>
          </w:p>
        </w:tc>
        <w:tc>
          <w:tcPr>
            <w:tcW w:type="dxa" w:w="4680"/>
          </w:tcPr>
          <w:p>
            <w:r/>
            <w:r>
              <w:rPr>
                <w:b w:val="0"/>
                <w:i w:val="0"/>
                <w:sz w:val="19"/>
              </w:rPr>
              <w:t xml:space="preserve">Michelle Celarier, “Công ty tư nhân bí ẩn đang kiểm soát doanh nghiệp Mỹ: Tám người đàn ông trong một khu văn phòng ở Maryland quyết định vận mệnh của những công ty vĩ đại nhất đất nước như thế nào,” </w:t>
            </w:r>
            <w:r>
              <w:rPr>
                <w:b w:val="0"/>
                <w:i/>
                <w:sz w:val="19"/>
              </w:rPr>
              <w:t>Institutional Investor</w:t>
            </w:r>
            <w:r>
              <w:rPr>
                <w:b w:val="0"/>
                <w:i w:val="0"/>
                <w:sz w:val="19"/>
              </w:rPr>
              <w:t>, ngày 29 tháng 1 năm 2018, https://www.institutionalinvestor.com/article/2bsxtm9a2dyhr8r96cbnk/culture/the-mysterious-private-company-controlling-corporate-america.</w:t>
            </w:r>
          </w:p>
        </w:tc>
      </w:tr>
      <w:tr>
        <w:tc>
          <w:tcPr>
            <w:tcW w:type="dxa" w:w="4680"/>
          </w:tcPr>
          <w:p>
            <w:r/>
            <w:r>
              <w:rPr>
                <w:b w:val="0"/>
                <w:i w:val="0"/>
                <w:sz w:val="19"/>
              </w:rPr>
              <w:t>48</w:t>
            </w:r>
          </w:p>
        </w:tc>
        <w:tc>
          <w:tcPr>
            <w:tcW w:type="dxa" w:w="4680"/>
          </w:tcPr>
          <w:p>
            <w:r/>
            <w:r>
              <w:rPr>
                <w:b w:val="0"/>
                <w:i w:val="0"/>
                <w:sz w:val="19"/>
              </w:rPr>
              <w:t>Celarier.</w:t>
            </w:r>
          </w:p>
        </w:tc>
      </w:tr>
      <w:tr>
        <w:tc>
          <w:tcPr>
            <w:tcW w:type="dxa" w:w="4680"/>
          </w:tcPr>
          <w:p>
            <w:r/>
            <w:r>
              <w:rPr>
                <w:b w:val="0"/>
                <w:i w:val="0"/>
                <w:sz w:val="19"/>
              </w:rPr>
              <w:t>49</w:t>
            </w:r>
          </w:p>
        </w:tc>
        <w:tc>
          <w:tcPr>
            <w:tcW w:type="dxa" w:w="4680"/>
          </w:tcPr>
          <w:p>
            <w:r/>
            <w:r>
              <w:rPr>
                <w:b w:val="0"/>
                <w:i w:val="0"/>
                <w:sz w:val="19"/>
              </w:rPr>
              <w:t>David Larcker, Brian Tayan và James R. Copland, “Ngón tay cái to đè lên cán cân: Tổng quan về ngành cố vấn đại diện,” Harvard Law School Forum on Corporate Governance, Manhattan institute, ngày 14 tháng 6 năm 2018, https://corpgov.law.harvard.edu/2018/06/14/the-big-thumb-on-the-scale-an-overview-of-the-proxy-advisory-industry/.</w:t>
            </w:r>
          </w:p>
        </w:tc>
      </w:tr>
      <w:tr>
        <w:tc>
          <w:tcPr>
            <w:tcW w:type="dxa" w:w="4680"/>
          </w:tcPr>
          <w:p>
            <w:r/>
            <w:r>
              <w:rPr>
                <w:b w:val="0"/>
                <w:i w:val="0"/>
                <w:sz w:val="19"/>
              </w:rPr>
              <w:t>50</w:t>
            </w:r>
          </w:p>
        </w:tc>
        <w:tc>
          <w:tcPr>
            <w:tcW w:type="dxa" w:w="4680"/>
          </w:tcPr>
          <w:p>
            <w:r/>
            <w:r>
              <w:rPr>
                <w:b w:val="0"/>
                <w:i w:val="0"/>
                <w:sz w:val="19"/>
              </w:rPr>
              <w:t>James R. Copland, David F. Larcker, và Brian Tayan, “Proxy Advisory Firms: Empirical Evidence and the Case for Reform,” Manhattan Institute, n.d., https://media4.manhattan-institute.org/sites/default/files/R-JC-0518-v2.pdf.</w:t>
            </w:r>
          </w:p>
        </w:tc>
      </w:tr>
      <w:tr>
        <w:tc>
          <w:tcPr>
            <w:tcW w:type="dxa" w:w="4680"/>
          </w:tcPr>
          <w:p>
            <w:r/>
            <w:r>
              <w:rPr>
                <w:b w:val="0"/>
                <w:i w:val="0"/>
                <w:sz w:val="19"/>
              </w:rPr>
              <w:t>51</w:t>
            </w:r>
          </w:p>
        </w:tc>
        <w:tc>
          <w:tcPr>
            <w:tcW w:type="dxa" w:w="4680"/>
          </w:tcPr>
          <w:p>
            <w:r/>
            <w:r>
              <w:rPr>
                <w:b w:val="0"/>
                <w:i w:val="0"/>
                <w:sz w:val="19"/>
              </w:rPr>
              <w:t>“WSJ Editorial Board: Cracking the Proxy Advisory Duopoly,” thông cáo báo chí, Ủy ban Dịch vụ Tài chính Hạ viện, July 13, 2023, https://financialservices.house.gov/news/documentsingle.aspx?DocumentID=408911.</w:t>
            </w:r>
          </w:p>
        </w:tc>
      </w:tr>
      <w:tr>
        <w:tc>
          <w:tcPr>
            <w:tcW w:type="dxa" w:w="4680"/>
          </w:tcPr>
          <w:p>
            <w:r/>
            <w:r>
              <w:rPr>
                <w:b w:val="0"/>
                <w:i w:val="0"/>
                <w:sz w:val="19"/>
              </w:rPr>
              <w:t>52</w:t>
            </w:r>
          </w:p>
        </w:tc>
        <w:tc>
          <w:tcPr>
            <w:tcW w:type="dxa" w:w="4680"/>
          </w:tcPr>
          <w:p>
            <w:r/>
            <w:r>
              <w:rPr>
                <w:b w:val="0"/>
                <w:i w:val="0"/>
                <w:sz w:val="19"/>
              </w:rPr>
              <w:t>Musk được trích dẫn trong Luc Olinga, “Elon Musk Accuses Two Influential Firms of Controlling the Stock Market,” TheStreet, January 24, 2023, https://www.thestreet.com/technology/elon-musk-accuses-two-influential-firms-of-controlling-the-stock-market.</w:t>
            </w:r>
          </w:p>
        </w:tc>
      </w:tr>
      <w:tr>
        <w:tc>
          <w:tcPr>
            <w:tcW w:type="dxa" w:w="4680"/>
          </w:tcPr>
          <w:p>
            <w:r/>
            <w:r>
              <w:rPr>
                <w:b w:val="0"/>
                <w:i w:val="0"/>
                <w:sz w:val="19"/>
              </w:rPr>
              <w:t>53</w:t>
            </w:r>
          </w:p>
        </w:tc>
        <w:tc>
          <w:tcPr>
            <w:tcW w:type="dxa" w:w="4680"/>
          </w:tcPr>
          <w:p>
            <w:r/>
            <w:r>
              <w:rPr>
                <w:b w:val="0"/>
                <w:i w:val="0"/>
                <w:sz w:val="19"/>
              </w:rPr>
              <w:t>Larcker, Tayan, và Copland, “Big Thumb on the Scale.”</w:t>
            </w:r>
          </w:p>
        </w:tc>
      </w:tr>
      <w:tr>
        <w:tc>
          <w:tcPr>
            <w:tcW w:type="dxa" w:w="4680"/>
          </w:tcPr>
          <w:p>
            <w:r/>
            <w:r>
              <w:rPr>
                <w:b w:val="0"/>
                <w:i w:val="0"/>
                <w:sz w:val="19"/>
              </w:rPr>
              <w:t>54</w:t>
            </w:r>
          </w:p>
        </w:tc>
        <w:tc>
          <w:tcPr>
            <w:tcW w:type="dxa" w:w="4680"/>
          </w:tcPr>
          <w:p>
            <w:r/>
            <w:r>
              <w:rPr>
                <w:b w:val="0"/>
                <w:i w:val="0"/>
                <w:sz w:val="19"/>
              </w:rPr>
              <w:t>Larcker, Tayan, và Copland.</w:t>
            </w:r>
          </w:p>
        </w:tc>
      </w:tr>
      <w:tr>
        <w:tc>
          <w:tcPr>
            <w:tcW w:type="dxa" w:w="4680"/>
          </w:tcPr>
          <w:p>
            <w:r/>
            <w:r>
              <w:rPr>
                <w:b w:val="0"/>
                <w:i w:val="0"/>
                <w:sz w:val="19"/>
              </w:rPr>
              <w:t>55</w:t>
            </w:r>
          </w:p>
        </w:tc>
        <w:tc>
          <w:tcPr>
            <w:tcW w:type="dxa" w:w="4680"/>
          </w:tcPr>
          <w:p>
            <w:r/>
            <w:r>
              <w:rPr>
                <w:b w:val="0"/>
                <w:i w:val="0"/>
                <w:sz w:val="19"/>
              </w:rPr>
              <w:t>Ban Biên tập, “Cracking the Proxy Advisory Duopoly.”</w:t>
            </w:r>
          </w:p>
        </w:tc>
      </w:tr>
      <w:tr>
        <w:tc>
          <w:tcPr>
            <w:tcW w:type="dxa" w:w="4680"/>
          </w:tcPr>
          <w:p>
            <w:r/>
            <w:r>
              <w:rPr>
                <w:b w:val="0"/>
                <w:i w:val="0"/>
                <w:sz w:val="19"/>
              </w:rPr>
              <w:t>56</w:t>
            </w:r>
          </w:p>
        </w:tc>
        <w:tc>
          <w:tcPr>
            <w:tcW w:type="dxa" w:w="4680"/>
          </w:tcPr>
          <w:p>
            <w:r/>
            <w:r>
              <w:rPr>
                <w:b w:val="0"/>
                <w:i w:val="0"/>
                <w:sz w:val="19"/>
              </w:rPr>
              <w:t>Jamie Dimon, “Chairman and CEO Letter to Shareholders: Annual Report 2023,” JPMorganChase, April 8, 2024, https://reports.jpmorganchase.com/investor-relations/2023/ar-ceo-letters.htm.</w:t>
            </w:r>
          </w:p>
        </w:tc>
      </w:tr>
      <w:tr>
        <w:tc>
          <w:tcPr>
            <w:tcW w:type="dxa" w:w="4680"/>
          </w:tcPr>
          <w:p>
            <w:r/>
            <w:r>
              <w:rPr>
                <w:b w:val="0"/>
                <w:i w:val="0"/>
                <w:sz w:val="19"/>
              </w:rPr>
              <w:t>57</w:t>
            </w:r>
          </w:p>
        </w:tc>
        <w:tc>
          <w:tcPr>
            <w:tcW w:type="dxa" w:w="4680"/>
          </w:tcPr>
          <w:p>
            <w:r/>
            <w:r>
              <w:rPr>
                <w:b w:val="0"/>
                <w:i w:val="0"/>
                <w:sz w:val="19"/>
              </w:rPr>
              <w:t>Neil Whoriskey, “The New Civil Code: ISS and Glass Lewis as Lawmakers,” CLS Blue Sky Blog, July 28, 2020, https://clsbluesky.law.columbia.edu/2020/07/28/cleary-gottlieb-discusses-the-new-civil-code-of-iss-and-glass-lewis/.</w:t>
            </w:r>
          </w:p>
        </w:tc>
      </w:tr>
      <w:tr>
        <w:tc>
          <w:tcPr>
            <w:tcW w:type="dxa" w:w="4680"/>
          </w:tcPr>
          <w:p>
            <w:r/>
            <w:r>
              <w:rPr>
                <w:b w:val="0"/>
                <w:i w:val="0"/>
                <w:sz w:val="19"/>
              </w:rPr>
              <w:t>58</w:t>
            </w:r>
          </w:p>
        </w:tc>
        <w:tc>
          <w:tcPr>
            <w:tcW w:type="dxa" w:w="4680"/>
          </w:tcPr>
          <w:p>
            <w:r/>
            <w:r>
              <w:rPr>
                <w:b w:val="0"/>
                <w:i w:val="0"/>
                <w:sz w:val="19"/>
              </w:rPr>
              <w:t>Ban Biên tập, “Cracking the Proxy Advisory Duopoly.”</w:t>
            </w:r>
          </w:p>
        </w:tc>
      </w:tr>
      <w:tr>
        <w:tc>
          <w:tcPr>
            <w:tcW w:type="dxa" w:w="4680"/>
          </w:tcPr>
          <w:p>
            <w:r/>
            <w:r>
              <w:rPr>
                <w:b w:val="0"/>
                <w:i w:val="0"/>
                <w:sz w:val="19"/>
              </w:rPr>
              <w:t>59</w:t>
            </w:r>
          </w:p>
        </w:tc>
        <w:tc>
          <w:tcPr>
            <w:tcW w:type="dxa" w:w="4680"/>
          </w:tcPr>
          <w:p>
            <w:r/>
            <w:r>
              <w:rPr>
                <w:b w:val="0"/>
                <w:i w:val="0"/>
                <w:sz w:val="19"/>
              </w:rPr>
              <w:t>Matthew Bultman, “AI Disclosures to SEC Jump as Agency Warns of Misleading Claims,” Bloomberg Law, February 8, 2024, https://news.bloomberglaw.com/securities-law/ai-disclosures-to-sec-jump-as-agency-warns-of-misleading-claims.</w:t>
            </w:r>
          </w:p>
        </w:tc>
      </w:tr>
    </w:tbl>
    <w:p>
      <w:pPr>
        <w:spacing w:after="0"/>
      </w:pPr>
    </w:p>
    <w:p>
      <w:pPr>
        <w:pStyle w:val="Heading2"/>
      </w:pPr>
      <w:r>
        <w:rPr>
          <w:rFonts w:ascii="Calibri" w:hAnsi="Calibri"/>
          <w:b/>
          <w:i w:val="0"/>
          <w:sz w:val="32"/>
        </w:rPr>
        <w:t>Chương 9: Các công ty gặp khó khăn và tái cấu trúc tài chính</w:t>
      </w:r>
    </w:p>
    <w:tbl>
      <w:tblPr>
        <w:tblStyle w:val="TableGrid"/>
        <w:tblW w:type="auto" w:w="0"/>
        <w:tblLook w:firstColumn="1" w:firstRow="1" w:lastColumn="0" w:lastRow="0" w:noHBand="0" w:noVBand="1" w:val="04A0"/>
      </w:tblPr>
      <w:tblGrid>
        <w:gridCol w:w="4680"/>
        <w:gridCol w:w="4680"/>
      </w:tblGrid>
      <w:tr>
        <w:tc>
          <w:tcPr>
            <w:tcW w:type="dxa" w:w="4680"/>
          </w:tcPr>
          <w:p>
            <w:r/>
            <w:r>
              <w:rPr>
                <w:b w:val="0"/>
                <w:i w:val="0"/>
                <w:sz w:val="19"/>
              </w:rPr>
              <w:t>1</w:t>
            </w:r>
          </w:p>
        </w:tc>
        <w:tc>
          <w:tcPr>
            <w:tcW w:type="dxa" w:w="4680"/>
          </w:tcPr>
          <w:p>
            <w:r/>
            <w:r>
              <w:rPr>
                <w:b w:val="0"/>
                <w:i w:val="0"/>
                <w:sz w:val="19"/>
              </w:rPr>
              <w:t xml:space="preserve">David A. Skeel Jr., “An Evolutionary Theory of Corporate Law and Corporate Bankruptcy,” </w:t>
            </w:r>
            <w:r>
              <w:rPr>
                <w:b w:val="0"/>
                <w:i/>
                <w:sz w:val="19"/>
              </w:rPr>
              <w:t>All Faculty Scholarship</w:t>
            </w:r>
            <w:r>
              <w:rPr>
                <w:b w:val="0"/>
                <w:i w:val="0"/>
                <w:sz w:val="19"/>
              </w:rPr>
              <w:t xml:space="preserve"> 1300 (1998), https://scholarship.law.upenn.edu/faculty_scholarship/1300.</w:t>
            </w:r>
          </w:p>
        </w:tc>
      </w:tr>
      <w:tr>
        <w:tc>
          <w:tcPr>
            <w:tcW w:type="dxa" w:w="4680"/>
          </w:tcPr>
          <w:p>
            <w:r/>
            <w:r>
              <w:rPr>
                <w:b w:val="0"/>
                <w:i w:val="0"/>
                <w:sz w:val="19"/>
              </w:rPr>
              <w:t>2</w:t>
            </w:r>
          </w:p>
        </w:tc>
        <w:tc>
          <w:tcPr>
            <w:tcW w:type="dxa" w:w="4680"/>
          </w:tcPr>
          <w:p>
            <w:r/>
            <w:r>
              <w:rPr>
                <w:b w:val="0"/>
                <w:i w:val="0"/>
                <w:sz w:val="19"/>
              </w:rPr>
              <w:t>Skeel.</w:t>
            </w:r>
          </w:p>
        </w:tc>
      </w:tr>
      <w:tr>
        <w:tc>
          <w:tcPr>
            <w:tcW w:type="dxa" w:w="4680"/>
          </w:tcPr>
          <w:p>
            <w:r/>
            <w:r>
              <w:rPr>
                <w:b w:val="0"/>
                <w:i w:val="0"/>
                <w:sz w:val="19"/>
              </w:rPr>
              <w:t>3</w:t>
            </w:r>
          </w:p>
        </w:tc>
        <w:tc>
          <w:tcPr>
            <w:tcW w:type="dxa" w:w="4680"/>
          </w:tcPr>
          <w:p>
            <w:r/>
            <w:r>
              <w:rPr>
                <w:b w:val="0"/>
                <w:i w:val="0"/>
                <w:sz w:val="19"/>
              </w:rPr>
              <w:t>Skeel.</w:t>
            </w:r>
          </w:p>
        </w:tc>
      </w:tr>
      <w:tr>
        <w:tc>
          <w:tcPr>
            <w:tcW w:type="dxa" w:w="4680"/>
          </w:tcPr>
          <w:p>
            <w:r/>
            <w:r>
              <w:rPr>
                <w:b w:val="0"/>
                <w:i w:val="0"/>
                <w:sz w:val="19"/>
              </w:rPr>
              <w:t>4</w:t>
            </w:r>
          </w:p>
        </w:tc>
        <w:tc>
          <w:tcPr>
            <w:tcW w:type="dxa" w:w="4680"/>
          </w:tcPr>
          <w:p>
            <w:r/>
            <w:r>
              <w:rPr>
                <w:b w:val="0"/>
                <w:i w:val="0"/>
                <w:sz w:val="19"/>
              </w:rPr>
              <w:t xml:space="preserve">Stephen J. Lubben, “Railroad Receiverships and Modern Bankruptcy Theory,” </w:t>
            </w:r>
            <w:r>
              <w:rPr>
                <w:b w:val="0"/>
                <w:i/>
                <w:sz w:val="19"/>
              </w:rPr>
              <w:t>Cornell Law Review</w:t>
            </w:r>
            <w:r>
              <w:rPr>
                <w:b w:val="0"/>
                <w:i w:val="0"/>
                <w:sz w:val="19"/>
              </w:rPr>
              <w:t xml:space="preserve"> 89 (2004): 1420, https://scholarship.law.cornell.edu/clr/vol89/iss6/2.</w:t>
            </w:r>
          </w:p>
        </w:tc>
      </w:tr>
      <w:tr>
        <w:tc>
          <w:tcPr>
            <w:tcW w:type="dxa" w:w="4680"/>
          </w:tcPr>
          <w:p>
            <w:r/>
            <w:r>
              <w:rPr>
                <w:b w:val="0"/>
                <w:i w:val="0"/>
                <w:sz w:val="19"/>
              </w:rPr>
              <w:t>5</w:t>
            </w:r>
          </w:p>
        </w:tc>
        <w:tc>
          <w:tcPr>
            <w:tcW w:type="dxa" w:w="4680"/>
          </w:tcPr>
          <w:p>
            <w:r/>
            <w:r>
              <w:rPr>
                <w:b w:val="0"/>
                <w:i w:val="0"/>
                <w:sz w:val="19"/>
              </w:rPr>
              <w:t>Lubben, 1420.</w:t>
            </w:r>
          </w:p>
        </w:tc>
      </w:tr>
      <w:tr>
        <w:tc>
          <w:tcPr>
            <w:tcW w:type="dxa" w:w="4680"/>
          </w:tcPr>
          <w:p>
            <w:r/>
            <w:r>
              <w:rPr>
                <w:b w:val="0"/>
                <w:i w:val="0"/>
                <w:sz w:val="19"/>
              </w:rPr>
              <w:t>6</w:t>
            </w:r>
          </w:p>
        </w:tc>
        <w:tc>
          <w:tcPr>
            <w:tcW w:type="dxa" w:w="4680"/>
          </w:tcPr>
          <w:p>
            <w:r/>
            <w:r>
              <w:rPr>
                <w:b w:val="0"/>
                <w:i w:val="0"/>
                <w:sz w:val="19"/>
              </w:rPr>
              <w:t>Skeel, “Lý thuyết tiến hóa.”</w:t>
            </w:r>
          </w:p>
        </w:tc>
      </w:tr>
      <w:tr>
        <w:tc>
          <w:tcPr>
            <w:tcW w:type="dxa" w:w="4680"/>
          </w:tcPr>
          <w:p>
            <w:r/>
            <w:r>
              <w:rPr>
                <w:b w:val="0"/>
                <w:i w:val="0"/>
                <w:sz w:val="19"/>
              </w:rPr>
              <w:t>7</w:t>
            </w:r>
          </w:p>
        </w:tc>
        <w:tc>
          <w:tcPr>
            <w:tcW w:type="dxa" w:w="4680"/>
          </w:tcPr>
          <w:p>
            <w:r/>
            <w:r>
              <w:rPr>
                <w:b w:val="0"/>
                <w:i w:val="0"/>
                <w:sz w:val="19"/>
              </w:rPr>
              <w:t>“Luật Phá sản ở Hoa Kỳ,” Hiệp hội Lịch sử Kinh tế, 2023, https://eh.net/encyclopedia/bankruptcy-law-in-the-united-states/.</w:t>
            </w:r>
          </w:p>
        </w:tc>
      </w:tr>
      <w:tr>
        <w:tc>
          <w:tcPr>
            <w:tcW w:type="dxa" w:w="4680"/>
          </w:tcPr>
          <w:p>
            <w:r/>
            <w:r>
              <w:rPr>
                <w:b w:val="0"/>
                <w:i w:val="0"/>
                <w:sz w:val="19"/>
              </w:rPr>
              <w:t>8</w:t>
            </w:r>
          </w:p>
        </w:tc>
        <w:tc>
          <w:tcPr>
            <w:tcW w:type="dxa" w:w="4680"/>
          </w:tcPr>
          <w:p>
            <w:r/>
            <w:r>
              <w:rPr>
                <w:b w:val="0"/>
                <w:i w:val="0"/>
                <w:sz w:val="19"/>
              </w:rPr>
              <w:t>“Luật Phá sản ở Hoa Kỳ.”</w:t>
            </w:r>
          </w:p>
        </w:tc>
      </w:tr>
      <w:tr>
        <w:tc>
          <w:tcPr>
            <w:tcW w:type="dxa" w:w="4680"/>
          </w:tcPr>
          <w:p>
            <w:r/>
            <w:r>
              <w:rPr>
                <w:b w:val="0"/>
                <w:i w:val="0"/>
                <w:sz w:val="19"/>
              </w:rPr>
              <w:t>9</w:t>
            </w:r>
          </w:p>
        </w:tc>
        <w:tc>
          <w:tcPr>
            <w:tcW w:type="dxa" w:w="4680"/>
          </w:tcPr>
          <w:p>
            <w:r/>
            <w:r>
              <w:rPr>
                <w:b w:val="0"/>
                <w:i w:val="0"/>
                <w:sz w:val="19"/>
              </w:rPr>
              <w:t xml:space="preserve">Stephen J. Lubben, “Tiếp nhận đường sắt và lý thuyết phá sản hiện đại,” </w:t>
            </w:r>
            <w:r>
              <w:rPr>
                <w:b w:val="0"/>
                <w:i/>
                <w:sz w:val="19"/>
              </w:rPr>
              <w:t>Cornell Law Review</w:t>
            </w:r>
            <w:r>
              <w:rPr>
                <w:b w:val="0"/>
                <w:i w:val="0"/>
                <w:sz w:val="19"/>
              </w:rPr>
              <w:t xml:space="preserve"> 89, no. 6 (September 2004), https://scholarship.law.cornell.edu/cgi/viewcontent.cgi?article</w:t>
            </w:r>
            <w:r>
              <w:rPr>
                <w:rFonts w:ascii="Consolas" w:hAnsi="Consolas"/>
                <w:b w:val="0"/>
                <w:i w:val="0"/>
                <w:sz w:val="19"/>
              </w:rPr>
              <w:t>=2971&amp;context=clr</w:t>
            </w:r>
            <w:r>
              <w:rPr>
                <w:b w:val="0"/>
                <w:i w:val="0"/>
                <w:sz w:val="19"/>
              </w:rPr>
              <w:t>.</w:t>
            </w:r>
          </w:p>
        </w:tc>
      </w:tr>
      <w:tr>
        <w:tc>
          <w:tcPr>
            <w:tcW w:type="dxa" w:w="4680"/>
          </w:tcPr>
          <w:p>
            <w:r/>
            <w:r>
              <w:rPr>
                <w:b w:val="0"/>
                <w:i w:val="0"/>
                <w:sz w:val="19"/>
              </w:rPr>
              <w:t>10</w:t>
            </w:r>
          </w:p>
        </w:tc>
        <w:tc>
          <w:tcPr>
            <w:tcW w:type="dxa" w:w="4680"/>
          </w:tcPr>
          <w:p>
            <w:r/>
            <w:r>
              <w:rPr>
                <w:b w:val="0"/>
                <w:i w:val="0"/>
                <w:sz w:val="19"/>
              </w:rPr>
              <w:t>Mark A. Perelman, “Lịch sử phá sản của những cơn sốt và hoảng loạn,” Timeless Investor, n.d., https://www.timelessinvestor.com/wp-content/uploads/2020/06/SSRN-id3554155.pdf.</w:t>
            </w:r>
          </w:p>
        </w:tc>
      </w:tr>
      <w:tr>
        <w:tc>
          <w:tcPr>
            <w:tcW w:type="dxa" w:w="4680"/>
          </w:tcPr>
          <w:p>
            <w:r/>
            <w:r>
              <w:rPr>
                <w:b w:val="0"/>
                <w:i w:val="0"/>
                <w:sz w:val="19"/>
              </w:rPr>
              <w:t>11</w:t>
            </w:r>
          </w:p>
        </w:tc>
        <w:tc>
          <w:tcPr>
            <w:tcW w:type="dxa" w:w="4680"/>
          </w:tcPr>
          <w:p>
            <w:r/>
            <w:r>
              <w:rPr>
                <w:b w:val="0"/>
                <w:i w:val="0"/>
                <w:sz w:val="19"/>
              </w:rPr>
              <w:t>Skeel, “Lý thuyết tiến hóa.”</w:t>
            </w:r>
          </w:p>
        </w:tc>
      </w:tr>
      <w:tr>
        <w:tc>
          <w:tcPr>
            <w:tcW w:type="dxa" w:w="4680"/>
          </w:tcPr>
          <w:p>
            <w:r/>
            <w:r>
              <w:rPr>
                <w:b w:val="0"/>
                <w:i w:val="0"/>
                <w:sz w:val="19"/>
              </w:rPr>
              <w:t>12</w:t>
            </w:r>
          </w:p>
        </w:tc>
        <w:tc>
          <w:tcPr>
            <w:tcW w:type="dxa" w:w="4680"/>
          </w:tcPr>
          <w:p>
            <w:r/>
            <w:r>
              <w:rPr>
                <w:b w:val="0"/>
                <w:i w:val="0"/>
                <w:sz w:val="19"/>
              </w:rPr>
              <w:t xml:space="preserve">Vincent L. Leibell Jr., “Đạo luật Chandler—Tác động của nó đối với luật phá sản,” </w:t>
            </w:r>
            <w:r>
              <w:rPr>
                <w:b w:val="0"/>
                <w:i/>
                <w:sz w:val="19"/>
              </w:rPr>
              <w:t>Fordham Law Review</w:t>
            </w:r>
            <w:r>
              <w:rPr>
                <w:b w:val="0"/>
                <w:i w:val="0"/>
                <w:sz w:val="19"/>
              </w:rPr>
              <w:t xml:space="preserve"> 9 (1940), https://ir.lawnet.fordham.edu/flr/vol9/iss3/5.</w:t>
            </w:r>
          </w:p>
        </w:tc>
      </w:tr>
      <w:tr>
        <w:tc>
          <w:tcPr>
            <w:tcW w:type="dxa" w:w="4680"/>
          </w:tcPr>
          <w:p>
            <w:r/>
            <w:r>
              <w:rPr>
                <w:b w:val="0"/>
                <w:i w:val="0"/>
                <w:sz w:val="19"/>
              </w:rPr>
              <w:t>13</w:t>
            </w:r>
          </w:p>
        </w:tc>
        <w:tc>
          <w:tcPr>
            <w:tcW w:type="dxa" w:w="4680"/>
          </w:tcPr>
          <w:p>
            <w:r/>
            <w:r>
              <w:rPr>
                <w:b w:val="0"/>
                <w:i w:val="0"/>
                <w:sz w:val="19"/>
              </w:rPr>
              <w:t xml:space="preserve">Todd J. Zywicki, “Quá khứ, hiện tại và tương lai của luật phá sản ở Mỹ,” </w:t>
            </w:r>
            <w:r>
              <w:rPr>
                <w:b w:val="0"/>
                <w:i/>
                <w:sz w:val="19"/>
              </w:rPr>
              <w:t>Michigan Law Review</w:t>
            </w:r>
            <w:r>
              <w:rPr>
                <w:b w:val="0"/>
                <w:i w:val="0"/>
                <w:sz w:val="19"/>
              </w:rPr>
              <w:t xml:space="preserve"> 101 (2003), https://repository.law.umich.edu/mlr/vol101/iss6/28.</w:t>
            </w:r>
          </w:p>
        </w:tc>
      </w:tr>
      <w:tr>
        <w:tc>
          <w:tcPr>
            <w:tcW w:type="dxa" w:w="4680"/>
          </w:tcPr>
          <w:p>
            <w:r/>
            <w:r>
              <w:rPr>
                <w:b w:val="0"/>
                <w:i w:val="0"/>
                <w:sz w:val="19"/>
              </w:rPr>
              <w:t>14</w:t>
            </w:r>
          </w:p>
        </w:tc>
        <w:tc>
          <w:tcPr>
            <w:tcW w:type="dxa" w:w="4680"/>
          </w:tcPr>
          <w:p>
            <w:r/>
            <w:r>
              <w:rPr>
                <w:b w:val="0"/>
                <w:i w:val="0"/>
                <w:sz w:val="19"/>
              </w:rPr>
              <w:t>Zywicki.</w:t>
            </w:r>
          </w:p>
        </w:tc>
      </w:tr>
      <w:tr>
        <w:tc>
          <w:tcPr>
            <w:tcW w:type="dxa" w:w="4680"/>
          </w:tcPr>
          <w:p>
            <w:r/>
            <w:r>
              <w:rPr>
                <w:b w:val="0"/>
                <w:i w:val="0"/>
                <w:sz w:val="19"/>
              </w:rPr>
              <w:t>15</w:t>
            </w:r>
          </w:p>
        </w:tc>
        <w:tc>
          <w:tcPr>
            <w:tcW w:type="dxa" w:w="4680"/>
          </w:tcPr>
          <w:p>
            <w:r/>
            <w:r>
              <w:rPr>
                <w:b w:val="0"/>
                <w:i w:val="0"/>
                <w:sz w:val="19"/>
              </w:rPr>
              <w:t>Zywicki.</w:t>
            </w:r>
          </w:p>
        </w:tc>
      </w:tr>
      <w:tr>
        <w:tc>
          <w:tcPr>
            <w:tcW w:type="dxa" w:w="4680"/>
          </w:tcPr>
          <w:p>
            <w:r/>
            <w:r>
              <w:rPr>
                <w:b w:val="0"/>
                <w:i w:val="0"/>
                <w:sz w:val="19"/>
              </w:rPr>
              <w:t>16</w:t>
            </w:r>
          </w:p>
        </w:tc>
        <w:tc>
          <w:tcPr>
            <w:tcW w:type="dxa" w:w="4680"/>
          </w:tcPr>
          <w:p>
            <w:r/>
            <w:r>
              <w:rPr>
                <w:b w:val="0"/>
                <w:i w:val="0"/>
                <w:sz w:val="19"/>
              </w:rPr>
              <w:t xml:space="preserve">Shira Ovide, “Art Newman, Founder of Blackstone’s Restructuring Group, Dies,” </w:t>
            </w:r>
            <w:r>
              <w:rPr>
                <w:b w:val="0"/>
                <w:i/>
                <w:sz w:val="19"/>
              </w:rPr>
              <w:t>Wall Street Journal</w:t>
            </w:r>
            <w:r>
              <w:rPr>
                <w:b w:val="0"/>
                <w:i w:val="0"/>
                <w:sz w:val="19"/>
              </w:rPr>
              <w:t>, December 16, 2010, https://www.wsj.com/articles/BL-DLB-29933.</w:t>
            </w:r>
          </w:p>
        </w:tc>
      </w:tr>
      <w:tr>
        <w:tc>
          <w:tcPr>
            <w:tcW w:type="dxa" w:w="4680"/>
          </w:tcPr>
          <w:p>
            <w:r/>
            <w:r>
              <w:rPr>
                <w:b w:val="0"/>
                <w:i w:val="0"/>
                <w:sz w:val="19"/>
              </w:rPr>
              <w:t>17.</w:t>
            </w:r>
          </w:p>
        </w:tc>
        <w:tc>
          <w:tcPr>
            <w:tcW w:type="dxa" w:w="4680"/>
          </w:tcPr>
          <w:p>
            <w:r/>
            <w:r>
              <w:rPr>
                <w:b w:val="0"/>
                <w:i w:val="0"/>
                <w:sz w:val="19"/>
              </w:rPr>
              <w:t>“In Memoriam: Harvey R. Miller ’59, Bankruptcy Law Pioneer, Devoted Alumnus, Respected Teacher,” Columbia Law School, April 27, 2015, https://www.law.columbia.edu/news/archive/memoriam-harvey-r-miller-59-bankruptcy-law-pioneer-devoted-alumnus-respected-teacher.</w:t>
            </w:r>
          </w:p>
        </w:tc>
      </w:tr>
      <w:tr>
        <w:tc>
          <w:tcPr>
            <w:tcW w:type="dxa" w:w="4680"/>
          </w:tcPr>
          <w:p>
            <w:r/>
            <w:r>
              <w:rPr>
                <w:b w:val="0"/>
                <w:i w:val="0"/>
                <w:sz w:val="19"/>
              </w:rPr>
              <w:t>18</w:t>
            </w:r>
          </w:p>
        </w:tc>
        <w:tc>
          <w:tcPr>
            <w:tcW w:type="dxa" w:w="4680"/>
          </w:tcPr>
          <w:p>
            <w:r/>
            <w:r>
              <w:rPr>
                <w:b w:val="0"/>
                <w:i w:val="0"/>
                <w:sz w:val="19"/>
              </w:rPr>
              <w:t>“In Memoriam: Harvey R. Miller (1933–2015),” Weil Restructuring, April 27, 2015, https://restructuring.weil.com/news/in-memoriam-harvey-r-miller-1933-2015/.</w:t>
            </w:r>
          </w:p>
        </w:tc>
      </w:tr>
      <w:tr>
        <w:tc>
          <w:tcPr>
            <w:tcW w:type="dxa" w:w="4680"/>
          </w:tcPr>
          <w:p>
            <w:r/>
            <w:r>
              <w:rPr>
                <w:b w:val="0"/>
                <w:i w:val="0"/>
                <w:sz w:val="19"/>
              </w:rPr>
              <w:t>19</w:t>
            </w:r>
          </w:p>
        </w:tc>
        <w:tc>
          <w:tcPr>
            <w:tcW w:type="dxa" w:w="4680"/>
          </w:tcPr>
          <w:p>
            <w:r/>
            <w:r>
              <w:rPr>
                <w:b w:val="0"/>
                <w:i w:val="0"/>
                <w:sz w:val="19"/>
              </w:rPr>
              <w:t xml:space="preserve">William J. Boyes và Roger L. Faith, “Some Effects of the Bankruptcy Reform Act of 1978,” </w:t>
            </w:r>
            <w:r>
              <w:rPr>
                <w:b w:val="0"/>
                <w:i/>
                <w:sz w:val="19"/>
              </w:rPr>
              <w:t>Journal of Law &amp; Economics</w:t>
            </w:r>
            <w:r>
              <w:rPr>
                <w:b w:val="0"/>
                <w:i w:val="0"/>
                <w:sz w:val="19"/>
              </w:rPr>
              <w:t xml:space="preserve"> 29, no. 1 (1986): 139–49, https://www.jstor.org/stable/725405.</w:t>
            </w:r>
          </w:p>
        </w:tc>
      </w:tr>
      <w:tr>
        <w:tc>
          <w:tcPr>
            <w:tcW w:type="dxa" w:w="4680"/>
          </w:tcPr>
          <w:p>
            <w:r/>
            <w:r>
              <w:rPr>
                <w:b w:val="0"/>
                <w:i w:val="0"/>
                <w:sz w:val="19"/>
              </w:rPr>
              <w:t>20.</w:t>
            </w:r>
          </w:p>
        </w:tc>
        <w:tc>
          <w:tcPr>
            <w:tcW w:type="dxa" w:w="4680"/>
          </w:tcPr>
          <w:p>
            <w:r/>
            <w:r>
              <w:rPr>
                <w:b w:val="0"/>
                <w:i w:val="0"/>
                <w:sz w:val="19"/>
              </w:rPr>
              <w:t>“Is The Latest Corporate Bankruptcy Strategy a Death Knell for Pensions?,” Knowledge at Wharton, October 6, 2004, https://knowledge.wharton.upenn.edu/article/is-the-latest-corporate-bankruptcy-strategy-a-death-knell-for-pensions/.</w:t>
            </w:r>
          </w:p>
        </w:tc>
      </w:tr>
      <w:tr>
        <w:tc>
          <w:tcPr>
            <w:tcW w:type="dxa" w:w="4680"/>
          </w:tcPr>
          <w:p>
            <w:r/>
            <w:r>
              <w:rPr>
                <w:b w:val="0"/>
                <w:i w:val="0"/>
                <w:sz w:val="19"/>
              </w:rPr>
              <w:t>21</w:t>
            </w:r>
          </w:p>
        </w:tc>
        <w:tc>
          <w:tcPr>
            <w:tcW w:type="dxa" w:w="4680"/>
          </w:tcPr>
          <w:p>
            <w:r/>
            <w:r>
              <w:rPr>
                <w:b w:val="0"/>
                <w:i w:val="0"/>
                <w:sz w:val="19"/>
              </w:rPr>
              <w:t>“Certified Insolvency &amp; Restructuring Advisor—CIRA,” AIRA, n.d., https://www.aira.org/cira.</w:t>
            </w:r>
          </w:p>
        </w:tc>
      </w:tr>
      <w:tr>
        <w:tc>
          <w:tcPr>
            <w:tcW w:type="dxa" w:w="4680"/>
          </w:tcPr>
          <w:p>
            <w:r/>
            <w:r>
              <w:rPr>
                <w:b w:val="0"/>
                <w:i w:val="0"/>
                <w:sz w:val="19"/>
              </w:rPr>
              <w:t>22</w:t>
            </w:r>
          </w:p>
        </w:tc>
        <w:tc>
          <w:tcPr>
            <w:tcW w:type="dxa" w:w="4680"/>
          </w:tcPr>
          <w:p>
            <w:r/>
            <w:r>
              <w:rPr>
                <w:b w:val="0"/>
                <w:i w:val="0"/>
                <w:sz w:val="19"/>
              </w:rPr>
              <w:t>Patrick Drury Byrne và cộng sự, “Private Debt: A Lesser-Known Corner of Finance Finds the Spotlight,” S&amp;P Global, October 12, 2021, https://www.spglobal.com/en/research-insights/featured/special-editorial/private-debt.</w:t>
            </w:r>
          </w:p>
        </w:tc>
      </w:tr>
      <w:tr>
        <w:tc>
          <w:tcPr>
            <w:tcW w:type="dxa" w:w="4680"/>
          </w:tcPr>
          <w:p>
            <w:r/>
            <w:r>
              <w:rPr>
                <w:b w:val="0"/>
                <w:i w:val="0"/>
                <w:sz w:val="19"/>
              </w:rPr>
              <w:t>23</w:t>
            </w:r>
          </w:p>
        </w:tc>
        <w:tc>
          <w:tcPr>
            <w:tcW w:type="dxa" w:w="4680"/>
          </w:tcPr>
          <w:p>
            <w:r/>
            <w:r>
              <w:rPr>
                <w:b w:val="0"/>
                <w:i w:val="0"/>
                <w:sz w:val="19"/>
              </w:rPr>
              <w:t>“Understanding Private Credit,” Morgan Stanley, n.d., https://www.morganstanley.com/ideas/private-credit-outlook-considerations.</w:t>
            </w:r>
          </w:p>
        </w:tc>
      </w:tr>
      <w:tr>
        <w:tc>
          <w:tcPr>
            <w:tcW w:type="dxa" w:w="4680"/>
          </w:tcPr>
          <w:p>
            <w:r/>
            <w:r>
              <w:rPr>
                <w:b w:val="0"/>
                <w:i w:val="0"/>
                <w:sz w:val="19"/>
              </w:rPr>
              <w:t>24</w:t>
            </w:r>
          </w:p>
        </w:tc>
        <w:tc>
          <w:tcPr>
            <w:tcW w:type="dxa" w:w="4680"/>
          </w:tcPr>
          <w:p>
            <w:r/>
            <w:r>
              <w:rPr>
                <w:b w:val="0"/>
                <w:i w:val="0"/>
                <w:sz w:val="19"/>
              </w:rPr>
              <w:t>“Citi and Apollo Announce $25 Billion Private Credit, Direct Lending Program,” Citigroup press release, September 26, 2024, https://www.citigroup.com/global/news/press-release/2024/citi-and-apollo-announce-25-billion-private-credit-direct-lending-program.</w:t>
            </w:r>
          </w:p>
        </w:tc>
      </w:tr>
      <w:tr>
        <w:tc>
          <w:tcPr>
            <w:tcW w:type="dxa" w:w="4680"/>
          </w:tcPr>
          <w:p>
            <w:r/>
            <w:r>
              <w:rPr>
                <w:b w:val="0"/>
                <w:i w:val="0"/>
                <w:sz w:val="19"/>
              </w:rPr>
              <w:t>25</w:t>
            </w:r>
          </w:p>
        </w:tc>
        <w:tc>
          <w:tcPr>
            <w:tcW w:type="dxa" w:w="4680"/>
          </w:tcPr>
          <w:p>
            <w:r/>
            <w:r>
              <w:rPr>
                <w:b w:val="0"/>
                <w:i w:val="0"/>
                <w:sz w:val="19"/>
              </w:rPr>
              <w:t>“BlackRock to Acquire HPS Investment Partners to Deliver Integrated Solutions Across Public and Private Markets,” Business Wire, December 3, 2024, https://www.businesswire.com/news/home/20241203219893/en/BlackRock-to-Acquire-HPS-Investment-Partners-to-Deliver-Integrated-Solutions-Across-Public-and-Private-Markets/.</w:t>
            </w:r>
          </w:p>
        </w:tc>
      </w:tr>
      <w:tr>
        <w:tc>
          <w:tcPr>
            <w:tcW w:type="dxa" w:w="4680"/>
          </w:tcPr>
          <w:p>
            <w:r/>
            <w:r>
              <w:rPr>
                <w:b w:val="0"/>
                <w:i w:val="0"/>
                <w:sz w:val="19"/>
              </w:rPr>
              <w:t>26</w:t>
            </w:r>
          </w:p>
        </w:tc>
        <w:tc>
          <w:tcPr>
            <w:tcW w:type="dxa" w:w="4680"/>
          </w:tcPr>
          <w:p>
            <w:r/>
            <w:r>
              <w:rPr>
                <w:b w:val="0"/>
                <w:i w:val="0"/>
                <w:sz w:val="19"/>
              </w:rPr>
              <w:t xml:space="preserve">Edith Hotchkiss, Karin S. Thorburn, và Wei Wang, “The Changing Face of Chapter 11 Bankruptcy: Insights from Recent Trends and Research,” </w:t>
            </w:r>
            <w:r>
              <w:rPr>
                <w:b w:val="0"/>
                <w:i/>
                <w:sz w:val="19"/>
              </w:rPr>
              <w:t>Annual Review of Financial Economics</w:t>
            </w:r>
            <w:r>
              <w:rPr>
                <w:b w:val="0"/>
                <w:i w:val="0"/>
                <w:sz w:val="19"/>
              </w:rPr>
              <w:t xml:space="preserve"> 15, no. 1 (November 1, 2023): 351–67, https://www.annualreviews.org/doi/full/10.1146/annurev-financial-100521-103241.</w:t>
            </w:r>
          </w:p>
        </w:tc>
      </w:tr>
      <w:tr>
        <w:tc>
          <w:tcPr>
            <w:tcW w:type="dxa" w:w="4680"/>
          </w:tcPr>
          <w:p>
            <w:r/>
            <w:r>
              <w:rPr>
                <w:b w:val="0"/>
                <w:i w:val="0"/>
                <w:sz w:val="19"/>
              </w:rPr>
              <w:t>27.</w:t>
            </w:r>
          </w:p>
        </w:tc>
        <w:tc>
          <w:tcPr>
            <w:tcW w:type="dxa" w:w="4680"/>
          </w:tcPr>
          <w:p>
            <w:r/>
            <w:r>
              <w:rPr>
                <w:b w:val="0"/>
                <w:i w:val="0"/>
                <w:sz w:val="19"/>
              </w:rPr>
              <w:t xml:space="preserve">Alexander Gladstone, Andrew Scurria, và Akiko Matsuda, “This Judge Made Houston the Top Bankruptcy Court. Then He Helped His Girlfriend Cash In,” </w:t>
            </w:r>
            <w:r>
              <w:rPr>
                <w:b w:val="0"/>
                <w:i/>
                <w:sz w:val="19"/>
              </w:rPr>
              <w:t>Wall Street Journal</w:t>
            </w:r>
            <w:r>
              <w:rPr>
                <w:b w:val="0"/>
                <w:i w:val="0"/>
                <w:sz w:val="19"/>
              </w:rPr>
              <w:t>, June 19, 2024, https://www.wsj.com/finance/bankruptcy-court-houston-jones-freeman-dbba77e9.</w:t>
            </w:r>
          </w:p>
        </w:tc>
      </w:tr>
      <w:tr>
        <w:tc>
          <w:tcPr>
            <w:tcW w:type="dxa" w:w="4680"/>
          </w:tcPr>
          <w:p>
            <w:r/>
            <w:r>
              <w:rPr>
                <w:b w:val="0"/>
                <w:i w:val="0"/>
                <w:sz w:val="19"/>
              </w:rPr>
              <w:t>28</w:t>
            </w:r>
          </w:p>
        </w:tc>
        <w:tc>
          <w:tcPr>
            <w:tcW w:type="dxa" w:w="4680"/>
          </w:tcPr>
          <w:p>
            <w:r/>
            <w:r>
              <w:rPr>
                <w:b w:val="0"/>
                <w:i w:val="0"/>
                <w:sz w:val="19"/>
              </w:rPr>
              <w:t>Zee M. Kane, “Steve Jobs: Apple Was 90 Days from Going Bankrupt,” TNW, June 2, 2010, https://thenextweb.com/news/steve-jobs-90-days.</w:t>
            </w:r>
          </w:p>
        </w:tc>
      </w:tr>
      <w:tr>
        <w:tc>
          <w:tcPr>
            <w:tcW w:type="dxa" w:w="4680"/>
          </w:tcPr>
          <w:p>
            <w:r/>
            <w:r>
              <w:rPr>
                <w:b w:val="0"/>
                <w:i w:val="0"/>
                <w:sz w:val="19"/>
              </w:rPr>
              <w:t>29</w:t>
            </w:r>
          </w:p>
        </w:tc>
        <w:tc>
          <w:tcPr>
            <w:tcW w:type="dxa" w:w="4680"/>
          </w:tcPr>
          <w:p>
            <w:r/>
            <w:r>
              <w:rPr>
                <w:b w:val="0"/>
                <w:i w:val="0"/>
                <w:sz w:val="19"/>
              </w:rPr>
              <w:t>Alyson Shontell, “The Amazing Story of How Steve Jobs Took Apple from Near Bankruptcy to Billions in 13 Years,” Business Insider, January 19, 2011, https://www.businessinsider.com/how-steve-jobs-took-apple-from-near-bankruptcy-to-billions-in-13-years-2011-1#1997-partnering-with-the-enemy-microsoft-1.</w:t>
            </w:r>
          </w:p>
        </w:tc>
      </w:tr>
      <w:tr>
        <w:tc>
          <w:tcPr>
            <w:tcW w:type="dxa" w:w="4680"/>
          </w:tcPr>
          <w:p>
            <w:r/>
            <w:r>
              <w:rPr>
                <w:b w:val="0"/>
                <w:i w:val="0"/>
                <w:sz w:val="19"/>
              </w:rPr>
              <w:t>30.</w:t>
            </w:r>
          </w:p>
        </w:tc>
        <w:tc>
          <w:tcPr>
            <w:tcW w:type="dxa" w:w="4680"/>
          </w:tcPr>
          <w:p>
            <w:r/>
            <w:r>
              <w:rPr>
                <w:b w:val="0"/>
                <w:i w:val="0"/>
                <w:sz w:val="19"/>
              </w:rPr>
              <w:t>Nick Whigham, “Thương vụ Microsoft bị lãng quên đã cứu Apple khỏi phá sản,” New Zealand Herald, ngày 4 tháng 8 năm 2020, https://www.nzherald.co.nz/business/the-forgotten-microsoft-deal-that-saved-apple-from-bankruptcy/QU3F4C5YHUQM5LAZSQ2JBF7DZQ/.</w:t>
            </w:r>
          </w:p>
        </w:tc>
      </w:tr>
      <w:tr>
        <w:tc>
          <w:tcPr>
            <w:tcW w:type="dxa" w:w="4680"/>
          </w:tcPr>
          <w:p>
            <w:r/>
            <w:r>
              <w:rPr>
                <w:b w:val="0"/>
                <w:i w:val="0"/>
                <w:sz w:val="19"/>
              </w:rPr>
              <w:t>31</w:t>
            </w:r>
          </w:p>
        </w:tc>
        <w:tc>
          <w:tcPr>
            <w:tcW w:type="dxa" w:w="4680"/>
          </w:tcPr>
          <w:p>
            <w:r/>
            <w:r>
              <w:rPr>
                <w:b w:val="0"/>
                <w:i w:val="0"/>
                <w:sz w:val="19"/>
              </w:rPr>
              <w:t>Lyle Daly, “Những công ty lớn nhất theo vốn hóa thị trường vào tháng 1 năm 2025,” Motley Fool, ngày 6 tháng 1 năm 2025, https://www.fool.com/research/largest-companies-by-market-cap/.</w:t>
            </w:r>
          </w:p>
        </w:tc>
      </w:tr>
      <w:tr>
        <w:tc>
          <w:tcPr>
            <w:tcW w:type="dxa" w:w="4680"/>
          </w:tcPr>
          <w:p>
            <w:r/>
            <w:r>
              <w:rPr>
                <w:b w:val="0"/>
                <w:i w:val="0"/>
                <w:sz w:val="19"/>
              </w:rPr>
              <w:t>32</w:t>
            </w:r>
          </w:p>
        </w:tc>
        <w:tc>
          <w:tcPr>
            <w:tcW w:type="dxa" w:w="4680"/>
          </w:tcPr>
          <w:p>
            <w:r/>
            <w:r>
              <w:rPr>
                <w:b w:val="0"/>
                <w:i w:val="0"/>
                <w:sz w:val="19"/>
              </w:rPr>
              <w:t>Jason Roderick Donaldson, Edward R. Morrison, Giorgia Piacentino, và Xiaobo Yu, “Tái cấu trúc so với Phá sản,” Center for Law &amp; Economic Studies, Đại học Columbia, ngày 2 tháng 10 năm 2020, https://law-economic-studies.law.columbia.edu/sites/default/files/content/Morrison%20Donaldson%20Piacentino%20Yu%20-%20Restructuring%20vs%20Bankruptcy_BlueSky%20(rcvd%202020%2010%2002).pdf.</w:t>
            </w:r>
          </w:p>
        </w:tc>
      </w:tr>
      <w:tr>
        <w:tc>
          <w:tcPr>
            <w:tcW w:type="dxa" w:w="4680"/>
          </w:tcPr>
          <w:p>
            <w:r/>
            <w:r>
              <w:rPr>
                <w:b w:val="0"/>
                <w:i w:val="0"/>
                <w:sz w:val="19"/>
              </w:rPr>
              <w:t>33</w:t>
            </w:r>
          </w:p>
        </w:tc>
        <w:tc>
          <w:tcPr>
            <w:tcW w:type="dxa" w:w="4680"/>
          </w:tcPr>
          <w:p>
            <w:r/>
            <w:r>
              <w:rPr>
                <w:b w:val="0"/>
                <w:i w:val="0"/>
                <w:sz w:val="19"/>
              </w:rPr>
              <w:t>Kevin M. Lippman và Julian P. Vasek, “Chiến thuật xử lý nợ và các chiến lược khác để tránh phá sản theo Chương 11,” bài trình bày tại Hội nghị Phá sản Jay L. Westbrook thường niên lần thứ 37, ngày 15–16 tháng 11 năm 2018, Austin, Texas, https://www.munsch.com/portalresource/lookup/wosid/cp-base-4-20104/overrideFile.name</w:t>
            </w:r>
            <w:r>
              <w:rPr>
                <w:rFonts w:ascii="Consolas" w:hAnsi="Consolas"/>
                <w:b w:val="0"/>
                <w:i w:val="0"/>
                <w:sz w:val="19"/>
              </w:rPr>
              <w:t>=/Lippman_Vasek_Westbrook%20Paper%20-%20Bankruptcy%20Alternatives%20(final).pdf</w:t>
            </w:r>
            <w:r>
              <w:rPr>
                <w:b w:val="0"/>
                <w:i w:val="0"/>
                <w:sz w:val="19"/>
              </w:rPr>
              <w:t>.</w:t>
            </w:r>
          </w:p>
        </w:tc>
      </w:tr>
      <w:tr>
        <w:tc>
          <w:tcPr>
            <w:tcW w:type="dxa" w:w="4680"/>
          </w:tcPr>
          <w:p>
            <w:r/>
            <w:r>
              <w:rPr>
                <w:b w:val="0"/>
                <w:i w:val="0"/>
                <w:sz w:val="19"/>
              </w:rPr>
              <w:t>34</w:t>
            </w:r>
          </w:p>
        </w:tc>
        <w:tc>
          <w:tcPr>
            <w:tcW w:type="dxa" w:w="4680"/>
          </w:tcPr>
          <w:p>
            <w:r/>
            <w:r>
              <w:rPr>
                <w:b w:val="0"/>
                <w:i w:val="0"/>
                <w:sz w:val="19"/>
              </w:rPr>
              <w:t>Sarah George, “Phá sản doanh nghiệp nhỏ đang gia tăng,” Yahoo Finance, ngày 7 tháng 12 năm 2023, https://finance.yahoo.com/news/small-business-bankruptcies-rise-190510936.html.</w:t>
            </w:r>
          </w:p>
        </w:tc>
      </w:tr>
      <w:tr>
        <w:tc>
          <w:tcPr>
            <w:tcW w:type="dxa" w:w="4680"/>
          </w:tcPr>
          <w:p>
            <w:r/>
            <w:r>
              <w:rPr>
                <w:b w:val="0"/>
                <w:i w:val="0"/>
                <w:sz w:val="19"/>
              </w:rPr>
              <w:t>35</w:t>
            </w:r>
          </w:p>
        </w:tc>
        <w:tc>
          <w:tcPr>
            <w:tcW w:type="dxa" w:w="4680"/>
          </w:tcPr>
          <w:p>
            <w:r/>
            <w:r>
              <w:rPr>
                <w:b w:val="0"/>
                <w:i w:val="0"/>
                <w:sz w:val="19"/>
              </w:rPr>
              <w:t>“Phá sản: Điều gì xảy ra khi các công ty đại chúng phá sản,” SEC, ngày 2 tháng 2 năm 2009, https://www.sec.gov/reportspubs/investor-publications/investorpubsbankrupt.</w:t>
            </w:r>
          </w:p>
        </w:tc>
      </w:tr>
      <w:tr>
        <w:tc>
          <w:tcPr>
            <w:tcW w:type="dxa" w:w="4680"/>
          </w:tcPr>
          <w:p>
            <w:r/>
            <w:r>
              <w:rPr>
                <w:b w:val="0"/>
                <w:i w:val="0"/>
                <w:sz w:val="19"/>
              </w:rPr>
              <w:t>36</w:t>
            </w:r>
          </w:p>
        </w:tc>
        <w:tc>
          <w:tcPr>
            <w:tcW w:type="dxa" w:w="4680"/>
          </w:tcPr>
          <w:p>
            <w:r/>
            <w:r>
              <w:rPr>
                <w:b w:val="0"/>
                <w:i w:val="0"/>
                <w:sz w:val="19"/>
              </w:rPr>
              <w:t>Hotchkiss, Thorburn, và Wang, “Bộ mặt đang thay đổi của Chương 11.”</w:t>
            </w:r>
          </w:p>
        </w:tc>
      </w:tr>
      <w:tr>
        <w:tc>
          <w:tcPr>
            <w:tcW w:type="dxa" w:w="4680"/>
          </w:tcPr>
          <w:p>
            <w:r/>
            <w:r>
              <w:rPr>
                <w:b w:val="0"/>
                <w:i w:val="0"/>
                <w:sz w:val="19"/>
              </w:rPr>
              <w:t>37</w:t>
            </w:r>
          </w:p>
        </w:tc>
        <w:tc>
          <w:tcPr>
            <w:tcW w:type="dxa" w:w="4680"/>
          </w:tcPr>
          <w:p>
            <w:r/>
            <w:r>
              <w:rPr>
                <w:b w:val="0"/>
                <w:i w:val="0"/>
                <w:sz w:val="19"/>
              </w:rPr>
              <w:t>“Chương 11—Những điều cơ bản về phá sản,” United States Courts, không ngày, https://www.uscourts.gov/services-forms/bankruptcy/bankruptcy-basics/chapter-11-bankruptcy-basics.</w:t>
            </w:r>
          </w:p>
        </w:tc>
      </w:tr>
      <w:tr>
        <w:tc>
          <w:tcPr>
            <w:tcW w:type="dxa" w:w="4680"/>
          </w:tcPr>
          <w:p>
            <w:r/>
            <w:r>
              <w:rPr>
                <w:b w:val="0"/>
                <w:i w:val="0"/>
                <w:sz w:val="19"/>
              </w:rPr>
              <w:t>38</w:t>
            </w:r>
          </w:p>
        </w:tc>
        <w:tc>
          <w:tcPr>
            <w:tcW w:type="dxa" w:w="4680"/>
          </w:tcPr>
          <w:p>
            <w:r/>
            <w:r>
              <w:rPr>
                <w:b w:val="0"/>
                <w:i w:val="0"/>
                <w:sz w:val="19"/>
              </w:rPr>
              <w:t>Lawrence V. Gelber và Erik Schneider, “Vị trí, Vị trí, Vị trí—Cách Chọn Địa Điểm Phá Sản,” DailyDAC, ngày 8 tháng 12 năm 2022, https://www.dailydac.com/where-to-file-bankruptcy/.</w:t>
            </w:r>
          </w:p>
        </w:tc>
      </w:tr>
      <w:tr>
        <w:tc>
          <w:tcPr>
            <w:tcW w:type="dxa" w:w="4680"/>
          </w:tcPr>
          <w:p>
            <w:r/>
            <w:r>
              <w:rPr>
                <w:b w:val="0"/>
                <w:i w:val="0"/>
                <w:sz w:val="19"/>
              </w:rPr>
              <w:t>39</w:t>
            </w:r>
          </w:p>
        </w:tc>
        <w:tc>
          <w:tcPr>
            <w:tcW w:type="dxa" w:w="4680"/>
          </w:tcPr>
          <w:p>
            <w:r/>
            <w:r>
              <w:rPr>
                <w:b w:val="0"/>
                <w:i w:val="0"/>
                <w:sz w:val="19"/>
              </w:rPr>
              <w:t>John D. Ayer, Michael Bernstein, và Jonathan Friedland, “Chương 11 ‘101’: Tổng Quan về Lệnh Tự Động Đình Chỉ,” American Bankruptcy Institute Journal, không ngày, https://www.kirkland.com/siteFiles/kirkexp/publications/2430/Document1/Friedland%20-%20An%20Overview%20of%20the%20Automatic%20Stay.pdf.</w:t>
            </w:r>
          </w:p>
        </w:tc>
      </w:tr>
      <w:tr>
        <w:tc>
          <w:tcPr>
            <w:tcW w:type="dxa" w:w="4680"/>
          </w:tcPr>
          <w:p>
            <w:r/>
            <w:r>
              <w:rPr>
                <w:b w:val="0"/>
                <w:i w:val="0"/>
                <w:sz w:val="19"/>
              </w:rPr>
              <w:t>40</w:t>
            </w:r>
          </w:p>
        </w:tc>
        <w:tc>
          <w:tcPr>
            <w:tcW w:type="dxa" w:w="4680"/>
          </w:tcPr>
          <w:p>
            <w:r/>
            <w:r>
              <w:rPr>
                <w:b w:val="0"/>
                <w:i w:val="0"/>
                <w:sz w:val="19"/>
              </w:rPr>
              <w:t>“Chương 11—Những Điều Cơ Bản về Phá Sản.”</w:t>
            </w:r>
          </w:p>
        </w:tc>
      </w:tr>
      <w:tr>
        <w:tc>
          <w:tcPr>
            <w:tcW w:type="dxa" w:w="4680"/>
          </w:tcPr>
          <w:p>
            <w:r/>
            <w:r>
              <w:rPr>
                <w:b w:val="0"/>
                <w:i w:val="0"/>
                <w:sz w:val="19"/>
              </w:rPr>
              <w:t>41</w:t>
            </w:r>
          </w:p>
        </w:tc>
        <w:tc>
          <w:tcPr>
            <w:tcW w:type="dxa" w:w="4680"/>
          </w:tcPr>
          <w:p>
            <w:r/>
            <w:r>
              <w:rPr>
                <w:b w:val="0"/>
                <w:i w:val="0"/>
                <w:sz w:val="19"/>
              </w:rPr>
              <w:t xml:space="preserve">Mike Harmon, “Nhập Môn về Tái Cấu Trúc Tài Chính Công Ty Bạn,” </w:t>
            </w:r>
            <w:r>
              <w:rPr>
                <w:b w:val="0"/>
                <w:i/>
                <w:sz w:val="19"/>
              </w:rPr>
              <w:t>Harvard Business Review</w:t>
            </w:r>
            <w:r>
              <w:rPr>
                <w:b w:val="0"/>
                <w:i w:val="0"/>
                <w:sz w:val="19"/>
              </w:rPr>
              <w:t>, ngày 9 tháng 6 năm 2020, https://hbr.org/2020/06/a-primer-on-restructuring-your-companys-finances.</w:t>
            </w:r>
          </w:p>
        </w:tc>
      </w:tr>
      <w:tr>
        <w:tc>
          <w:tcPr>
            <w:tcW w:type="dxa" w:w="4680"/>
          </w:tcPr>
          <w:p>
            <w:r/>
            <w:r>
              <w:rPr>
                <w:b w:val="0"/>
                <w:i w:val="0"/>
                <w:sz w:val="19"/>
              </w:rPr>
              <w:t>42</w:t>
            </w:r>
          </w:p>
        </w:tc>
        <w:tc>
          <w:tcPr>
            <w:tcW w:type="dxa" w:w="4680"/>
          </w:tcPr>
          <w:p>
            <w:r/>
            <w:r>
              <w:rPr>
                <w:b w:val="0"/>
                <w:i w:val="0"/>
                <w:sz w:val="19"/>
              </w:rPr>
              <w:t>Hotchkiss, Thorburn, và Wang, “Bộ Mặt Đang Thay Đổi của Chương 11.”</w:t>
            </w:r>
          </w:p>
        </w:tc>
      </w:tr>
      <w:tr>
        <w:tc>
          <w:tcPr>
            <w:tcW w:type="dxa" w:w="4680"/>
          </w:tcPr>
          <w:p>
            <w:r/>
            <w:r>
              <w:rPr>
                <w:b w:val="0"/>
                <w:i w:val="0"/>
                <w:sz w:val="19"/>
              </w:rPr>
              <w:t>43</w:t>
            </w:r>
          </w:p>
        </w:tc>
        <w:tc>
          <w:tcPr>
            <w:tcW w:type="dxa" w:w="4680"/>
          </w:tcPr>
          <w:p>
            <w:r/>
            <w:r>
              <w:rPr>
                <w:b w:val="0"/>
                <w:i w:val="0"/>
                <w:sz w:val="19"/>
              </w:rPr>
              <w:t>Hotchkiss, Thorburn, và Wang.</w:t>
            </w:r>
          </w:p>
        </w:tc>
      </w:tr>
      <w:tr>
        <w:tc>
          <w:tcPr>
            <w:tcW w:type="dxa" w:w="4680"/>
          </w:tcPr>
          <w:p>
            <w:r/>
            <w:r>
              <w:rPr>
                <w:b w:val="0"/>
                <w:i w:val="0"/>
                <w:sz w:val="19"/>
              </w:rPr>
              <w:t>44</w:t>
            </w:r>
          </w:p>
        </w:tc>
        <w:tc>
          <w:tcPr>
            <w:tcW w:type="dxa" w:w="4680"/>
          </w:tcPr>
          <w:p>
            <w:r/>
            <w:r>
              <w:rPr>
                <w:b w:val="0"/>
                <w:i w:val="0"/>
                <w:sz w:val="19"/>
              </w:rPr>
              <w:t>“Giữ Chân và Thù Lao Chuyên Gia trong Phá Sản,” Department of Justice, ngày 4 tháng 12 năm 2019, https://www.justice.gov/ust/Prof_Comp.</w:t>
            </w:r>
          </w:p>
        </w:tc>
      </w:tr>
      <w:tr>
        <w:tc>
          <w:tcPr>
            <w:tcW w:type="dxa" w:w="4680"/>
          </w:tcPr>
          <w:p>
            <w:r/>
            <w:r>
              <w:rPr>
                <w:b w:val="0"/>
                <w:i w:val="0"/>
                <w:sz w:val="19"/>
              </w:rPr>
              <w:t>45</w:t>
            </w:r>
          </w:p>
        </w:tc>
        <w:tc>
          <w:tcPr>
            <w:tcW w:type="dxa" w:w="4680"/>
          </w:tcPr>
          <w:p>
            <w:r/>
            <w:r>
              <w:rPr>
                <w:b w:val="0"/>
                <w:i w:val="0"/>
                <w:sz w:val="19"/>
              </w:rPr>
              <w:t>Rachel Reed, “Nộp Đơn Phá Sản Có Khiến Nhân Viên Bỏ Chạy?,” Harvard Law Today, ngày 20 tháng 9 năm 2023, https://hls.harvard.edu/today/does-filing-for-bankruptcy-make-employees-flee/.</w:t>
            </w:r>
          </w:p>
        </w:tc>
      </w:tr>
      <w:tr>
        <w:tc>
          <w:tcPr>
            <w:tcW w:type="dxa" w:w="4680"/>
          </w:tcPr>
          <w:p>
            <w:r/>
            <w:r>
              <w:rPr>
                <w:b w:val="0"/>
                <w:i w:val="0"/>
                <w:sz w:val="19"/>
              </w:rPr>
              <w:t>46</w:t>
            </w:r>
          </w:p>
        </w:tc>
        <w:tc>
          <w:tcPr>
            <w:tcW w:type="dxa" w:w="4680"/>
          </w:tcPr>
          <w:p>
            <w:r/>
            <w:r>
              <w:rPr>
                <w:b w:val="0"/>
                <w:i w:val="0"/>
                <w:sz w:val="19"/>
              </w:rPr>
              <w:t>Daniel Gal và cộng sự, “How Directors Can Manage the UK Supreme Court’s ‘Balancing Exercise’ in Difficult Times,” Skadden Insights, ngày 13 tháng 12 năm 2022, https://www.skadden.com/insights/publications/2022/12/2023-insights/a-possible-recession/how-directors-can-manage.</w:t>
            </w:r>
          </w:p>
        </w:tc>
      </w:tr>
      <w:tr>
        <w:tc>
          <w:tcPr>
            <w:tcW w:type="dxa" w:w="4680"/>
          </w:tcPr>
          <w:p>
            <w:r/>
            <w:r>
              <w:rPr>
                <w:b w:val="0"/>
                <w:i w:val="0"/>
                <w:sz w:val="19"/>
              </w:rPr>
              <w:t>47</w:t>
            </w:r>
          </w:p>
        </w:tc>
        <w:tc>
          <w:tcPr>
            <w:tcW w:type="dxa" w:w="4680"/>
          </w:tcPr>
          <w:p>
            <w:r/>
            <w:r>
              <w:rPr>
                <w:b w:val="0"/>
                <w:i/>
                <w:sz w:val="19"/>
              </w:rPr>
              <w:t>North American Catholic Educational Programming Foundation, Inc. v. Gheewalla</w:t>
            </w:r>
            <w:r>
              <w:rPr>
                <w:b w:val="0"/>
                <w:i w:val="0"/>
                <w:sz w:val="19"/>
              </w:rPr>
              <w:t xml:space="preserve"> (Del. Supr. 2007), https://casetext.com/case/nacepf-v-gheewalla.</w:t>
            </w:r>
          </w:p>
        </w:tc>
      </w:tr>
      <w:tr>
        <w:tc>
          <w:tcPr>
            <w:tcW w:type="dxa" w:w="4680"/>
          </w:tcPr>
          <w:p>
            <w:r/>
            <w:r>
              <w:rPr>
                <w:b w:val="0"/>
                <w:i w:val="0"/>
                <w:sz w:val="19"/>
              </w:rPr>
              <w:t>48</w:t>
            </w:r>
          </w:p>
        </w:tc>
        <w:tc>
          <w:tcPr>
            <w:tcW w:type="dxa" w:w="4680"/>
          </w:tcPr>
          <w:p>
            <w:r/>
            <w:r>
              <w:rPr>
                <w:b w:val="0"/>
                <w:i w:val="0"/>
                <w:sz w:val="19"/>
              </w:rPr>
              <w:t>Gal và cộng sự, “How Directors Can Manage.”</w:t>
            </w:r>
          </w:p>
        </w:tc>
      </w:tr>
      <w:tr>
        <w:tc>
          <w:tcPr>
            <w:tcW w:type="dxa" w:w="4680"/>
          </w:tcPr>
          <w:p>
            <w:r/>
            <w:r>
              <w:rPr>
                <w:b w:val="0"/>
                <w:i w:val="0"/>
                <w:sz w:val="19"/>
              </w:rPr>
              <w:t>49</w:t>
            </w:r>
          </w:p>
        </w:tc>
        <w:tc>
          <w:tcPr>
            <w:tcW w:type="dxa" w:w="4680"/>
          </w:tcPr>
          <w:p>
            <w:r/>
            <w:r>
              <w:rPr>
                <w:b w:val="0"/>
                <w:i w:val="0"/>
                <w:sz w:val="19"/>
              </w:rPr>
              <w:t>Brad Eric Scheler, Gary L. Kaplan, và Jennifer L. Rodburg, “Director Fiduciary Duty in Insolvency,” Harvard Law School Forum on Corporate Governance, ngày 15 tháng 4 năm 2020, https://corpgov.law.harvard.edu/2020/04/15/director-fiduciary-duty-in-insolvency/.</w:t>
            </w:r>
          </w:p>
        </w:tc>
      </w:tr>
      <w:tr>
        <w:tc>
          <w:tcPr>
            <w:tcW w:type="dxa" w:w="4680"/>
          </w:tcPr>
          <w:p>
            <w:r/>
            <w:r>
              <w:rPr>
                <w:b w:val="0"/>
                <w:i w:val="0"/>
                <w:sz w:val="19"/>
              </w:rPr>
              <w:t>50</w:t>
            </w:r>
          </w:p>
        </w:tc>
        <w:tc>
          <w:tcPr>
            <w:tcW w:type="dxa" w:w="4680"/>
          </w:tcPr>
          <w:p>
            <w:r/>
            <w:r>
              <w:rPr>
                <w:b w:val="0"/>
                <w:i w:val="0"/>
                <w:sz w:val="19"/>
              </w:rPr>
              <w:t>Scheler, Kaplan, và Rodburg.</w:t>
            </w:r>
          </w:p>
        </w:tc>
      </w:tr>
      <w:tr>
        <w:tc>
          <w:tcPr>
            <w:tcW w:type="dxa" w:w="4680"/>
          </w:tcPr>
          <w:p>
            <w:r/>
            <w:r>
              <w:rPr>
                <w:b w:val="0"/>
                <w:i w:val="0"/>
                <w:sz w:val="19"/>
              </w:rPr>
              <w:t>51.</w:t>
            </w:r>
          </w:p>
        </w:tc>
        <w:tc>
          <w:tcPr>
            <w:tcW w:type="dxa" w:w="4680"/>
          </w:tcPr>
          <w:p>
            <w:r/>
            <w:r>
              <w:rPr>
                <w:b w:val="0"/>
                <w:i w:val="0"/>
                <w:sz w:val="19"/>
              </w:rPr>
              <w:t xml:space="preserve">Andrew Scurria và Jennifer Maloney, “Juul Adds Two Restructuring Experts to Its Board,” </w:t>
            </w:r>
            <w:r>
              <w:rPr>
                <w:b w:val="0"/>
                <w:i/>
                <w:sz w:val="19"/>
              </w:rPr>
              <w:t>Wall Street Journal</w:t>
            </w:r>
            <w:r>
              <w:rPr>
                <w:b w:val="0"/>
                <w:i w:val="0"/>
                <w:sz w:val="19"/>
              </w:rPr>
              <w:t>, ngày 7 tháng 10 năm 2022, https://www.wsj.com/articles/juul-adds-two-restructuring-experts-to-its-board-11665168669?st</w:t>
            </w:r>
            <w:r>
              <w:rPr>
                <w:rFonts w:ascii="Consolas" w:hAnsi="Consolas"/>
                <w:b w:val="0"/>
                <w:i w:val="0"/>
                <w:sz w:val="19"/>
              </w:rPr>
              <w:t>=14bg1vzd0f8end5&amp;reflink=article_email_share</w:t>
            </w:r>
            <w:r>
              <w:rPr>
                <w:b w:val="0"/>
                <w:i w:val="0"/>
                <w:sz w:val="19"/>
              </w:rPr>
              <w:t>.</w:t>
            </w:r>
          </w:p>
        </w:tc>
      </w:tr>
      <w:tr>
        <w:tc>
          <w:tcPr>
            <w:tcW w:type="dxa" w:w="4680"/>
          </w:tcPr>
          <w:p>
            <w:r/>
            <w:r>
              <w:rPr>
                <w:b w:val="0"/>
                <w:i w:val="0"/>
                <w:sz w:val="19"/>
              </w:rPr>
              <w:t>52</w:t>
            </w:r>
          </w:p>
        </w:tc>
        <w:tc>
          <w:tcPr>
            <w:tcW w:type="dxa" w:w="4680"/>
          </w:tcPr>
          <w:p>
            <w:r/>
            <w:r>
              <w:rPr>
                <w:b w:val="0"/>
                <w:i w:val="0"/>
                <w:sz w:val="19"/>
              </w:rPr>
              <w:t xml:space="preserve">Alexander Gladstone, Akiko Matsuda, và Konrad Putzier, “WeWork Taps Directors with Bankruptcy Chops after Board Resignations,” </w:t>
            </w:r>
            <w:r>
              <w:rPr>
                <w:b w:val="0"/>
                <w:i/>
                <w:sz w:val="19"/>
              </w:rPr>
              <w:t>Wall Street Journal</w:t>
            </w:r>
            <w:r>
              <w:rPr>
                <w:b w:val="0"/>
                <w:i w:val="0"/>
                <w:sz w:val="19"/>
              </w:rPr>
              <w:t>, ngày 9 tháng 8 năm 2023, https://www.wsj.com/articles/wework-taps-directors-with-bankruptcy-chops-after-board-resignations-254aaca4.</w:t>
            </w:r>
          </w:p>
        </w:tc>
      </w:tr>
      <w:tr>
        <w:tc>
          <w:tcPr>
            <w:tcW w:type="dxa" w:w="4680"/>
          </w:tcPr>
          <w:p>
            <w:r/>
            <w:r>
              <w:rPr>
                <w:b w:val="0"/>
                <w:i w:val="0"/>
                <w:sz w:val="19"/>
              </w:rPr>
              <w:t>53</w:t>
            </w:r>
          </w:p>
        </w:tc>
        <w:tc>
          <w:tcPr>
            <w:tcW w:type="dxa" w:w="4680"/>
          </w:tcPr>
          <w:p>
            <w:r/>
            <w:r>
              <w:rPr>
                <w:b w:val="0"/>
                <w:i w:val="0"/>
                <w:sz w:val="19"/>
              </w:rPr>
              <w:t>Jared Ellias, Ehud Kamar, và Kobi Kastiel, “The Rise of Bankruptcy Directors,” Harvard Law School Forum on Corporate Governance, ngày 14 tháng 2 năm 2022, https://corpgov.law.harvard.edu/2022/02/14/the-rise-of-bankruptcy-directors/.</w:t>
            </w:r>
          </w:p>
        </w:tc>
      </w:tr>
      <w:tr>
        <w:tc>
          <w:tcPr>
            <w:tcW w:type="dxa" w:w="4680"/>
          </w:tcPr>
          <w:p>
            <w:r/>
            <w:r>
              <w:rPr>
                <w:b w:val="0"/>
                <w:i w:val="0"/>
                <w:sz w:val="19"/>
              </w:rPr>
              <w:t>54</w:t>
            </w:r>
          </w:p>
        </w:tc>
        <w:tc>
          <w:tcPr>
            <w:tcW w:type="dxa" w:w="4680"/>
          </w:tcPr>
          <w:p>
            <w:r/>
            <w:r>
              <w:rPr>
                <w:b w:val="0"/>
                <w:i w:val="0"/>
                <w:sz w:val="19"/>
              </w:rPr>
              <w:t>Dietrich Knauth, “Tòa án Tối cao Hoa Kỳ: Thẩm phán Alito tạm dừng thỏa thuận bồi thường 2,46 tỷ USD của Boy Scouts,” Reuters, ngày 16 tháng 2 năm 2024, https://www.reuters.com/legal/us-supreme-courts-alito-temporarily-halts-boy-scouts-246-bln-abuse-settlement-2024-02-16/.</w:t>
            </w:r>
          </w:p>
        </w:tc>
      </w:tr>
      <w:tr>
        <w:tc>
          <w:tcPr>
            <w:tcW w:type="dxa" w:w="4680"/>
          </w:tcPr>
          <w:p>
            <w:r/>
            <w:r>
              <w:rPr>
                <w:b w:val="0"/>
                <w:i w:val="0"/>
                <w:sz w:val="19"/>
              </w:rPr>
              <w:t>55</w:t>
            </w:r>
          </w:p>
        </w:tc>
        <w:tc>
          <w:tcPr>
            <w:tcW w:type="dxa" w:w="4680"/>
          </w:tcPr>
          <w:p>
            <w:r/>
            <w:r>
              <w:rPr>
                <w:b w:val="0"/>
                <w:i w:val="0"/>
                <w:sz w:val="19"/>
              </w:rPr>
              <w:t>“Tổng chưởng lý Formella công bố thỏa thuận quốc gia lên tới 6 tỷ USD với Purdue Pharma và Sacklers; New Hampshire sẽ nhận 46 triệu USD nếu thỏa thuận được phê duyệt,” Bộ Tư pháp bang New Hampshire, thông cáo báo chí, ngày 3 tháng 3 năm 2022, https://www.doj.nh.gov/news/2022/20220303-settlement-purdue-pharma-sacklers.htm.</w:t>
            </w:r>
          </w:p>
        </w:tc>
      </w:tr>
      <w:tr>
        <w:tc>
          <w:tcPr>
            <w:tcW w:type="dxa" w:w="4680"/>
          </w:tcPr>
          <w:p>
            <w:r/>
            <w:r>
              <w:rPr>
                <w:b w:val="0"/>
                <w:i w:val="0"/>
                <w:sz w:val="19"/>
              </w:rPr>
              <w:t>56</w:t>
            </w:r>
          </w:p>
        </w:tc>
        <w:tc>
          <w:tcPr>
            <w:tcW w:type="dxa" w:w="4680"/>
          </w:tcPr>
          <w:p>
            <w:r/>
            <w:r>
              <w:rPr>
                <w:b w:val="0"/>
                <w:i w:val="0"/>
                <w:sz w:val="19"/>
              </w:rPr>
              <w:t xml:space="preserve">Abbie VanSickle, “Cốt lõi của vụ án Purdue Pharma: Ai có thể được miễn trừ trách nhiệm trong các thỏa thuận?,” </w:t>
            </w:r>
            <w:r>
              <w:rPr>
                <w:b w:val="0"/>
                <w:i/>
                <w:sz w:val="19"/>
              </w:rPr>
              <w:t>New York Times</w:t>
            </w:r>
            <w:r>
              <w:rPr>
                <w:b w:val="0"/>
                <w:i w:val="0"/>
                <w:sz w:val="19"/>
              </w:rPr>
              <w:t>, ngày 3 tháng 12 năm 2023, https://www.nytimes.com/2023/12/03/us/politics/oxycontin-supreme-court-purdue-sacklers.html.</w:t>
            </w:r>
          </w:p>
        </w:tc>
      </w:tr>
      <w:tr>
        <w:tc>
          <w:tcPr>
            <w:tcW w:type="dxa" w:w="4680"/>
          </w:tcPr>
          <w:p>
            <w:r/>
            <w:r>
              <w:rPr>
                <w:b w:val="0"/>
                <w:i w:val="0"/>
                <w:sz w:val="19"/>
              </w:rPr>
              <w:t>57</w:t>
            </w:r>
          </w:p>
        </w:tc>
        <w:tc>
          <w:tcPr>
            <w:tcW w:type="dxa" w:w="4680"/>
          </w:tcPr>
          <w:p>
            <w:r/>
            <w:r>
              <w:rPr>
                <w:b w:val="0"/>
                <w:i w:val="0"/>
                <w:sz w:val="19"/>
              </w:rPr>
              <w:t>Amy Howe, “Tòa án phân vân về kế hoạch phá sản của Purdue Pharma nhằm bảo vệ Sacklers khỏi trách nhiệm pháp lý,” SCOTUSblog, ngày 4 tháng 12 năm 2023, https://www.scotusblog.com/2023/12/purdue-bankruptcy-sacklers/#.</w:t>
            </w:r>
          </w:p>
        </w:tc>
      </w:tr>
      <w:tr>
        <w:tc>
          <w:tcPr>
            <w:tcW w:type="dxa" w:w="4680"/>
          </w:tcPr>
          <w:p>
            <w:r/>
            <w:r>
              <w:rPr>
                <w:b w:val="0"/>
                <w:i w:val="0"/>
                <w:sz w:val="19"/>
              </w:rPr>
              <w:t>58</w:t>
            </w:r>
          </w:p>
        </w:tc>
        <w:tc>
          <w:tcPr>
            <w:tcW w:type="dxa" w:w="4680"/>
          </w:tcPr>
          <w:p>
            <w:r/>
            <w:r>
              <w:rPr>
                <w:b w:val="0"/>
                <w:i w:val="0"/>
                <w:sz w:val="19"/>
              </w:rPr>
              <w:t>VanSickle, “Cốt lõi của vụ Purdue.”</w:t>
            </w:r>
          </w:p>
        </w:tc>
      </w:tr>
      <w:tr>
        <w:tc>
          <w:tcPr>
            <w:tcW w:type="dxa" w:w="4680"/>
          </w:tcPr>
          <w:p>
            <w:r/>
            <w:r>
              <w:rPr>
                <w:b w:val="0"/>
                <w:i w:val="0"/>
                <w:sz w:val="19"/>
              </w:rPr>
              <w:t>59</w:t>
            </w:r>
          </w:p>
        </w:tc>
        <w:tc>
          <w:tcPr>
            <w:tcW w:type="dxa" w:w="4680"/>
          </w:tcPr>
          <w:p>
            <w:r/>
            <w:r>
              <w:rPr>
                <w:b w:val="0"/>
                <w:i w:val="0"/>
                <w:sz w:val="19"/>
              </w:rPr>
              <w:t>VanSickle.</w:t>
            </w:r>
          </w:p>
        </w:tc>
      </w:tr>
      <w:tr>
        <w:tc>
          <w:tcPr>
            <w:tcW w:type="dxa" w:w="4680"/>
          </w:tcPr>
          <w:p>
            <w:r/>
            <w:r>
              <w:rPr>
                <w:b w:val="0"/>
                <w:i w:val="0"/>
                <w:sz w:val="19"/>
              </w:rPr>
              <w:t>60</w:t>
            </w:r>
          </w:p>
        </w:tc>
        <w:tc>
          <w:tcPr>
            <w:tcW w:type="dxa" w:w="4680"/>
          </w:tcPr>
          <w:p>
            <w:r/>
            <w:r>
              <w:rPr>
                <w:b w:val="0"/>
                <w:i w:val="0"/>
                <w:sz w:val="19"/>
              </w:rPr>
              <w:t xml:space="preserve">Abbie VanSickle, “Tòa án Tối cao đẩy thỏa thuận Purdue Pharma vào thế nguy hiểm, bác bỏ các biện pháp bảo vệ cho Sacklers,” </w:t>
            </w:r>
            <w:r>
              <w:rPr>
                <w:b w:val="0"/>
                <w:i/>
                <w:sz w:val="19"/>
              </w:rPr>
              <w:t>New York Times</w:t>
            </w:r>
            <w:r>
              <w:rPr>
                <w:b w:val="0"/>
                <w:i w:val="0"/>
                <w:sz w:val="19"/>
              </w:rPr>
              <w:t>, ngày 27 tháng 6 năm 2024, https://www.nytimes.com/2024/06/27/us/supreme-court-opioid-settlement.html.</w:t>
            </w:r>
          </w:p>
        </w:tc>
      </w:tr>
      <w:tr>
        <w:tc>
          <w:tcPr>
            <w:tcW w:type="dxa" w:w="4680"/>
          </w:tcPr>
          <w:p>
            <w:r/>
            <w:r>
              <w:rPr>
                <w:b w:val="0"/>
                <w:i w:val="0"/>
                <w:sz w:val="19"/>
              </w:rPr>
              <w:t>61</w:t>
            </w:r>
          </w:p>
        </w:tc>
        <w:tc>
          <w:tcPr>
            <w:tcW w:type="dxa" w:w="4680"/>
          </w:tcPr>
          <w:p>
            <w:r/>
            <w:r>
              <w:rPr>
                <w:b w:val="0"/>
                <w:i/>
                <w:sz w:val="19"/>
              </w:rPr>
              <w:t>Harrington, United States Trustee, Region 2 v. Purdue Pharma L. P. et al.</w:t>
            </w:r>
            <w:r>
              <w:rPr>
                <w:b w:val="0"/>
                <w:i w:val="0"/>
                <w:sz w:val="19"/>
              </w:rPr>
              <w:t>, Certiorari to the United States Court of Appeals for the Second Circuit, No. 23–124. Argued December 4, 2023—Decided June 27, 2024, https://www.supremecourt.gov/opinions/23pdf/23-124_8nk0.pdf.</w:t>
            </w:r>
          </w:p>
        </w:tc>
      </w:tr>
      <w:tr>
        <w:tc>
          <w:tcPr>
            <w:tcW w:type="dxa" w:w="4680"/>
          </w:tcPr>
          <w:p>
            <w:r/>
            <w:r>
              <w:rPr>
                <w:b w:val="0"/>
                <w:i w:val="0"/>
                <w:sz w:val="19"/>
              </w:rPr>
              <w:t>62</w:t>
            </w:r>
          </w:p>
        </w:tc>
        <w:tc>
          <w:tcPr>
            <w:tcW w:type="dxa" w:w="4680"/>
          </w:tcPr>
          <w:p>
            <w:r/>
            <w:r>
              <w:rPr>
                <w:b w:val="0"/>
                <w:i w:val="0"/>
                <w:sz w:val="19"/>
              </w:rPr>
              <w:t>Harrington v. Purdue Pharma.</w:t>
            </w:r>
          </w:p>
        </w:tc>
      </w:tr>
      <w:tr>
        <w:tc>
          <w:tcPr>
            <w:tcW w:type="dxa" w:w="4680"/>
          </w:tcPr>
          <w:p>
            <w:r/>
            <w:r>
              <w:rPr>
                <w:b w:val="0"/>
                <w:i w:val="0"/>
                <w:sz w:val="19"/>
              </w:rPr>
              <w:t>63</w:t>
            </w:r>
          </w:p>
        </w:tc>
        <w:tc>
          <w:tcPr>
            <w:tcW w:type="dxa" w:w="4680"/>
          </w:tcPr>
          <w:p>
            <w:r/>
            <w:r>
              <w:rPr>
                <w:b w:val="0"/>
                <w:i w:val="0"/>
                <w:sz w:val="19"/>
              </w:rPr>
              <w:t>“Purdue Pharma L. P. Files New Plan of Reorganization Providing for More Than $7.4 Billion in Creditor Distributions,” Purdue Pharma, March 18, 2025, https://www.purduepharma.com/news/2025/03/18/purdue-pharma-l-p-files-new-plan-of-reorganization-providing-for-more-than-7-4-billion-in-creditor-distributions/.</w:t>
            </w:r>
          </w:p>
        </w:tc>
      </w:tr>
    </w:tbl>
    <w:p>
      <w:pPr>
        <w:spacing w:after="0"/>
      </w:pPr>
    </w:p>
    <w:p>
      <w:pPr>
        <w:pStyle w:val="Heading2"/>
      </w:pPr>
      <w:r>
        <w:rPr>
          <w:rFonts w:ascii="Calibri" w:hAnsi="Calibri"/>
          <w:b/>
          <w:i w:val="0"/>
          <w:sz w:val="32"/>
        </w:rPr>
        <w:t>Chương 10: Các vấn đề Môi trường, Xã hội và Quản trị</w:t>
      </w:r>
    </w:p>
    <w:tbl>
      <w:tblPr>
        <w:tblStyle w:val="TableGrid"/>
        <w:tblW w:type="auto" w:w="0"/>
        <w:tblLook w:firstColumn="1" w:firstRow="1" w:lastColumn="0" w:lastRow="0" w:noHBand="0" w:noVBand="1" w:val="04A0"/>
      </w:tblPr>
      <w:tblGrid>
        <w:gridCol w:w="4680"/>
        <w:gridCol w:w="4680"/>
      </w:tblGrid>
      <w:tr>
        <w:tc>
          <w:tcPr>
            <w:tcW w:type="dxa" w:w="4680"/>
          </w:tcPr>
          <w:p>
            <w:r/>
            <w:r>
              <w:rPr>
                <w:b w:val="0"/>
                <w:i w:val="0"/>
                <w:sz w:val="19"/>
              </w:rPr>
              <w:t>1</w:t>
            </w:r>
          </w:p>
        </w:tc>
        <w:tc>
          <w:tcPr>
            <w:tcW w:type="dxa" w:w="4680"/>
          </w:tcPr>
          <w:p>
            <w:r/>
            <w:r>
              <w:rPr>
                <w:b w:val="0"/>
                <w:i w:val="0"/>
                <w:sz w:val="19"/>
              </w:rPr>
              <w:t>Minzhi (Luna) Wang, “Environmental, Social, and Corporate Governance: A History of ESG Standardization from 1970s to the Present,” luận văn tốt nghiệp đại học, Khoa Lịch sử, Đại học Columbia, ngày 5 tháng 4 năm 2023, https://sites.asit.columbia.edu/historydept/wp-content/uploads/sites/29/2023/05/Wang-Luna_thesis.pdf.</w:t>
            </w:r>
          </w:p>
        </w:tc>
      </w:tr>
      <w:tr>
        <w:tc>
          <w:tcPr>
            <w:tcW w:type="dxa" w:w="4680"/>
          </w:tcPr>
          <w:p>
            <w:r/>
            <w:r>
              <w:rPr>
                <w:b w:val="0"/>
                <w:i w:val="0"/>
                <w:sz w:val="19"/>
              </w:rPr>
              <w:t>2</w:t>
            </w:r>
          </w:p>
        </w:tc>
        <w:tc>
          <w:tcPr>
            <w:tcW w:type="dxa" w:w="4680"/>
          </w:tcPr>
          <w:p>
            <w:r/>
            <w:r>
              <w:rPr>
                <w:b w:val="0"/>
                <w:i w:val="0"/>
                <w:sz w:val="19"/>
              </w:rPr>
              <w:t>Wang.</w:t>
            </w:r>
          </w:p>
        </w:tc>
      </w:tr>
      <w:tr>
        <w:tc>
          <w:tcPr>
            <w:tcW w:type="dxa" w:w="4680"/>
          </w:tcPr>
          <w:p>
            <w:r/>
            <w:r>
              <w:rPr>
                <w:b w:val="0"/>
                <w:i w:val="0"/>
                <w:sz w:val="19"/>
              </w:rPr>
              <w:t>3</w:t>
            </w:r>
          </w:p>
        </w:tc>
        <w:tc>
          <w:tcPr>
            <w:tcW w:type="dxa" w:w="4680"/>
          </w:tcPr>
          <w:p>
            <w:r/>
            <w:r>
              <w:rPr>
                <w:b w:val="0"/>
                <w:i w:val="0"/>
                <w:sz w:val="19"/>
              </w:rPr>
              <w:t>“Explore 30 Years of ESG,” MSCI, không ngày, https://www.msci.com/esg/30-years-of-esg.</w:t>
            </w:r>
          </w:p>
        </w:tc>
      </w:tr>
      <w:tr>
        <w:tc>
          <w:tcPr>
            <w:tcW w:type="dxa" w:w="4680"/>
          </w:tcPr>
          <w:p>
            <w:r/>
            <w:r>
              <w:rPr>
                <w:b w:val="0"/>
                <w:i w:val="0"/>
                <w:sz w:val="19"/>
              </w:rPr>
              <w:t>4</w:t>
            </w:r>
          </w:p>
        </w:tc>
        <w:tc>
          <w:tcPr>
            <w:tcW w:type="dxa" w:w="4680"/>
          </w:tcPr>
          <w:p>
            <w:r/>
            <w:r>
              <w:rPr>
                <w:b w:val="0"/>
                <w:i w:val="0"/>
                <w:sz w:val="19"/>
              </w:rPr>
              <w:t>“UNEP Statement of Commitment by Financial Institutions (FI) on Sustainable Development,” Chương trình Môi trường Liên hợp quốc, 1992, https://wedocs.unep.org/handle/20.500.11822/42662.</w:t>
            </w:r>
          </w:p>
        </w:tc>
      </w:tr>
      <w:tr>
        <w:tc>
          <w:tcPr>
            <w:tcW w:type="dxa" w:w="4680"/>
          </w:tcPr>
          <w:p>
            <w:r/>
            <w:r>
              <w:rPr>
                <w:b w:val="0"/>
                <w:i w:val="0"/>
                <w:sz w:val="19"/>
              </w:rPr>
              <w:t>5</w:t>
            </w:r>
          </w:p>
        </w:tc>
        <w:tc>
          <w:tcPr>
            <w:tcW w:type="dxa" w:w="4680"/>
          </w:tcPr>
          <w:p>
            <w:r/>
            <w:r>
              <w:rPr>
                <w:b w:val="0"/>
                <w:i w:val="0"/>
                <w:sz w:val="19"/>
              </w:rPr>
              <w:t xml:space="preserve">John Elkington, “25 Years Ago I Coined the Phrase ‘Triple Bottom Line.’ Here’s Why It’s Time to Rethink It.,” </w:t>
            </w:r>
            <w:r>
              <w:rPr>
                <w:b w:val="0"/>
                <w:i/>
                <w:sz w:val="19"/>
              </w:rPr>
              <w:t>Harvard Business Review</w:t>
            </w:r>
            <w:r>
              <w:rPr>
                <w:b w:val="0"/>
                <w:i w:val="0"/>
                <w:sz w:val="19"/>
              </w:rPr>
              <w:t>, ngày 25 tháng 6 năm 2018, https://hbr.org/2018/06/25-years-ago-i-coined-the-phrase-triple-bottom-line-heres-why-im-giving-up-on-it.</w:t>
            </w:r>
          </w:p>
        </w:tc>
      </w:tr>
      <w:tr>
        <w:tc>
          <w:tcPr>
            <w:tcW w:type="dxa" w:w="4680"/>
          </w:tcPr>
          <w:p>
            <w:r/>
            <w:r>
              <w:rPr>
                <w:b w:val="0"/>
                <w:i w:val="0"/>
                <w:sz w:val="19"/>
              </w:rPr>
              <w:t>6</w:t>
            </w:r>
          </w:p>
        </w:tc>
        <w:tc>
          <w:tcPr>
            <w:tcW w:type="dxa" w:w="4680"/>
          </w:tcPr>
          <w:p>
            <w:r/>
            <w:r>
              <w:rPr>
                <w:b w:val="0"/>
                <w:i w:val="0"/>
                <w:sz w:val="19"/>
              </w:rPr>
              <w:t>Sandra Maria Barroca Silveira, “O Audiovisual como Recurso para Resgate Reputacional: A Teoria da Reparação da Imagem e o Discurso de Renovação na Comunicação ESG em Cenário Pós-crise,” Chương trình Sau đại học về Truyền thông Xã hội—Tương tác qua Phương tiện Truyền thông, Đại học Giáo hoàng Công giáo Minas Gerais, 2022, chú thích 28, https://bib.pucminas.br/teses/ComunicacaoSocial_SandraMariaBarrocaSilveira_30103_Textocompleto.pdf.</w:t>
            </w:r>
          </w:p>
        </w:tc>
      </w:tr>
      <w:tr>
        <w:tc>
          <w:tcPr>
            <w:tcW w:type="dxa" w:w="4680"/>
          </w:tcPr>
          <w:p>
            <w:r/>
            <w:r>
              <w:rPr>
                <w:b w:val="0"/>
                <w:i w:val="0"/>
                <w:sz w:val="19"/>
              </w:rPr>
              <w:t>7</w:t>
            </w:r>
          </w:p>
        </w:tc>
        <w:tc>
          <w:tcPr>
            <w:tcW w:type="dxa" w:w="4680"/>
          </w:tcPr>
          <w:p>
            <w:r/>
            <w:r>
              <w:rPr>
                <w:b w:val="0"/>
                <w:i w:val="0"/>
                <w:sz w:val="19"/>
              </w:rPr>
              <w:t>“Các Nguyên tắc Đầu tư Có Trách nhiệm là gì?,” PRI, ngày 6 tháng 8 năm 2024, https://www.unpri.org/about-us/what-are-the-principles-for-responsible-investment.</w:t>
            </w:r>
          </w:p>
        </w:tc>
      </w:tr>
      <w:tr>
        <w:tc>
          <w:tcPr>
            <w:tcW w:type="dxa" w:w="4680"/>
          </w:tcPr>
          <w:p>
            <w:r/>
            <w:r>
              <w:rPr>
                <w:b w:val="0"/>
                <w:i w:val="0"/>
                <w:sz w:val="19"/>
              </w:rPr>
              <w:t>8</w:t>
            </w:r>
          </w:p>
        </w:tc>
        <w:tc>
          <w:tcPr>
            <w:tcW w:type="dxa" w:w="4680"/>
          </w:tcPr>
          <w:p>
            <w:r/>
            <w:r>
              <w:rPr>
                <w:b w:val="0"/>
                <w:i w:val="0"/>
                <w:sz w:val="19"/>
              </w:rPr>
              <w:t>Andrea Pawliczek, Ashley Nicole Skinner, và Laura Wellman, “Một Góc nhìn Mới về Tiếng nói: Ảnh hưởng của những lá thư ‘Gửi CEO’ từ BlackRock,” SSRN, tháng 1 năm 2021, https://ssrn.com/abstract=3763042.</w:t>
            </w:r>
          </w:p>
        </w:tc>
      </w:tr>
      <w:tr>
        <w:tc>
          <w:tcPr>
            <w:tcW w:type="dxa" w:w="4680"/>
          </w:tcPr>
          <w:p>
            <w:r/>
            <w:r>
              <w:rPr>
                <w:b w:val="0"/>
                <w:i w:val="0"/>
                <w:sz w:val="19"/>
              </w:rPr>
              <w:t>9</w:t>
            </w:r>
          </w:p>
        </w:tc>
        <w:tc>
          <w:tcPr>
            <w:tcW w:type="dxa" w:w="4680"/>
          </w:tcPr>
          <w:p>
            <w:r/>
            <w:r>
              <w:rPr>
                <w:b w:val="0"/>
                <w:i w:val="0"/>
                <w:sz w:val="19"/>
              </w:rPr>
              <w:t>Larry Fink, “Lá thư Hàng năm của Larry Fink gửi các CEO: Ý thức về Mục đích,” BlackRock, 2018, https://aips.online/wp-content/uploads/2018/04/Larry-Fink-letter-to-CEOs-2018-BlackRock.pdf.</w:t>
            </w:r>
          </w:p>
        </w:tc>
      </w:tr>
      <w:tr>
        <w:tc>
          <w:tcPr>
            <w:tcW w:type="dxa" w:w="4680"/>
          </w:tcPr>
          <w:p>
            <w:r/>
            <w:r>
              <w:rPr>
                <w:b w:val="0"/>
                <w:i w:val="0"/>
                <w:sz w:val="19"/>
              </w:rPr>
              <w:t>10</w:t>
            </w:r>
          </w:p>
        </w:tc>
        <w:tc>
          <w:tcPr>
            <w:tcW w:type="dxa" w:w="4680"/>
          </w:tcPr>
          <w:p>
            <w:r/>
            <w:r>
              <w:rPr>
                <w:b w:val="0"/>
                <w:i w:val="0"/>
                <w:sz w:val="19"/>
              </w:rPr>
              <w:t xml:space="preserve">Andrew Ross Sorkin, “Thông điệp của BlackRock: Hãy Đóng góp cho Xã hội, nếu không sẽ Mất Sự ủng hộ của Chúng tôi,” </w:t>
            </w:r>
            <w:r>
              <w:rPr>
                <w:b w:val="0"/>
                <w:i/>
                <w:sz w:val="19"/>
              </w:rPr>
              <w:t>New York Times</w:t>
            </w:r>
            <w:r>
              <w:rPr>
                <w:b w:val="0"/>
                <w:i w:val="0"/>
                <w:sz w:val="19"/>
              </w:rPr>
              <w:t>, ngày 15 tháng 1 năm 2018, https://www.nytimes.com/2018/01/15/business/dealbook/blackrock-laurence-fink-letter.html.</w:t>
            </w:r>
          </w:p>
        </w:tc>
      </w:tr>
      <w:tr>
        <w:tc>
          <w:tcPr>
            <w:tcW w:type="dxa" w:w="4680"/>
          </w:tcPr>
          <w:p>
            <w:r/>
            <w:r>
              <w:rPr>
                <w:b w:val="0"/>
                <w:i w:val="0"/>
                <w:sz w:val="19"/>
              </w:rPr>
              <w:t>11</w:t>
            </w:r>
          </w:p>
        </w:tc>
        <w:tc>
          <w:tcPr>
            <w:tcW w:type="dxa" w:w="4680"/>
          </w:tcPr>
          <w:p>
            <w:r/>
            <w:r>
              <w:rPr>
                <w:b w:val="0"/>
                <w:i w:val="0"/>
                <w:sz w:val="19"/>
              </w:rPr>
              <w:t>“Business Roundtable Định nghĩa lại Mục đích của một Tập đoàn để Thúc đẩy ‘một Nền kinh tế Phục vụ Tất cả Người Mỹ,’” Business Roundtable, ngày 19 tháng 8 năm 2019, https://www.businessroundtable.org/business-roundtable-redefines-the-purpose-of-a-corporation-to-promote-an-economy-that-serves-all-americans.</w:t>
            </w:r>
          </w:p>
        </w:tc>
      </w:tr>
      <w:tr>
        <w:tc>
          <w:tcPr>
            <w:tcW w:type="dxa" w:w="4680"/>
          </w:tcPr>
          <w:p>
            <w:r/>
            <w:r>
              <w:rPr>
                <w:b w:val="0"/>
                <w:i w:val="0"/>
                <w:sz w:val="19"/>
              </w:rPr>
              <w:t>12</w:t>
            </w:r>
          </w:p>
        </w:tc>
        <w:tc>
          <w:tcPr>
            <w:tcW w:type="dxa" w:w="4680"/>
          </w:tcPr>
          <w:p>
            <w:r/>
            <w:r>
              <w:rPr>
                <w:b w:val="0"/>
                <w:i w:val="0"/>
                <w:sz w:val="19"/>
              </w:rPr>
              <w:t>“Một Năm Sau: Mục đích của một Tập đoàn,” Business Roundtable, không ngày, https://purpose.businessroundtable.org/.</w:t>
            </w:r>
          </w:p>
        </w:tc>
      </w:tr>
      <w:tr>
        <w:tc>
          <w:tcPr>
            <w:tcW w:type="dxa" w:w="4680"/>
          </w:tcPr>
          <w:p>
            <w:r/>
            <w:r>
              <w:rPr>
                <w:b w:val="0"/>
                <w:i w:val="0"/>
                <w:sz w:val="19"/>
              </w:rPr>
              <w:t>13</w:t>
            </w:r>
          </w:p>
        </w:tc>
        <w:tc>
          <w:tcPr>
            <w:tcW w:type="dxa" w:w="4680"/>
          </w:tcPr>
          <w:p>
            <w:r/>
            <w:r>
              <w:rPr>
                <w:b w:val="0"/>
                <w:i w:val="0"/>
                <w:sz w:val="19"/>
              </w:rPr>
              <w:t>“Business Roundtable Định nghĩa lại.”</w:t>
            </w:r>
          </w:p>
        </w:tc>
      </w:tr>
      <w:tr>
        <w:tc>
          <w:tcPr>
            <w:tcW w:type="dxa" w:w="4680"/>
          </w:tcPr>
          <w:p>
            <w:r/>
            <w:r>
              <w:rPr>
                <w:b w:val="0"/>
                <w:i w:val="0"/>
                <w:sz w:val="19"/>
              </w:rPr>
              <w:t>14</w:t>
            </w:r>
          </w:p>
        </w:tc>
        <w:tc>
          <w:tcPr>
            <w:tcW w:type="dxa" w:w="4680"/>
          </w:tcPr>
          <w:p>
            <w:r/>
            <w:r>
              <w:rPr>
                <w:b w:val="0"/>
                <w:i w:val="0"/>
                <w:sz w:val="19"/>
              </w:rPr>
              <w:t>“Khảo sát Toàn cầu cho thấy Các doanh nghiệp đang Gia tăng Cam kết và Chi tiêu cho ESG,” NAVEX, ngày 23 tháng 2 năm 2021, https://www.navex.com/blog/article/environmental-social-governance-esg-global-survey-findings/.</w:t>
            </w:r>
          </w:p>
        </w:tc>
      </w:tr>
      <w:tr>
        <w:tc>
          <w:tcPr>
            <w:tcW w:type="dxa" w:w="4680"/>
          </w:tcPr>
          <w:p>
            <w:r/>
            <w:r>
              <w:rPr>
                <w:b w:val="0"/>
                <w:i w:val="0"/>
                <w:sz w:val="19"/>
              </w:rPr>
              <w:t>15</w:t>
            </w:r>
          </w:p>
        </w:tc>
        <w:tc>
          <w:tcPr>
            <w:tcW w:type="dxa" w:w="4680"/>
          </w:tcPr>
          <w:p>
            <w:r/>
            <w:r>
              <w:rPr>
                <w:b w:val="0"/>
                <w:i w:val="0"/>
                <w:sz w:val="19"/>
              </w:rPr>
              <w:t>“Tối đa hóa lợi ích của các chỉ số đo lường hiệu quả ESG trong kế hoạch khuyến khích lãnh đạo điều hành,” The Conference Board, ngày 20 tháng 12 năm 2023, https://www.conference-board.org/publications/ESG-performance-metrics-in-executive-compensation-plans.</w:t>
            </w:r>
          </w:p>
        </w:tc>
      </w:tr>
      <w:tr>
        <w:tc>
          <w:tcPr>
            <w:tcW w:type="dxa" w:w="4680"/>
          </w:tcPr>
          <w:p>
            <w:r/>
            <w:r>
              <w:rPr>
                <w:b w:val="0"/>
                <w:i w:val="0"/>
                <w:sz w:val="19"/>
              </w:rPr>
              <w:t>16</w:t>
            </w:r>
          </w:p>
        </w:tc>
        <w:tc>
          <w:tcPr>
            <w:tcW w:type="dxa" w:w="4680"/>
          </w:tcPr>
          <w:p>
            <w:r/>
            <w:r>
              <w:rPr>
                <w:b w:val="0"/>
                <w:i w:val="0"/>
                <w:sz w:val="19"/>
              </w:rPr>
              <w:t>Connor Lott, “Thước đo PE của Coller Capital cho thấy niềm tin vào ESG, lo ngại về quy định và thuế,” AlixPartners, ngày 16 tháng 6 năm 2021, https://insights.alixpartners.com/post/102h0j3/coller-capitals-pe-barometer-shows-esg-conviction-regulatory-tax-fears.</w:t>
            </w:r>
          </w:p>
        </w:tc>
      </w:tr>
      <w:tr>
        <w:tc>
          <w:tcPr>
            <w:tcW w:type="dxa" w:w="4680"/>
          </w:tcPr>
          <w:p>
            <w:r/>
            <w:r>
              <w:rPr>
                <w:b w:val="0"/>
                <w:i w:val="0"/>
                <w:sz w:val="19"/>
              </w:rPr>
              <w:t>17</w:t>
            </w:r>
          </w:p>
        </w:tc>
        <w:tc>
          <w:tcPr>
            <w:tcW w:type="dxa" w:w="4680"/>
          </w:tcPr>
          <w:p>
            <w:r/>
            <w:r>
              <w:rPr>
                <w:b w:val="0"/>
                <w:i w:val="0"/>
                <w:sz w:val="19"/>
              </w:rPr>
              <w:t>“Báo cáo hành động bền vững: Kết quả khảo sát về công bố thông tin và mức độ sẵn sàng ESG,” Deloitte, tháng 12 năm 2022, https://www2.deloitte.com/content/dam/Deloitte/us/Documents/audit/us-survey-findings-on-esg-disclosure-and-preparedness.pdf.</w:t>
            </w:r>
          </w:p>
        </w:tc>
      </w:tr>
      <w:tr>
        <w:tc>
          <w:tcPr>
            <w:tcW w:type="dxa" w:w="4680"/>
          </w:tcPr>
          <w:p>
            <w:r/>
            <w:r>
              <w:rPr>
                <w:b w:val="0"/>
                <w:i w:val="0"/>
                <w:sz w:val="19"/>
              </w:rPr>
              <w:t>18</w:t>
            </w:r>
          </w:p>
        </w:tc>
        <w:tc>
          <w:tcPr>
            <w:tcW w:type="dxa" w:w="4680"/>
          </w:tcPr>
          <w:p>
            <w:r/>
            <w:r>
              <w:rPr>
                <w:b w:val="0"/>
                <w:i w:val="0"/>
                <w:sz w:val="19"/>
              </w:rPr>
              <w:t>“Báo cáo hành động bền vững.”</w:t>
            </w:r>
          </w:p>
        </w:tc>
      </w:tr>
      <w:tr>
        <w:tc>
          <w:tcPr>
            <w:tcW w:type="dxa" w:w="4680"/>
          </w:tcPr>
          <w:p>
            <w:r/>
            <w:r>
              <w:rPr>
                <w:b w:val="0"/>
                <w:i w:val="0"/>
                <w:sz w:val="19"/>
              </w:rPr>
              <w:t>19</w:t>
            </w:r>
          </w:p>
        </w:tc>
        <w:tc>
          <w:tcPr>
            <w:tcW w:type="dxa" w:w="4680"/>
          </w:tcPr>
          <w:p>
            <w:r/>
            <w:r>
              <w:rPr>
                <w:b w:val="0"/>
                <w:i w:val="0"/>
                <w:sz w:val="19"/>
              </w:rPr>
              <w:t>“Báo cáo hành động bền vững.”</w:t>
            </w:r>
          </w:p>
        </w:tc>
      </w:tr>
      <w:tr>
        <w:tc>
          <w:tcPr>
            <w:tcW w:type="dxa" w:w="4680"/>
          </w:tcPr>
          <w:p>
            <w:r/>
            <w:r>
              <w:rPr>
                <w:b w:val="0"/>
                <w:i w:val="0"/>
                <w:sz w:val="19"/>
              </w:rPr>
              <w:t>20</w:t>
            </w:r>
          </w:p>
        </w:tc>
        <w:tc>
          <w:tcPr>
            <w:tcW w:type="dxa" w:w="4680"/>
          </w:tcPr>
          <w:p>
            <w:r/>
            <w:r>
              <w:rPr>
                <w:b w:val="0"/>
                <w:i w:val="0"/>
                <w:sz w:val="19"/>
              </w:rPr>
              <w:t>Nakul Nair, “Quỹ ESG: Điều gì tạo nên hiệu quả tốt?,” Bloomberg Professional Services, ngày 8 tháng 8 năm 2023, https://www.bloomberg.com/professional/blog/esg-funds-what-makes-for-good-performance/.</w:t>
            </w:r>
          </w:p>
        </w:tc>
      </w:tr>
      <w:tr>
        <w:tc>
          <w:tcPr>
            <w:tcW w:type="dxa" w:w="4680"/>
          </w:tcPr>
          <w:p>
            <w:r/>
            <w:r>
              <w:rPr>
                <w:b w:val="0"/>
                <w:i w:val="0"/>
                <w:sz w:val="19"/>
              </w:rPr>
              <w:t>21</w:t>
            </w:r>
          </w:p>
        </w:tc>
        <w:tc>
          <w:tcPr>
            <w:tcW w:type="dxa" w:w="4680"/>
          </w:tcPr>
          <w:p>
            <w:r/>
            <w:r>
              <w:rPr>
                <w:b w:val="0"/>
                <w:i w:val="0"/>
                <w:sz w:val="19"/>
              </w:rPr>
              <w:t>Alastair Marsh, “Tài sản ESG toàn cầu giảm xuống còn 30,3 nghìn tỷ USD từ 35 nghìn tỷ USD giữa lúc Mỹ rút lui,” Bloomberg, ngày 28 tháng 11 năm 2023, https://www.bloomberg.com/news/articles/2023-11-29/global-esg-market-shrinks-after-sizable-drop-in-us.</w:t>
            </w:r>
          </w:p>
        </w:tc>
      </w:tr>
      <w:tr>
        <w:tc>
          <w:tcPr>
            <w:tcW w:type="dxa" w:w="4680"/>
          </w:tcPr>
          <w:p>
            <w:r/>
            <w:r>
              <w:rPr>
                <w:b w:val="0"/>
                <w:i w:val="0"/>
                <w:sz w:val="19"/>
              </w:rPr>
              <w:t>22</w:t>
            </w:r>
          </w:p>
        </w:tc>
        <w:tc>
          <w:tcPr>
            <w:tcW w:type="dxa" w:w="4680"/>
          </w:tcPr>
          <w:p>
            <w:r/>
            <w:r>
              <w:rPr>
                <w:b w:val="0"/>
                <w:i w:val="0"/>
                <w:sz w:val="19"/>
              </w:rPr>
              <w:t>“Kỷ niệm hơn 50 năm Ngày Trái Đất và phát triển bền vững,” Thông cáo báo chí, G&amp;A Institute, không ngày, https://www.ga-institute.com/nc/news/newsletter/press-release/article/marking-over-50-years-of-earth-day-and-sustainability-focused-mutual-funds.html.</w:t>
            </w:r>
          </w:p>
        </w:tc>
      </w:tr>
      <w:tr>
        <w:tc>
          <w:tcPr>
            <w:tcW w:type="dxa" w:w="4680"/>
          </w:tcPr>
          <w:p>
            <w:r/>
            <w:r>
              <w:rPr>
                <w:b w:val="0"/>
                <w:i w:val="0"/>
                <w:sz w:val="19"/>
              </w:rPr>
              <w:t>23</w:t>
            </w:r>
          </w:p>
        </w:tc>
        <w:tc>
          <w:tcPr>
            <w:tcW w:type="dxa" w:w="4680"/>
          </w:tcPr>
          <w:p>
            <w:r/>
            <w:r>
              <w:rPr>
                <w:b w:val="0"/>
                <w:i w:val="0"/>
                <w:sz w:val="19"/>
              </w:rPr>
              <w:t>“Kỷ niệm hơn 50 năm.”</w:t>
            </w:r>
          </w:p>
        </w:tc>
      </w:tr>
      <w:tr>
        <w:tc>
          <w:tcPr>
            <w:tcW w:type="dxa" w:w="4680"/>
          </w:tcPr>
          <w:p>
            <w:r/>
            <w:r>
              <w:rPr>
                <w:b w:val="0"/>
                <w:i w:val="0"/>
                <w:sz w:val="19"/>
              </w:rPr>
              <w:t>24</w:t>
            </w:r>
          </w:p>
        </w:tc>
        <w:tc>
          <w:tcPr>
            <w:tcW w:type="dxa" w:w="4680"/>
          </w:tcPr>
          <w:p>
            <w:r/>
            <w:r>
              <w:rPr>
                <w:b w:val="0"/>
                <w:i w:val="0"/>
                <w:sz w:val="19"/>
              </w:rPr>
              <w:t>“Công cụ tìm kiếm trọng yếu (Materiality Finder),” Sustainability Accounting Standards Board, n.d., https://sasb.org/standards/materiality-finder/.</w:t>
            </w:r>
          </w:p>
        </w:tc>
      </w:tr>
      <w:tr>
        <w:tc>
          <w:tcPr>
            <w:tcW w:type="dxa" w:w="4680"/>
          </w:tcPr>
          <w:p>
            <w:r/>
            <w:r>
              <w:rPr>
                <w:b w:val="0"/>
                <w:i w:val="0"/>
                <w:sz w:val="19"/>
              </w:rPr>
              <w:t>25</w:t>
            </w:r>
          </w:p>
        </w:tc>
        <w:tc>
          <w:tcPr>
            <w:tcW w:type="dxa" w:w="4680"/>
          </w:tcPr>
          <w:p>
            <w:r/>
            <w:r>
              <w:rPr>
                <w:b w:val="0"/>
                <w:i w:val="0"/>
                <w:sz w:val="19"/>
              </w:rPr>
              <w:t xml:space="preserve">Andrew Winston, “2023: Một năm kỳ lạ và đầy biến động trong lĩnh vực phát triển bền vững,” </w:t>
            </w:r>
            <w:r>
              <w:rPr>
                <w:b w:val="0"/>
                <w:i/>
                <w:sz w:val="19"/>
              </w:rPr>
              <w:t>Harvard Business Review</w:t>
            </w:r>
            <w:r>
              <w:rPr>
                <w:b w:val="0"/>
                <w:i w:val="0"/>
                <w:sz w:val="19"/>
              </w:rPr>
              <w:t>, ngày 28 tháng 12 năm 2023, https://hbr.org/2023/12/2023-a-strange-tumultuous-year-in-sustainability.</w:t>
            </w:r>
          </w:p>
        </w:tc>
      </w:tr>
      <w:tr>
        <w:tc>
          <w:tcPr>
            <w:tcW w:type="dxa" w:w="4680"/>
          </w:tcPr>
          <w:p>
            <w:r/>
            <w:r>
              <w:rPr>
                <w:b w:val="0"/>
                <w:i w:val="0"/>
                <w:sz w:val="19"/>
              </w:rPr>
              <w:t>26</w:t>
            </w:r>
          </w:p>
        </w:tc>
        <w:tc>
          <w:tcPr>
            <w:tcW w:type="dxa" w:w="4680"/>
          </w:tcPr>
          <w:p>
            <w:r/>
            <w:r>
              <w:rPr>
                <w:b w:val="0"/>
                <w:i w:val="0"/>
                <w:sz w:val="19"/>
              </w:rPr>
              <w:t>Avery Ellfeldt, “Các công ty Mỹ chạy đua trước các quy định công bố thông tin khí hậu của EU,” E&amp;E News by POLITICO, ngày 17 tháng 10 năm 2023, https://www.eenews.net/articles/us-companies-scramble-ahead-of-eu-climate-disclosure-rules/.</w:t>
            </w:r>
          </w:p>
        </w:tc>
      </w:tr>
      <w:tr>
        <w:tc>
          <w:tcPr>
            <w:tcW w:type="dxa" w:w="4680"/>
          </w:tcPr>
          <w:p>
            <w:r/>
            <w:r>
              <w:rPr>
                <w:b w:val="0"/>
                <w:i w:val="0"/>
                <w:sz w:val="19"/>
              </w:rPr>
              <w:t>27</w:t>
            </w:r>
          </w:p>
        </w:tc>
        <w:tc>
          <w:tcPr>
            <w:tcW w:type="dxa" w:w="4680"/>
          </w:tcPr>
          <w:p>
            <w:r/>
            <w:r>
              <w:rPr>
                <w:b w:val="0"/>
                <w:i w:val="0"/>
                <w:sz w:val="19"/>
              </w:rPr>
              <w:t>Loyti Cheng, David A. Zilberberg và Emily Roberts, “California ban hành các luật công bố thông tin liên quan đến khí hậu quan trọng,” Harvard Law School Forum on Corporate Governance, ngày 22 tháng 10 năm 2023, https://corpgov.law.harvard.edu/2023/10/22/california-enacts-major-climate-related-disclosure-laws/.</w:t>
            </w:r>
          </w:p>
        </w:tc>
      </w:tr>
      <w:tr>
        <w:tc>
          <w:tcPr>
            <w:tcW w:type="dxa" w:w="4680"/>
          </w:tcPr>
          <w:p>
            <w:r/>
            <w:r>
              <w:rPr>
                <w:b w:val="0"/>
                <w:i w:val="0"/>
                <w:sz w:val="19"/>
              </w:rPr>
              <w:t>28</w:t>
            </w:r>
          </w:p>
        </w:tc>
        <w:tc>
          <w:tcPr>
            <w:tcW w:type="dxa" w:w="4680"/>
          </w:tcPr>
          <w:p>
            <w:r/>
            <w:r>
              <w:rPr>
                <w:b w:val="0"/>
                <w:i w:val="0"/>
                <w:sz w:val="19"/>
              </w:rPr>
              <w:t xml:space="preserve">Hiroko Tabuchi, “Tòa án tạm thời đình chỉ các quy định khí hậu mới của S.E.C.,” </w:t>
            </w:r>
            <w:r>
              <w:rPr>
                <w:b w:val="0"/>
                <w:i/>
                <w:sz w:val="19"/>
              </w:rPr>
              <w:t>New York Times</w:t>
            </w:r>
            <w:r>
              <w:rPr>
                <w:b w:val="0"/>
                <w:i w:val="0"/>
                <w:sz w:val="19"/>
              </w:rPr>
              <w:t>, ngày 15 tháng 3 năm 2024, https://www.nytimes.com/2024/03/15/climate/sec-climate-rules-lawsuit.html.</w:t>
            </w:r>
          </w:p>
        </w:tc>
      </w:tr>
      <w:tr>
        <w:tc>
          <w:tcPr>
            <w:tcW w:type="dxa" w:w="4680"/>
          </w:tcPr>
          <w:p>
            <w:r/>
            <w:r>
              <w:rPr>
                <w:b w:val="0"/>
                <w:i w:val="0"/>
                <w:sz w:val="19"/>
              </w:rPr>
              <w:t>29</w:t>
            </w:r>
          </w:p>
        </w:tc>
        <w:tc>
          <w:tcPr>
            <w:tcW w:type="dxa" w:w="4680"/>
          </w:tcPr>
          <w:p>
            <w:r/>
            <w:r>
              <w:rPr>
                <w:b w:val="0"/>
                <w:i w:val="0"/>
                <w:sz w:val="19"/>
              </w:rPr>
              <w:t>“Phát thải Phạm vi 3 (Scope 3 Emissions),” Yale Sustainability, n.d., https://sustainability.yale.edu/priorities-progress/climate-action/greenhouse-gas-emissions/scope-3-emissions; “Phát thải carbon Phạm vi 1, 2 và 3 là gì?,” National Grid Group, ngày 1 tháng 7 năm 2024, https://www.nationalgrid.com/stories/energy-explained/what-are-scope-1-2-3-carbon-emissions.</w:t>
            </w:r>
          </w:p>
        </w:tc>
      </w:tr>
      <w:tr>
        <w:tc>
          <w:tcPr>
            <w:tcW w:type="dxa" w:w="4680"/>
          </w:tcPr>
          <w:p>
            <w:r/>
            <w:r>
              <w:rPr>
                <w:b w:val="0"/>
                <w:i w:val="0"/>
                <w:sz w:val="19"/>
              </w:rPr>
              <w:t>30</w:t>
            </w:r>
          </w:p>
        </w:tc>
        <w:tc>
          <w:tcPr>
            <w:tcW w:type="dxa" w:w="4680"/>
          </w:tcPr>
          <w:p>
            <w:r/>
            <w:r>
              <w:rPr>
                <w:b w:val="0"/>
                <w:i w:val="0"/>
                <w:sz w:val="19"/>
              </w:rPr>
              <w:t>Kirsten Spalding, “Đối với các nhà đầu tư có cam kết phát thải ròng bằng không, quy định công bố thông tin khí hậu bắt buộc được đề xuất của SEC là vô cùng quan trọng,” Ceres, ngày 8 tháng 4 năm 2022, https://www.ceres.org/news-center/blog/investors-net-zero-commitments-secs-proposed-mandatory-climate-disclosure-rule.</w:t>
            </w:r>
          </w:p>
        </w:tc>
      </w:tr>
      <w:tr>
        <w:tc>
          <w:tcPr>
            <w:tcW w:type="dxa" w:w="4680"/>
          </w:tcPr>
          <w:p>
            <w:r/>
            <w:r>
              <w:rPr>
                <w:b w:val="0"/>
                <w:i w:val="0"/>
                <w:sz w:val="19"/>
              </w:rPr>
              <w:t>31</w:t>
            </w:r>
          </w:p>
        </w:tc>
        <w:tc>
          <w:tcPr>
            <w:tcW w:type="dxa" w:w="4680"/>
          </w:tcPr>
          <w:p>
            <w:r/>
            <w:r>
              <w:rPr>
                <w:b w:val="0"/>
                <w:i w:val="0"/>
                <w:sz w:val="19"/>
              </w:rPr>
              <w:t>Evan Williams, “The Chamber Fights Back against Counterproductive Corporate Disclosure Requirements,” US Chamber of Commerce, January 30, 2024, https://www.uschamber.com/finance/corporate-governance/effective-material-corporate-disclosure-is-the-cornerstone-of-u-s-capital-markets.</w:t>
            </w:r>
          </w:p>
        </w:tc>
      </w:tr>
      <w:tr>
        <w:tc>
          <w:tcPr>
            <w:tcW w:type="dxa" w:w="4680"/>
          </w:tcPr>
          <w:p>
            <w:r/>
            <w:r>
              <w:rPr>
                <w:b w:val="0"/>
                <w:i w:val="0"/>
                <w:sz w:val="19"/>
              </w:rPr>
              <w:t>32</w:t>
            </w:r>
          </w:p>
        </w:tc>
        <w:tc>
          <w:tcPr>
            <w:tcW w:type="dxa" w:w="4680"/>
          </w:tcPr>
          <w:p>
            <w:r/>
            <w:r>
              <w:rPr>
                <w:b w:val="0"/>
                <w:i w:val="0"/>
                <w:sz w:val="19"/>
              </w:rPr>
              <w:t>Williams.</w:t>
            </w:r>
          </w:p>
        </w:tc>
      </w:tr>
      <w:tr>
        <w:tc>
          <w:tcPr>
            <w:tcW w:type="dxa" w:w="4680"/>
          </w:tcPr>
          <w:p>
            <w:r/>
            <w:r>
              <w:rPr>
                <w:b w:val="0"/>
                <w:i w:val="0"/>
                <w:sz w:val="19"/>
              </w:rPr>
              <w:t>33</w:t>
            </w:r>
          </w:p>
        </w:tc>
        <w:tc>
          <w:tcPr>
            <w:tcW w:type="dxa" w:w="4680"/>
          </w:tcPr>
          <w:p>
            <w:r/>
            <w:r>
              <w:rPr>
                <w:b w:val="0"/>
                <w:i w:val="0"/>
                <w:sz w:val="19"/>
              </w:rPr>
              <w:t>“Materiality Finder.”</w:t>
            </w:r>
          </w:p>
        </w:tc>
      </w:tr>
      <w:tr>
        <w:tc>
          <w:tcPr>
            <w:tcW w:type="dxa" w:w="4680"/>
          </w:tcPr>
          <w:p>
            <w:r/>
            <w:r>
              <w:rPr>
                <w:b w:val="0"/>
                <w:i w:val="0"/>
                <w:sz w:val="19"/>
              </w:rPr>
              <w:t>34</w:t>
            </w:r>
          </w:p>
        </w:tc>
        <w:tc>
          <w:tcPr>
            <w:tcW w:type="dxa" w:w="4680"/>
          </w:tcPr>
          <w:p>
            <w:r/>
            <w:r>
              <w:rPr>
                <w:b w:val="0"/>
                <w:i w:val="0"/>
                <w:sz w:val="19"/>
              </w:rPr>
              <w:t>“The ESG Global Survey 2021,” BNP Paribas, September 2021, https://www.theia.org/sites/default/files/2021-09/The%20ESG%20Global%20Survey%202021.pdf.</w:t>
            </w:r>
          </w:p>
        </w:tc>
      </w:tr>
      <w:tr>
        <w:tc>
          <w:tcPr>
            <w:tcW w:type="dxa" w:w="4680"/>
          </w:tcPr>
          <w:p>
            <w:r/>
            <w:r>
              <w:rPr>
                <w:b w:val="0"/>
                <w:i w:val="0"/>
                <w:sz w:val="19"/>
              </w:rPr>
              <w:t>35</w:t>
            </w:r>
          </w:p>
        </w:tc>
        <w:tc>
          <w:tcPr>
            <w:tcW w:type="dxa" w:w="4680"/>
          </w:tcPr>
          <w:p>
            <w:r/>
            <w:r>
              <w:rPr>
                <w:b w:val="0"/>
                <w:i w:val="0"/>
                <w:sz w:val="19"/>
              </w:rPr>
              <w:t>Institutional Shareholder Services, “Statement Regarding Consideration of Diversity Factors in U.S. Director Election Assessments,” ISS Insights, February 11, 2025, https://insights.issgovernance.com/posts/statement-regarding-consideration-of-diversity-factors-in-u-s-director-election-assessments/.</w:t>
            </w:r>
          </w:p>
        </w:tc>
      </w:tr>
      <w:tr>
        <w:tc>
          <w:tcPr>
            <w:tcW w:type="dxa" w:w="4680"/>
          </w:tcPr>
          <w:p>
            <w:r/>
            <w:r>
              <w:rPr>
                <w:b w:val="0"/>
                <w:i w:val="0"/>
                <w:sz w:val="19"/>
              </w:rPr>
              <w:t>36</w:t>
            </w:r>
          </w:p>
        </w:tc>
        <w:tc>
          <w:tcPr>
            <w:tcW w:type="dxa" w:w="4680"/>
          </w:tcPr>
          <w:p>
            <w:r/>
            <w:r>
              <w:rPr>
                <w:b w:val="0"/>
                <w:i w:val="0"/>
                <w:sz w:val="19"/>
              </w:rPr>
              <w:t>Lloyd M. Johnson Jr., “A Mission For Inclusion: In Conversation with Gary Gensler,” SEC, n.d., https://www.sec.gov/sec-stories/mission-inclusion-conversation-gary-gensler.</w:t>
            </w:r>
          </w:p>
        </w:tc>
      </w:tr>
      <w:tr>
        <w:tc>
          <w:tcPr>
            <w:tcW w:type="dxa" w:w="4680"/>
          </w:tcPr>
          <w:p>
            <w:r/>
            <w:r>
              <w:rPr>
                <w:b w:val="0"/>
                <w:i w:val="0"/>
                <w:sz w:val="19"/>
              </w:rPr>
              <w:t>37</w:t>
            </w:r>
          </w:p>
        </w:tc>
        <w:tc>
          <w:tcPr>
            <w:tcW w:type="dxa" w:w="4680"/>
          </w:tcPr>
          <w:p>
            <w:r/>
            <w:r>
              <w:rPr>
                <w:b w:val="0"/>
                <w:i w:val="0"/>
                <w:sz w:val="19"/>
              </w:rPr>
              <w:t>“Materiality Finder.”</w:t>
            </w:r>
          </w:p>
        </w:tc>
      </w:tr>
      <w:tr>
        <w:tc>
          <w:tcPr>
            <w:tcW w:type="dxa" w:w="4680"/>
          </w:tcPr>
          <w:p>
            <w:r/>
            <w:r>
              <w:rPr>
                <w:b w:val="0"/>
                <w:i w:val="0"/>
                <w:sz w:val="19"/>
              </w:rPr>
              <w:t>38</w:t>
            </w:r>
          </w:p>
        </w:tc>
        <w:tc>
          <w:tcPr>
            <w:tcW w:type="dxa" w:w="4680"/>
          </w:tcPr>
          <w:p>
            <w:r/>
            <w:r>
              <w:rPr>
                <w:b w:val="0"/>
                <w:i w:val="0"/>
                <w:sz w:val="19"/>
              </w:rPr>
              <w:t>“ISS Global Voting Principles,” ISS, February 8, 2021, https://www.issgovernance.com/policy-gateway/iss-global-voting-principles/.</w:t>
            </w:r>
          </w:p>
        </w:tc>
      </w:tr>
      <w:tr>
        <w:tc>
          <w:tcPr>
            <w:tcW w:type="dxa" w:w="4680"/>
          </w:tcPr>
          <w:p>
            <w:r/>
            <w:r>
              <w:rPr>
                <w:b w:val="0"/>
                <w:i w:val="0"/>
                <w:sz w:val="19"/>
              </w:rPr>
              <w:t>39</w:t>
            </w:r>
          </w:p>
        </w:tc>
        <w:tc>
          <w:tcPr>
            <w:tcW w:type="dxa" w:w="4680"/>
          </w:tcPr>
          <w:p>
            <w:r/>
            <w:r>
              <w:rPr>
                <w:b w:val="0"/>
                <w:i w:val="0"/>
                <w:sz w:val="19"/>
              </w:rPr>
              <w:t>Rosa A. Testani và cộng sự, “Proxy Advisory Firms Issue 2023 Voting Guidelines,” Akin Gump Strauss Hauer &amp; Feld LLP, ngày 6 tháng 2 năm 2023, https://www.akingump.com/en/insights/alerts/proxy-advisory-firms-issue-2023-voting-guidelines.</w:t>
            </w:r>
          </w:p>
        </w:tc>
      </w:tr>
      <w:tr>
        <w:tc>
          <w:tcPr>
            <w:tcW w:type="dxa" w:w="4680"/>
          </w:tcPr>
          <w:p>
            <w:r/>
            <w:r>
              <w:rPr>
                <w:b w:val="0"/>
                <w:i w:val="0"/>
                <w:sz w:val="19"/>
              </w:rPr>
              <w:t>40</w:t>
            </w:r>
          </w:p>
        </w:tc>
        <w:tc>
          <w:tcPr>
            <w:tcW w:type="dxa" w:w="4680"/>
          </w:tcPr>
          <w:p>
            <w:r/>
            <w:r>
              <w:rPr>
                <w:b w:val="0"/>
                <w:i w:val="0"/>
                <w:sz w:val="19"/>
              </w:rPr>
              <w:t>“Environmental, Social and Governance (ESG) Issues,” PRI, không ngày, https://www.unpri.org/sustainability-issues/environmental-social-and-governance-issues.</w:t>
            </w:r>
          </w:p>
        </w:tc>
      </w:tr>
      <w:tr>
        <w:tc>
          <w:tcPr>
            <w:tcW w:type="dxa" w:w="4680"/>
          </w:tcPr>
          <w:p>
            <w:r/>
            <w:r>
              <w:rPr>
                <w:b w:val="0"/>
                <w:i w:val="0"/>
                <w:sz w:val="19"/>
              </w:rPr>
              <w:t>41</w:t>
            </w:r>
          </w:p>
        </w:tc>
        <w:tc>
          <w:tcPr>
            <w:tcW w:type="dxa" w:w="4680"/>
          </w:tcPr>
          <w:p>
            <w:r/>
            <w:r>
              <w:rPr>
                <w:b w:val="0"/>
                <w:i w:val="0"/>
                <w:sz w:val="19"/>
              </w:rPr>
              <w:t>“Defining the ‘G’ in ESG: Governance Factors at the Heart of Sustainable Business,” World Economic Forum, tháng 6 năm 2022, https://www3.weforum.org/docs/WEF_Defining_the_G_in_ESG_2022.pdf.</w:t>
            </w:r>
          </w:p>
        </w:tc>
      </w:tr>
      <w:tr>
        <w:tc>
          <w:tcPr>
            <w:tcW w:type="dxa" w:w="4680"/>
          </w:tcPr>
          <w:p>
            <w:r/>
            <w:r>
              <w:rPr>
                <w:b w:val="0"/>
                <w:i w:val="0"/>
                <w:sz w:val="19"/>
              </w:rPr>
              <w:t>42</w:t>
            </w:r>
          </w:p>
        </w:tc>
        <w:tc>
          <w:tcPr>
            <w:tcW w:type="dxa" w:w="4680"/>
          </w:tcPr>
          <w:p>
            <w:r/>
            <w:r>
              <w:rPr>
                <w:b w:val="0"/>
                <w:i w:val="0"/>
                <w:sz w:val="19"/>
              </w:rPr>
              <w:t>“Sustainability Action Report.”</w:t>
            </w:r>
          </w:p>
        </w:tc>
      </w:tr>
      <w:tr>
        <w:tc>
          <w:tcPr>
            <w:tcW w:type="dxa" w:w="4680"/>
          </w:tcPr>
          <w:p>
            <w:r/>
            <w:r>
              <w:rPr>
                <w:b w:val="0"/>
                <w:i w:val="0"/>
                <w:sz w:val="19"/>
              </w:rPr>
              <w:t>43</w:t>
            </w:r>
          </w:p>
        </w:tc>
        <w:tc>
          <w:tcPr>
            <w:tcW w:type="dxa" w:w="4680"/>
          </w:tcPr>
          <w:p>
            <w:r/>
            <w:r>
              <w:rPr>
                <w:b w:val="0"/>
                <w:i w:val="0"/>
                <w:sz w:val="19"/>
              </w:rPr>
              <w:t>“Sustainability Action Report.”</w:t>
            </w:r>
          </w:p>
        </w:tc>
      </w:tr>
      <w:tr>
        <w:tc>
          <w:tcPr>
            <w:tcW w:type="dxa" w:w="4680"/>
          </w:tcPr>
          <w:p>
            <w:r/>
            <w:r>
              <w:rPr>
                <w:b w:val="0"/>
                <w:i w:val="0"/>
                <w:sz w:val="19"/>
              </w:rPr>
              <w:t>44</w:t>
            </w:r>
          </w:p>
        </w:tc>
        <w:tc>
          <w:tcPr>
            <w:tcW w:type="dxa" w:w="4680"/>
          </w:tcPr>
          <w:p>
            <w:r/>
            <w:r>
              <w:rPr>
                <w:b w:val="0"/>
                <w:i w:val="0"/>
                <w:sz w:val="19"/>
              </w:rPr>
              <w:t>Brian Tayan, “ESG Ratings: A Compass without Direction,” Harvard Law School Forum on Corporate Governance, ngày 24 tháng 8 năm 2022, https://corpgov.law.harvard.edu/2022/08/24/esg-ratings-a-compass-without-direction/.</w:t>
            </w:r>
          </w:p>
        </w:tc>
      </w:tr>
      <w:tr>
        <w:tc>
          <w:tcPr>
            <w:tcW w:type="dxa" w:w="4680"/>
          </w:tcPr>
          <w:p>
            <w:r/>
            <w:r>
              <w:rPr>
                <w:b w:val="0"/>
                <w:i w:val="0"/>
                <w:sz w:val="19"/>
              </w:rPr>
              <w:t>45</w:t>
            </w:r>
          </w:p>
        </w:tc>
        <w:tc>
          <w:tcPr>
            <w:tcW w:type="dxa" w:w="4680"/>
          </w:tcPr>
          <w:p>
            <w:r/>
            <w:r>
              <w:rPr>
                <w:b w:val="0"/>
                <w:i w:val="0"/>
                <w:sz w:val="19"/>
              </w:rPr>
              <w:t>Tayan.</w:t>
            </w:r>
          </w:p>
        </w:tc>
      </w:tr>
      <w:tr>
        <w:tc>
          <w:tcPr>
            <w:tcW w:type="dxa" w:w="4680"/>
          </w:tcPr>
          <w:p>
            <w:r/>
            <w:r>
              <w:rPr>
                <w:b w:val="0"/>
                <w:i w:val="0"/>
                <w:sz w:val="19"/>
              </w:rPr>
              <w:t>46</w:t>
            </w:r>
          </w:p>
        </w:tc>
        <w:tc>
          <w:tcPr>
            <w:tcW w:type="dxa" w:w="4680"/>
          </w:tcPr>
          <w:p>
            <w:r/>
            <w:r>
              <w:rPr>
                <w:b w:val="0"/>
                <w:i w:val="0"/>
                <w:sz w:val="19"/>
              </w:rPr>
              <w:t>Ethan Rouen, Kunal Sachdeva, và Aaron Yoon, “The Evolution of ESG Reports and the Role of Voluntary Standards,” Harvard Law School Forum on Corporate Governance, ngày 21 tháng 11 năm 2022, https://corpgov.law.harvard.edu/2022/11/21/the-evolution-of-esg-reports-and-the-role-of-voluntary-standards/.</w:t>
            </w:r>
          </w:p>
        </w:tc>
      </w:tr>
      <w:tr>
        <w:tc>
          <w:tcPr>
            <w:tcW w:type="dxa" w:w="4680"/>
          </w:tcPr>
          <w:p>
            <w:r/>
            <w:r>
              <w:rPr>
                <w:b w:val="0"/>
                <w:i w:val="0"/>
                <w:sz w:val="19"/>
              </w:rPr>
              <w:t>47</w:t>
            </w:r>
          </w:p>
        </w:tc>
        <w:tc>
          <w:tcPr>
            <w:tcW w:type="dxa" w:w="4680"/>
          </w:tcPr>
          <w:p>
            <w:r/>
            <w:r>
              <w:rPr>
                <w:b w:val="0"/>
                <w:i w:val="0"/>
                <w:sz w:val="19"/>
              </w:rPr>
              <w:t>Ethan Rouen, Kunal Sachdeva, và Aaron Yoon, “Sustainability Meets Substance: Evaluating ESG Reports in the Context of 10-Ks and Firm Performance,” SSRN, 15 tháng 3, 2024, https://ssrn.com/abstract=4227934.</w:t>
            </w:r>
          </w:p>
        </w:tc>
      </w:tr>
      <w:tr>
        <w:tc>
          <w:tcPr>
            <w:tcW w:type="dxa" w:w="4680"/>
          </w:tcPr>
          <w:p>
            <w:r/>
            <w:r>
              <w:rPr>
                <w:b w:val="0"/>
                <w:i w:val="0"/>
                <w:sz w:val="19"/>
              </w:rPr>
              <w:t>48</w:t>
            </w:r>
          </w:p>
        </w:tc>
        <w:tc>
          <w:tcPr>
            <w:tcW w:type="dxa" w:w="4680"/>
          </w:tcPr>
          <w:p>
            <w:r/>
            <w:r>
              <w:rPr>
                <w:b w:val="0"/>
                <w:i w:val="0"/>
                <w:sz w:val="19"/>
              </w:rPr>
              <w:t xml:space="preserve">Rochelle Toplensky và Florence Lo/Reuters, “Why ESG Ratings Are All Over the Map,” </w:t>
            </w:r>
            <w:r>
              <w:rPr>
                <w:b w:val="0"/>
                <w:i/>
                <w:sz w:val="19"/>
              </w:rPr>
              <w:t>Wall Street Journal</w:t>
            </w:r>
            <w:r>
              <w:rPr>
                <w:b w:val="0"/>
                <w:i w:val="0"/>
                <w:sz w:val="19"/>
              </w:rPr>
              <w:t>, 17 tháng 8, https://www.wsj.com/finance/investing/esg-ratings-f569f60e.</w:t>
            </w:r>
          </w:p>
        </w:tc>
      </w:tr>
      <w:tr>
        <w:tc>
          <w:tcPr>
            <w:tcW w:type="dxa" w:w="4680"/>
          </w:tcPr>
          <w:p>
            <w:r/>
            <w:r>
              <w:rPr>
                <w:b w:val="0"/>
                <w:i w:val="0"/>
                <w:sz w:val="19"/>
              </w:rPr>
              <w:t>49</w:t>
            </w:r>
          </w:p>
        </w:tc>
        <w:tc>
          <w:tcPr>
            <w:tcW w:type="dxa" w:w="4680"/>
          </w:tcPr>
          <w:p>
            <w:r/>
            <w:r>
              <w:rPr>
                <w:b w:val="0"/>
                <w:i w:val="0"/>
                <w:sz w:val="19"/>
              </w:rPr>
              <w:t>“Figure 22. The SASB Materiality Map—Sector Level,” ResearchGate, n.d., https://www.researchgate.net/figure/The-SASB-Materiality-Map-Sector-level_fig10_337195912.</w:t>
            </w:r>
          </w:p>
        </w:tc>
      </w:tr>
      <w:tr>
        <w:tc>
          <w:tcPr>
            <w:tcW w:type="dxa" w:w="4680"/>
          </w:tcPr>
          <w:p>
            <w:r/>
            <w:r>
              <w:rPr>
                <w:b w:val="0"/>
                <w:i w:val="0"/>
                <w:sz w:val="19"/>
              </w:rPr>
              <w:t>50</w:t>
            </w:r>
          </w:p>
        </w:tc>
        <w:tc>
          <w:tcPr>
            <w:tcW w:type="dxa" w:w="4680"/>
          </w:tcPr>
          <w:p>
            <w:r/>
            <w:r>
              <w:rPr>
                <w:b w:val="0"/>
                <w:i w:val="0"/>
                <w:sz w:val="19"/>
              </w:rPr>
              <w:t xml:space="preserve">Tim Rogmans và Karim El-Jisr, “Designing Your Company’s Sustainability Report,” </w:t>
            </w:r>
            <w:r>
              <w:rPr>
                <w:b w:val="0"/>
                <w:i/>
                <w:sz w:val="19"/>
              </w:rPr>
              <w:t>Harvard Business Review</w:t>
            </w:r>
            <w:r>
              <w:rPr>
                <w:b w:val="0"/>
                <w:i w:val="0"/>
                <w:sz w:val="19"/>
              </w:rPr>
              <w:t>, 14 tháng 1, 2022, https://hbr.org/2022/01/designing-your-companys-sustainability-report.</w:t>
            </w:r>
          </w:p>
        </w:tc>
      </w:tr>
      <w:tr>
        <w:tc>
          <w:tcPr>
            <w:tcW w:type="dxa" w:w="4680"/>
          </w:tcPr>
          <w:p>
            <w:r/>
            <w:r>
              <w:rPr>
                <w:b w:val="0"/>
                <w:i w:val="0"/>
                <w:sz w:val="19"/>
              </w:rPr>
              <w:t>51</w:t>
            </w:r>
          </w:p>
        </w:tc>
        <w:tc>
          <w:tcPr>
            <w:tcW w:type="dxa" w:w="4680"/>
          </w:tcPr>
          <w:p>
            <w:r/>
            <w:r>
              <w:rPr>
                <w:b w:val="0"/>
                <w:i w:val="0"/>
                <w:sz w:val="19"/>
              </w:rPr>
              <w:t>Rogmans và El-Jisr.</w:t>
            </w:r>
          </w:p>
        </w:tc>
      </w:tr>
      <w:tr>
        <w:tc>
          <w:tcPr>
            <w:tcW w:type="dxa" w:w="4680"/>
          </w:tcPr>
          <w:p>
            <w:r/>
            <w:r>
              <w:rPr>
                <w:b w:val="0"/>
                <w:i w:val="0"/>
                <w:sz w:val="19"/>
              </w:rPr>
              <w:t>52</w:t>
            </w:r>
          </w:p>
        </w:tc>
        <w:tc>
          <w:tcPr>
            <w:tcW w:type="dxa" w:w="4680"/>
          </w:tcPr>
          <w:p>
            <w:r/>
            <w:r>
              <w:rPr>
                <w:b w:val="0"/>
                <w:i w:val="0"/>
                <w:sz w:val="19"/>
              </w:rPr>
              <w:t>Jay Gelb và cộng sự, “Investors Want to Hear from Companies about the Value of Sustainability,” McKinsey &amp; Company, 15 tháng 9, 2023, https://www.mckinsey.com/capabilities/strategy-and-corporate-finance/our-insights/investors-want-to-hear-from-companies-about-the-value-of-sustainability.</w:t>
            </w:r>
          </w:p>
        </w:tc>
      </w:tr>
      <w:tr>
        <w:tc>
          <w:tcPr>
            <w:tcW w:type="dxa" w:w="4680"/>
          </w:tcPr>
          <w:p>
            <w:r/>
            <w:r>
              <w:rPr>
                <w:b w:val="0"/>
                <w:i w:val="0"/>
                <w:sz w:val="19"/>
              </w:rPr>
              <w:t>53</w:t>
            </w:r>
          </w:p>
        </w:tc>
        <w:tc>
          <w:tcPr>
            <w:tcW w:type="dxa" w:w="4680"/>
          </w:tcPr>
          <w:p>
            <w:r/>
            <w:r>
              <w:rPr>
                <w:b w:val="0"/>
                <w:i w:val="0"/>
                <w:sz w:val="19"/>
              </w:rPr>
              <w:t>“What’s ESG Got to Do with It? The Current State of U.S. Sustainability Reporting,” Teneo Insights, Fall 2022, https://www.teneo.com/app/uploads/2022/09/2022-State-of-US-Sustainability-Report.pdf.</w:t>
            </w:r>
          </w:p>
        </w:tc>
      </w:tr>
      <w:tr>
        <w:tc>
          <w:tcPr>
            <w:tcW w:type="dxa" w:w="4680"/>
          </w:tcPr>
          <w:p>
            <w:r/>
            <w:r>
              <w:rPr>
                <w:b w:val="0"/>
                <w:i w:val="0"/>
                <w:sz w:val="19"/>
              </w:rPr>
              <w:t>54.</w:t>
            </w:r>
          </w:p>
        </w:tc>
        <w:tc>
          <w:tcPr>
            <w:tcW w:type="dxa" w:w="4680"/>
          </w:tcPr>
          <w:p>
            <w:r/>
            <w:r>
              <w:rPr>
                <w:b w:val="0"/>
                <w:i w:val="0"/>
                <w:sz w:val="19"/>
              </w:rPr>
              <w:t>Brian Baker, “ESG Investing Statistics 2023,” Bankrate, 31 tháng 1, 2023, https://www.bankrate.com/investing/esg-investing-statistics.</w:t>
            </w:r>
          </w:p>
        </w:tc>
      </w:tr>
      <w:tr>
        <w:tc>
          <w:tcPr>
            <w:tcW w:type="dxa" w:w="4680"/>
          </w:tcPr>
          <w:p>
            <w:r/>
            <w:r>
              <w:rPr>
                <w:b w:val="0"/>
                <w:i w:val="0"/>
                <w:sz w:val="19"/>
              </w:rPr>
              <w:t>55</w:t>
            </w:r>
          </w:p>
        </w:tc>
        <w:tc>
          <w:tcPr>
            <w:tcW w:type="dxa" w:w="4680"/>
          </w:tcPr>
          <w:p>
            <w:r/>
            <w:r>
              <w:rPr>
                <w:b w:val="0"/>
                <w:i w:val="0"/>
                <w:sz w:val="19"/>
              </w:rPr>
              <w:t xml:space="preserve">Michael E. Porter, Mark Kramer và George Serafeim, “Where ESG Fails,” </w:t>
            </w:r>
            <w:r>
              <w:rPr>
                <w:b w:val="0"/>
                <w:i/>
                <w:sz w:val="19"/>
              </w:rPr>
              <w:t>Institutional Investor</w:t>
            </w:r>
            <w:r>
              <w:rPr>
                <w:b w:val="0"/>
                <w:i w:val="0"/>
                <w:sz w:val="19"/>
              </w:rPr>
              <w:t>, ngày 16 tháng 10 năm 2019, https://www.institutionalinvestor.com/article/2bswdin8nvg922puxdzwg/opinion/where-esg-fails.</w:t>
            </w:r>
          </w:p>
        </w:tc>
      </w:tr>
      <w:tr>
        <w:tc>
          <w:tcPr>
            <w:tcW w:type="dxa" w:w="4680"/>
          </w:tcPr>
          <w:p>
            <w:r/>
            <w:r>
              <w:rPr>
                <w:b w:val="0"/>
                <w:i w:val="0"/>
                <w:sz w:val="19"/>
              </w:rPr>
              <w:t>56</w:t>
            </w:r>
          </w:p>
        </w:tc>
        <w:tc>
          <w:tcPr>
            <w:tcW w:type="dxa" w:w="4680"/>
          </w:tcPr>
          <w:p>
            <w:r/>
            <w:r>
              <w:rPr>
                <w:b w:val="0"/>
                <w:i w:val="0"/>
                <w:sz w:val="19"/>
              </w:rPr>
              <w:t xml:space="preserve">Steve Johnson, “ESG Outperformance Narrative ‘Is Flawed’, New Research Shows,” </w:t>
            </w:r>
            <w:r>
              <w:rPr>
                <w:b w:val="0"/>
                <w:i/>
                <w:sz w:val="19"/>
              </w:rPr>
              <w:t>Financial Times</w:t>
            </w:r>
            <w:r>
              <w:rPr>
                <w:b w:val="0"/>
                <w:i w:val="0"/>
                <w:sz w:val="19"/>
              </w:rPr>
              <w:t>, ngày 3 tháng 5 năm 2021, https://www.ft.com/content/be140b1b-2249-4dd9-859c-3f8f12ce6036.</w:t>
            </w:r>
          </w:p>
        </w:tc>
      </w:tr>
      <w:tr>
        <w:tc>
          <w:tcPr>
            <w:tcW w:type="dxa" w:w="4680"/>
          </w:tcPr>
          <w:p>
            <w:r/>
            <w:r>
              <w:rPr>
                <w:b w:val="0"/>
                <w:i w:val="0"/>
                <w:sz w:val="19"/>
              </w:rPr>
              <w:t>57</w:t>
            </w:r>
          </w:p>
        </w:tc>
        <w:tc>
          <w:tcPr>
            <w:tcW w:type="dxa" w:w="4680"/>
          </w:tcPr>
          <w:p>
            <w:r/>
            <w:r>
              <w:rPr>
                <w:b w:val="0"/>
                <w:i w:val="0"/>
                <w:sz w:val="19"/>
              </w:rPr>
              <w:t>Isla Binnie và Ross Kerber, “DeSantis Signs Sweeping Anti-ESG Legislation in Florida,” Reuters, ngày 3 tháng 5 năm 2023, https://www.reuters.com/business/sustainable-business/desantis-signs-sweeping-anti-esg-legislation-florida-2023-05-02/.</w:t>
            </w:r>
          </w:p>
        </w:tc>
      </w:tr>
      <w:tr>
        <w:tc>
          <w:tcPr>
            <w:tcW w:type="dxa" w:w="4680"/>
          </w:tcPr>
          <w:p>
            <w:r/>
            <w:r>
              <w:rPr>
                <w:b w:val="0"/>
                <w:i w:val="0"/>
                <w:sz w:val="19"/>
              </w:rPr>
              <w:t>58.</w:t>
            </w:r>
          </w:p>
        </w:tc>
        <w:tc>
          <w:tcPr>
            <w:tcW w:type="dxa" w:w="4680"/>
          </w:tcPr>
          <w:p>
            <w:r/>
            <w:r>
              <w:rPr>
                <w:b w:val="0"/>
                <w:i w:val="0"/>
                <w:sz w:val="19"/>
              </w:rPr>
              <w:t>Thomas Catenacci, “Tennessee Sues BlackRock in First-of-Its-Kind ESG Lawsuit,” Fox Business, ngày 18 tháng 12 năm 2023, https://www.foxbusiness.com/politics/tennessee-sues-blackrock-first-of-its-kind-esg-lawsuit.</w:t>
            </w:r>
          </w:p>
        </w:tc>
      </w:tr>
      <w:tr>
        <w:tc>
          <w:tcPr>
            <w:tcW w:type="dxa" w:w="4680"/>
          </w:tcPr>
          <w:p>
            <w:r/>
            <w:r>
              <w:rPr>
                <w:b w:val="0"/>
                <w:i w:val="0"/>
                <w:sz w:val="19"/>
              </w:rPr>
              <w:t>59</w:t>
            </w:r>
          </w:p>
        </w:tc>
        <w:tc>
          <w:tcPr>
            <w:tcW w:type="dxa" w:w="4680"/>
          </w:tcPr>
          <w:p>
            <w:r/>
            <w:r>
              <w:rPr>
                <w:b w:val="0"/>
                <w:i w:val="0"/>
                <w:sz w:val="19"/>
              </w:rPr>
              <w:t xml:space="preserve">Qwenton Briggs, “‘ESG Evasion’ &amp; the Anti-ESG Campaign: Tennessee’s Call for Clarity and Consumer Protection against BlackRock, Inc., the World’s Largest Asset Manager,” </w:t>
            </w:r>
            <w:r>
              <w:rPr>
                <w:b w:val="0"/>
                <w:i/>
                <w:sz w:val="19"/>
              </w:rPr>
              <w:t>Kentucky Law Journal</w:t>
            </w:r>
            <w:r>
              <w:rPr>
                <w:b w:val="0"/>
                <w:i w:val="0"/>
                <w:sz w:val="19"/>
              </w:rPr>
              <w:t xml:space="preserve"> 112, ngày 5 tháng 3 năm 2024, https://www.kentuckylawjournal.org/blog/esg-evasion-the-anti-esg-campaign-tennessees-call-for-clarity-and-consumer-protection-against-blackrock-inc-the-worlds-largest-asset-manager.</w:t>
            </w:r>
          </w:p>
        </w:tc>
      </w:tr>
      <w:tr>
        <w:tc>
          <w:tcPr>
            <w:tcW w:type="dxa" w:w="4680"/>
          </w:tcPr>
          <w:p>
            <w:r/>
            <w:r>
              <w:rPr>
                <w:b w:val="0"/>
                <w:i w:val="0"/>
                <w:sz w:val="19"/>
              </w:rPr>
              <w:t>60</w:t>
            </w:r>
          </w:p>
        </w:tc>
        <w:tc>
          <w:tcPr>
            <w:tcW w:type="dxa" w:w="4680"/>
          </w:tcPr>
          <w:p>
            <w:r/>
            <w:r>
              <w:rPr>
                <w:b w:val="0"/>
                <w:i w:val="0"/>
                <w:sz w:val="19"/>
              </w:rPr>
              <w:t>Leah Malone và Emily Holland, “ESG in Mid-2023: Making Sense of the Moment,” Harvard Law School Forum on Corporate Governance, ngày 31 tháng 8 năm 2023, https://corpgov.law.harvard.edu/2023/08/31/esg-in-mid-2023-making-sense-of-the-moment/.</w:t>
            </w:r>
          </w:p>
        </w:tc>
      </w:tr>
      <w:tr>
        <w:tc>
          <w:tcPr>
            <w:tcW w:type="dxa" w:w="4680"/>
          </w:tcPr>
          <w:p>
            <w:r/>
            <w:r>
              <w:rPr>
                <w:b w:val="0"/>
                <w:i w:val="0"/>
                <w:sz w:val="19"/>
              </w:rPr>
              <w:t>61</w:t>
            </w:r>
          </w:p>
        </w:tc>
        <w:tc>
          <w:tcPr>
            <w:tcW w:type="dxa" w:w="4680"/>
          </w:tcPr>
          <w:p>
            <w:r/>
            <w:r>
              <w:rPr>
                <w:b w:val="0"/>
                <w:i w:val="0"/>
                <w:sz w:val="19"/>
              </w:rPr>
              <w:t xml:space="preserve">J. Edward Moreno, “Exxon Sues to Prevent Climate Proposal from Getting a Shareholder Vote,” </w:t>
            </w:r>
            <w:r>
              <w:rPr>
                <w:b w:val="0"/>
                <w:i/>
                <w:sz w:val="19"/>
              </w:rPr>
              <w:t>New York Times</w:t>
            </w:r>
            <w:r>
              <w:rPr>
                <w:b w:val="0"/>
                <w:i w:val="0"/>
                <w:sz w:val="19"/>
              </w:rPr>
              <w:t>, ngày 22 tháng 1 năm 2024, https://www.nytimes.com/2024/01/22/business/exxon-climate-change-lawsuit.html; “U.S. Sustainable Funds Landscape 2024 in Review,” Morningstar, n.d., https://www.morningstar.com/lp/sustainable-funds-landscape-report.</w:t>
            </w:r>
          </w:p>
        </w:tc>
      </w:tr>
      <w:tr>
        <w:tc>
          <w:tcPr>
            <w:tcW w:type="dxa" w:w="4680"/>
          </w:tcPr>
          <w:p>
            <w:r/>
            <w:r>
              <w:rPr>
                <w:b w:val="0"/>
                <w:i w:val="0"/>
                <w:sz w:val="19"/>
              </w:rPr>
              <w:t>62</w:t>
            </w:r>
          </w:p>
        </w:tc>
        <w:tc>
          <w:tcPr>
            <w:tcW w:type="dxa" w:w="4680"/>
          </w:tcPr>
          <w:p>
            <w:r/>
            <w:r>
              <w:rPr>
                <w:b w:val="0"/>
                <w:i w:val="0"/>
                <w:sz w:val="19"/>
              </w:rPr>
              <w:t xml:space="preserve">Andrew Ross Sorkin và cộng sự, “After New Hampshire, Business Braces for a Trump Nomination,” </w:t>
            </w:r>
            <w:r>
              <w:rPr>
                <w:b w:val="0"/>
                <w:i/>
                <w:sz w:val="19"/>
              </w:rPr>
              <w:t>New York Times</w:t>
            </w:r>
            <w:r>
              <w:rPr>
                <w:b w:val="0"/>
                <w:i w:val="0"/>
                <w:sz w:val="19"/>
              </w:rPr>
              <w:t>, ngày 24 tháng 1 năm 2024, https://www.nytimes.com/2024/01/24/business/dealbook/trump-nomination-business.html.</w:t>
            </w:r>
          </w:p>
        </w:tc>
      </w:tr>
      <w:tr>
        <w:tc>
          <w:tcPr>
            <w:tcW w:type="dxa" w:w="4680"/>
          </w:tcPr>
          <w:p>
            <w:r/>
            <w:r>
              <w:rPr>
                <w:b w:val="0"/>
                <w:i w:val="0"/>
                <w:sz w:val="19"/>
              </w:rPr>
              <w:t>63</w:t>
            </w:r>
          </w:p>
        </w:tc>
        <w:tc>
          <w:tcPr>
            <w:tcW w:type="dxa" w:w="4680"/>
          </w:tcPr>
          <w:p>
            <w:r/>
            <w:r>
              <w:rPr>
                <w:b w:val="0"/>
                <w:i w:val="0"/>
                <w:sz w:val="19"/>
              </w:rPr>
              <w:t>Moreno, “Exxon Sues.”</w:t>
            </w:r>
          </w:p>
        </w:tc>
      </w:tr>
      <w:tr>
        <w:tc>
          <w:tcPr>
            <w:tcW w:type="dxa" w:w="4680"/>
          </w:tcPr>
          <w:p>
            <w:r/>
            <w:r>
              <w:rPr>
                <w:b w:val="0"/>
                <w:i w:val="0"/>
                <w:sz w:val="19"/>
              </w:rPr>
              <w:t>64</w:t>
            </w:r>
          </w:p>
        </w:tc>
        <w:tc>
          <w:tcPr>
            <w:tcW w:type="dxa" w:w="4680"/>
          </w:tcPr>
          <w:p>
            <w:r/>
            <w:r>
              <w:rPr>
                <w:b w:val="0"/>
                <w:i w:val="0"/>
                <w:sz w:val="19"/>
              </w:rPr>
              <w:t>Clara Hudson, “Exxon Case Dismissal Leaves Path for More Suits to Toss ESG Bids,” Bloomberg Law, June 20, 2024, https://news.bloomberglaw.com/esg/exxon-case-dismissal-leaves-path-for-more-suits-to-toss-esg-bids.</w:t>
            </w:r>
          </w:p>
        </w:tc>
      </w:tr>
      <w:tr>
        <w:tc>
          <w:tcPr>
            <w:tcW w:type="dxa" w:w="4680"/>
          </w:tcPr>
          <w:p>
            <w:r/>
            <w:r>
              <w:rPr>
                <w:b w:val="0"/>
                <w:i w:val="0"/>
                <w:sz w:val="19"/>
              </w:rPr>
              <w:t>65</w:t>
            </w:r>
          </w:p>
        </w:tc>
        <w:tc>
          <w:tcPr>
            <w:tcW w:type="dxa" w:w="4680"/>
          </w:tcPr>
          <w:p>
            <w:r/>
            <w:r>
              <w:rPr>
                <w:b w:val="0"/>
                <w:i w:val="0"/>
                <w:sz w:val="19"/>
              </w:rPr>
              <w:t>John Frank, “Larry Fink ‘Ashamed’ to Be Part of ESG Political Debate,” Axios, June 25, 2023, https://www.axios.com/2023/06/26/larry-fink-ashamed-esg-weaponized-desantis.</w:t>
            </w:r>
          </w:p>
        </w:tc>
      </w:tr>
      <w:tr>
        <w:tc>
          <w:tcPr>
            <w:tcW w:type="dxa" w:w="4680"/>
          </w:tcPr>
          <w:p>
            <w:r/>
            <w:r>
              <w:rPr>
                <w:b w:val="0"/>
                <w:i w:val="0"/>
                <w:sz w:val="19"/>
              </w:rPr>
              <w:t>66</w:t>
            </w:r>
          </w:p>
        </w:tc>
        <w:tc>
          <w:tcPr>
            <w:tcW w:type="dxa" w:w="4680"/>
          </w:tcPr>
          <w:p>
            <w:r/>
            <w:r>
              <w:rPr>
                <w:b w:val="0"/>
                <w:i w:val="0"/>
                <w:sz w:val="19"/>
              </w:rPr>
              <w:t xml:space="preserve">Andrew Ross Sorkin et al., “Is Tucker Carlson Too Hot for Twitter to Handle?,” </w:t>
            </w:r>
            <w:r>
              <w:rPr>
                <w:b w:val="0"/>
                <w:i/>
                <w:sz w:val="19"/>
              </w:rPr>
              <w:t>New York Times</w:t>
            </w:r>
            <w:r>
              <w:rPr>
                <w:b w:val="0"/>
                <w:i w:val="0"/>
                <w:sz w:val="19"/>
              </w:rPr>
              <w:t>, May 10, 2023, https://www.nytimes.com/2023/05/10/business/dealbook/tucker-carlson-elon-musk-twitter.html.</w:t>
            </w:r>
          </w:p>
        </w:tc>
      </w:tr>
      <w:tr>
        <w:tc>
          <w:tcPr>
            <w:tcW w:type="dxa" w:w="4680"/>
          </w:tcPr>
          <w:p>
            <w:r/>
            <w:r>
              <w:rPr>
                <w:b w:val="0"/>
                <w:i w:val="0"/>
                <w:sz w:val="19"/>
              </w:rPr>
              <w:t>67</w:t>
            </w:r>
          </w:p>
        </w:tc>
        <w:tc>
          <w:tcPr>
            <w:tcW w:type="dxa" w:w="4680"/>
          </w:tcPr>
          <w:p>
            <w:r/>
            <w:r>
              <w:rPr>
                <w:b w:val="0"/>
                <w:i w:val="0"/>
                <w:sz w:val="19"/>
              </w:rPr>
              <w:t xml:space="preserve">Brooke Masters và Patrick Temple-West, “JPMorgan and State Street Quit Climate Group as BlackRock Scales Back,” </w:t>
            </w:r>
            <w:r>
              <w:rPr>
                <w:b w:val="0"/>
                <w:i/>
                <w:sz w:val="19"/>
              </w:rPr>
              <w:t>Financial Times</w:t>
            </w:r>
            <w:r>
              <w:rPr>
                <w:b w:val="0"/>
                <w:i w:val="0"/>
                <w:sz w:val="19"/>
              </w:rPr>
              <w:t>, February 15, 2024, https://www.ft.com/content/3ce06a6f-f0e3-4f70-a078-82a6c265ddc2.</w:t>
            </w:r>
          </w:p>
        </w:tc>
      </w:tr>
      <w:tr>
        <w:tc>
          <w:tcPr>
            <w:tcW w:type="dxa" w:w="4680"/>
          </w:tcPr>
          <w:p>
            <w:r/>
            <w:r>
              <w:rPr>
                <w:b w:val="0"/>
                <w:i w:val="0"/>
                <w:sz w:val="19"/>
              </w:rPr>
              <w:t>68</w:t>
            </w:r>
          </w:p>
        </w:tc>
        <w:tc>
          <w:tcPr>
            <w:tcW w:type="dxa" w:w="4680"/>
          </w:tcPr>
          <w:p>
            <w:r/>
            <w:r>
              <w:rPr>
                <w:b w:val="0"/>
                <w:i w:val="0"/>
                <w:sz w:val="19"/>
              </w:rPr>
              <w:t>Amanda Gerut, “Jamie Dimon Takes a Stand by Signing JPMorgan up as the First Big Bank to Reveal a Key Clean Energy Metric to Investors,” Yahoo Finance, March 4, 2024, https://finance.yahoo.com/news/jamie-dimon-takes-stand-signing-010243726.html.</w:t>
            </w:r>
          </w:p>
        </w:tc>
      </w:tr>
      <w:tr>
        <w:tc>
          <w:tcPr>
            <w:tcW w:type="dxa" w:w="4680"/>
          </w:tcPr>
          <w:p>
            <w:r/>
            <w:r>
              <w:rPr>
                <w:b w:val="0"/>
                <w:i w:val="0"/>
                <w:sz w:val="19"/>
              </w:rPr>
              <w:t>69</w:t>
            </w:r>
          </w:p>
        </w:tc>
        <w:tc>
          <w:tcPr>
            <w:tcW w:type="dxa" w:w="4680"/>
          </w:tcPr>
          <w:p>
            <w:r/>
            <w:r>
              <w:rPr>
                <w:b w:val="0"/>
                <w:i w:val="0"/>
                <w:sz w:val="19"/>
              </w:rPr>
              <w:t xml:space="preserve">Mark Joyella, “On Fox, Donald Trump Calls Climate Change a ‘Hoax’: ‘In the 1920’s They Were Talking about Global Freezing,’” </w:t>
            </w:r>
            <w:r>
              <w:rPr>
                <w:b w:val="0"/>
                <w:i/>
                <w:sz w:val="19"/>
              </w:rPr>
              <w:t>Forbes</w:t>
            </w:r>
            <w:r>
              <w:rPr>
                <w:b w:val="0"/>
                <w:i w:val="0"/>
                <w:sz w:val="19"/>
              </w:rPr>
              <w:t>, March 23, 2022, https://www.forbes.com/sites/markjoyella/2022/03/21/on-fox-donald-trump-calls-climate-change-a-hoax-in-the-1920s-they-were-talking-about-global-freezing/.</w:t>
            </w:r>
          </w:p>
        </w:tc>
      </w:tr>
      <w:tr>
        <w:tc>
          <w:tcPr>
            <w:tcW w:type="dxa" w:w="4680"/>
          </w:tcPr>
          <w:p>
            <w:r/>
            <w:r>
              <w:rPr>
                <w:b w:val="0"/>
                <w:i w:val="0"/>
                <w:sz w:val="19"/>
              </w:rPr>
              <w:t>70</w:t>
            </w:r>
          </w:p>
        </w:tc>
        <w:tc>
          <w:tcPr>
            <w:tcW w:type="dxa" w:w="4680"/>
          </w:tcPr>
          <w:p>
            <w:r/>
            <w:r>
              <w:rPr>
                <w:b w:val="0"/>
                <w:i w:val="0"/>
                <w:sz w:val="19"/>
              </w:rPr>
              <w:t>“Running the Risk: How Corporate Boards Can Oversee Environmental, Social and Governance (ESG) Issues,” Ceres, November 20, 2019, https://www.ceres.org/resources/reports/running-risk-how-corporate-boards-can-oversee-environmental-social-and-governance.</w:t>
            </w:r>
          </w:p>
        </w:tc>
      </w:tr>
      <w:tr>
        <w:tc>
          <w:tcPr>
            <w:tcW w:type="dxa" w:w="4680"/>
          </w:tcPr>
          <w:p>
            <w:r/>
            <w:r>
              <w:rPr>
                <w:b w:val="0"/>
                <w:i w:val="0"/>
                <w:sz w:val="19"/>
              </w:rPr>
              <w:t>71</w:t>
            </w:r>
          </w:p>
        </w:tc>
        <w:tc>
          <w:tcPr>
            <w:tcW w:type="dxa" w:w="4680"/>
          </w:tcPr>
          <w:p>
            <w:r/>
            <w:r>
              <w:rPr>
                <w:b w:val="0"/>
                <w:i w:val="0"/>
                <w:sz w:val="19"/>
              </w:rPr>
              <w:t>“Stockholders versus Stakeholders—Cutting the Gordian Knot,” Skadden, August 5, 2020, https://www.skadden.com/-/media/files/publications/2020/08/stockholders-versus-stakeholders--cutting-the-gord.pdf.</w:t>
            </w:r>
          </w:p>
        </w:tc>
      </w:tr>
      <w:tr>
        <w:tc>
          <w:tcPr>
            <w:tcW w:type="dxa" w:w="4680"/>
          </w:tcPr>
          <w:p>
            <w:r/>
            <w:r>
              <w:rPr>
                <w:b w:val="0"/>
                <w:i w:val="0"/>
                <w:sz w:val="19"/>
              </w:rPr>
              <w:t>72</w:t>
            </w:r>
          </w:p>
        </w:tc>
        <w:tc>
          <w:tcPr>
            <w:tcW w:type="dxa" w:w="4680"/>
          </w:tcPr>
          <w:p>
            <w:r/>
            <w:r>
              <w:rPr>
                <w:b w:val="0"/>
                <w:i w:val="0"/>
                <w:sz w:val="19"/>
              </w:rPr>
              <w:t>CFI Team, “Stakeholder,” Corporate Finance Institute, 2023, https://corporatefinanceinstitute.com/resources/accounting/stakeholder/.</w:t>
            </w:r>
          </w:p>
        </w:tc>
      </w:tr>
      <w:tr>
        <w:tc>
          <w:tcPr>
            <w:tcW w:type="dxa" w:w="4680"/>
          </w:tcPr>
          <w:p>
            <w:r/>
            <w:r>
              <w:rPr>
                <w:b w:val="0"/>
                <w:i w:val="0"/>
                <w:sz w:val="19"/>
              </w:rPr>
              <w:t>73</w:t>
            </w:r>
          </w:p>
        </w:tc>
        <w:tc>
          <w:tcPr>
            <w:tcW w:type="dxa" w:w="4680"/>
          </w:tcPr>
          <w:p>
            <w:r/>
            <w:r>
              <w:rPr>
                <w:b w:val="0"/>
                <w:i w:val="0"/>
                <w:sz w:val="19"/>
              </w:rPr>
              <w:t>Dorothy Atkins, “Chancery Tosses Meta Activist Investor Suit over Social Ills,” Law360, April 30, 2024, https://www.law360.com/delaware/articles/1831409.</w:t>
            </w:r>
          </w:p>
        </w:tc>
      </w:tr>
      <w:tr>
        <w:tc>
          <w:tcPr>
            <w:tcW w:type="dxa" w:w="4680"/>
          </w:tcPr>
          <w:p>
            <w:r/>
            <w:r>
              <w:rPr>
                <w:b w:val="0"/>
                <w:i w:val="0"/>
                <w:sz w:val="19"/>
              </w:rPr>
              <w:t>74</w:t>
            </w:r>
          </w:p>
        </w:tc>
        <w:tc>
          <w:tcPr>
            <w:tcW w:type="dxa" w:w="4680"/>
          </w:tcPr>
          <w:p>
            <w:r/>
            <w:r>
              <w:rPr>
                <w:b w:val="0"/>
                <w:i w:val="0"/>
                <w:sz w:val="19"/>
              </w:rPr>
              <w:t>Atkins.</w:t>
            </w:r>
          </w:p>
        </w:tc>
      </w:tr>
      <w:tr>
        <w:tc>
          <w:tcPr>
            <w:tcW w:type="dxa" w:w="4680"/>
          </w:tcPr>
          <w:p>
            <w:r/>
            <w:r>
              <w:rPr>
                <w:b w:val="0"/>
                <w:i w:val="0"/>
                <w:sz w:val="19"/>
              </w:rPr>
              <w:t>75</w:t>
            </w:r>
          </w:p>
        </w:tc>
        <w:tc>
          <w:tcPr>
            <w:tcW w:type="dxa" w:w="4680"/>
          </w:tcPr>
          <w:p>
            <w:r/>
            <w:r>
              <w:rPr>
                <w:b w:val="0"/>
                <w:i w:val="0"/>
                <w:sz w:val="19"/>
              </w:rPr>
              <w:t xml:space="preserve">George Serafeim, </w:t>
            </w:r>
            <w:r>
              <w:rPr>
                <w:b w:val="0"/>
                <w:i/>
                <w:sz w:val="19"/>
              </w:rPr>
              <w:t>Purpose and Profit: How Business Can Lift Up the World</w:t>
            </w:r>
            <w:r>
              <w:rPr>
                <w:b w:val="0"/>
                <w:i w:val="0"/>
                <w:sz w:val="19"/>
              </w:rPr>
              <w:t xml:space="preserve"> (New York: HarperCollins Leadership, 2022).</w:t>
            </w:r>
          </w:p>
        </w:tc>
      </w:tr>
      <w:tr>
        <w:tc>
          <w:tcPr>
            <w:tcW w:type="dxa" w:w="4680"/>
          </w:tcPr>
          <w:p>
            <w:r/>
            <w:r>
              <w:rPr>
                <w:b w:val="0"/>
                <w:i w:val="0"/>
                <w:sz w:val="19"/>
              </w:rPr>
              <w:t>76</w:t>
            </w:r>
          </w:p>
        </w:tc>
        <w:tc>
          <w:tcPr>
            <w:tcW w:type="dxa" w:w="4680"/>
          </w:tcPr>
          <w:p>
            <w:r/>
            <w:r>
              <w:rPr>
                <w:b w:val="0"/>
                <w:i w:val="0"/>
                <w:sz w:val="19"/>
              </w:rPr>
              <w:t>Serafeim.</w:t>
            </w:r>
          </w:p>
        </w:tc>
      </w:tr>
      <w:tr>
        <w:tc>
          <w:tcPr>
            <w:tcW w:type="dxa" w:w="4680"/>
          </w:tcPr>
          <w:p>
            <w:r/>
            <w:r>
              <w:rPr>
                <w:b w:val="0"/>
                <w:i w:val="0"/>
                <w:sz w:val="19"/>
              </w:rPr>
              <w:t>77</w:t>
            </w:r>
          </w:p>
        </w:tc>
        <w:tc>
          <w:tcPr>
            <w:tcW w:type="dxa" w:w="4680"/>
          </w:tcPr>
          <w:p>
            <w:r/>
            <w:r>
              <w:rPr>
                <w:b w:val="0"/>
                <w:i w:val="0"/>
                <w:sz w:val="19"/>
              </w:rPr>
              <w:t xml:space="preserve">Alex Edmans và Bruce Bolger, “Can Stakeholder Capitalism Save Capitalism? First We Must Define It,” </w:t>
            </w:r>
            <w:r>
              <w:rPr>
                <w:b w:val="0"/>
                <w:i/>
                <w:sz w:val="19"/>
              </w:rPr>
              <w:t>Forbes</w:t>
            </w:r>
            <w:r>
              <w:rPr>
                <w:b w:val="0"/>
                <w:i w:val="0"/>
                <w:sz w:val="19"/>
              </w:rPr>
              <w:t>, August 26, 2020, https://www.forbes.com/sites/lbsbusinessstrategyreview/2020/08/26/can-stakeholder-capitalism-save-capitalism-first-we-must-define-it/?sh</w:t>
            </w:r>
            <w:r>
              <w:rPr>
                <w:rFonts w:ascii="Consolas" w:hAnsi="Consolas"/>
                <w:b w:val="0"/>
                <w:i w:val="0"/>
                <w:sz w:val="19"/>
              </w:rPr>
              <w:t>=1f68a6b41aa7</w:t>
            </w:r>
            <w:r>
              <w:rPr>
                <w:b w:val="0"/>
                <w:i w:val="0"/>
                <w:sz w:val="19"/>
              </w:rPr>
              <w:t>.</w:t>
            </w:r>
          </w:p>
        </w:tc>
      </w:tr>
      <w:tr>
        <w:tc>
          <w:tcPr>
            <w:tcW w:type="dxa" w:w="4680"/>
          </w:tcPr>
          <w:p>
            <w:r/>
            <w:r>
              <w:rPr>
                <w:b w:val="0"/>
                <w:i w:val="0"/>
                <w:sz w:val="19"/>
              </w:rPr>
              <w:t>78</w:t>
            </w:r>
          </w:p>
        </w:tc>
        <w:tc>
          <w:tcPr>
            <w:tcW w:type="dxa" w:w="4680"/>
          </w:tcPr>
          <w:p>
            <w:r/>
            <w:r>
              <w:rPr>
                <w:b w:val="0"/>
                <w:i w:val="0"/>
                <w:sz w:val="19"/>
              </w:rPr>
              <w:t>Edmans và Bolger.</w:t>
            </w:r>
          </w:p>
        </w:tc>
      </w:tr>
      <w:tr>
        <w:tc>
          <w:tcPr>
            <w:tcW w:type="dxa" w:w="4680"/>
          </w:tcPr>
          <w:p>
            <w:r/>
            <w:r>
              <w:rPr>
                <w:b w:val="0"/>
                <w:i w:val="0"/>
                <w:sz w:val="19"/>
              </w:rPr>
              <w:t>79</w:t>
            </w:r>
          </w:p>
        </w:tc>
        <w:tc>
          <w:tcPr>
            <w:tcW w:type="dxa" w:w="4680"/>
          </w:tcPr>
          <w:p>
            <w:r/>
            <w:r>
              <w:rPr>
                <w:b w:val="0"/>
                <w:i w:val="0"/>
                <w:sz w:val="19"/>
              </w:rPr>
              <w:t>Martin Lipton, “The New Paradigm: A Toolkit for Balancing Conflicting Stakeholder Interests and Protecting Long-Term Business Value,” Harvard Law School Forum on Corporate Governance, August 30, 2023, https://corpgov.law.harvard.edu/2023/08/30/the-new-paradigm-a-toolkit-for-balancing-conflicting-stakeholder-interests-and-protecting-long-term-business-value/.</w:t>
            </w:r>
          </w:p>
        </w:tc>
      </w:tr>
      <w:tr>
        <w:tc>
          <w:tcPr>
            <w:tcW w:type="dxa" w:w="4680"/>
          </w:tcPr>
          <w:p>
            <w:r/>
            <w:r>
              <w:rPr>
                <w:b w:val="0"/>
                <w:i w:val="0"/>
                <w:sz w:val="19"/>
              </w:rPr>
              <w:t>80.</w:t>
            </w:r>
          </w:p>
        </w:tc>
        <w:tc>
          <w:tcPr>
            <w:tcW w:type="dxa" w:w="4680"/>
          </w:tcPr>
          <w:p>
            <w:r/>
            <w:r>
              <w:rPr>
                <w:b w:val="0"/>
                <w:i w:val="0"/>
                <w:sz w:val="19"/>
              </w:rPr>
              <w:t xml:space="preserve">Lucian A. Bebchuk và Roberto Tallarita, “The Illusory Promise of Stakeholder Governance,” </w:t>
            </w:r>
            <w:r>
              <w:rPr>
                <w:b w:val="0"/>
                <w:i/>
                <w:sz w:val="19"/>
              </w:rPr>
              <w:t>Cornell Law Review</w:t>
            </w:r>
            <w:r>
              <w:rPr>
                <w:b w:val="0"/>
                <w:i w:val="0"/>
                <w:sz w:val="19"/>
              </w:rPr>
              <w:t xml:space="preserve"> 106 (February 26, 2020): 91–178 (Harvard Law School John M. Olin Center discussion paper no. 1052; Harvard Law School Program on Corporate Governance working paper 2020–21), https://ssrn.com/abstract=3544978.</w:t>
            </w:r>
          </w:p>
        </w:tc>
      </w:tr>
    </w:tbl>
    <w:p>
      <w:pPr>
        <w:spacing w:after="0"/>
      </w:pPr>
    </w:p>
    <w:p>
      <w:pPr>
        <w:pStyle w:val="Heading2"/>
      </w:pPr>
      <w:r>
        <w:rPr>
          <w:rFonts w:ascii="Calibri" w:hAnsi="Calibri"/>
          <w:b/>
          <w:i w:val="0"/>
          <w:sz w:val="32"/>
        </w:rPr>
        <w:t>Chương 11: Thành viên hội đồng quản trị mới: Tuyển dụng, Đa dạng và Hội nhập</w:t>
      </w:r>
    </w:p>
    <w:tbl>
      <w:tblPr>
        <w:tblStyle w:val="TableGrid"/>
        <w:tblW w:type="auto" w:w="0"/>
        <w:tblLook w:firstColumn="1" w:firstRow="1" w:lastColumn="0" w:lastRow="0" w:noHBand="0" w:noVBand="1" w:val="04A0"/>
      </w:tblPr>
      <w:tblGrid>
        <w:gridCol w:w="4680"/>
        <w:gridCol w:w="4680"/>
      </w:tblGrid>
      <w:tr>
        <w:tc>
          <w:tcPr>
            <w:tcW w:type="dxa" w:w="4680"/>
          </w:tcPr>
          <w:p>
            <w:r/>
            <w:r>
              <w:rPr>
                <w:b w:val="0"/>
                <w:i w:val="0"/>
                <w:sz w:val="19"/>
              </w:rPr>
              <w:t>1</w:t>
            </w:r>
          </w:p>
        </w:tc>
        <w:tc>
          <w:tcPr>
            <w:tcW w:type="dxa" w:w="4680"/>
          </w:tcPr>
          <w:p>
            <w:r/>
            <w:r>
              <w:rPr>
                <w:b w:val="0"/>
                <w:i w:val="0"/>
                <w:sz w:val="19"/>
              </w:rPr>
              <w:t>“Requirements for Public Company Boards,” Weil, January 3, 2022, https://www.weil.com/-/media/files/pdfs/2022/january/requirements_for_public_company_boards_including_ipo_transition_rules.pdf.</w:t>
            </w:r>
          </w:p>
        </w:tc>
      </w:tr>
      <w:tr>
        <w:tc>
          <w:tcPr>
            <w:tcW w:type="dxa" w:w="4680"/>
          </w:tcPr>
          <w:p>
            <w:r/>
            <w:r>
              <w:rPr>
                <w:b w:val="0"/>
                <w:i w:val="0"/>
                <w:sz w:val="19"/>
              </w:rPr>
              <w:t>2</w:t>
            </w:r>
          </w:p>
        </w:tc>
        <w:tc>
          <w:tcPr>
            <w:tcW w:type="dxa" w:w="4680"/>
          </w:tcPr>
          <w:p>
            <w:r/>
            <w:r>
              <w:rPr>
                <w:b w:val="0"/>
                <w:i w:val="0"/>
                <w:sz w:val="19"/>
              </w:rPr>
              <w:t>“2023 U.S. Spencer Stuart Board Index,” Spencer Stuart, 2023, https://www.spencerstuart.com/-/media/2023/september/usbi/2023_us_spencer_stuart_board_index.pdf.</w:t>
            </w:r>
          </w:p>
        </w:tc>
      </w:tr>
      <w:tr>
        <w:tc>
          <w:tcPr>
            <w:tcW w:type="dxa" w:w="4680"/>
          </w:tcPr>
          <w:p>
            <w:r/>
            <w:r>
              <w:rPr>
                <w:b w:val="0"/>
                <w:i w:val="0"/>
                <w:sz w:val="19"/>
              </w:rPr>
              <w:t>3</w:t>
            </w:r>
          </w:p>
        </w:tc>
        <w:tc>
          <w:tcPr>
            <w:tcW w:type="dxa" w:w="4680"/>
          </w:tcPr>
          <w:p>
            <w:r/>
            <w:r>
              <w:rPr>
                <w:b w:val="0"/>
                <w:i w:val="0"/>
                <w:sz w:val="19"/>
              </w:rPr>
              <w:t>Dennis Carey và Joseph E. Griesedieck, “CEOs as Directors? Maybe Not,” Korn Ferry, April 2, 2021, https://www.kornferry.com/insights/briefings-for-the-boardroom/the-decline-in-ceo-board-directors.</w:t>
            </w:r>
          </w:p>
        </w:tc>
      </w:tr>
      <w:tr>
        <w:tc>
          <w:tcPr>
            <w:tcW w:type="dxa" w:w="4680"/>
          </w:tcPr>
          <w:p>
            <w:r/>
            <w:r>
              <w:rPr>
                <w:b w:val="0"/>
                <w:i w:val="0"/>
                <w:sz w:val="19"/>
              </w:rPr>
              <w:t>4</w:t>
            </w:r>
          </w:p>
        </w:tc>
        <w:tc>
          <w:tcPr>
            <w:tcW w:type="dxa" w:w="4680"/>
          </w:tcPr>
          <w:p>
            <w:r/>
            <w:r>
              <w:rPr>
                <w:b w:val="0"/>
                <w:i w:val="0"/>
                <w:sz w:val="19"/>
              </w:rPr>
              <w:t>“The Big 3 and ESG: A Guide to Blackrock, State Street and Vanguard Proxy Voting Policies and Guidance on Key ESG Issues,” Weil, May 2023, https://www.weil.com/-/media/mailings/2023/q2/the-big-three--esg--a-guide-to-blackrock-state-street--vanguard-proxy-voting-policies--guidance-on-k.pdf.</w:t>
            </w:r>
          </w:p>
        </w:tc>
      </w:tr>
      <w:tr>
        <w:tc>
          <w:tcPr>
            <w:tcW w:type="dxa" w:w="4680"/>
          </w:tcPr>
          <w:p>
            <w:r/>
            <w:r>
              <w:rPr>
                <w:b w:val="0"/>
                <w:i w:val="0"/>
                <w:sz w:val="19"/>
              </w:rPr>
              <w:t>5</w:t>
            </w:r>
          </w:p>
        </w:tc>
        <w:tc>
          <w:tcPr>
            <w:tcW w:type="dxa" w:w="4680"/>
          </w:tcPr>
          <w:p>
            <w:r/>
            <w:r>
              <w:rPr>
                <w:b w:val="0"/>
                <w:i w:val="0"/>
                <w:sz w:val="19"/>
              </w:rPr>
              <w:t>Bill Hayes, “Ted Kennedy Jr.: More People with Disabilities Are Needed in the Boardroom,” Directors &amp; Boards, July 28, 2023, https://www.directorsandboards.com/board-composition/ted-kennedy-jr-more-people-with-disabilities-are-needed-in-the-boardroom/.</w:t>
            </w:r>
          </w:p>
        </w:tc>
      </w:tr>
      <w:tr>
        <w:tc>
          <w:tcPr>
            <w:tcW w:type="dxa" w:w="4680"/>
          </w:tcPr>
          <w:p>
            <w:r/>
            <w:r>
              <w:rPr>
                <w:b w:val="0"/>
                <w:i w:val="0"/>
                <w:sz w:val="19"/>
              </w:rPr>
              <w:t>6</w:t>
            </w:r>
          </w:p>
        </w:tc>
        <w:tc>
          <w:tcPr>
            <w:tcW w:type="dxa" w:w="4680"/>
          </w:tcPr>
          <w:p>
            <w:r/>
            <w:r>
              <w:rPr>
                <w:b w:val="0"/>
                <w:i w:val="0"/>
                <w:sz w:val="19"/>
              </w:rPr>
              <w:t>Hayes.</w:t>
            </w:r>
          </w:p>
        </w:tc>
      </w:tr>
      <w:tr>
        <w:tc>
          <w:tcPr>
            <w:tcW w:type="dxa" w:w="4680"/>
          </w:tcPr>
          <w:p>
            <w:r/>
            <w:r>
              <w:rPr>
                <w:b w:val="0"/>
                <w:i w:val="0"/>
                <w:sz w:val="19"/>
              </w:rPr>
              <w:t>7</w:t>
            </w:r>
          </w:p>
        </w:tc>
        <w:tc>
          <w:tcPr>
            <w:tcW w:type="dxa" w:w="4680"/>
          </w:tcPr>
          <w:p>
            <w:r/>
            <w:r>
              <w:rPr>
                <w:b w:val="0"/>
                <w:i w:val="0"/>
                <w:sz w:val="19"/>
              </w:rPr>
              <w:t>Sundiatu Dixon-Fyle và cộng sự, “Diversity Matters Even More: The Case for Holistic Impact,” McKinsey &amp; Company, ngày 5 tháng 12 năm 2023, https://www.mckinsey.com/featured-insights/diversity-and-inclusion/diversity-matters-even-more-the-case-for-holistic-impact.</w:t>
            </w:r>
          </w:p>
        </w:tc>
      </w:tr>
      <w:tr>
        <w:tc>
          <w:tcPr>
            <w:tcW w:type="dxa" w:w="4680"/>
          </w:tcPr>
          <w:p>
            <w:r/>
            <w:r>
              <w:rPr>
                <w:b w:val="0"/>
                <w:i w:val="0"/>
                <w:sz w:val="19"/>
              </w:rPr>
              <w:t>8</w:t>
            </w:r>
          </w:p>
        </w:tc>
        <w:tc>
          <w:tcPr>
            <w:tcW w:type="dxa" w:w="4680"/>
          </w:tcPr>
          <w:p>
            <w:r/>
            <w:r>
              <w:rPr>
                <w:b w:val="0"/>
                <w:i w:val="0"/>
                <w:sz w:val="19"/>
              </w:rPr>
              <w:t>Katherine Klein, “Does Gender Diversity on Boards Really Boost Company Performance?,” Knowledge at Wharton. ngày 18 tháng 5 năm 2017, https://knowledge.wharton.upenn.edu/article/will-gender-diversity-boards-really-boost-company-performance/.</w:t>
            </w:r>
          </w:p>
        </w:tc>
      </w:tr>
      <w:tr>
        <w:tc>
          <w:tcPr>
            <w:tcW w:type="dxa" w:w="4680"/>
          </w:tcPr>
          <w:p>
            <w:r/>
            <w:r>
              <w:rPr>
                <w:b w:val="0"/>
                <w:i w:val="0"/>
                <w:sz w:val="19"/>
              </w:rPr>
              <w:t>9</w:t>
            </w:r>
          </w:p>
        </w:tc>
        <w:tc>
          <w:tcPr>
            <w:tcW w:type="dxa" w:w="4680"/>
          </w:tcPr>
          <w:p>
            <w:r/>
            <w:r>
              <w:rPr>
                <w:b w:val="0"/>
                <w:i w:val="0"/>
                <w:sz w:val="19"/>
              </w:rPr>
              <w:t>Klein.</w:t>
            </w:r>
          </w:p>
        </w:tc>
      </w:tr>
      <w:tr>
        <w:tc>
          <w:tcPr>
            <w:tcW w:type="dxa" w:w="4680"/>
          </w:tcPr>
          <w:p>
            <w:r/>
            <w:r>
              <w:rPr>
                <w:b w:val="0"/>
                <w:i w:val="0"/>
                <w:sz w:val="19"/>
              </w:rPr>
              <w:t>10</w:t>
            </w:r>
          </w:p>
        </w:tc>
        <w:tc>
          <w:tcPr>
            <w:tcW w:type="dxa" w:w="4680"/>
          </w:tcPr>
          <w:p>
            <w:r/>
            <w:r>
              <w:rPr>
                <w:b w:val="0"/>
                <w:i w:val="0"/>
                <w:sz w:val="19"/>
              </w:rPr>
              <w:t>Klein.</w:t>
            </w:r>
          </w:p>
        </w:tc>
      </w:tr>
      <w:tr>
        <w:tc>
          <w:tcPr>
            <w:tcW w:type="dxa" w:w="4680"/>
          </w:tcPr>
          <w:p>
            <w:r/>
            <w:r>
              <w:rPr>
                <w:b w:val="0"/>
                <w:i w:val="0"/>
                <w:sz w:val="19"/>
              </w:rPr>
              <w:t>11</w:t>
            </w:r>
          </w:p>
        </w:tc>
        <w:tc>
          <w:tcPr>
            <w:tcW w:type="dxa" w:w="4680"/>
          </w:tcPr>
          <w:p>
            <w:r/>
            <w:r>
              <w:rPr>
                <w:b w:val="0"/>
                <w:i w:val="0"/>
                <w:sz w:val="19"/>
              </w:rPr>
              <w:t>“2023 U.S. Spencer Stuart Board Index.”</w:t>
            </w:r>
          </w:p>
        </w:tc>
      </w:tr>
      <w:tr>
        <w:tc>
          <w:tcPr>
            <w:tcW w:type="dxa" w:w="4680"/>
          </w:tcPr>
          <w:p>
            <w:r/>
            <w:r>
              <w:rPr>
                <w:b w:val="0"/>
                <w:i w:val="0"/>
                <w:sz w:val="19"/>
              </w:rPr>
              <w:t>12</w:t>
            </w:r>
          </w:p>
        </w:tc>
        <w:tc>
          <w:tcPr>
            <w:tcW w:type="dxa" w:w="4680"/>
          </w:tcPr>
          <w:p>
            <w:r/>
            <w:r>
              <w:rPr>
                <w:b w:val="0"/>
                <w:i w:val="0"/>
                <w:sz w:val="19"/>
              </w:rPr>
              <w:t>“2023 U.S. Spencer Stuart Board Index,”</w:t>
            </w:r>
          </w:p>
        </w:tc>
      </w:tr>
      <w:tr>
        <w:tc>
          <w:tcPr>
            <w:tcW w:type="dxa" w:w="4680"/>
          </w:tcPr>
          <w:p>
            <w:r/>
            <w:r>
              <w:rPr>
                <w:b w:val="0"/>
                <w:i w:val="0"/>
                <w:sz w:val="19"/>
              </w:rPr>
              <w:t>13</w:t>
            </w:r>
          </w:p>
        </w:tc>
        <w:tc>
          <w:tcPr>
            <w:tcW w:type="dxa" w:w="4680"/>
          </w:tcPr>
          <w:p>
            <w:r/>
            <w:r>
              <w:rPr>
                <w:b w:val="0"/>
                <w:i w:val="0"/>
                <w:sz w:val="19"/>
              </w:rPr>
              <w:t>“2022 U.S. Spencer Stuart Board Index.”</w:t>
            </w:r>
          </w:p>
        </w:tc>
      </w:tr>
      <w:tr>
        <w:tc>
          <w:tcPr>
            <w:tcW w:type="dxa" w:w="4680"/>
          </w:tcPr>
          <w:p>
            <w:r/>
            <w:r>
              <w:rPr>
                <w:b w:val="0"/>
                <w:i w:val="0"/>
                <w:sz w:val="19"/>
              </w:rPr>
              <w:t>14</w:t>
            </w:r>
          </w:p>
        </w:tc>
        <w:tc>
          <w:tcPr>
            <w:tcW w:type="dxa" w:w="4680"/>
          </w:tcPr>
          <w:p>
            <w:r/>
            <w:r>
              <w:rPr>
                <w:b w:val="0"/>
                <w:i w:val="0"/>
                <w:sz w:val="19"/>
              </w:rPr>
              <w:t>“2023 U.S. Spencer Stuart Board Index.”</w:t>
            </w:r>
          </w:p>
        </w:tc>
      </w:tr>
      <w:tr>
        <w:tc>
          <w:tcPr>
            <w:tcW w:type="dxa" w:w="4680"/>
          </w:tcPr>
          <w:p>
            <w:r/>
            <w:r>
              <w:rPr>
                <w:b w:val="0"/>
                <w:i w:val="0"/>
                <w:sz w:val="19"/>
              </w:rPr>
              <w:t>15</w:t>
            </w:r>
          </w:p>
        </w:tc>
        <w:tc>
          <w:tcPr>
            <w:tcW w:type="dxa" w:w="4680"/>
          </w:tcPr>
          <w:p>
            <w:r/>
            <w:r>
              <w:rPr>
                <w:b w:val="0"/>
                <w:i w:val="0"/>
                <w:sz w:val="19"/>
              </w:rPr>
              <w:t>Subodh Mishra, “Racial and Ethnic Diversity on U.S. Corporate Boards—Progress since 2020,” Harvard Law School Forum on Corporate Governance, July 21, 2022, https://corpgov.law.harvard.edu/2022/07/21/racial-and-ethnic-diversity-on-u-s-corporate-boards-progress-since-2020.</w:t>
            </w:r>
          </w:p>
        </w:tc>
      </w:tr>
      <w:tr>
        <w:tc>
          <w:tcPr>
            <w:tcW w:type="dxa" w:w="4680"/>
          </w:tcPr>
          <w:p>
            <w:r/>
            <w:r>
              <w:rPr>
                <w:b w:val="0"/>
                <w:i w:val="0"/>
                <w:sz w:val="19"/>
              </w:rPr>
              <w:t>16</w:t>
            </w:r>
          </w:p>
        </w:tc>
        <w:tc>
          <w:tcPr>
            <w:tcW w:type="dxa" w:w="4680"/>
          </w:tcPr>
          <w:p>
            <w:r/>
            <w:r>
              <w:rPr>
                <w:b w:val="0"/>
                <w:i w:val="0"/>
                <w:sz w:val="19"/>
              </w:rPr>
              <w:t>Lyuba Goltser, Kaitlin Descovich, Bianca Lazar, và Julie Rong, “Governance and Securities Alert,” Weil, 2023, https://www.weil.com/-/media/files/pdfs/2022/december/alert_2023_iss_and_gl_voting_policy_updates.pdf.</w:t>
            </w:r>
          </w:p>
        </w:tc>
      </w:tr>
      <w:tr>
        <w:tc>
          <w:tcPr>
            <w:tcW w:type="dxa" w:w="4680"/>
          </w:tcPr>
          <w:p>
            <w:r/>
            <w:r>
              <w:rPr>
                <w:b w:val="0"/>
                <w:i w:val="0"/>
                <w:sz w:val="19"/>
              </w:rPr>
              <w:t>17</w:t>
            </w:r>
          </w:p>
        </w:tc>
        <w:tc>
          <w:tcPr>
            <w:tcW w:type="dxa" w:w="4680"/>
          </w:tcPr>
          <w:p>
            <w:r/>
            <w:r>
              <w:rPr>
                <w:b w:val="0"/>
                <w:i w:val="0"/>
                <w:sz w:val="19"/>
              </w:rPr>
              <w:t>“Proxy Voting Guidelines: Benchmark Policy Changes for 2025: U.S., Canada, and Americas Regional,” ISS Governance, December 17, 2024, https://www.issgovernance.com/file/policy/active/updates/Americas-Policy-Updates.pdf?v=2024.12.1.</w:t>
            </w:r>
          </w:p>
        </w:tc>
      </w:tr>
      <w:tr>
        <w:tc>
          <w:tcPr>
            <w:tcW w:type="dxa" w:w="4680"/>
          </w:tcPr>
          <w:p>
            <w:r/>
            <w:r>
              <w:rPr>
                <w:b w:val="0"/>
                <w:i w:val="0"/>
                <w:sz w:val="19"/>
              </w:rPr>
              <w:t>18</w:t>
            </w:r>
          </w:p>
        </w:tc>
        <w:tc>
          <w:tcPr>
            <w:tcW w:type="dxa" w:w="4680"/>
          </w:tcPr>
          <w:p>
            <w:r/>
            <w:r>
              <w:rPr>
                <w:b w:val="0"/>
                <w:i w:val="0"/>
                <w:sz w:val="19"/>
              </w:rPr>
              <w:t>Andrew Ramonas, “Contested Nasdaq Board Diversity Rules Take Effect: Explained,” Bloomberg Law, December 21, 2023, https://news.bloomberglaw.com/esg/contested-nasdaq-board-diversity-rules-take-effect-explained.</w:t>
            </w:r>
          </w:p>
        </w:tc>
      </w:tr>
      <w:tr>
        <w:tc>
          <w:tcPr>
            <w:tcW w:type="dxa" w:w="4680"/>
          </w:tcPr>
          <w:p>
            <w:r/>
            <w:r>
              <w:rPr>
                <w:b w:val="0"/>
                <w:i w:val="0"/>
                <w:sz w:val="19"/>
              </w:rPr>
              <w:t>19</w:t>
            </w:r>
          </w:p>
        </w:tc>
        <w:tc>
          <w:tcPr>
            <w:tcW w:type="dxa" w:w="4680"/>
          </w:tcPr>
          <w:p>
            <w:r/>
            <w:r>
              <w:rPr>
                <w:b w:val="0"/>
                <w:i w:val="0"/>
                <w:sz w:val="19"/>
              </w:rPr>
              <w:t>Ramonas.</w:t>
            </w:r>
          </w:p>
        </w:tc>
      </w:tr>
      <w:tr>
        <w:tc>
          <w:tcPr>
            <w:tcW w:type="dxa" w:w="4680"/>
          </w:tcPr>
          <w:p>
            <w:r/>
            <w:r>
              <w:rPr>
                <w:b w:val="0"/>
                <w:i w:val="0"/>
                <w:sz w:val="19"/>
              </w:rPr>
              <w:t>20</w:t>
            </w:r>
          </w:p>
        </w:tc>
        <w:tc>
          <w:tcPr>
            <w:tcW w:type="dxa" w:w="4680"/>
          </w:tcPr>
          <w:p>
            <w:r/>
            <w:r>
              <w:rPr>
                <w:b w:val="0"/>
                <w:i w:val="0"/>
                <w:sz w:val="19"/>
              </w:rPr>
              <w:t xml:space="preserve">Alexander Osipovich, “Appeals Court Strikes Down Nasdaq’s Board-Diversity Rules,” </w:t>
            </w:r>
            <w:r>
              <w:rPr>
                <w:b w:val="0"/>
                <w:i/>
                <w:sz w:val="19"/>
              </w:rPr>
              <w:t>WSJ</w:t>
            </w:r>
            <w:r>
              <w:rPr>
                <w:b w:val="0"/>
                <w:i w:val="0"/>
                <w:sz w:val="19"/>
              </w:rPr>
              <w:t>, December 11, 2024, https://www.wsj.com/finance/stocks/appeals-court-strikes-down-nasdaqs-board-diversity-rules-0a2eb7ee?st</w:t>
            </w:r>
            <w:r>
              <w:rPr>
                <w:rFonts w:ascii="Consolas" w:hAnsi="Consolas"/>
                <w:b w:val="0"/>
                <w:i w:val="0"/>
                <w:sz w:val="19"/>
              </w:rPr>
              <w:t>=DcM1Dh&amp;reflink=article_email_share</w:t>
            </w:r>
            <w:r>
              <w:rPr>
                <w:b w:val="0"/>
                <w:i w:val="0"/>
                <w:sz w:val="19"/>
              </w:rPr>
              <w:t>.</w:t>
            </w:r>
          </w:p>
        </w:tc>
      </w:tr>
      <w:tr>
        <w:tc>
          <w:tcPr>
            <w:tcW w:type="dxa" w:w="4680"/>
          </w:tcPr>
          <w:p>
            <w:r/>
            <w:r>
              <w:rPr>
                <w:b w:val="0"/>
                <w:i w:val="0"/>
                <w:sz w:val="19"/>
              </w:rPr>
              <w:t>21</w:t>
            </w:r>
          </w:p>
        </w:tc>
        <w:tc>
          <w:tcPr>
            <w:tcW w:type="dxa" w:w="4680"/>
          </w:tcPr>
          <w:p>
            <w:r/>
            <w:r>
              <w:rPr>
                <w:b w:val="0"/>
                <w:i w:val="0"/>
                <w:sz w:val="19"/>
              </w:rPr>
              <w:t>Marie-Christine Valois, Stephen Erlichman, Dyna Zekaoui, và Paul Blyschak, “The Moving Target of ESG Diversity Disclosure,” Fasken, June 12, 2023, https://www.fasken.com/en/knowledge/2023/06/the-moving-target-of-esg-diversity-disclosure-when-might-consensus-emerge-and-who-should-lead.</w:t>
            </w:r>
          </w:p>
        </w:tc>
      </w:tr>
      <w:tr>
        <w:tc>
          <w:tcPr>
            <w:tcW w:type="dxa" w:w="4680"/>
          </w:tcPr>
          <w:p>
            <w:r/>
            <w:r>
              <w:rPr>
                <w:b w:val="0"/>
                <w:i w:val="0"/>
                <w:sz w:val="19"/>
              </w:rPr>
              <w:t>22</w:t>
            </w:r>
          </w:p>
        </w:tc>
        <w:tc>
          <w:tcPr>
            <w:tcW w:type="dxa" w:w="4680"/>
          </w:tcPr>
          <w:p>
            <w:r/>
            <w:r>
              <w:rPr>
                <w:b w:val="0"/>
                <w:i w:val="0"/>
                <w:sz w:val="19"/>
              </w:rPr>
              <w:t>Daniel Kurt, “Lãnh đạo doanh nghiệp theo chủng tộc,” Investopedia, ngày 15 tháng 2 năm 2024, https://www.investopedia.com/corporate-leadership-by-race-5114494.</w:t>
            </w:r>
          </w:p>
        </w:tc>
      </w:tr>
      <w:tr>
        <w:tc>
          <w:tcPr>
            <w:tcW w:type="dxa" w:w="4680"/>
          </w:tcPr>
          <w:p>
            <w:r/>
            <w:r>
              <w:rPr>
                <w:b w:val="0"/>
                <w:i w:val="0"/>
                <w:sz w:val="19"/>
              </w:rPr>
              <w:t>23</w:t>
            </w:r>
          </w:p>
        </w:tc>
        <w:tc>
          <w:tcPr>
            <w:tcW w:type="dxa" w:w="4680"/>
          </w:tcPr>
          <w:p>
            <w:r/>
            <w:r>
              <w:rPr>
                <w:b w:val="0"/>
                <w:i w:val="0"/>
                <w:sz w:val="19"/>
              </w:rPr>
              <w:t>“Phòng họp hội đồng quản trị ngày nay: Đối mặt với yêu cầu thay đổi cấp thiết: Khảo sát thường niên năm 2023 về các giám đốc doanh nghiệp của PwC,” PwC, 2023, https://www.pwc.com/us/en/services/governance-insights-center/library/assets/pwc-gic-acds-2023.pdf.</w:t>
            </w:r>
          </w:p>
        </w:tc>
      </w:tr>
      <w:tr>
        <w:tc>
          <w:tcPr>
            <w:tcW w:type="dxa" w:w="4680"/>
          </w:tcPr>
          <w:p>
            <w:r/>
            <w:r>
              <w:rPr>
                <w:b w:val="0"/>
                <w:i w:val="0"/>
                <w:sz w:val="19"/>
              </w:rPr>
              <w:t>24</w:t>
            </w:r>
          </w:p>
        </w:tc>
        <w:tc>
          <w:tcPr>
            <w:tcW w:type="dxa" w:w="4680"/>
          </w:tcPr>
          <w:p>
            <w:r/>
            <w:r>
              <w:rPr>
                <w:b w:val="0"/>
                <w:i w:val="0"/>
                <w:sz w:val="19"/>
              </w:rPr>
              <w:t>“Phòng họp hội đồng quản trị ngày nay.”</w:t>
            </w:r>
          </w:p>
        </w:tc>
      </w:tr>
      <w:tr>
        <w:tc>
          <w:tcPr>
            <w:tcW w:type="dxa" w:w="4680"/>
          </w:tcPr>
          <w:p>
            <w:r/>
            <w:r>
              <w:rPr>
                <w:b w:val="0"/>
                <w:i w:val="0"/>
                <w:sz w:val="19"/>
              </w:rPr>
              <w:t>25</w:t>
            </w:r>
          </w:p>
        </w:tc>
        <w:tc>
          <w:tcPr>
            <w:tcW w:type="dxa" w:w="4680"/>
          </w:tcPr>
          <w:p>
            <w:r/>
            <w:r>
              <w:rPr>
                <w:b w:val="0"/>
                <w:i w:val="0"/>
                <w:sz w:val="19"/>
              </w:rPr>
              <w:t>“Phòng họp hội đồng quản trị ngày nay.”</w:t>
            </w:r>
          </w:p>
        </w:tc>
      </w:tr>
      <w:tr>
        <w:tc>
          <w:tcPr>
            <w:tcW w:type="dxa" w:w="4680"/>
          </w:tcPr>
          <w:p>
            <w:r/>
            <w:r>
              <w:rPr>
                <w:b w:val="0"/>
                <w:i w:val="0"/>
                <w:sz w:val="19"/>
              </w:rPr>
              <w:t>26</w:t>
            </w:r>
          </w:p>
        </w:tc>
        <w:tc>
          <w:tcPr>
            <w:tcW w:type="dxa" w:w="4680"/>
          </w:tcPr>
          <w:p>
            <w:r/>
            <w:r>
              <w:rPr>
                <w:b w:val="0"/>
                <w:i w:val="0"/>
                <w:sz w:val="19"/>
              </w:rPr>
              <w:t>Julian Ha và David K. Rehr, “Tăng cường các thực hành hội nhập cho các giám đốc mới,” Heidrick &amp; Struggles, https://www.heidrick.com/en/insights/boards-governance/board-monitor-us-2023.</w:t>
            </w:r>
          </w:p>
        </w:tc>
      </w:tr>
      <w:tr>
        <w:tc>
          <w:tcPr>
            <w:tcW w:type="dxa" w:w="4680"/>
          </w:tcPr>
          <w:p>
            <w:r/>
            <w:r>
              <w:rPr>
                <w:b w:val="0"/>
                <w:i w:val="0"/>
                <w:sz w:val="19"/>
              </w:rPr>
              <w:t>27</w:t>
            </w:r>
          </w:p>
        </w:tc>
        <w:tc>
          <w:tcPr>
            <w:tcW w:type="dxa" w:w="4680"/>
          </w:tcPr>
          <w:p>
            <w:r/>
            <w:r>
              <w:rPr>
                <w:b w:val="0"/>
                <w:i w:val="0"/>
                <w:sz w:val="19"/>
              </w:rPr>
              <w:t xml:space="preserve">Sarah Kessler, “D.E.I. trở nên im ắng,” </w:t>
            </w:r>
            <w:r>
              <w:rPr>
                <w:b w:val="0"/>
                <w:i/>
                <w:sz w:val="19"/>
              </w:rPr>
              <w:t>New York Times</w:t>
            </w:r>
            <w:r>
              <w:rPr>
                <w:b w:val="0"/>
                <w:i w:val="0"/>
                <w:sz w:val="19"/>
              </w:rPr>
              <w:t>, ngày 15 tháng 1 năm 2024, https://www.nytimes.com/2024/01/13/business/dealbook/dei-goes-quiet.html.</w:t>
            </w:r>
          </w:p>
        </w:tc>
      </w:tr>
      <w:tr>
        <w:tc>
          <w:tcPr>
            <w:tcW w:type="dxa" w:w="4680"/>
          </w:tcPr>
          <w:p>
            <w:r/>
            <w:r>
              <w:rPr>
                <w:b w:val="0"/>
                <w:i w:val="0"/>
                <w:sz w:val="19"/>
              </w:rPr>
              <w:t>28</w:t>
            </w:r>
          </w:p>
        </w:tc>
        <w:tc>
          <w:tcPr>
            <w:tcW w:type="dxa" w:w="4680"/>
          </w:tcPr>
          <w:p>
            <w:r/>
            <w:r>
              <w:rPr>
                <w:b w:val="0"/>
                <w:i w:val="0"/>
                <w:sz w:val="19"/>
              </w:rPr>
              <w:t>Jonathan Richman, “Tòa án liên bang Washington bác bỏ đơn kiện phái sinh đối với các sáng kiến DEI của Starbucks,” Corporate Defense and Disputes, ngày 13 tháng 9 năm 2023, https://www.corporatedefensedisputes.com/2023/09/washington-federal-court-dismisses-derivative-challenge-to-starbucks-dei-initiatives/.</w:t>
            </w:r>
          </w:p>
        </w:tc>
      </w:tr>
      <w:tr>
        <w:tc>
          <w:tcPr>
            <w:tcW w:type="dxa" w:w="4680"/>
          </w:tcPr>
          <w:p>
            <w:r/>
            <w:r>
              <w:rPr>
                <w:b w:val="0"/>
                <w:i w:val="0"/>
                <w:sz w:val="19"/>
              </w:rPr>
              <w:t>29</w:t>
            </w:r>
          </w:p>
        </w:tc>
        <w:tc>
          <w:tcPr>
            <w:tcW w:type="dxa" w:w="4680"/>
          </w:tcPr>
          <w:p>
            <w:r/>
            <w:r>
              <w:rPr>
                <w:b w:val="0"/>
                <w:i w:val="0"/>
                <w:sz w:val="19"/>
              </w:rPr>
              <w:t>Jason Schwartz và cộng sự, “Thẩm phán Washington bác bỏ đơn kiện đối với các chính sách đa dạng của Starbucks trong phán quyết mang tính quyết định khẳng định quy tắc phán đoán kinh doanh,” Gibson Dunn, ngày 14 tháng 9 năm 2023, https://www.gibsondunn.com/washington-judge-dismisses-challenge-to-starbucks-diversity-policies-in-decisive-order-upholding-business-judgment-rule/.</w:t>
            </w:r>
          </w:p>
        </w:tc>
      </w:tr>
      <w:tr>
        <w:tc>
          <w:tcPr>
            <w:tcW w:type="dxa" w:w="4680"/>
          </w:tcPr>
          <w:p>
            <w:r/>
            <w:r>
              <w:rPr>
                <w:b w:val="0"/>
                <w:i w:val="0"/>
                <w:sz w:val="19"/>
              </w:rPr>
              <w:t>30</w:t>
            </w:r>
          </w:p>
        </w:tc>
        <w:tc>
          <w:tcPr>
            <w:tcW w:type="dxa" w:w="4680"/>
          </w:tcPr>
          <w:p>
            <w:r/>
            <w:r>
              <w:rPr>
                <w:b w:val="0"/>
                <w:i w:val="0"/>
                <w:sz w:val="19"/>
              </w:rPr>
              <w:t xml:space="preserve">Stephen Foley, “PwC Drops Some US Diversity Goals to Meet Changed Legal Landscape,” </w:t>
            </w:r>
            <w:r>
              <w:rPr>
                <w:b w:val="0"/>
                <w:i/>
                <w:sz w:val="19"/>
              </w:rPr>
              <w:t>Financial Times</w:t>
            </w:r>
            <w:r>
              <w:rPr>
                <w:b w:val="0"/>
                <w:i w:val="0"/>
                <w:sz w:val="19"/>
              </w:rPr>
              <w:t>, January 17, 2024, https://www.ft.com/content/20d1646d-2039-40de-abe1-f2270830b01f.</w:t>
            </w:r>
          </w:p>
        </w:tc>
      </w:tr>
      <w:tr>
        <w:tc>
          <w:tcPr>
            <w:tcW w:type="dxa" w:w="4680"/>
          </w:tcPr>
          <w:p>
            <w:r/>
            <w:r>
              <w:rPr>
                <w:b w:val="0"/>
                <w:i w:val="0"/>
                <w:sz w:val="19"/>
              </w:rPr>
              <w:t>31</w:t>
            </w:r>
          </w:p>
        </w:tc>
        <w:tc>
          <w:tcPr>
            <w:tcW w:type="dxa" w:w="4680"/>
          </w:tcPr>
          <w:p>
            <w:r/>
            <w:r>
              <w:rPr>
                <w:b w:val="0"/>
                <w:i w:val="0"/>
                <w:sz w:val="19"/>
              </w:rPr>
              <w:t>Foley.</w:t>
            </w:r>
          </w:p>
        </w:tc>
      </w:tr>
      <w:tr>
        <w:tc>
          <w:tcPr>
            <w:tcW w:type="dxa" w:w="4680"/>
          </w:tcPr>
          <w:p>
            <w:r/>
            <w:r>
              <w:rPr>
                <w:b w:val="0"/>
                <w:i w:val="0"/>
                <w:sz w:val="19"/>
              </w:rPr>
              <w:t>32</w:t>
            </w:r>
          </w:p>
        </w:tc>
        <w:tc>
          <w:tcPr>
            <w:tcW w:type="dxa" w:w="4680"/>
          </w:tcPr>
          <w:p>
            <w:r/>
            <w:r>
              <w:rPr>
                <w:b w:val="0"/>
                <w:i w:val="0"/>
                <w:sz w:val="19"/>
              </w:rPr>
              <w:t>Sarah Butcher, “Morning Coffee: Goldman Sachs, JPMorgan Quietly Did Away with Diversity Hiring Schemes. Prime Broking Is Where the Investment Is,” eFinancialCareers, March 5, 2024, https://www.efinancialcareers.com/news/diversity-hiring-banks.</w:t>
            </w:r>
          </w:p>
        </w:tc>
      </w:tr>
      <w:tr>
        <w:tc>
          <w:tcPr>
            <w:tcW w:type="dxa" w:w="4680"/>
          </w:tcPr>
          <w:p>
            <w:r/>
            <w:r>
              <w:rPr>
                <w:b w:val="0"/>
                <w:i w:val="0"/>
                <w:sz w:val="19"/>
              </w:rPr>
              <w:t>33</w:t>
            </w:r>
          </w:p>
        </w:tc>
        <w:tc>
          <w:tcPr>
            <w:tcW w:type="dxa" w:w="4680"/>
          </w:tcPr>
          <w:p>
            <w:r/>
            <w:r>
              <w:rPr>
                <w:b w:val="0"/>
                <w:i w:val="0"/>
                <w:sz w:val="19"/>
              </w:rPr>
              <w:t>“Over a Third of Boards Lack an Onboarding Process for First-Time Directors, Survey Shows,” Business Wire, October 16, 2023, https://www.businesswire.com/news/home/20231016632055/en/Over-a-Third-of-Boards-Lack-an-Onboarding-Process-for-First-Time-Directors-Survey-Shows.</w:t>
            </w:r>
          </w:p>
        </w:tc>
      </w:tr>
      <w:tr>
        <w:tc>
          <w:tcPr>
            <w:tcW w:type="dxa" w:w="4680"/>
          </w:tcPr>
          <w:p>
            <w:r/>
            <w:r>
              <w:rPr>
                <w:b w:val="0"/>
                <w:i w:val="0"/>
                <w:sz w:val="19"/>
              </w:rPr>
              <w:t>34</w:t>
            </w:r>
          </w:p>
        </w:tc>
        <w:tc>
          <w:tcPr>
            <w:tcW w:type="dxa" w:w="4680"/>
          </w:tcPr>
          <w:p>
            <w:r/>
            <w:r>
              <w:rPr>
                <w:b w:val="0"/>
                <w:i w:val="0"/>
                <w:sz w:val="19"/>
              </w:rPr>
              <w:t>Ha và Rehr, “Strengthening the Onboarding Practices.”</w:t>
            </w:r>
          </w:p>
        </w:tc>
      </w:tr>
    </w:tbl>
    <w:p>
      <w:pPr>
        <w:spacing w:after="0"/>
      </w:pPr>
    </w:p>
    <w:p>
      <w:pPr>
        <w:pStyle w:val="Heading2"/>
      </w:pPr>
      <w:r>
        <w:rPr>
          <w:rFonts w:ascii="Calibri" w:hAnsi="Calibri"/>
          <w:b/>
          <w:i w:val="0"/>
          <w:sz w:val="32"/>
        </w:rPr>
        <w:t>Chương 12: Giám đốc điều hành (Chief Executive Officer)</w:t>
      </w:r>
    </w:p>
    <w:tbl>
      <w:tblPr>
        <w:tblStyle w:val="TableGrid"/>
        <w:tblW w:type="auto" w:w="0"/>
        <w:tblLook w:firstColumn="1" w:firstRow="1" w:lastColumn="0" w:lastRow="0" w:noHBand="0" w:noVBand="1" w:val="04A0"/>
      </w:tblPr>
      <w:tblGrid>
        <w:gridCol w:w="4680"/>
        <w:gridCol w:w="4680"/>
      </w:tblGrid>
      <w:tr>
        <w:tc>
          <w:tcPr>
            <w:tcW w:type="dxa" w:w="4680"/>
          </w:tcPr>
          <w:p>
            <w:r/>
            <w:r>
              <w:rPr>
                <w:b w:val="0"/>
                <w:i w:val="0"/>
                <w:sz w:val="19"/>
              </w:rPr>
              <w:t>1</w:t>
            </w:r>
          </w:p>
        </w:tc>
        <w:tc>
          <w:tcPr>
            <w:tcW w:type="dxa" w:w="4680"/>
          </w:tcPr>
          <w:p>
            <w:r/>
            <w:r>
              <w:rPr>
                <w:b w:val="0"/>
                <w:i w:val="0"/>
                <w:sz w:val="19"/>
              </w:rPr>
              <w:t xml:space="preserve">Kyle Peterdy, “CEO (Chief Executive Officer),” CFI, https://corporatefinanceinstitute.com/resources/career/what-is-a-ceo-chief-executive-officer/; Ronald E. Marden, Randal K. Edwards, và William D. Stout, “The CEO/CFO Certification Requirement,” </w:t>
            </w:r>
            <w:r>
              <w:rPr>
                <w:b w:val="0"/>
                <w:i/>
                <w:sz w:val="19"/>
              </w:rPr>
              <w:t>CPA Journal</w:t>
            </w:r>
            <w:r>
              <w:rPr>
                <w:b w:val="0"/>
                <w:i w:val="0"/>
                <w:sz w:val="19"/>
              </w:rPr>
              <w:t>, July 2003, http://archives.cpajournal.com/2003/0703/features/f073603.htm.</w:t>
            </w:r>
          </w:p>
        </w:tc>
      </w:tr>
      <w:tr>
        <w:tc>
          <w:tcPr>
            <w:tcW w:type="dxa" w:w="4680"/>
          </w:tcPr>
          <w:p>
            <w:r/>
            <w:r>
              <w:rPr>
                <w:b w:val="0"/>
                <w:i w:val="0"/>
                <w:sz w:val="19"/>
              </w:rPr>
              <w:t>2</w:t>
            </w:r>
          </w:p>
        </w:tc>
        <w:tc>
          <w:tcPr>
            <w:tcW w:type="dxa" w:w="4680"/>
          </w:tcPr>
          <w:p>
            <w:r/>
            <w:r>
              <w:rPr>
                <w:b w:val="0"/>
                <w:i w:val="0"/>
                <w:sz w:val="19"/>
              </w:rPr>
              <w:t xml:space="preserve">A. G. Lafley, “What Only the CEO Can Do,” </w:t>
            </w:r>
            <w:r>
              <w:rPr>
                <w:b w:val="0"/>
                <w:i/>
                <w:sz w:val="19"/>
              </w:rPr>
              <w:t>Harvard Business Review</w:t>
            </w:r>
            <w:r>
              <w:rPr>
                <w:b w:val="0"/>
                <w:i w:val="0"/>
                <w:sz w:val="19"/>
              </w:rPr>
              <w:t>, May 2009, https://hbr.org/2009/05/what-only-the-ceo-can-do.</w:t>
            </w:r>
          </w:p>
        </w:tc>
      </w:tr>
      <w:tr>
        <w:tc>
          <w:tcPr>
            <w:tcW w:type="dxa" w:w="4680"/>
          </w:tcPr>
          <w:p>
            <w:r/>
            <w:r>
              <w:rPr>
                <w:b w:val="0"/>
                <w:i w:val="0"/>
                <w:sz w:val="19"/>
              </w:rPr>
              <w:t>3</w:t>
            </w:r>
          </w:p>
        </w:tc>
        <w:tc>
          <w:tcPr>
            <w:tcW w:type="dxa" w:w="4680"/>
          </w:tcPr>
          <w:p>
            <w:r/>
            <w:r>
              <w:rPr>
                <w:b w:val="0"/>
                <w:i w:val="0"/>
                <w:sz w:val="19"/>
              </w:rPr>
              <w:t>“The Leadership Traits of Successful CEOs,” McKinsey &amp; Company, July 23, 2023, https://www.mckinsey.com/featured-insights/mckinsey-guide-to-excelling-as-a-ceo/the-leadership-traits-of-successful-ceos.</w:t>
            </w:r>
          </w:p>
        </w:tc>
      </w:tr>
      <w:tr>
        <w:tc>
          <w:tcPr>
            <w:tcW w:type="dxa" w:w="4680"/>
          </w:tcPr>
          <w:p>
            <w:r/>
            <w:r>
              <w:rPr>
                <w:b w:val="0"/>
                <w:i w:val="0"/>
                <w:sz w:val="19"/>
              </w:rPr>
              <w:t>4</w:t>
            </w:r>
          </w:p>
        </w:tc>
        <w:tc>
          <w:tcPr>
            <w:tcW w:type="dxa" w:w="4680"/>
          </w:tcPr>
          <w:p>
            <w:r/>
            <w:r>
              <w:rPr>
                <w:b w:val="0"/>
                <w:i w:val="0"/>
                <w:sz w:val="19"/>
              </w:rPr>
              <w:t>Ruth Umoh, “Hành vi số 1 biến người bình thường thành những CEO thành công, theo một nghiên cứu trên 2,600 nhà lãnh đạo,” CNBC, ngày 29 tháng 3 năm 2018, https://www.cnbc.com/2018/03/29/the-no-1-behavior-that-turns-ordinary-people-into-successful-ceos.html.</w:t>
            </w:r>
          </w:p>
        </w:tc>
      </w:tr>
      <w:tr>
        <w:tc>
          <w:tcPr>
            <w:tcW w:type="dxa" w:w="4680"/>
          </w:tcPr>
          <w:p>
            <w:r/>
            <w:r>
              <w:rPr>
                <w:b w:val="0"/>
                <w:i w:val="0"/>
                <w:sz w:val="19"/>
              </w:rPr>
              <w:t>5</w:t>
            </w:r>
          </w:p>
        </w:tc>
        <w:tc>
          <w:tcPr>
            <w:tcW w:type="dxa" w:w="4680"/>
          </w:tcPr>
          <w:p>
            <w:r/>
            <w:r>
              <w:rPr>
                <w:b w:val="0"/>
                <w:i w:val="0"/>
                <w:sz w:val="19"/>
              </w:rPr>
              <w:t xml:space="preserve">Richard Haythornthwaite và Ajay Banga, “Các chủ tịch tiền nhiệm và đương nhiệm của Mastercard về việc thực thi kế hoạch kế nhiệm CEO mang tính chiến lược,” </w:t>
            </w:r>
            <w:r>
              <w:rPr>
                <w:b w:val="0"/>
                <w:i/>
                <w:sz w:val="19"/>
              </w:rPr>
              <w:t>Harvard Business Review</w:t>
            </w:r>
            <w:r>
              <w:rPr>
                <w:b w:val="0"/>
                <w:i w:val="0"/>
                <w:sz w:val="19"/>
              </w:rPr>
              <w:t>, ngày 21 tháng 3–4 năm 2021, https://hbr.org/2021/03/the-former-and-current-chairs-of-mastercard-on-executing-a-strategic-ceo-succession.</w:t>
            </w:r>
          </w:p>
        </w:tc>
      </w:tr>
      <w:tr>
        <w:tc>
          <w:tcPr>
            <w:tcW w:type="dxa" w:w="4680"/>
          </w:tcPr>
          <w:p>
            <w:r/>
            <w:r>
              <w:rPr>
                <w:b w:val="0"/>
                <w:i w:val="0"/>
                <w:sz w:val="19"/>
              </w:rPr>
              <w:t>6</w:t>
            </w:r>
          </w:p>
        </w:tc>
        <w:tc>
          <w:tcPr>
            <w:tcW w:type="dxa" w:w="4680"/>
          </w:tcPr>
          <w:p>
            <w:r/>
            <w:r>
              <w:rPr>
                <w:b w:val="0"/>
                <w:i w:val="0"/>
                <w:sz w:val="19"/>
              </w:rPr>
              <w:t>Haythornthwaite và Banga.</w:t>
            </w:r>
          </w:p>
        </w:tc>
      </w:tr>
      <w:tr>
        <w:tc>
          <w:tcPr>
            <w:tcW w:type="dxa" w:w="4680"/>
          </w:tcPr>
          <w:p>
            <w:r/>
            <w:r>
              <w:rPr>
                <w:b w:val="0"/>
                <w:i w:val="0"/>
                <w:sz w:val="19"/>
              </w:rPr>
              <w:t>7</w:t>
            </w:r>
          </w:p>
        </w:tc>
        <w:tc>
          <w:tcPr>
            <w:tcW w:type="dxa" w:w="4680"/>
          </w:tcPr>
          <w:p>
            <w:r/>
            <w:r>
              <w:rPr>
                <w:b w:val="0"/>
                <w:i w:val="0"/>
                <w:sz w:val="19"/>
              </w:rPr>
              <w:t>Haythornthwaite và Banga.</w:t>
            </w:r>
          </w:p>
        </w:tc>
      </w:tr>
      <w:tr>
        <w:tc>
          <w:tcPr>
            <w:tcW w:type="dxa" w:w="4680"/>
          </w:tcPr>
          <w:p>
            <w:r/>
            <w:r>
              <w:rPr>
                <w:b w:val="0"/>
                <w:i w:val="0"/>
                <w:sz w:val="19"/>
              </w:rPr>
              <w:t>8</w:t>
            </w:r>
          </w:p>
        </w:tc>
        <w:tc>
          <w:tcPr>
            <w:tcW w:type="dxa" w:w="4680"/>
          </w:tcPr>
          <w:p>
            <w:r/>
            <w:r>
              <w:rPr>
                <w:b w:val="0"/>
                <w:i w:val="0"/>
                <w:sz w:val="19"/>
              </w:rPr>
              <w:t>Boris Groysberg, J. Yo-Jud Cheng, và Annelena Lobb, “Kế nhiệm CEO tại Cisco (A): Từ John Chambers đến Chuck Robbins,” Khoa &amp; Nghiên cứu, Harvard Business School, tháng 8 năm 2016, https://www.hbs.edu/faculty/Pages/item.aspx?num=51605.</w:t>
            </w:r>
          </w:p>
        </w:tc>
      </w:tr>
      <w:tr>
        <w:tc>
          <w:tcPr>
            <w:tcW w:type="dxa" w:w="4680"/>
          </w:tcPr>
          <w:p>
            <w:r/>
            <w:r>
              <w:rPr>
                <w:b w:val="0"/>
                <w:i w:val="0"/>
                <w:sz w:val="19"/>
              </w:rPr>
              <w:t>9</w:t>
            </w:r>
          </w:p>
        </w:tc>
        <w:tc>
          <w:tcPr>
            <w:tcW w:type="dxa" w:w="4680"/>
          </w:tcPr>
          <w:p>
            <w:r/>
            <w:r>
              <w:rPr>
                <w:b w:val="0"/>
                <w:i w:val="0"/>
                <w:sz w:val="19"/>
              </w:rPr>
              <w:t>Groysberg, Cheng, và Lobb.</w:t>
            </w:r>
          </w:p>
        </w:tc>
      </w:tr>
      <w:tr>
        <w:tc>
          <w:tcPr>
            <w:tcW w:type="dxa" w:w="4680"/>
          </w:tcPr>
          <w:p>
            <w:r/>
            <w:r>
              <w:rPr>
                <w:b w:val="0"/>
                <w:i w:val="0"/>
                <w:sz w:val="19"/>
              </w:rPr>
              <w:t>10</w:t>
            </w:r>
          </w:p>
        </w:tc>
        <w:tc>
          <w:tcPr>
            <w:tcW w:type="dxa" w:w="4680"/>
          </w:tcPr>
          <w:p>
            <w:r/>
            <w:r>
              <w:rPr>
                <w:b w:val="0"/>
                <w:i w:val="0"/>
                <w:sz w:val="19"/>
              </w:rPr>
              <w:t>Groysberg, Cheng, và Lobb.</w:t>
            </w:r>
          </w:p>
        </w:tc>
      </w:tr>
      <w:tr>
        <w:tc>
          <w:tcPr>
            <w:tcW w:type="dxa" w:w="4680"/>
          </w:tcPr>
          <w:p>
            <w:r/>
            <w:r>
              <w:rPr>
                <w:b w:val="0"/>
                <w:i w:val="0"/>
                <w:sz w:val="19"/>
              </w:rPr>
              <w:t>11</w:t>
            </w:r>
          </w:p>
        </w:tc>
        <w:tc>
          <w:tcPr>
            <w:tcW w:type="dxa" w:w="4680"/>
          </w:tcPr>
          <w:p>
            <w:r/>
            <w:r>
              <w:rPr>
                <w:b w:val="0"/>
                <w:i w:val="0"/>
                <w:sz w:val="19"/>
              </w:rPr>
              <w:t>Trey Williams, “Số lượng CEO rời ghế kỷ lục trong năm 2023,” SHRM, ngày 11 tháng 7 năm 2023, https://www.shrm.org/executive-network/insights/record-number-ceos-headed-exits-2023.</w:t>
            </w:r>
          </w:p>
        </w:tc>
      </w:tr>
      <w:tr>
        <w:tc>
          <w:tcPr>
            <w:tcW w:type="dxa" w:w="4680"/>
          </w:tcPr>
          <w:p>
            <w:r/>
            <w:r>
              <w:rPr>
                <w:b w:val="0"/>
                <w:i w:val="0"/>
                <w:sz w:val="19"/>
              </w:rPr>
              <w:t>12</w:t>
            </w:r>
          </w:p>
        </w:tc>
        <w:tc>
          <w:tcPr>
            <w:tcW w:type="dxa" w:w="4680"/>
          </w:tcPr>
          <w:p>
            <w:r/>
            <w:r>
              <w:rPr>
                <w:b w:val="0"/>
                <w:i w:val="0"/>
                <w:sz w:val="19"/>
              </w:rPr>
              <w:t>Nicole Lobdell, “CEO Exits Fall in November 2024; 167 CEO Exits Add to Highest Number of CEO Moves on Record,” Challenger, Gray &amp; Christmas, Inc., December 20, 2024, https://www.challengergray.com/blog/ceo-exits-fall-november-2024-167-ceo-highest-number-moves-record/.</w:t>
            </w:r>
          </w:p>
        </w:tc>
      </w:tr>
      <w:tr>
        <w:tc>
          <w:tcPr>
            <w:tcW w:type="dxa" w:w="4680"/>
          </w:tcPr>
          <w:p>
            <w:r/>
            <w:r>
              <w:rPr>
                <w:b w:val="0"/>
                <w:i w:val="0"/>
                <w:sz w:val="19"/>
              </w:rPr>
              <w:t>13</w:t>
            </w:r>
          </w:p>
        </w:tc>
        <w:tc>
          <w:tcPr>
            <w:tcW w:type="dxa" w:w="4680"/>
          </w:tcPr>
          <w:p>
            <w:r/>
            <w:r>
              <w:rPr>
                <w:b w:val="0"/>
                <w:i w:val="0"/>
                <w:sz w:val="19"/>
              </w:rPr>
              <w:t>“Fortune 500 C-Suite Snapshot: Profiles in Functional Leadership,” Spencer Stuart, December 2023, https://www.spencerstuart.com/research-and-insight/fortune-500-c-suite-snapshot-profiles-in-functional-leadership.</w:t>
            </w:r>
          </w:p>
        </w:tc>
      </w:tr>
      <w:tr>
        <w:tc>
          <w:tcPr>
            <w:tcW w:type="dxa" w:w="4680"/>
          </w:tcPr>
          <w:p>
            <w:r/>
            <w:r>
              <w:rPr>
                <w:b w:val="0"/>
                <w:i w:val="0"/>
                <w:sz w:val="19"/>
              </w:rPr>
              <w:t>14</w:t>
            </w:r>
          </w:p>
        </w:tc>
        <w:tc>
          <w:tcPr>
            <w:tcW w:type="dxa" w:w="4680"/>
          </w:tcPr>
          <w:p>
            <w:r/>
            <w:r>
              <w:rPr>
                <w:b w:val="0"/>
                <w:i w:val="0"/>
                <w:sz w:val="19"/>
              </w:rPr>
              <w:t>“2023 CEO Transitions,” Spencer Stuart, January 2024, https://www.spencerstuart.com/research-and-insight/2023-ceo-transitions.</w:t>
            </w:r>
          </w:p>
        </w:tc>
      </w:tr>
      <w:tr>
        <w:tc>
          <w:tcPr>
            <w:tcW w:type="dxa" w:w="4680"/>
          </w:tcPr>
          <w:p>
            <w:r/>
            <w:r>
              <w:rPr>
                <w:b w:val="0"/>
                <w:i w:val="0"/>
                <w:sz w:val="19"/>
              </w:rPr>
              <w:t>15</w:t>
            </w:r>
          </w:p>
        </w:tc>
        <w:tc>
          <w:tcPr>
            <w:tcW w:type="dxa" w:w="4680"/>
          </w:tcPr>
          <w:p>
            <w:r/>
            <w:r>
              <w:rPr>
                <w:b w:val="0"/>
                <w:i w:val="0"/>
                <w:sz w:val="19"/>
              </w:rPr>
              <w:t xml:space="preserve">“Corporate Headhunters Are More Powerful Than Ever,” </w:t>
            </w:r>
            <w:r>
              <w:rPr>
                <w:b w:val="0"/>
                <w:i/>
                <w:sz w:val="19"/>
              </w:rPr>
              <w:t>Economist</w:t>
            </w:r>
            <w:r>
              <w:rPr>
                <w:b w:val="0"/>
                <w:i w:val="0"/>
                <w:sz w:val="19"/>
              </w:rPr>
              <w:t>, February 6, 2020, https://www.economist.com/briefing/2020/02/06/corporate-headhunters-are-more-powerful-than-ever.</w:t>
            </w:r>
          </w:p>
        </w:tc>
      </w:tr>
      <w:tr>
        <w:tc>
          <w:tcPr>
            <w:tcW w:type="dxa" w:w="4680"/>
          </w:tcPr>
          <w:p>
            <w:r/>
            <w:r>
              <w:rPr>
                <w:b w:val="0"/>
                <w:i w:val="0"/>
                <w:sz w:val="19"/>
              </w:rPr>
              <w:t>16</w:t>
            </w:r>
          </w:p>
        </w:tc>
        <w:tc>
          <w:tcPr>
            <w:tcW w:type="dxa" w:w="4680"/>
          </w:tcPr>
          <w:p>
            <w:r/>
            <w:r>
              <w:rPr>
                <w:b w:val="0"/>
                <w:i w:val="0"/>
                <w:sz w:val="19"/>
              </w:rPr>
              <w:t>“Corporate Headhunters.”</w:t>
            </w:r>
          </w:p>
        </w:tc>
      </w:tr>
      <w:tr>
        <w:tc>
          <w:tcPr>
            <w:tcW w:type="dxa" w:w="4680"/>
          </w:tcPr>
          <w:p>
            <w:r/>
            <w:r>
              <w:rPr>
                <w:b w:val="0"/>
                <w:i w:val="0"/>
                <w:sz w:val="19"/>
              </w:rPr>
              <w:t>17</w:t>
            </w:r>
          </w:p>
        </w:tc>
        <w:tc>
          <w:tcPr>
            <w:tcW w:type="dxa" w:w="4680"/>
          </w:tcPr>
          <w:p>
            <w:r/>
            <w:r>
              <w:rPr>
                <w:b w:val="0"/>
                <w:i w:val="0"/>
                <w:sz w:val="19"/>
              </w:rPr>
              <w:t>“Corporate Headhunters.”</w:t>
            </w:r>
          </w:p>
        </w:tc>
      </w:tr>
      <w:tr>
        <w:tc>
          <w:tcPr>
            <w:tcW w:type="dxa" w:w="4680"/>
          </w:tcPr>
          <w:p>
            <w:r/>
            <w:r>
              <w:rPr>
                <w:b w:val="0"/>
                <w:i w:val="0"/>
                <w:sz w:val="19"/>
              </w:rPr>
              <w:t>18</w:t>
            </w:r>
          </w:p>
        </w:tc>
        <w:tc>
          <w:tcPr>
            <w:tcW w:type="dxa" w:w="4680"/>
          </w:tcPr>
          <w:p>
            <w:r/>
            <w:r>
              <w:rPr>
                <w:b w:val="0"/>
                <w:i w:val="0"/>
                <w:sz w:val="19"/>
              </w:rPr>
              <w:t>“2023 CEO Transitions.”</w:t>
            </w:r>
          </w:p>
        </w:tc>
      </w:tr>
      <w:tr>
        <w:tc>
          <w:tcPr>
            <w:tcW w:type="dxa" w:w="4680"/>
          </w:tcPr>
          <w:p>
            <w:r/>
            <w:r>
              <w:rPr>
                <w:b w:val="0"/>
                <w:i w:val="0"/>
                <w:sz w:val="19"/>
              </w:rPr>
              <w:t>19</w:t>
            </w:r>
          </w:p>
        </w:tc>
        <w:tc>
          <w:tcPr>
            <w:tcW w:type="dxa" w:w="4680"/>
          </w:tcPr>
          <w:p>
            <w:r/>
            <w:r>
              <w:rPr>
                <w:b w:val="0"/>
                <w:i w:val="0"/>
                <w:sz w:val="19"/>
              </w:rPr>
              <w:t xml:space="preserve">Md Reiazul Haque et al., “Insider vs. Outsider CEO and Firm Performance: Evidence from the Covid-19 Pandemic,” </w:t>
            </w:r>
            <w:r>
              <w:rPr>
                <w:b w:val="0"/>
                <w:i/>
                <w:sz w:val="19"/>
              </w:rPr>
              <w:t>Finance Research Letters</w:t>
            </w:r>
            <w:r>
              <w:rPr>
                <w:b w:val="0"/>
                <w:i w:val="0"/>
                <w:sz w:val="19"/>
              </w:rPr>
              <w:t xml:space="preserve"> 47 (December 3, 2021): 102609, https://pmc.ncbi.nlm.nih.gov/articles/PMC9167990/.</w:t>
            </w:r>
          </w:p>
        </w:tc>
      </w:tr>
      <w:tr>
        <w:tc>
          <w:tcPr>
            <w:tcW w:type="dxa" w:w="4680"/>
          </w:tcPr>
          <w:p>
            <w:r/>
            <w:r>
              <w:rPr>
                <w:b w:val="0"/>
                <w:i w:val="0"/>
                <w:sz w:val="19"/>
              </w:rPr>
              <w:t>20</w:t>
            </w:r>
          </w:p>
        </w:tc>
        <w:tc>
          <w:tcPr>
            <w:tcW w:type="dxa" w:w="4680"/>
          </w:tcPr>
          <w:p>
            <w:r/>
            <w:r>
              <w:rPr>
                <w:b w:val="0"/>
                <w:i w:val="0"/>
                <w:sz w:val="19"/>
              </w:rPr>
              <w:t>Aaron Sorensen, “Rủi ro và phần thưởng của ứng viên CEO nội bộ và bên ngoài,” Directors &amp; Boards, 21 tháng 6, 2024, https://www.directorsandboards.com/board-duties/board-ceo-relationship/risks-and-rewards-of-internal-and-external-ceo-candidates/.</w:t>
            </w:r>
          </w:p>
        </w:tc>
      </w:tr>
      <w:tr>
        <w:tc>
          <w:tcPr>
            <w:tcW w:type="dxa" w:w="4680"/>
          </w:tcPr>
          <w:p>
            <w:r/>
            <w:r>
              <w:rPr>
                <w:b w:val="0"/>
                <w:i w:val="0"/>
                <w:sz w:val="19"/>
              </w:rPr>
              <w:t>21</w:t>
            </w:r>
          </w:p>
        </w:tc>
        <w:tc>
          <w:tcPr>
            <w:tcW w:type="dxa" w:w="4680"/>
          </w:tcPr>
          <w:p>
            <w:r/>
            <w:r>
              <w:rPr>
                <w:b w:val="0"/>
                <w:i w:val="0"/>
                <w:sz w:val="19"/>
              </w:rPr>
              <w:t xml:space="preserve">Alan Murray và Nicholas Gordon, “Người nội bộ đang đánh bại người bên ngoài trong cuộc đua trở thành CEO,” </w:t>
            </w:r>
            <w:r>
              <w:rPr>
                <w:b w:val="0"/>
                <w:i/>
                <w:sz w:val="19"/>
              </w:rPr>
              <w:t>Fortune</w:t>
            </w:r>
            <w:r>
              <w:rPr>
                <w:b w:val="0"/>
                <w:i w:val="0"/>
                <w:sz w:val="19"/>
              </w:rPr>
              <w:t>, 8 tháng 5, 2023, https://fortune.com/2023/05/08/ceo-succession-planning-insiders-outsiders/.</w:t>
            </w:r>
          </w:p>
        </w:tc>
      </w:tr>
      <w:tr>
        <w:tc>
          <w:tcPr>
            <w:tcW w:type="dxa" w:w="4680"/>
          </w:tcPr>
          <w:p>
            <w:r/>
            <w:r>
              <w:rPr>
                <w:b w:val="0"/>
                <w:i w:val="0"/>
                <w:sz w:val="19"/>
              </w:rPr>
              <w:t>22</w:t>
            </w:r>
          </w:p>
        </w:tc>
        <w:tc>
          <w:tcPr>
            <w:tcW w:type="dxa" w:w="4680"/>
          </w:tcPr>
          <w:p>
            <w:r/>
            <w:r>
              <w:rPr>
                <w:b w:val="0"/>
                <w:i w:val="0"/>
                <w:sz w:val="19"/>
              </w:rPr>
              <w:t>Murray và Gordon.</w:t>
            </w:r>
          </w:p>
        </w:tc>
      </w:tr>
      <w:tr>
        <w:tc>
          <w:tcPr>
            <w:tcW w:type="dxa" w:w="4680"/>
          </w:tcPr>
          <w:p>
            <w:r/>
            <w:r>
              <w:rPr>
                <w:b w:val="0"/>
                <w:i w:val="0"/>
                <w:sz w:val="19"/>
              </w:rPr>
              <w:t>23.</w:t>
            </w:r>
          </w:p>
        </w:tc>
        <w:tc>
          <w:tcPr>
            <w:tcW w:type="dxa" w:w="4680"/>
          </w:tcPr>
          <w:p>
            <w:r/>
            <w:r>
              <w:rPr>
                <w:b w:val="0"/>
                <w:i w:val="0"/>
                <w:sz w:val="19"/>
              </w:rPr>
              <w:t xml:space="preserve">Sheryl Estrada, “Nhiều công ty lớn đang tìm kiếm CFO để cuối cùng trở thành CEO,” </w:t>
            </w:r>
            <w:r>
              <w:rPr>
                <w:b w:val="0"/>
                <w:i/>
                <w:sz w:val="19"/>
              </w:rPr>
              <w:t>Fortune</w:t>
            </w:r>
            <w:r>
              <w:rPr>
                <w:b w:val="0"/>
                <w:i w:val="0"/>
                <w:sz w:val="19"/>
              </w:rPr>
              <w:t>, 13 tháng 6, 2023, https://fortune.com/2023/06/13/more-big-companies-searching-cfo-to-become-ceo/.</w:t>
            </w:r>
          </w:p>
        </w:tc>
      </w:tr>
      <w:tr>
        <w:tc>
          <w:tcPr>
            <w:tcW w:type="dxa" w:w="4680"/>
          </w:tcPr>
          <w:p>
            <w:r/>
            <w:r>
              <w:rPr>
                <w:b w:val="0"/>
                <w:i w:val="0"/>
                <w:sz w:val="19"/>
              </w:rPr>
              <w:t>24</w:t>
            </w:r>
          </w:p>
        </w:tc>
        <w:tc>
          <w:tcPr>
            <w:tcW w:type="dxa" w:w="4680"/>
          </w:tcPr>
          <w:p>
            <w:r/>
            <w:r>
              <w:rPr>
                <w:b w:val="0"/>
                <w:i w:val="0"/>
                <w:sz w:val="19"/>
              </w:rPr>
              <w:t>“Chuyển đổi CEO năm 2023,”</w:t>
            </w:r>
          </w:p>
        </w:tc>
      </w:tr>
      <w:tr>
        <w:tc>
          <w:tcPr>
            <w:tcW w:type="dxa" w:w="4680"/>
          </w:tcPr>
          <w:p>
            <w:r/>
            <w:r>
              <w:rPr>
                <w:b w:val="0"/>
                <w:i w:val="0"/>
                <w:sz w:val="19"/>
              </w:rPr>
              <w:t>25</w:t>
            </w:r>
          </w:p>
        </w:tc>
        <w:tc>
          <w:tcPr>
            <w:tcW w:type="dxa" w:w="4680"/>
          </w:tcPr>
          <w:p>
            <w:r/>
            <w:r>
              <w:rPr>
                <w:b w:val="0"/>
                <w:i w:val="0"/>
                <w:sz w:val="19"/>
              </w:rPr>
              <w:t>Spencer Stuart.</w:t>
            </w:r>
          </w:p>
        </w:tc>
      </w:tr>
      <w:tr>
        <w:tc>
          <w:tcPr>
            <w:tcW w:type="dxa" w:w="4680"/>
          </w:tcPr>
          <w:p>
            <w:r/>
            <w:r>
              <w:rPr>
                <w:b w:val="0"/>
                <w:i w:val="0"/>
                <w:sz w:val="19"/>
              </w:rPr>
              <w:t>26</w:t>
            </w:r>
          </w:p>
        </w:tc>
        <w:tc>
          <w:tcPr>
            <w:tcW w:type="dxa" w:w="4680"/>
          </w:tcPr>
          <w:p>
            <w:r/>
            <w:r>
              <w:rPr>
                <w:b w:val="0"/>
                <w:i w:val="0"/>
                <w:sz w:val="19"/>
              </w:rPr>
              <w:t>Spencer Stuart.</w:t>
            </w:r>
          </w:p>
        </w:tc>
      </w:tr>
    </w:tbl>
    <w:p>
      <w:pPr>
        <w:spacing w:after="0"/>
      </w:pPr>
    </w:p>
    <w:p>
      <w:pPr>
        <w:pStyle w:val="Heading2"/>
      </w:pPr>
      <w:r>
        <w:rPr>
          <w:rFonts w:ascii="Calibri" w:hAnsi="Calibri"/>
          <w:b/>
          <w:i w:val="0"/>
          <w:sz w:val="32"/>
        </w:rPr>
        <w:t>Chương 13: Rủi ro và khủng hoảng</w:t>
      </w:r>
    </w:p>
    <w:tbl>
      <w:tblPr>
        <w:tblStyle w:val="TableGrid"/>
        <w:tblW w:type="auto" w:w="0"/>
        <w:tblLook w:firstColumn="1" w:firstRow="1" w:lastColumn="0" w:lastRow="0" w:noHBand="0" w:noVBand="1" w:val="04A0"/>
      </w:tblPr>
      <w:tblGrid>
        <w:gridCol w:w="4680"/>
        <w:gridCol w:w="4680"/>
      </w:tblGrid>
      <w:tr>
        <w:tc>
          <w:tcPr>
            <w:tcW w:type="dxa" w:w="4680"/>
          </w:tcPr>
          <w:p>
            <w:r/>
            <w:r>
              <w:rPr>
                <w:b w:val="0"/>
                <w:i w:val="0"/>
                <w:sz w:val="19"/>
              </w:rPr>
              <w:t>1</w:t>
            </w:r>
          </w:p>
        </w:tc>
        <w:tc>
          <w:tcPr>
            <w:tcW w:type="dxa" w:w="4680"/>
          </w:tcPr>
          <w:p>
            <w:r/>
            <w:r>
              <w:rPr>
                <w:b w:val="0"/>
                <w:i w:val="0"/>
                <w:sz w:val="19"/>
              </w:rPr>
              <w:t>Nicholas J. Price, “3 Thành phần Cơ bản của Bất kỳ Kế hoạch Quản lý Rủi ro Doanh nghiệp nào,” Diligent, ngày 28 tháng 3 năm 2018, https://www.diligent.com/insights/entity-management/3-fundamental-components-of-any-enterprise-risk-management-plan/.</w:t>
            </w:r>
          </w:p>
        </w:tc>
      </w:tr>
      <w:tr>
        <w:tc>
          <w:tcPr>
            <w:tcW w:type="dxa" w:w="4680"/>
          </w:tcPr>
          <w:p>
            <w:r/>
            <w:r>
              <w:rPr>
                <w:b w:val="0"/>
                <w:i w:val="0"/>
                <w:sz w:val="19"/>
              </w:rPr>
              <w:t>2</w:t>
            </w:r>
          </w:p>
        </w:tc>
        <w:tc>
          <w:tcPr>
            <w:tcW w:type="dxa" w:w="4680"/>
          </w:tcPr>
          <w:p>
            <w:r/>
            <w:r>
              <w:rPr>
                <w:b w:val="0"/>
                <w:i w:val="0"/>
                <w:sz w:val="19"/>
              </w:rPr>
              <w:t>“An ninh mạng là gì?,” Cisco, 2025, https://www.cisco.com/c/en/us/products/security/what-is-cybersecurity.html.</w:t>
            </w:r>
          </w:p>
        </w:tc>
      </w:tr>
      <w:tr>
        <w:tc>
          <w:tcPr>
            <w:tcW w:type="dxa" w:w="4680"/>
          </w:tcPr>
          <w:p>
            <w:r/>
            <w:r>
              <w:rPr>
                <w:b w:val="0"/>
                <w:i w:val="0"/>
                <w:sz w:val="19"/>
              </w:rPr>
              <w:t>3</w:t>
            </w:r>
          </w:p>
        </w:tc>
        <w:tc>
          <w:tcPr>
            <w:tcW w:type="dxa" w:w="4680"/>
          </w:tcPr>
          <w:p>
            <w:r/>
            <w:r>
              <w:rPr>
                <w:b w:val="0"/>
                <w:i w:val="0"/>
                <w:sz w:val="19"/>
              </w:rPr>
              <w:t>“Năm 2023 là một năm lớn đối với tội phạm mạng—Đây là cách chúng ta chuẩn bị cho tương lai,” Diễn đàn Kinh tế Thế giới, ngày 11 tháng 11 năm 2024, https://www.weforum.org/agenda/2024/01/cybersecurity-cybercrime-system-safety/.</w:t>
            </w:r>
          </w:p>
        </w:tc>
      </w:tr>
      <w:tr>
        <w:tc>
          <w:tcPr>
            <w:tcW w:type="dxa" w:w="4680"/>
          </w:tcPr>
          <w:p>
            <w:r/>
            <w:r>
              <w:rPr>
                <w:b w:val="0"/>
                <w:i w:val="0"/>
                <w:sz w:val="19"/>
              </w:rPr>
              <w:t>4.</w:t>
            </w:r>
          </w:p>
        </w:tc>
        <w:tc>
          <w:tcPr>
            <w:tcW w:type="dxa" w:w="4680"/>
          </w:tcPr>
          <w:p>
            <w:r/>
            <w:r>
              <w:rPr>
                <w:b w:val="0"/>
                <w:i w:val="0"/>
                <w:sz w:val="19"/>
              </w:rPr>
              <w:t>“Gian lận Email Doanh nghiệp: Vụ lừa đảo 55 Tỷ Đô la,” Trung tâm Khiếu nại Tội phạm Internet của FBI (IC3), Số Cảnh báo I-091124-PSA, ngày 11 tháng 9 năm 2024, https://www.ic3.gov/PSA/2024/PSA240911.</w:t>
            </w:r>
          </w:p>
        </w:tc>
      </w:tr>
      <w:tr>
        <w:tc>
          <w:tcPr>
            <w:tcW w:type="dxa" w:w="4680"/>
          </w:tcPr>
          <w:p>
            <w:r/>
            <w:r>
              <w:rPr>
                <w:b w:val="0"/>
                <w:i w:val="0"/>
                <w:sz w:val="19"/>
              </w:rPr>
              <w:t>5</w:t>
            </w:r>
          </w:p>
        </w:tc>
        <w:tc>
          <w:tcPr>
            <w:tcW w:type="dxa" w:w="4680"/>
          </w:tcPr>
          <w:p>
            <w:r/>
            <w:r>
              <w:rPr>
                <w:b w:val="0"/>
                <w:i w:val="0"/>
                <w:sz w:val="19"/>
              </w:rPr>
              <w:t>Wes Davis, “Các cuộc tấn công mạng MOVEit: Theo dõi vụ đánh cắp dữ liệu lớn nhất năm 2023,” The Verge, ngày 10 tháng 11 năm 2023, https://www.theverge.com/23892245/moveit-cyberattacks-clop-ransomware-government-business.</w:t>
            </w:r>
          </w:p>
        </w:tc>
      </w:tr>
      <w:tr>
        <w:tc>
          <w:tcPr>
            <w:tcW w:type="dxa" w:w="4680"/>
          </w:tcPr>
          <w:p>
            <w:r/>
            <w:r>
              <w:rPr>
                <w:b w:val="0"/>
                <w:i w:val="0"/>
                <w:sz w:val="19"/>
              </w:rPr>
              <w:t>6</w:t>
            </w:r>
          </w:p>
        </w:tc>
        <w:tc>
          <w:tcPr>
            <w:tcW w:type="dxa" w:w="4680"/>
          </w:tcPr>
          <w:p>
            <w:r/>
            <w:r>
              <w:rPr>
                <w:b w:val="0"/>
                <w:i w:val="0"/>
                <w:sz w:val="19"/>
              </w:rPr>
              <w:t xml:space="preserve">Craig A. Newman, “Bài học cho Phòng họp Hội đồng Quản trị từ Thỏa thuận An ninh mạng của Yahoo,” </w:t>
            </w:r>
            <w:r>
              <w:rPr>
                <w:b w:val="0"/>
                <w:i/>
                <w:sz w:val="19"/>
              </w:rPr>
              <w:t>New York Times</w:t>
            </w:r>
            <w:r>
              <w:rPr>
                <w:b w:val="0"/>
                <w:i w:val="0"/>
                <w:sz w:val="19"/>
              </w:rPr>
              <w:t>, ngày 23 tháng 1 năm 2019, https://www.nytimes.com/2019/01/23/business/dealbook/yahoo-cyber-security-settlement.html.</w:t>
            </w:r>
          </w:p>
        </w:tc>
      </w:tr>
      <w:tr>
        <w:tc>
          <w:tcPr>
            <w:tcW w:type="dxa" w:w="4680"/>
          </w:tcPr>
          <w:p>
            <w:r/>
            <w:r>
              <w:rPr>
                <w:b w:val="0"/>
                <w:i w:val="0"/>
                <w:sz w:val="19"/>
              </w:rPr>
              <w:t>7</w:t>
            </w:r>
          </w:p>
        </w:tc>
        <w:tc>
          <w:tcPr>
            <w:tcW w:type="dxa" w:w="4680"/>
          </w:tcPr>
          <w:p>
            <w:r/>
            <w:r>
              <w:rPr>
                <w:b w:val="0"/>
                <w:i w:val="0"/>
                <w:sz w:val="19"/>
              </w:rPr>
              <w:t>Kevin LaCroix, “Vụ kiện phái sinh liên quan đến Rò rỉ Dữ liệu Yahoo được Giải quyết với 29 Triệu Đô la,” The D&amp;O Diary, ngày 21 tháng 1 năm 2019, https://www.dandodiary.com/2019/01/articles/cyber-liability/yahoo-data-breach-related-derivative-suit-settled-29-million/.</w:t>
            </w:r>
          </w:p>
        </w:tc>
      </w:tr>
      <w:tr>
        <w:tc>
          <w:tcPr>
            <w:tcW w:type="dxa" w:w="4680"/>
          </w:tcPr>
          <w:p>
            <w:r/>
            <w:r>
              <w:rPr>
                <w:b w:val="0"/>
                <w:i w:val="0"/>
                <w:sz w:val="19"/>
              </w:rPr>
              <w:t>8</w:t>
            </w:r>
          </w:p>
        </w:tc>
        <w:tc>
          <w:tcPr>
            <w:tcW w:type="dxa" w:w="4680"/>
          </w:tcPr>
          <w:p>
            <w:r/>
            <w:r>
              <w:rPr>
                <w:b w:val="0"/>
                <w:i w:val="0"/>
                <w:sz w:val="19"/>
              </w:rPr>
              <w:t>Sean Michael Kerner, “Vụ hack Colonial Pipeline được giải thích: Mọi điều bạn cần biết,” WhatIs, ngày 26 tháng 4 năm 2022, https://www.techtarget.com/whatis/feature/Colonial-Pipeline-hack-explained-Everything-you-need-to-know.</w:t>
            </w:r>
          </w:p>
        </w:tc>
      </w:tr>
      <w:tr>
        <w:tc>
          <w:tcPr>
            <w:tcW w:type="dxa" w:w="4680"/>
          </w:tcPr>
          <w:p>
            <w:r/>
            <w:r>
              <w:rPr>
                <w:b w:val="0"/>
                <w:i w:val="0"/>
                <w:sz w:val="19"/>
              </w:rPr>
              <w:t>9</w:t>
            </w:r>
          </w:p>
        </w:tc>
        <w:tc>
          <w:tcPr>
            <w:tcW w:type="dxa" w:w="4680"/>
          </w:tcPr>
          <w:p>
            <w:r/>
            <w:r>
              <w:rPr>
                <w:b w:val="0"/>
                <w:i w:val="0"/>
                <w:sz w:val="19"/>
              </w:rPr>
              <w:t>Jen Easterly và Tom Fanning, “Cuộc tấn công vào Colonial Pipeline: Những gì chúng ta đã học được &amp; Những gì chúng ta đã làm trong hai năm qua,” Cơ quan An ninh mạng và Cơ sở hạ tầng (CISA), ngày 7 tháng 5 năm 2023, https://www.cisa.gov/news-events/news/attack-colonial-pipeline-what-weve-learned-what-weve-done-over-past-two-years.</w:t>
            </w:r>
          </w:p>
        </w:tc>
      </w:tr>
      <w:tr>
        <w:tc>
          <w:tcPr>
            <w:tcW w:type="dxa" w:w="4680"/>
          </w:tcPr>
          <w:p>
            <w:r/>
            <w:r>
              <w:rPr>
                <w:b w:val="0"/>
                <w:i w:val="0"/>
                <w:sz w:val="19"/>
              </w:rPr>
              <w:t>10</w:t>
            </w:r>
          </w:p>
        </w:tc>
        <w:tc>
          <w:tcPr>
            <w:tcW w:type="dxa" w:w="4680"/>
          </w:tcPr>
          <w:p>
            <w:r/>
            <w:r>
              <w:rPr>
                <w:b w:val="0"/>
                <w:i w:val="0"/>
                <w:sz w:val="19"/>
              </w:rPr>
              <w:t>Kerner, “Colonial Pipeline.”</w:t>
            </w:r>
          </w:p>
        </w:tc>
      </w:tr>
      <w:tr>
        <w:tc>
          <w:tcPr>
            <w:tcW w:type="dxa" w:w="4680"/>
          </w:tcPr>
          <w:p>
            <w:r/>
            <w:r>
              <w:rPr>
                <w:b w:val="0"/>
                <w:i w:val="0"/>
                <w:sz w:val="19"/>
              </w:rPr>
              <w:t>11</w:t>
            </w:r>
          </w:p>
        </w:tc>
        <w:tc>
          <w:tcPr>
            <w:tcW w:type="dxa" w:w="4680"/>
          </w:tcPr>
          <w:p>
            <w:r/>
            <w:r>
              <w:rPr>
                <w:b w:val="0"/>
                <w:i w:val="0"/>
                <w:sz w:val="19"/>
              </w:rPr>
              <w:t xml:space="preserve">John Vaillant, </w:t>
            </w:r>
            <w:r>
              <w:rPr>
                <w:b w:val="0"/>
                <w:i/>
                <w:sz w:val="19"/>
              </w:rPr>
              <w:t>Fire Weather: A True Story from a Hotter World</w:t>
            </w:r>
            <w:r>
              <w:rPr>
                <w:b w:val="0"/>
                <w:i w:val="0"/>
                <w:sz w:val="19"/>
              </w:rPr>
              <w:t xml:space="preserve"> (New York: Knopf, 2023), 321.</w:t>
            </w:r>
          </w:p>
        </w:tc>
      </w:tr>
      <w:tr>
        <w:tc>
          <w:tcPr>
            <w:tcW w:type="dxa" w:w="4680"/>
          </w:tcPr>
          <w:p>
            <w:r/>
            <w:r>
              <w:rPr>
                <w:b w:val="0"/>
                <w:i w:val="0"/>
                <w:sz w:val="19"/>
              </w:rPr>
              <w:t>12</w:t>
            </w:r>
          </w:p>
        </w:tc>
        <w:tc>
          <w:tcPr>
            <w:tcW w:type="dxa" w:w="4680"/>
          </w:tcPr>
          <w:p>
            <w:r/>
            <w:r>
              <w:rPr>
                <w:b w:val="0"/>
                <w:i w:val="0"/>
                <w:sz w:val="19"/>
              </w:rPr>
              <w:t>“Cách thiết lập quản trị khí hậu hiệu quả trong hội đồng quản trị doanh nghiệp: Nguyên tắc và câu hỏi hướng dẫn,” Diễn đàn Kinh tế Thế giới, tháng 1 năm 2019, https://www3.weforum.org/docs/WEF_Creating_effective_climate_governance_on_corporate_boards.pdf.</w:t>
            </w:r>
          </w:p>
        </w:tc>
      </w:tr>
      <w:tr>
        <w:tc>
          <w:tcPr>
            <w:tcW w:type="dxa" w:w="4680"/>
          </w:tcPr>
          <w:p>
            <w:r/>
            <w:r>
              <w:rPr>
                <w:b w:val="0"/>
                <w:i w:val="0"/>
                <w:sz w:val="19"/>
              </w:rPr>
              <w:t>13.</w:t>
            </w:r>
          </w:p>
        </w:tc>
        <w:tc>
          <w:tcPr>
            <w:tcW w:type="dxa" w:w="4680"/>
          </w:tcPr>
          <w:p>
            <w:r/>
            <w:r>
              <w:rPr>
                <w:b w:val="0"/>
                <w:i w:val="0"/>
                <w:sz w:val="19"/>
              </w:rPr>
              <w:t>“Rủi ro, cơ hội và đầu tư trong kỷ nguyên biến đổi khí hậu,” Viện Salata, ngày 19 tháng 7 năm 2023, https://salatainstitute.harvard.edu/risks-opportunities-and-investments-in-the-era-of-climate-change/.</w:t>
            </w:r>
          </w:p>
        </w:tc>
      </w:tr>
      <w:tr>
        <w:tc>
          <w:tcPr>
            <w:tcW w:type="dxa" w:w="4680"/>
          </w:tcPr>
          <w:p>
            <w:r/>
            <w:r>
              <w:rPr>
                <w:b w:val="0"/>
                <w:i w:val="0"/>
                <w:sz w:val="19"/>
              </w:rPr>
              <w:t>14</w:t>
            </w:r>
          </w:p>
        </w:tc>
        <w:tc>
          <w:tcPr>
            <w:tcW w:type="dxa" w:w="4680"/>
          </w:tcPr>
          <w:p>
            <w:r/>
            <w:r>
              <w:rPr>
                <w:b w:val="0"/>
                <w:i w:val="0"/>
                <w:sz w:val="19"/>
              </w:rPr>
              <w:t>“Rủi ro, cơ hội và đầu tư.”</w:t>
            </w:r>
          </w:p>
        </w:tc>
      </w:tr>
      <w:tr>
        <w:tc>
          <w:tcPr>
            <w:tcW w:type="dxa" w:w="4680"/>
          </w:tcPr>
          <w:p>
            <w:r/>
            <w:r>
              <w:rPr>
                <w:b w:val="0"/>
                <w:i w:val="0"/>
                <w:sz w:val="19"/>
              </w:rPr>
              <w:t>15</w:t>
            </w:r>
          </w:p>
        </w:tc>
        <w:tc>
          <w:tcPr>
            <w:tcW w:type="dxa" w:w="4680"/>
          </w:tcPr>
          <w:p>
            <w:r/>
            <w:r>
              <w:rPr>
                <w:b w:val="0"/>
                <w:i w:val="0"/>
                <w:sz w:val="19"/>
              </w:rPr>
              <w:t>“Cách thiết lập.”</w:t>
            </w:r>
          </w:p>
        </w:tc>
      </w:tr>
      <w:tr>
        <w:tc>
          <w:tcPr>
            <w:tcW w:type="dxa" w:w="4680"/>
          </w:tcPr>
          <w:p>
            <w:r/>
            <w:r>
              <w:rPr>
                <w:b w:val="0"/>
                <w:i w:val="0"/>
                <w:sz w:val="19"/>
              </w:rPr>
              <w:t>16</w:t>
            </w:r>
          </w:p>
        </w:tc>
        <w:tc>
          <w:tcPr>
            <w:tcW w:type="dxa" w:w="4680"/>
          </w:tcPr>
          <w:p>
            <w:r/>
            <w:r>
              <w:rPr>
                <w:b w:val="0"/>
                <w:i w:val="0"/>
                <w:sz w:val="19"/>
              </w:rPr>
              <w:t xml:space="preserve">Vaillant, </w:t>
            </w:r>
            <w:r>
              <w:rPr>
                <w:b w:val="0"/>
                <w:i/>
                <w:sz w:val="19"/>
              </w:rPr>
              <w:t>Fire Weather</w:t>
            </w:r>
            <w:r>
              <w:rPr>
                <w:b w:val="0"/>
                <w:i w:val="0"/>
                <w:sz w:val="19"/>
              </w:rPr>
              <w:t>, 409.</w:t>
            </w:r>
          </w:p>
        </w:tc>
      </w:tr>
      <w:tr>
        <w:tc>
          <w:tcPr>
            <w:tcW w:type="dxa" w:w="4680"/>
          </w:tcPr>
          <w:p>
            <w:r/>
            <w:r>
              <w:rPr>
                <w:b w:val="0"/>
                <w:i w:val="0"/>
                <w:sz w:val="19"/>
              </w:rPr>
              <w:t>17</w:t>
            </w:r>
          </w:p>
        </w:tc>
        <w:tc>
          <w:tcPr>
            <w:tcW w:type="dxa" w:w="4680"/>
          </w:tcPr>
          <w:p>
            <w:r/>
            <w:r>
              <w:rPr>
                <w:b w:val="0"/>
                <w:i w:val="0"/>
                <w:sz w:val="19"/>
              </w:rPr>
              <w:t>Didier Cossin và Abraham Hongze Lu, “Board Oversight of Geopolitical Risks and Opportunities,” IMD Business School for Management and Leadership Courses, tháng 5 năm 2021, https://www.imd.org/research-knowledge/corporate-governance/articles/board-oversight-geopolitical-risks-opportunities/.</w:t>
            </w:r>
          </w:p>
        </w:tc>
      </w:tr>
      <w:tr>
        <w:tc>
          <w:tcPr>
            <w:tcW w:type="dxa" w:w="4680"/>
          </w:tcPr>
          <w:p>
            <w:r/>
            <w:r>
              <w:rPr>
                <w:b w:val="0"/>
                <w:i w:val="0"/>
                <w:sz w:val="19"/>
              </w:rPr>
              <w:t>18</w:t>
            </w:r>
          </w:p>
        </w:tc>
        <w:tc>
          <w:tcPr>
            <w:tcW w:type="dxa" w:w="4680"/>
          </w:tcPr>
          <w:p>
            <w:r/>
            <w:r>
              <w:rPr>
                <w:b w:val="0"/>
                <w:i w:val="0"/>
                <w:sz w:val="19"/>
              </w:rPr>
              <w:t>“What Is Artificial Intelligence (AI)?,” IBM, n.d., https://www.ibm.com/topics/artificial-intelligence.</w:t>
            </w:r>
          </w:p>
        </w:tc>
      </w:tr>
      <w:tr>
        <w:tc>
          <w:tcPr>
            <w:tcW w:type="dxa" w:w="4680"/>
          </w:tcPr>
          <w:p>
            <w:r/>
            <w:r>
              <w:rPr>
                <w:b w:val="0"/>
                <w:i w:val="0"/>
                <w:sz w:val="19"/>
              </w:rPr>
              <w:t>19</w:t>
            </w:r>
          </w:p>
        </w:tc>
        <w:tc>
          <w:tcPr>
            <w:tcW w:type="dxa" w:w="4680"/>
          </w:tcPr>
          <w:p>
            <w:r/>
            <w:r>
              <w:rPr>
                <w:b w:val="0"/>
                <w:i w:val="0"/>
                <w:sz w:val="19"/>
              </w:rPr>
              <w:t>Katherine Haan, “How Businesses Are Using Artificial Intelligence,” Forbes Advisor, ngày 24 tháng 4 năm 2023, https://www.forbes.com/advisor/business/software/ai-in-business/.</w:t>
            </w:r>
          </w:p>
        </w:tc>
      </w:tr>
      <w:tr>
        <w:tc>
          <w:tcPr>
            <w:tcW w:type="dxa" w:w="4680"/>
          </w:tcPr>
          <w:p>
            <w:r/>
            <w:r>
              <w:rPr>
                <w:b w:val="0"/>
                <w:i w:val="0"/>
                <w:sz w:val="19"/>
              </w:rPr>
              <w:t>20</w:t>
            </w:r>
          </w:p>
        </w:tc>
        <w:tc>
          <w:tcPr>
            <w:tcW w:type="dxa" w:w="4680"/>
          </w:tcPr>
          <w:p>
            <w:r/>
            <w:r>
              <w:rPr>
                <w:b w:val="0"/>
                <w:i w:val="0"/>
                <w:sz w:val="19"/>
              </w:rPr>
              <w:t>Haan.</w:t>
            </w:r>
          </w:p>
        </w:tc>
      </w:tr>
      <w:tr>
        <w:tc>
          <w:tcPr>
            <w:tcW w:type="dxa" w:w="4680"/>
          </w:tcPr>
          <w:p>
            <w:r/>
            <w:r>
              <w:rPr>
                <w:b w:val="0"/>
                <w:i w:val="0"/>
                <w:sz w:val="19"/>
              </w:rPr>
              <w:t>21</w:t>
            </w:r>
          </w:p>
        </w:tc>
        <w:tc>
          <w:tcPr>
            <w:tcW w:type="dxa" w:w="4680"/>
          </w:tcPr>
          <w:p>
            <w:r/>
            <w:r>
              <w:rPr>
                <w:b w:val="0"/>
                <w:i w:val="0"/>
                <w:sz w:val="19"/>
              </w:rPr>
              <w:t>“The CEO Digital Divide,” AND Digital, n.d., https://www.and.digital/and-accelerate-whitepaper.</w:t>
            </w:r>
          </w:p>
        </w:tc>
      </w:tr>
      <w:tr>
        <w:tc>
          <w:tcPr>
            <w:tcW w:type="dxa" w:w="4680"/>
          </w:tcPr>
          <w:p>
            <w:r/>
            <w:r>
              <w:rPr>
                <w:b w:val="0"/>
                <w:i w:val="0"/>
                <w:sz w:val="19"/>
              </w:rPr>
              <w:t>22</w:t>
            </w:r>
          </w:p>
        </w:tc>
        <w:tc>
          <w:tcPr>
            <w:tcW w:type="dxa" w:w="4680"/>
          </w:tcPr>
          <w:p>
            <w:r/>
            <w:r>
              <w:rPr>
                <w:b w:val="0"/>
                <w:i w:val="0"/>
                <w:sz w:val="19"/>
              </w:rPr>
              <w:t>Maya Dollarhide, “Social Media: Definition, Importance, Top Websites and Apps,” Investopedia, ngày 31 tháng 7 năm 2024, https://www.investopedia.com/terms/s/social-media.asp.</w:t>
            </w:r>
          </w:p>
        </w:tc>
      </w:tr>
      <w:tr>
        <w:tc>
          <w:tcPr>
            <w:tcW w:type="dxa" w:w="4680"/>
          </w:tcPr>
          <w:p>
            <w:r/>
            <w:r>
              <w:rPr>
                <w:b w:val="0"/>
                <w:i w:val="0"/>
                <w:sz w:val="19"/>
              </w:rPr>
              <w:t>23</w:t>
            </w:r>
          </w:p>
        </w:tc>
        <w:tc>
          <w:tcPr>
            <w:tcW w:type="dxa" w:w="4680"/>
          </w:tcPr>
          <w:p>
            <w:r/>
            <w:r>
              <w:rPr>
                <w:b w:val="0"/>
                <w:i w:val="0"/>
                <w:sz w:val="19"/>
              </w:rPr>
              <w:t xml:space="preserve">Amanda Holpuch, “Behind the Backlash against Bud Light,” </w:t>
            </w:r>
            <w:r>
              <w:rPr>
                <w:b w:val="0"/>
                <w:i/>
                <w:sz w:val="19"/>
              </w:rPr>
              <w:t>New York Times</w:t>
            </w:r>
            <w:r>
              <w:rPr>
                <w:b w:val="0"/>
                <w:i w:val="0"/>
                <w:sz w:val="19"/>
              </w:rPr>
              <w:t>, ngày 21 tháng 11 năm 2023, https://www.nytimes.com/article/bud-light-boycott.html.</w:t>
            </w:r>
          </w:p>
        </w:tc>
      </w:tr>
      <w:tr>
        <w:tc>
          <w:tcPr>
            <w:tcW w:type="dxa" w:w="4680"/>
          </w:tcPr>
          <w:p>
            <w:r/>
            <w:r>
              <w:rPr>
                <w:b w:val="0"/>
                <w:i w:val="0"/>
                <w:sz w:val="19"/>
              </w:rPr>
              <w:t>24</w:t>
            </w:r>
          </w:p>
        </w:tc>
        <w:tc>
          <w:tcPr>
            <w:tcW w:type="dxa" w:w="4680"/>
          </w:tcPr>
          <w:p>
            <w:r/>
            <w:r>
              <w:rPr>
                <w:b w:val="0"/>
                <w:i w:val="0"/>
                <w:sz w:val="19"/>
              </w:rPr>
              <w:t xml:space="preserve">Andrew Bary, “Bud Light Sales Fall 26% as Transgender Backlash Worsens,” </w:t>
            </w:r>
            <w:r>
              <w:rPr>
                <w:b w:val="0"/>
                <w:i/>
                <w:sz w:val="19"/>
              </w:rPr>
              <w:t>Barron’s</w:t>
            </w:r>
            <w:r>
              <w:rPr>
                <w:b w:val="0"/>
                <w:i w:val="0"/>
                <w:sz w:val="19"/>
              </w:rPr>
              <w:t>, ngày 1 tháng 5 năm 2023, https://www.barrons.com/articles/bud-light-sales-dylan-mulvaney-transgender-backlash-9d426f09.</w:t>
            </w:r>
          </w:p>
        </w:tc>
      </w:tr>
      <w:tr>
        <w:tc>
          <w:tcPr>
            <w:tcW w:type="dxa" w:w="4680"/>
          </w:tcPr>
          <w:p>
            <w:r/>
            <w:r>
              <w:rPr>
                <w:b w:val="0"/>
                <w:i w:val="0"/>
                <w:sz w:val="19"/>
              </w:rPr>
              <w:t>25</w:t>
            </w:r>
          </w:p>
        </w:tc>
        <w:tc>
          <w:tcPr>
            <w:tcW w:type="dxa" w:w="4680"/>
          </w:tcPr>
          <w:p>
            <w:r/>
            <w:r>
              <w:rPr>
                <w:b w:val="0"/>
                <w:i w:val="0"/>
                <w:sz w:val="19"/>
              </w:rPr>
              <w:t xml:space="preserve">Jura Liaukonyte, Anna Tuchman, và Xinrong Zhu, “Bài học từ cuộc tẩy chay Bud Light, một năm sau,” </w:t>
            </w:r>
            <w:r>
              <w:rPr>
                <w:b w:val="0"/>
                <w:i/>
                <w:sz w:val="19"/>
              </w:rPr>
              <w:t>Harvard Business Review</w:t>
            </w:r>
            <w:r>
              <w:rPr>
                <w:b w:val="0"/>
                <w:i w:val="0"/>
                <w:sz w:val="19"/>
              </w:rPr>
              <w:t>, 20 tháng 3, 2024, https://hbr.org/2024/03/lessons-from-the-bud-light-boycott-one-year-later.</w:t>
            </w:r>
          </w:p>
        </w:tc>
      </w:tr>
      <w:tr>
        <w:tc>
          <w:tcPr>
            <w:tcW w:type="dxa" w:w="4680"/>
          </w:tcPr>
          <w:p>
            <w:r/>
            <w:r>
              <w:rPr>
                <w:b w:val="0"/>
                <w:i w:val="0"/>
                <w:sz w:val="19"/>
              </w:rPr>
              <w:t>26</w:t>
            </w:r>
          </w:p>
        </w:tc>
        <w:tc>
          <w:tcPr>
            <w:tcW w:type="dxa" w:w="4680"/>
          </w:tcPr>
          <w:p>
            <w:r/>
            <w:r>
              <w:rPr>
                <w:b w:val="0"/>
                <w:i w:val="0"/>
                <w:sz w:val="19"/>
              </w:rPr>
              <w:t>“Cố vấn an ninh mạng FINRA—Các quy định của SEC về quản lý rủi ro an ninh mạng, chiến lược, quản trị và công bố sự cố của các công ty đại chúng (Exchange Act Release No. 97989),” FINRA.org, không ngày, https://www.finra.org/rules-guidance/guidance/cybersecurity-advisory-sec-rules-on-cyber-risk-mgmt-governance-incident-disclosures.</w:t>
            </w:r>
          </w:p>
        </w:tc>
      </w:tr>
      <w:tr>
        <w:tc>
          <w:tcPr>
            <w:tcW w:type="dxa" w:w="4680"/>
          </w:tcPr>
          <w:p>
            <w:r/>
            <w:r>
              <w:rPr>
                <w:b w:val="0"/>
                <w:i w:val="0"/>
                <w:sz w:val="19"/>
              </w:rPr>
              <w:t>27</w:t>
            </w:r>
          </w:p>
        </w:tc>
        <w:tc>
          <w:tcPr>
            <w:tcW w:type="dxa" w:w="4680"/>
          </w:tcPr>
          <w:p>
            <w:r/>
            <w:r>
              <w:rPr>
                <w:b w:val="0"/>
                <w:i w:val="0"/>
                <w:sz w:val="19"/>
              </w:rPr>
              <w:t>“Cố vấn an ninh mạng FINRA.”</w:t>
            </w:r>
          </w:p>
        </w:tc>
      </w:tr>
      <w:tr>
        <w:tc>
          <w:tcPr>
            <w:tcW w:type="dxa" w:w="4680"/>
          </w:tcPr>
          <w:p>
            <w:r/>
            <w:r>
              <w:rPr>
                <w:b w:val="0"/>
                <w:i w:val="0"/>
                <w:sz w:val="19"/>
              </w:rPr>
              <w:t>28</w:t>
            </w:r>
          </w:p>
        </w:tc>
        <w:tc>
          <w:tcPr>
            <w:tcW w:type="dxa" w:w="4680"/>
          </w:tcPr>
          <w:p>
            <w:r/>
            <w:r>
              <w:rPr>
                <w:b w:val="0"/>
                <w:i w:val="0"/>
                <w:sz w:val="19"/>
              </w:rPr>
              <w:t>“Nhiều công ty chật vật để thấm nhuần tinh thần của các quy định công bố rủi ro sửa đổi của SEC,” Chương trình Quản lý Rủi ro của Deloitte và Trường Kế toán Leventhal thuộc USC, tháng 3 năm 2021, https://uscmarshallweb.s3-us-west-2.amazonaws.com/assets/uploads/s1/files/deloitte_usc_risk_management_program_article_march_2021_1_ha0elhirhe.pdf.</w:t>
            </w:r>
          </w:p>
        </w:tc>
      </w:tr>
      <w:tr>
        <w:tc>
          <w:tcPr>
            <w:tcW w:type="dxa" w:w="4680"/>
          </w:tcPr>
          <w:p>
            <w:r/>
            <w:r>
              <w:rPr>
                <w:b w:val="0"/>
                <w:i w:val="0"/>
                <w:sz w:val="19"/>
              </w:rPr>
              <w:t>29</w:t>
            </w:r>
          </w:p>
        </w:tc>
        <w:tc>
          <w:tcPr>
            <w:tcW w:type="dxa" w:w="4680"/>
          </w:tcPr>
          <w:p>
            <w:r/>
            <w:r>
              <w:rPr>
                <w:b w:val="0"/>
                <w:i w:val="0"/>
                <w:sz w:val="19"/>
              </w:rPr>
              <w:t>Ủy ban Chứng khoán và Giao dịch 17 CFR 229, 239, và 240, https://www.sec.gov/files/rules/final/2020/33-10825.pdf.</w:t>
            </w:r>
          </w:p>
        </w:tc>
      </w:tr>
      <w:tr>
        <w:tc>
          <w:tcPr>
            <w:tcW w:type="dxa" w:w="4680"/>
          </w:tcPr>
          <w:p>
            <w:r/>
            <w:r>
              <w:rPr>
                <w:b w:val="0"/>
                <w:i w:val="0"/>
                <w:sz w:val="19"/>
              </w:rPr>
              <w:t>30</w:t>
            </w:r>
          </w:p>
        </w:tc>
        <w:tc>
          <w:tcPr>
            <w:tcW w:type="dxa" w:w="4680"/>
          </w:tcPr>
          <w:p>
            <w:r/>
            <w:r>
              <w:rPr>
                <w:b w:val="0"/>
                <w:i w:val="0"/>
                <w:sz w:val="19"/>
              </w:rPr>
              <w:t>Dean Kingsley, Matt Solomon, và Kristen Jaconi, “Phân tích công bố các yếu tố rủi ro của SEC,” Diễn đàn Trường Luật Harvard về Quản trị Công ty, 3 tháng 12, 2023, https://corpgov.law.harvard.edu/2023/12/03/sec-risk-factors-disclosure-analysis/#20b.</w:t>
            </w:r>
          </w:p>
        </w:tc>
      </w:tr>
      <w:tr>
        <w:tc>
          <w:tcPr>
            <w:tcW w:type="dxa" w:w="4680"/>
          </w:tcPr>
          <w:p>
            <w:r/>
            <w:r>
              <w:rPr>
                <w:b w:val="0"/>
                <w:i w:val="0"/>
                <w:sz w:val="19"/>
              </w:rPr>
              <w:t>31</w:t>
            </w:r>
          </w:p>
        </w:tc>
        <w:tc>
          <w:tcPr>
            <w:tcW w:type="dxa" w:w="4680"/>
          </w:tcPr>
          <w:p>
            <w:r/>
            <w:r>
              <w:rPr>
                <w:b w:val="0"/>
                <w:i w:val="0"/>
                <w:sz w:val="19"/>
              </w:rPr>
              <w:t>Dean Kingsley, Matt Solomon, và Kristen Jaconi, “Các quy định công bố yếu tố rủi ro của SEC,” Diễn đàn Trường Luật Harvard về Quản trị Công ty, 22 tháng 12, 2021, https://corpgov.law.harvard.edu/2021/12/22/sec-risk-factor-disclosure-rules/.</w:t>
            </w:r>
          </w:p>
        </w:tc>
      </w:tr>
      <w:tr>
        <w:tc>
          <w:tcPr>
            <w:tcW w:type="dxa" w:w="4680"/>
          </w:tcPr>
          <w:p>
            <w:r/>
            <w:r>
              <w:rPr>
                <w:b w:val="0"/>
                <w:i w:val="0"/>
                <w:sz w:val="19"/>
              </w:rPr>
              <w:t>32</w:t>
            </w:r>
          </w:p>
        </w:tc>
        <w:tc>
          <w:tcPr>
            <w:tcW w:type="dxa" w:w="4680"/>
          </w:tcPr>
          <w:p>
            <w:r/>
            <w:r>
              <w:rPr>
                <w:b w:val="0"/>
                <w:i w:val="0"/>
                <w:sz w:val="19"/>
              </w:rPr>
              <w:t>Kingsley, Solomon, và Jaconi.</w:t>
            </w:r>
          </w:p>
        </w:tc>
      </w:tr>
      <w:tr>
        <w:tc>
          <w:tcPr>
            <w:tcW w:type="dxa" w:w="4680"/>
          </w:tcPr>
          <w:p>
            <w:r/>
            <w:r>
              <w:rPr>
                <w:b w:val="0"/>
                <w:i w:val="0"/>
                <w:sz w:val="19"/>
              </w:rPr>
              <w:t>33</w:t>
            </w:r>
          </w:p>
        </w:tc>
        <w:tc>
          <w:tcPr>
            <w:tcW w:type="dxa" w:w="4680"/>
          </w:tcPr>
          <w:p>
            <w:r/>
            <w:r>
              <w:rPr>
                <w:b w:val="0"/>
                <w:i w:val="0"/>
                <w:sz w:val="19"/>
              </w:rPr>
              <w:t>P. J. Himelfarb và cộng sự, “Need to Know: Disclosure Developments and 2023 Form 10-K Disclosure Locator,” Weil, ngày 16 tháng 1 năm 2024, https://www.weil.com/-/media/mailings/2024/q1/need-to-know-disclosure-developments-and-2023-form-10-k-disclosure-locator.pdf.</w:t>
            </w:r>
          </w:p>
        </w:tc>
      </w:tr>
      <w:tr>
        <w:tc>
          <w:tcPr>
            <w:tcW w:type="dxa" w:w="4680"/>
          </w:tcPr>
          <w:p>
            <w:r/>
            <w:r>
              <w:rPr>
                <w:b w:val="0"/>
                <w:i w:val="0"/>
                <w:sz w:val="19"/>
              </w:rPr>
              <w:t>34</w:t>
            </w:r>
          </w:p>
        </w:tc>
        <w:tc>
          <w:tcPr>
            <w:tcW w:type="dxa" w:w="4680"/>
          </w:tcPr>
          <w:p>
            <w:r/>
            <w:r>
              <w:rPr>
                <w:b w:val="0"/>
                <w:i w:val="0"/>
                <w:sz w:val="19"/>
              </w:rPr>
              <w:t>Himelfarb và cộng sự</w:t>
            </w:r>
          </w:p>
        </w:tc>
      </w:tr>
      <w:tr>
        <w:tc>
          <w:tcPr>
            <w:tcW w:type="dxa" w:w="4680"/>
          </w:tcPr>
          <w:p>
            <w:r/>
            <w:r>
              <w:rPr>
                <w:b w:val="0"/>
                <w:i w:val="0"/>
                <w:sz w:val="19"/>
              </w:rPr>
              <w:t>35</w:t>
            </w:r>
          </w:p>
        </w:tc>
        <w:tc>
          <w:tcPr>
            <w:tcW w:type="dxa" w:w="4680"/>
          </w:tcPr>
          <w:p>
            <w:r/>
            <w:r>
              <w:rPr>
                <w:b w:val="0"/>
                <w:i w:val="0"/>
                <w:sz w:val="19"/>
              </w:rPr>
              <w:t xml:space="preserve">Robert Tita, Dow Jones Newswires, “Nikola Awarded $165M in Case against Founder,” </w:t>
            </w:r>
            <w:r>
              <w:rPr>
                <w:b w:val="0"/>
                <w:i/>
                <w:sz w:val="19"/>
              </w:rPr>
              <w:t>Barron’s</w:t>
            </w:r>
            <w:r>
              <w:rPr>
                <w:b w:val="0"/>
                <w:i w:val="0"/>
                <w:sz w:val="19"/>
              </w:rPr>
              <w:t>, ngày 25 tháng 10 năm 2023, https://www.barrons.com/livecoverage/stock-market-today-102423/card/nikola-awarded-165m-in-case-against-founder-syg6GkiuIYAwzsj6kDJv.</w:t>
            </w:r>
          </w:p>
        </w:tc>
      </w:tr>
      <w:tr>
        <w:tc>
          <w:tcPr>
            <w:tcW w:type="dxa" w:w="4680"/>
          </w:tcPr>
          <w:p>
            <w:r/>
            <w:r>
              <w:rPr>
                <w:b w:val="0"/>
                <w:i w:val="0"/>
                <w:sz w:val="19"/>
              </w:rPr>
              <w:t>36</w:t>
            </w:r>
          </w:p>
        </w:tc>
        <w:tc>
          <w:tcPr>
            <w:tcW w:type="dxa" w:w="4680"/>
          </w:tcPr>
          <w:p>
            <w:r/>
            <w:r>
              <w:rPr>
                <w:b w:val="0"/>
                <w:i w:val="0"/>
                <w:sz w:val="19"/>
              </w:rPr>
              <w:t>Andrew J. Hawkins, “GM Acquires Stake in Electric Truck Maker Nikola, Will Help Make the Company’s First Vehicle,” The Verge, ngày 8 tháng 9 năm 2020, https://www.theverge.com/2020/9/8/21427009/gm-nikola-acquisition-electric-hydrogen-truck.</w:t>
            </w:r>
          </w:p>
        </w:tc>
      </w:tr>
      <w:tr>
        <w:tc>
          <w:tcPr>
            <w:tcW w:type="dxa" w:w="4680"/>
          </w:tcPr>
          <w:p>
            <w:r/>
            <w:r>
              <w:rPr>
                <w:b w:val="0"/>
                <w:i w:val="0"/>
                <w:sz w:val="19"/>
              </w:rPr>
              <w:t>37</w:t>
            </w:r>
          </w:p>
        </w:tc>
        <w:tc>
          <w:tcPr>
            <w:tcW w:type="dxa" w:w="4680"/>
          </w:tcPr>
          <w:p>
            <w:r/>
            <w:r>
              <w:rPr>
                <w:b w:val="0"/>
                <w:i w:val="0"/>
                <w:sz w:val="19"/>
              </w:rPr>
              <w:t>“Nikola: How to Parlay an Ocean of Lies into a Partnership with the Largest Auto OEM in America,” Hindenburg Research, ngày 10 tháng 9 năm 2020, https://hindenburgresearch.com/nikola/.</w:t>
            </w:r>
          </w:p>
        </w:tc>
      </w:tr>
      <w:tr>
        <w:tc>
          <w:tcPr>
            <w:tcW w:type="dxa" w:w="4680"/>
          </w:tcPr>
          <w:p>
            <w:r/>
            <w:r>
              <w:rPr>
                <w:b w:val="0"/>
                <w:i w:val="0"/>
                <w:sz w:val="19"/>
              </w:rPr>
              <w:t>38</w:t>
            </w:r>
          </w:p>
        </w:tc>
        <w:tc>
          <w:tcPr>
            <w:tcW w:type="dxa" w:w="4680"/>
          </w:tcPr>
          <w:p>
            <w:r/>
            <w:r>
              <w:rPr>
                <w:b w:val="0"/>
                <w:i w:val="0"/>
                <w:sz w:val="19"/>
              </w:rPr>
              <w:t xml:space="preserve">Ben Foldy, “Wall Street’s Pre-eminent Short Seller Is Calling It Quits,” </w:t>
            </w:r>
            <w:r>
              <w:rPr>
                <w:b w:val="0"/>
                <w:i/>
                <w:sz w:val="19"/>
              </w:rPr>
              <w:t>WSJ</w:t>
            </w:r>
            <w:r>
              <w:rPr>
                <w:b w:val="0"/>
                <w:i w:val="0"/>
                <w:sz w:val="19"/>
              </w:rPr>
              <w:t>, ngày 15 tháng 1 năm 2025, https://www.wsj.com/finance/investing/wall-streets-pre-eminent-short-seller-is-calling-it-quits-aee48b64.</w:t>
            </w:r>
          </w:p>
        </w:tc>
      </w:tr>
      <w:tr>
        <w:tc>
          <w:tcPr>
            <w:tcW w:type="dxa" w:w="4680"/>
          </w:tcPr>
          <w:p>
            <w:r/>
            <w:r>
              <w:rPr>
                <w:b w:val="0"/>
                <w:i w:val="0"/>
                <w:sz w:val="19"/>
              </w:rPr>
              <w:t>39</w:t>
            </w:r>
          </w:p>
        </w:tc>
        <w:tc>
          <w:tcPr>
            <w:tcW w:type="dxa" w:w="4680"/>
          </w:tcPr>
          <w:p>
            <w:r/>
            <w:r>
              <w:rPr>
                <w:b w:val="0"/>
                <w:i w:val="0"/>
                <w:sz w:val="19"/>
              </w:rPr>
              <w:t>“Nikola.”</w:t>
            </w:r>
          </w:p>
        </w:tc>
      </w:tr>
      <w:tr>
        <w:tc>
          <w:tcPr>
            <w:tcW w:type="dxa" w:w="4680"/>
          </w:tcPr>
          <w:p>
            <w:r/>
            <w:r>
              <w:rPr>
                <w:b w:val="0"/>
                <w:i w:val="0"/>
                <w:sz w:val="19"/>
              </w:rPr>
              <w:t>40</w:t>
            </w:r>
          </w:p>
        </w:tc>
        <w:tc>
          <w:tcPr>
            <w:tcW w:type="dxa" w:w="4680"/>
          </w:tcPr>
          <w:p>
            <w:r/>
            <w:r>
              <w:rPr>
                <w:b w:val="0"/>
                <w:i w:val="0"/>
                <w:sz w:val="19"/>
              </w:rPr>
              <w:t>John Rosevear, “Nikola Stock Surges 9% after Disgraced Founder Trevor Milton Ordered to Repay $165 Million,” CNBC, ngày 24 tháng 10 năm 2023, https://www.cnbc.com/2023/10/24/nikola-nkla-trevor-milton-damages.html.</w:t>
            </w:r>
          </w:p>
        </w:tc>
      </w:tr>
      <w:tr>
        <w:tc>
          <w:tcPr>
            <w:tcW w:type="dxa" w:w="4680"/>
          </w:tcPr>
          <w:p>
            <w:r/>
            <w:r>
              <w:rPr>
                <w:b w:val="0"/>
                <w:i w:val="0"/>
                <w:sz w:val="19"/>
              </w:rPr>
              <w:t>41</w:t>
            </w:r>
          </w:p>
        </w:tc>
        <w:tc>
          <w:tcPr>
            <w:tcW w:type="dxa" w:w="4680"/>
          </w:tcPr>
          <w:p>
            <w:r/>
            <w:r>
              <w:rPr>
                <w:b w:val="0"/>
                <w:i w:val="0"/>
                <w:sz w:val="19"/>
              </w:rPr>
              <w:t>Natalie Sherman, “Nikola: Trevor Milton bị kết án tù sau khi bị kết tội gian lận,” BBC, ngày 18 tháng 12 năm 2023, https://www.bbc.com/news/business-67752125.</w:t>
            </w:r>
          </w:p>
        </w:tc>
      </w:tr>
      <w:tr>
        <w:tc>
          <w:tcPr>
            <w:tcW w:type="dxa" w:w="4680"/>
          </w:tcPr>
          <w:p>
            <w:r/>
            <w:r>
              <w:rPr>
                <w:b w:val="0"/>
                <w:i w:val="0"/>
                <w:sz w:val="19"/>
              </w:rPr>
              <w:t>42</w:t>
            </w:r>
          </w:p>
        </w:tc>
        <w:tc>
          <w:tcPr>
            <w:tcW w:type="dxa" w:w="4680"/>
          </w:tcPr>
          <w:p>
            <w:r/>
            <w:r>
              <w:rPr>
                <w:b w:val="0"/>
                <w:i w:val="0"/>
                <w:sz w:val="19"/>
              </w:rPr>
              <w:t xml:space="preserve">Ben Foldy, “Ngay cả một bản án gian lận cũng không thể khiến người sáng lập Nikola rời xa công ty,” </w:t>
            </w:r>
            <w:r>
              <w:rPr>
                <w:b w:val="0"/>
                <w:i/>
                <w:sz w:val="19"/>
              </w:rPr>
              <w:t>Wall Street Journal</w:t>
            </w:r>
            <w:r>
              <w:rPr>
                <w:b w:val="0"/>
                <w:i w:val="0"/>
                <w:sz w:val="19"/>
              </w:rPr>
              <w:t>, ngày 20 tháng 5 năm 2024, https://www.wsj.com/business/nikola-founder-trevor-milton-ownership-7124b1cd.</w:t>
            </w:r>
          </w:p>
        </w:tc>
      </w:tr>
      <w:tr>
        <w:tc>
          <w:tcPr>
            <w:tcW w:type="dxa" w:w="4680"/>
          </w:tcPr>
          <w:p>
            <w:r/>
            <w:r>
              <w:rPr>
                <w:b w:val="0"/>
                <w:i w:val="0"/>
                <w:sz w:val="19"/>
              </w:rPr>
              <w:t>43</w:t>
            </w:r>
          </w:p>
        </w:tc>
        <w:tc>
          <w:tcPr>
            <w:tcW w:type="dxa" w:w="4680"/>
          </w:tcPr>
          <w:p>
            <w:r/>
            <w:r>
              <w:rPr>
                <w:b w:val="0"/>
                <w:i w:val="0"/>
                <w:sz w:val="19"/>
              </w:rPr>
              <w:t>Emily Bary, “Nikola sản xuất nhiều xe tải pin nhiên liệu trong Q1 hơn cả năm 2023; cổ phiếu tăng vọt,” MSN, ngày 4 tháng 4 năm 2024, https://www.msn.com/en-us/money/companies/nikola-produced-more-fuel-cell-trucks-in-q1-than-it-did-in-all-of-2023/ar-BB1l4i3d.</w:t>
            </w:r>
          </w:p>
        </w:tc>
      </w:tr>
      <w:tr>
        <w:tc>
          <w:tcPr>
            <w:tcW w:type="dxa" w:w="4680"/>
          </w:tcPr>
          <w:p>
            <w:r/>
            <w:r>
              <w:rPr>
                <w:b w:val="0"/>
                <w:i w:val="0"/>
                <w:sz w:val="19"/>
              </w:rPr>
              <w:t>44</w:t>
            </w:r>
          </w:p>
        </w:tc>
        <w:tc>
          <w:tcPr>
            <w:tcW w:type="dxa" w:w="4680"/>
          </w:tcPr>
          <w:p>
            <w:r/>
            <w:r>
              <w:rPr>
                <w:b w:val="0"/>
                <w:i w:val="0"/>
                <w:sz w:val="19"/>
              </w:rPr>
              <w:t>“Nikola khởi động quy trình bán tự nguyện toàn diện theo Chương 11,” PR Newswire, ngày 19 tháng 2 năm 2025, https://www.prnewswire.com/news-releases/nikola-initiates-comprehensive-voluntary-chapter-11-sale-process-302380185.html.</w:t>
            </w:r>
          </w:p>
        </w:tc>
      </w:tr>
      <w:tr>
        <w:tc>
          <w:tcPr>
            <w:tcW w:type="dxa" w:w="4680"/>
          </w:tcPr>
          <w:p>
            <w:r/>
            <w:r>
              <w:rPr>
                <w:b w:val="0"/>
                <w:i w:val="0"/>
                <w:sz w:val="19"/>
              </w:rPr>
              <w:t>45</w:t>
            </w:r>
          </w:p>
        </w:tc>
        <w:tc>
          <w:tcPr>
            <w:tcW w:type="dxa" w:w="4680"/>
          </w:tcPr>
          <w:p>
            <w:r/>
            <w:r>
              <w:rPr>
                <w:b w:val="0"/>
                <w:i w:val="0"/>
                <w:sz w:val="19"/>
              </w:rPr>
              <w:t>Joseph E. Griesedieck và Stuart S. Crandell, “Hiệu quả của hội đồng quản trị: Đang tiến bộ hay chưa đủ tiến bộ?,” Korn Ferry, ngày 2 tháng 4 năm 2021, https://www.kornferry.com/insights/briefings-for-the-boardroom/board-effectiveness--stepping-up-or-not-stepping-enough.</w:t>
            </w:r>
          </w:p>
        </w:tc>
      </w:tr>
      <w:tr>
        <w:tc>
          <w:tcPr>
            <w:tcW w:type="dxa" w:w="4680"/>
          </w:tcPr>
          <w:p>
            <w:r/>
            <w:r>
              <w:rPr>
                <w:b w:val="0"/>
                <w:i w:val="0"/>
                <w:sz w:val="19"/>
              </w:rPr>
              <w:t>46</w:t>
            </w:r>
          </w:p>
        </w:tc>
        <w:tc>
          <w:tcPr>
            <w:tcW w:type="dxa" w:w="4680"/>
          </w:tcPr>
          <w:p>
            <w:r/>
            <w:r>
              <w:rPr>
                <w:b w:val="0"/>
                <w:i w:val="0"/>
                <w:sz w:val="19"/>
              </w:rPr>
              <w:t xml:space="preserve">Jonathan F. Foster, “Vai trò của hội đồng quản trị trong ứng phó khủng hoảng,” </w:t>
            </w:r>
            <w:r>
              <w:rPr>
                <w:b w:val="0"/>
                <w:i/>
                <w:sz w:val="19"/>
              </w:rPr>
              <w:t>CFO</w:t>
            </w:r>
            <w:r>
              <w:rPr>
                <w:b w:val="0"/>
                <w:i w:val="0"/>
                <w:sz w:val="19"/>
              </w:rPr>
              <w:t>, ngày 19 tháng 1 năm 2021, https://www.cfo.com/news/the-boards-role-in-crisis-response/655873/.</w:t>
            </w:r>
          </w:p>
        </w:tc>
      </w:tr>
      <w:tr>
        <w:tc>
          <w:tcPr>
            <w:tcW w:type="dxa" w:w="4680"/>
          </w:tcPr>
          <w:p>
            <w:r/>
            <w:r>
              <w:rPr>
                <w:b w:val="0"/>
                <w:i w:val="0"/>
                <w:sz w:val="19"/>
              </w:rPr>
              <w:t>47</w:t>
            </w:r>
          </w:p>
        </w:tc>
        <w:tc>
          <w:tcPr>
            <w:tcW w:type="dxa" w:w="4680"/>
          </w:tcPr>
          <w:p>
            <w:r/>
            <w:r>
              <w:rPr>
                <w:b w:val="0"/>
                <w:i w:val="0"/>
                <w:sz w:val="19"/>
              </w:rPr>
              <w:t>Paula Loop, “Đại dịch thử thách kỹ năng quản lý khủng hoảng của các hội đồng quản trị,” Corporate Compliance Insights, ngày 19 tháng 10 năm 2020, https://www.corporatecomplianceinsights.com/pandemic-tests-boards-crisis-management/.</w:t>
            </w:r>
          </w:p>
        </w:tc>
      </w:tr>
      <w:tr>
        <w:tc>
          <w:tcPr>
            <w:tcW w:type="dxa" w:w="4680"/>
          </w:tcPr>
          <w:p>
            <w:r/>
            <w:r>
              <w:rPr>
                <w:b w:val="0"/>
                <w:i w:val="0"/>
                <w:sz w:val="19"/>
              </w:rPr>
              <w:t>48</w:t>
            </w:r>
          </w:p>
        </w:tc>
        <w:tc>
          <w:tcPr>
            <w:tcW w:type="dxa" w:w="4680"/>
          </w:tcPr>
          <w:p>
            <w:r/>
            <w:r>
              <w:rPr>
                <w:b w:val="0"/>
                <w:i w:val="0"/>
                <w:sz w:val="19"/>
              </w:rPr>
              <w:t>“Mục 1403 Ủy quyền Chỉ định Tổ chức (ODA) cho Máy bay Vận tải: Báo cáo Đánh giá của Hội đồng Chuyên gia,” FAA, không ngày, https://www.faa.gov/newsroom/Sec103_ExpertPanelReview_Report_Final.pdf.</w:t>
            </w:r>
          </w:p>
        </w:tc>
      </w:tr>
      <w:tr>
        <w:tc>
          <w:tcPr>
            <w:tcW w:type="dxa" w:w="4680"/>
          </w:tcPr>
          <w:p>
            <w:r/>
            <w:r>
              <w:rPr>
                <w:b w:val="0"/>
                <w:i w:val="0"/>
                <w:sz w:val="19"/>
              </w:rPr>
              <w:t>49</w:t>
            </w:r>
          </w:p>
        </w:tc>
        <w:tc>
          <w:tcPr>
            <w:tcW w:type="dxa" w:w="4680"/>
          </w:tcPr>
          <w:p>
            <w:r/>
            <w:r>
              <w:rPr>
                <w:b w:val="0"/>
                <w:i w:val="0"/>
                <w:sz w:val="19"/>
              </w:rPr>
              <w:t>“Mục 1403.”</w:t>
            </w:r>
          </w:p>
        </w:tc>
      </w:tr>
      <w:tr>
        <w:tc>
          <w:tcPr>
            <w:tcW w:type="dxa" w:w="4680"/>
          </w:tcPr>
          <w:p>
            <w:r/>
            <w:r>
              <w:rPr>
                <w:b w:val="0"/>
                <w:i w:val="0"/>
                <w:sz w:val="19"/>
              </w:rPr>
              <w:t>50</w:t>
            </w:r>
          </w:p>
        </w:tc>
        <w:tc>
          <w:tcPr>
            <w:tcW w:type="dxa" w:w="4680"/>
          </w:tcPr>
          <w:p>
            <w:r/>
            <w:r>
              <w:rPr>
                <w:b w:val="0"/>
                <w:i w:val="0"/>
                <w:sz w:val="19"/>
              </w:rPr>
              <w:t>“Mục 1403.”</w:t>
            </w:r>
          </w:p>
        </w:tc>
      </w:tr>
    </w:tbl>
    <w:p>
      <w:pPr>
        <w:spacing w:after="0"/>
      </w:pPr>
    </w:p>
    <w:p>
      <w:pPr>
        <w:pStyle w:val="Heading2"/>
      </w:pPr>
      <w:r>
        <w:rPr>
          <w:rFonts w:ascii="Calibri" w:hAnsi="Calibri"/>
          <w:b/>
          <w:i w:val="0"/>
          <w:sz w:val="32"/>
        </w:rPr>
        <w:t>Chương 14: Giữ cho Hội đồng quản trị luôn mới mẻ và sắc bén</w:t>
      </w:r>
    </w:p>
    <w:tbl>
      <w:tblPr>
        <w:tblStyle w:val="TableGrid"/>
        <w:tblW w:type="auto" w:w="0"/>
        <w:tblLook w:firstColumn="1" w:firstRow="1" w:lastColumn="0" w:lastRow="0" w:noHBand="0" w:noVBand="1" w:val="04A0"/>
      </w:tblPr>
      <w:tblGrid>
        <w:gridCol w:w="4680"/>
        <w:gridCol w:w="4680"/>
      </w:tblGrid>
      <w:tr>
        <w:tc>
          <w:tcPr>
            <w:tcW w:type="dxa" w:w="4680"/>
          </w:tcPr>
          <w:p>
            <w:r/>
            <w:r>
              <w:rPr>
                <w:b w:val="0"/>
                <w:i w:val="0"/>
                <w:sz w:val="19"/>
              </w:rPr>
              <w:t>1</w:t>
            </w:r>
          </w:p>
        </w:tc>
        <w:tc>
          <w:tcPr>
            <w:tcW w:type="dxa" w:w="4680"/>
          </w:tcPr>
          <w:p>
            <w:r/>
            <w:r>
              <w:rPr>
                <w:b w:val="0"/>
                <w:i w:val="0"/>
                <w:sz w:val="19"/>
              </w:rPr>
              <w:t>Jane Stevenson và Anthony Goodman, “Ghi chú gửi Hội đồng quản trị: Ai đó có nên từ chức không?,” Korn Ferry, ngày 27 tháng 9 năm 2023, https://www.kornferry.com/insights/this-week-in-leadership/note-to-the-board-should-someone-step-down.</w:t>
            </w:r>
          </w:p>
        </w:tc>
      </w:tr>
      <w:tr>
        <w:tc>
          <w:tcPr>
            <w:tcW w:type="dxa" w:w="4680"/>
          </w:tcPr>
          <w:p>
            <w:r/>
            <w:r>
              <w:rPr>
                <w:b w:val="0"/>
                <w:i w:val="0"/>
                <w:sz w:val="19"/>
              </w:rPr>
              <w:t>2</w:t>
            </w:r>
          </w:p>
        </w:tc>
        <w:tc>
          <w:tcPr>
            <w:tcW w:type="dxa" w:w="4680"/>
          </w:tcPr>
          <w:p>
            <w:r/>
            <w:r>
              <w:rPr>
                <w:b w:val="0"/>
                <w:i w:val="0"/>
                <w:sz w:val="19"/>
              </w:rPr>
              <w:t>“Biến việc đổi mới Hội đồng quản trị thành hiện thực,” The Conference Board, ngày 9 tháng 3 năm 2023, https://www.conference-board.org/topics/board-practices-compensation/making-board-refreshment-a-reality-op-ed.</w:t>
            </w:r>
          </w:p>
        </w:tc>
      </w:tr>
      <w:tr>
        <w:tc>
          <w:tcPr>
            <w:tcW w:type="dxa" w:w="4680"/>
          </w:tcPr>
          <w:p>
            <w:r/>
            <w:r>
              <w:rPr>
                <w:b w:val="0"/>
                <w:i w:val="0"/>
                <w:sz w:val="19"/>
              </w:rPr>
              <w:t>3</w:t>
            </w:r>
          </w:p>
        </w:tc>
        <w:tc>
          <w:tcPr>
            <w:tcW w:type="dxa" w:w="4680"/>
          </w:tcPr>
          <w:p>
            <w:r/>
            <w:r>
              <w:rPr>
                <w:b w:val="0"/>
                <w:i w:val="0"/>
                <w:sz w:val="19"/>
              </w:rPr>
              <w:t>“10. Người Mỹ nhìn nhận thế nào về các đề xuất thay đổi hệ thống chính trị,” Pew Research Center, ngày 19 tháng 9 năm 2023, https://www.pewresearch.org/politics/2023/09/19/how-americans-view-proposals-to-change-the-political-system/.</w:t>
            </w:r>
          </w:p>
        </w:tc>
      </w:tr>
      <w:tr>
        <w:tc>
          <w:tcPr>
            <w:tcW w:type="dxa" w:w="4680"/>
          </w:tcPr>
          <w:p>
            <w:r/>
            <w:r>
              <w:rPr>
                <w:b w:val="0"/>
                <w:i w:val="0"/>
                <w:sz w:val="19"/>
              </w:rPr>
              <w:t>4</w:t>
            </w:r>
          </w:p>
        </w:tc>
        <w:tc>
          <w:tcPr>
            <w:tcW w:type="dxa" w:w="4680"/>
          </w:tcPr>
          <w:p>
            <w:r/>
            <w:r>
              <w:rPr>
                <w:b w:val="0"/>
                <w:i w:val="0"/>
                <w:sz w:val="19"/>
              </w:rPr>
              <w:t xml:space="preserve">Michael P. Olson và Jon C. Rogowski, “Giới hạn nhiệm kỳ lập pháp và sự phân cực,” </w:t>
            </w:r>
            <w:r>
              <w:rPr>
                <w:b w:val="0"/>
                <w:i/>
                <w:sz w:val="19"/>
              </w:rPr>
              <w:t>Journal of Politics</w:t>
            </w:r>
            <w:r>
              <w:rPr>
                <w:b w:val="0"/>
                <w:i w:val="0"/>
                <w:sz w:val="19"/>
              </w:rPr>
              <w:t xml:space="preserve"> 82, số 2 (ngày 11 tháng 10 năm 2019): 572–86, https://www.journals.uchicago.edu/doi/10.1086/706764.</w:t>
            </w:r>
          </w:p>
        </w:tc>
      </w:tr>
      <w:tr>
        <w:tc>
          <w:tcPr>
            <w:tcW w:type="dxa" w:w="4680"/>
          </w:tcPr>
          <w:p>
            <w:r/>
            <w:r>
              <w:rPr>
                <w:b w:val="0"/>
                <w:i w:val="0"/>
                <w:sz w:val="19"/>
              </w:rPr>
              <w:t>5</w:t>
            </w:r>
          </w:p>
        </w:tc>
        <w:tc>
          <w:tcPr>
            <w:tcW w:type="dxa" w:w="4680"/>
          </w:tcPr>
          <w:p>
            <w:r/>
            <w:r>
              <w:rPr>
                <w:b w:val="0"/>
                <w:i w:val="0"/>
                <w:sz w:val="19"/>
              </w:rPr>
              <w:t>Anthony Fowler, “Loạt bài nhập môn Cải cách Dân chủ: Giới hạn nhiệm kỳ,” Trung tâm Chính phủ Hiệu quả thuộc Đại học Chicago, ngày 25 tháng 1 năm 2024, https://effectivegov.uchicago.edu/primers/term-limits.</w:t>
            </w:r>
          </w:p>
        </w:tc>
      </w:tr>
      <w:tr>
        <w:tc>
          <w:tcPr>
            <w:tcW w:type="dxa" w:w="4680"/>
          </w:tcPr>
          <w:p>
            <w:r/>
            <w:r>
              <w:rPr>
                <w:b w:val="0"/>
                <w:i w:val="0"/>
                <w:sz w:val="19"/>
              </w:rPr>
              <w:t>6</w:t>
            </w:r>
          </w:p>
        </w:tc>
        <w:tc>
          <w:tcPr>
            <w:tcW w:type="dxa" w:w="4680"/>
          </w:tcPr>
          <w:p>
            <w:r/>
            <w:r>
              <w:rPr>
                <w:b w:val="0"/>
                <w:i w:val="0"/>
                <w:sz w:val="19"/>
              </w:rPr>
              <w:t>Grant Thornton https://www.grantthornton.com/insights/articles/nfp/2023/5-reasons-that-healthy-boards-need-term-limits.</w:t>
            </w:r>
          </w:p>
        </w:tc>
      </w:tr>
      <w:tr>
        <w:tc>
          <w:tcPr>
            <w:tcW w:type="dxa" w:w="4680"/>
          </w:tcPr>
          <w:p>
            <w:r/>
            <w:r>
              <w:rPr>
                <w:b w:val="0"/>
                <w:i w:val="0"/>
                <w:sz w:val="19"/>
              </w:rPr>
              <w:t>7</w:t>
            </w:r>
          </w:p>
        </w:tc>
        <w:tc>
          <w:tcPr>
            <w:tcW w:type="dxa" w:w="4680"/>
          </w:tcPr>
          <w:p>
            <w:r/>
            <w:r>
              <w:rPr>
                <w:b w:val="0"/>
                <w:i w:val="0"/>
                <w:sz w:val="19"/>
              </w:rPr>
              <w:t>“5 lý do mà các hội đồng quản trị lành mạnh cần có giới hạn nhiệm kỳ,” Grant Thornton, ngày 24 tháng 4 năm 2023, https://www.sciencedirect.com/science/article/abs/pii/S1062940821000474.</w:t>
            </w:r>
          </w:p>
        </w:tc>
      </w:tr>
      <w:tr>
        <w:tc>
          <w:tcPr>
            <w:tcW w:type="dxa" w:w="4680"/>
          </w:tcPr>
          <w:p>
            <w:r/>
            <w:r>
              <w:rPr>
                <w:b w:val="0"/>
                <w:i w:val="0"/>
                <w:sz w:val="19"/>
              </w:rPr>
              <w:t>8</w:t>
            </w:r>
          </w:p>
        </w:tc>
        <w:tc>
          <w:tcPr>
            <w:tcW w:type="dxa" w:w="4680"/>
          </w:tcPr>
          <w:p>
            <w:r/>
            <w:r>
              <w:rPr>
                <w:b w:val="0"/>
                <w:i w:val="0"/>
                <w:sz w:val="19"/>
              </w:rPr>
              <w:t xml:space="preserve">Hui Liang James, Thanh Ngo, và Hongxia Wang, “Nhiệm kỳ của thành viên hội đồng quản trị độc lập và tính minh bạch của doanh nghiệp,” </w:t>
            </w:r>
            <w:r>
              <w:rPr>
                <w:b w:val="0"/>
                <w:i/>
                <w:sz w:val="19"/>
              </w:rPr>
              <w:t>North American Journal of Economics and Finance</w:t>
            </w:r>
            <w:r>
              <w:rPr>
                <w:b w:val="0"/>
                <w:i w:val="0"/>
                <w:sz w:val="19"/>
              </w:rPr>
              <w:t xml:space="preserve"> 57 (ngày 14 tháng 3 năm 2021): 101413, https://papers.ssrn.com/sol3/papers.cfm?abstract_id=2089175.</w:t>
            </w:r>
          </w:p>
        </w:tc>
      </w:tr>
      <w:tr>
        <w:tc>
          <w:tcPr>
            <w:tcW w:type="dxa" w:w="4680"/>
          </w:tcPr>
          <w:p>
            <w:r/>
            <w:r>
              <w:rPr>
                <w:b w:val="0"/>
                <w:i w:val="0"/>
                <w:sz w:val="19"/>
              </w:rPr>
              <w:t>9</w:t>
            </w:r>
          </w:p>
        </w:tc>
        <w:tc>
          <w:tcPr>
            <w:tcW w:type="dxa" w:w="4680"/>
          </w:tcPr>
          <w:p>
            <w:r/>
            <w:r>
              <w:rPr>
                <w:b w:val="0"/>
                <w:i w:val="0"/>
                <w:sz w:val="19"/>
              </w:rPr>
              <w:t>“Hướng dẫn chính sách năm 2022,” Glass Lewis, 2022, https://resources.glasslewis.com/hubfs/2023%20Guidelines/2023%20United%20States%20Benchmark%20Policy%20Guidelines.pdf.</w:t>
            </w:r>
          </w:p>
        </w:tc>
      </w:tr>
      <w:tr>
        <w:tc>
          <w:tcPr>
            <w:tcW w:type="dxa" w:w="4680"/>
          </w:tcPr>
          <w:p>
            <w:r/>
            <w:r>
              <w:rPr>
                <w:b w:val="0"/>
                <w:i w:val="0"/>
                <w:sz w:val="19"/>
              </w:rPr>
              <w:t>10</w:t>
            </w:r>
          </w:p>
        </w:tc>
        <w:tc>
          <w:tcPr>
            <w:tcW w:type="dxa" w:w="4680"/>
          </w:tcPr>
          <w:p>
            <w:r/>
            <w:r>
              <w:rPr>
                <w:b w:val="0"/>
                <w:i w:val="0"/>
                <w:sz w:val="19"/>
              </w:rPr>
              <w:t>“Các hội đồng quản trị trên khắp thế giới: Một bối cảnh đang thay đổi,” Spencer Stuart, tháng 3 năm 2024, https://www.spencerstuart.com/research-and-insight/boards-around-the-world-a-changing-landscape.</w:t>
            </w:r>
          </w:p>
        </w:tc>
      </w:tr>
      <w:tr>
        <w:tc>
          <w:tcPr>
            <w:tcW w:type="dxa" w:w="4680"/>
          </w:tcPr>
          <w:p>
            <w:r/>
            <w:r>
              <w:rPr>
                <w:b w:val="0"/>
                <w:i w:val="0"/>
                <w:sz w:val="19"/>
              </w:rPr>
              <w:t>11</w:t>
            </w:r>
          </w:p>
        </w:tc>
        <w:tc>
          <w:tcPr>
            <w:tcW w:type="dxa" w:w="4680"/>
          </w:tcPr>
          <w:p>
            <w:r/>
            <w:r>
              <w:rPr>
                <w:b w:val="0"/>
                <w:i w:val="0"/>
                <w:sz w:val="19"/>
              </w:rPr>
              <w:t>“Chọn một nhà lãnh đạo hội đồng quản trị mới: Tám câu hỏi,” Wharton Executive Education, tháng 3 năm 2023, https://executiveeducation.wharton.upenn.edu/thought-leadership/wharton-at-work/2023/03/choosing-new-board-leader-eight-questions/.</w:t>
            </w:r>
          </w:p>
        </w:tc>
      </w:tr>
      <w:tr>
        <w:tc>
          <w:tcPr>
            <w:tcW w:type="dxa" w:w="4680"/>
          </w:tcPr>
          <w:p>
            <w:r/>
            <w:r>
              <w:rPr>
                <w:b w:val="0"/>
                <w:i w:val="0"/>
                <w:sz w:val="19"/>
              </w:rPr>
              <w:t>12</w:t>
            </w:r>
          </w:p>
        </w:tc>
        <w:tc>
          <w:tcPr>
            <w:tcW w:type="dxa" w:w="4680"/>
          </w:tcPr>
          <w:p>
            <w:r/>
            <w:r>
              <w:rPr>
                <w:b w:val="0"/>
                <w:i w:val="0"/>
                <w:sz w:val="19"/>
              </w:rPr>
              <w:t>“10. Người Mỹ nhìn nhận các đề xuất như thế nào.”</w:t>
            </w:r>
          </w:p>
        </w:tc>
      </w:tr>
      <w:tr>
        <w:tc>
          <w:tcPr>
            <w:tcW w:type="dxa" w:w="4680"/>
          </w:tcPr>
          <w:p>
            <w:r/>
            <w:r>
              <w:rPr>
                <w:b w:val="0"/>
                <w:i w:val="0"/>
                <w:sz w:val="19"/>
              </w:rPr>
              <w:t>13</w:t>
            </w:r>
          </w:p>
        </w:tc>
        <w:tc>
          <w:tcPr>
            <w:tcW w:type="dxa" w:w="4680"/>
          </w:tcPr>
          <w:p>
            <w:r/>
            <w:r>
              <w:rPr>
                <w:b w:val="0"/>
                <w:i w:val="0"/>
                <w:sz w:val="19"/>
              </w:rPr>
              <w:t>Bob Woods, “Từ Disney đến Target đến Boeing, việc nghỉ hưu là chuyện của quá khứ đối với các CEO,” CNBC, ngày 13 tháng 12 năm 2022, https://www.cnbc.com/2022/12/11/from-disney-to-target-boeing-ceo-retirements-are-a-thing-of-the-past.html.</w:t>
            </w:r>
          </w:p>
        </w:tc>
      </w:tr>
      <w:tr>
        <w:tc>
          <w:tcPr>
            <w:tcW w:type="dxa" w:w="4680"/>
          </w:tcPr>
          <w:p>
            <w:r/>
            <w:r>
              <w:rPr>
                <w:b w:val="0"/>
                <w:i w:val="0"/>
                <w:sz w:val="19"/>
              </w:rPr>
              <w:t>14</w:t>
            </w:r>
          </w:p>
        </w:tc>
        <w:tc>
          <w:tcPr>
            <w:tcW w:type="dxa" w:w="4680"/>
          </w:tcPr>
          <w:p>
            <w:r/>
            <w:r>
              <w:rPr>
                <w:b w:val="0"/>
                <w:i w:val="0"/>
                <w:sz w:val="19"/>
              </w:rPr>
              <w:t>“Biến việc làm mới hội đồng quản trị thành hiện thực.”</w:t>
            </w:r>
          </w:p>
        </w:tc>
      </w:tr>
      <w:tr>
        <w:tc>
          <w:tcPr>
            <w:tcW w:type="dxa" w:w="4680"/>
          </w:tcPr>
          <w:p>
            <w:r/>
            <w:r>
              <w:rPr>
                <w:b w:val="0"/>
                <w:i w:val="0"/>
                <w:sz w:val="19"/>
              </w:rPr>
              <w:t>15</w:t>
            </w:r>
          </w:p>
        </w:tc>
        <w:tc>
          <w:tcPr>
            <w:tcW w:type="dxa" w:w="4680"/>
          </w:tcPr>
          <w:p>
            <w:r/>
            <w:r>
              <w:rPr>
                <w:b w:val="0"/>
                <w:i w:val="0"/>
                <w:sz w:val="19"/>
              </w:rPr>
              <w:t>“2023 CEO Transitions,” Spencer Stuart, tháng 1 năm 2024, https://www.spencerstuart.com/research-and-insight/2023-ceo-transitions.</w:t>
            </w:r>
          </w:p>
        </w:tc>
      </w:tr>
      <w:tr>
        <w:tc>
          <w:tcPr>
            <w:tcW w:type="dxa" w:w="4680"/>
          </w:tcPr>
          <w:p>
            <w:r/>
            <w:r>
              <w:rPr>
                <w:b w:val="0"/>
                <w:i w:val="0"/>
                <w:sz w:val="19"/>
              </w:rPr>
              <w:t>16</w:t>
            </w:r>
          </w:p>
        </w:tc>
        <w:tc>
          <w:tcPr>
            <w:tcW w:type="dxa" w:w="4680"/>
          </w:tcPr>
          <w:p>
            <w:r/>
            <w:r>
              <w:rPr>
                <w:b w:val="0"/>
                <w:i w:val="0"/>
                <w:sz w:val="19"/>
              </w:rPr>
              <w:t>“Making Board Refreshment a Reality.”</w:t>
            </w:r>
          </w:p>
        </w:tc>
      </w:tr>
      <w:tr>
        <w:tc>
          <w:tcPr>
            <w:tcW w:type="dxa" w:w="4680"/>
          </w:tcPr>
          <w:p>
            <w:r/>
            <w:r>
              <w:rPr>
                <w:b w:val="0"/>
                <w:i w:val="0"/>
                <w:sz w:val="19"/>
              </w:rPr>
              <w:t>17</w:t>
            </w:r>
          </w:p>
        </w:tc>
        <w:tc>
          <w:tcPr>
            <w:tcW w:type="dxa" w:w="4680"/>
          </w:tcPr>
          <w:p>
            <w:r/>
            <w:r>
              <w:rPr>
                <w:b w:val="0"/>
                <w:i w:val="0"/>
                <w:sz w:val="19"/>
              </w:rPr>
              <w:t>Maria Castañón Moats, Paul DeNicola, và Matt DiGuiseppe, “Using Transparency to Build Trust: A Corporate Director’s Guide,” Harvard Law School Forum on Corporate Governance, ngày 11 tháng 4 năm 2023, https://corpgov.law.harvard.edu/2023/04/11/using-transparency-to-build-trust-a-corporate-directors-guide/.</w:t>
            </w:r>
          </w:p>
        </w:tc>
      </w:tr>
      <w:tr>
        <w:tc>
          <w:tcPr>
            <w:tcW w:type="dxa" w:w="4680"/>
          </w:tcPr>
          <w:p>
            <w:r/>
            <w:r>
              <w:rPr>
                <w:b w:val="0"/>
                <w:i w:val="0"/>
                <w:sz w:val="19"/>
              </w:rPr>
              <w:t>18</w:t>
            </w:r>
          </w:p>
        </w:tc>
        <w:tc>
          <w:tcPr>
            <w:tcW w:type="dxa" w:w="4680"/>
          </w:tcPr>
          <w:p>
            <w:r/>
            <w:r>
              <w:rPr>
                <w:b w:val="0"/>
                <w:i w:val="0"/>
                <w:sz w:val="19"/>
              </w:rPr>
              <w:t>Maria Moats, Paul DeNicola, và Catie Hall, “Conducting Effective Board Assessments,” Harvard Law School Forum on Corporate Governance, ngày 2 tháng 6 năm 2022, https://corpgov.law.harvard.edu/2022/06/02/conducting-effective-board-assessments/.</w:t>
            </w:r>
          </w:p>
        </w:tc>
      </w:tr>
      <w:tr>
        <w:tc>
          <w:tcPr>
            <w:tcW w:type="dxa" w:w="4680"/>
          </w:tcPr>
          <w:p>
            <w:r/>
            <w:r>
              <w:rPr>
                <w:b w:val="0"/>
                <w:i w:val="0"/>
                <w:sz w:val="19"/>
              </w:rPr>
              <w:t>19</w:t>
            </w:r>
          </w:p>
        </w:tc>
        <w:tc>
          <w:tcPr>
            <w:tcW w:type="dxa" w:w="4680"/>
          </w:tcPr>
          <w:p>
            <w:r/>
            <w:r>
              <w:rPr>
                <w:b w:val="0"/>
                <w:i w:val="0"/>
                <w:sz w:val="19"/>
              </w:rPr>
              <w:t xml:space="preserve">Holly J. Gregory, “Rethinking Board Evaluation,” </w:t>
            </w:r>
            <w:r>
              <w:rPr>
                <w:b w:val="0"/>
                <w:i/>
                <w:sz w:val="19"/>
              </w:rPr>
              <w:t>Practical Law</w:t>
            </w:r>
            <w:r>
              <w:rPr>
                <w:b w:val="0"/>
                <w:i w:val="0"/>
                <w:sz w:val="19"/>
              </w:rPr>
              <w:t>, tháng 3 năm 2015, https://www.sidley.com/∼/media/publications/march15_thegovernancecounselor.pdf.</w:t>
            </w:r>
          </w:p>
        </w:tc>
      </w:tr>
      <w:tr>
        <w:tc>
          <w:tcPr>
            <w:tcW w:type="dxa" w:w="4680"/>
          </w:tcPr>
          <w:p>
            <w:r/>
            <w:r>
              <w:rPr>
                <w:b w:val="0"/>
                <w:i w:val="0"/>
                <w:sz w:val="19"/>
              </w:rPr>
              <w:t>20</w:t>
            </w:r>
          </w:p>
        </w:tc>
        <w:tc>
          <w:tcPr>
            <w:tcW w:type="dxa" w:w="4680"/>
          </w:tcPr>
          <w:p>
            <w:r/>
            <w:r>
              <w:rPr>
                <w:b w:val="0"/>
                <w:i w:val="0"/>
                <w:sz w:val="19"/>
              </w:rPr>
              <w:t>“Annual State of Board Evaluations in the U.S. 2024,” Korn Ferry / Gibson Dunn, 2024, https://www.kornferry.com/content/dam/kornferry-v2/pdf/KornFerryGibsonDunnAnnualStateofBoardEvalutionsUS2024Final.pdf.</w:t>
            </w:r>
          </w:p>
        </w:tc>
      </w:tr>
      <w:tr>
        <w:tc>
          <w:tcPr>
            <w:tcW w:type="dxa" w:w="4680"/>
          </w:tcPr>
          <w:p>
            <w:r/>
            <w:r>
              <w:rPr>
                <w:b w:val="0"/>
                <w:i w:val="0"/>
                <w:sz w:val="19"/>
              </w:rPr>
              <w:t>21.</w:t>
            </w:r>
          </w:p>
        </w:tc>
        <w:tc>
          <w:tcPr>
            <w:tcW w:type="dxa" w:w="4680"/>
          </w:tcPr>
          <w:p>
            <w:r/>
            <w:r>
              <w:rPr>
                <w:b w:val="0"/>
                <w:i w:val="0"/>
                <w:sz w:val="19"/>
              </w:rPr>
              <w:t>Moats, DeNicola, và Hall, “Conducting Effective Board Assessments.”</w:t>
            </w:r>
          </w:p>
        </w:tc>
      </w:tr>
      <w:tr>
        <w:tc>
          <w:tcPr>
            <w:tcW w:type="dxa" w:w="4680"/>
          </w:tcPr>
          <w:p>
            <w:r/>
            <w:r>
              <w:rPr>
                <w:b w:val="0"/>
                <w:i w:val="0"/>
                <w:sz w:val="19"/>
              </w:rPr>
              <w:t>22</w:t>
            </w:r>
          </w:p>
        </w:tc>
        <w:tc>
          <w:tcPr>
            <w:tcW w:type="dxa" w:w="4680"/>
          </w:tcPr>
          <w:p>
            <w:r/>
            <w:r>
              <w:rPr>
                <w:b w:val="0"/>
                <w:i w:val="0"/>
                <w:sz w:val="19"/>
              </w:rPr>
              <w:t>Moats, DeNicola, và Hall.</w:t>
            </w:r>
          </w:p>
        </w:tc>
      </w:tr>
      <w:tr>
        <w:tc>
          <w:tcPr>
            <w:tcW w:type="dxa" w:w="4680"/>
          </w:tcPr>
          <w:p>
            <w:r/>
            <w:r>
              <w:rPr>
                <w:b w:val="0"/>
                <w:i w:val="0"/>
                <w:sz w:val="19"/>
              </w:rPr>
              <w:t>23</w:t>
            </w:r>
          </w:p>
        </w:tc>
        <w:tc>
          <w:tcPr>
            <w:tcW w:type="dxa" w:w="4680"/>
          </w:tcPr>
          <w:p>
            <w:r/>
            <w:r>
              <w:rPr>
                <w:b w:val="0"/>
                <w:i w:val="0"/>
                <w:sz w:val="19"/>
              </w:rPr>
              <w:t>“Making a Great Board,” NYSE Governance Services, n.d., https://www.nyse.com/publicdocs/nyse/listing/Making_a_Great_Board_RHR_White_Paper.pdf.</w:t>
            </w:r>
          </w:p>
        </w:tc>
      </w:tr>
      <w:tr>
        <w:tc>
          <w:tcPr>
            <w:tcW w:type="dxa" w:w="4680"/>
          </w:tcPr>
          <w:p>
            <w:r/>
            <w:r>
              <w:rPr>
                <w:b w:val="0"/>
                <w:i w:val="0"/>
                <w:sz w:val="19"/>
              </w:rPr>
              <w:t>24</w:t>
            </w:r>
          </w:p>
        </w:tc>
        <w:tc>
          <w:tcPr>
            <w:tcW w:type="dxa" w:w="4680"/>
          </w:tcPr>
          <w:p>
            <w:r/>
            <w:r>
              <w:rPr>
                <w:b w:val="0"/>
                <w:i w:val="0"/>
                <w:sz w:val="19"/>
              </w:rPr>
              <w:t>Rich Fields và Rusty O’Kelley, “Is Your Board Effective?,” Harvard Law School Forum on Corporate Governance, October 21, 2022, https://corpgov.law.harvard.edu/2022/10/21/is-your-board-effective/.</w:t>
            </w:r>
          </w:p>
        </w:tc>
      </w:tr>
      <w:tr>
        <w:tc>
          <w:tcPr>
            <w:tcW w:type="dxa" w:w="4680"/>
          </w:tcPr>
          <w:p>
            <w:r/>
            <w:r>
              <w:rPr>
                <w:b w:val="0"/>
                <w:i w:val="0"/>
                <w:sz w:val="19"/>
              </w:rPr>
              <w:t>25</w:t>
            </w:r>
          </w:p>
        </w:tc>
        <w:tc>
          <w:tcPr>
            <w:tcW w:type="dxa" w:w="4680"/>
          </w:tcPr>
          <w:p>
            <w:r/>
            <w:r>
              <w:rPr>
                <w:b w:val="0"/>
                <w:i w:val="0"/>
                <w:sz w:val="19"/>
              </w:rPr>
              <w:t>Fields và O’Kelley.</w:t>
            </w:r>
          </w:p>
        </w:tc>
      </w:tr>
      <w:tr>
        <w:tc>
          <w:tcPr>
            <w:tcW w:type="dxa" w:w="4680"/>
          </w:tcPr>
          <w:p>
            <w:r/>
            <w:r>
              <w:rPr>
                <w:b w:val="0"/>
                <w:i w:val="0"/>
                <w:sz w:val="19"/>
              </w:rPr>
              <w:t>26</w:t>
            </w:r>
          </w:p>
        </w:tc>
        <w:tc>
          <w:tcPr>
            <w:tcW w:type="dxa" w:w="4680"/>
          </w:tcPr>
          <w:p>
            <w:r/>
            <w:r>
              <w:rPr>
                <w:b w:val="0"/>
                <w:i w:val="0"/>
                <w:sz w:val="19"/>
              </w:rPr>
              <w:t>“NACD Directorship Certification,” NACD, n.d., https://www.nacdonline.org/nacd-credentials/nacd-directorship-certification.</w:t>
            </w:r>
          </w:p>
        </w:tc>
      </w:tr>
      <w:tr>
        <w:tc>
          <w:tcPr>
            <w:tcW w:type="dxa" w:w="4680"/>
          </w:tcPr>
          <w:p>
            <w:r/>
            <w:r>
              <w:rPr>
                <w:b w:val="0"/>
                <w:i w:val="0"/>
                <w:sz w:val="19"/>
              </w:rPr>
              <w:t>27</w:t>
            </w:r>
          </w:p>
        </w:tc>
        <w:tc>
          <w:tcPr>
            <w:tcW w:type="dxa" w:w="4680"/>
          </w:tcPr>
          <w:p>
            <w:r/>
            <w:r>
              <w:rPr>
                <w:b w:val="0"/>
                <w:i w:val="0"/>
                <w:sz w:val="19"/>
              </w:rPr>
              <w:t>“Corporate Director Certificate,” Harvard Business School, Executive Education, n.d., https://www.exed.hbs.edu/corporate-director-certificate.</w:t>
            </w:r>
          </w:p>
        </w:tc>
      </w:tr>
    </w:tbl>
    <w:p>
      <w:pPr>
        <w:spacing w:after="0"/>
      </w:pPr>
    </w:p>
    <w:p>
      <w:pPr>
        <w:pStyle w:val="Heading1"/>
      </w:pPr>
      <w:r>
        <w:rPr>
          <w:rFonts w:ascii="Calibri" w:hAnsi="Calibri"/>
          <w:b/>
          <w:i w:val="0"/>
          <w:sz w:val="40"/>
        </w:rPr>
        <w:t>Mục lục</w:t>
      </w:r>
    </w:p>
    <w:p>
      <w:pPr>
        <w:spacing w:after="80"/>
      </w:pPr>
      <w:r>
        <w:rPr>
          <w:b w:val="0"/>
          <w:i w:val="0"/>
        </w:rPr>
        <w:t>Dựa trên ấn bản bìa mềm đã in</w:t>
      </w:r>
    </w:p>
    <w:p>
      <w:pPr>
        <w:spacing w:after="80"/>
      </w:pPr>
      <w:r>
        <w:rPr>
          <w:b w:val="0"/>
          <w:i w:val="0"/>
        </w:rPr>
        <w:t>Ackman, Bill, 122–23, 128</w:t>
      </w:r>
    </w:p>
    <w:p>
      <w:pPr>
        <w:spacing w:after="80"/>
      </w:pPr>
      <w:r>
        <w:rPr>
          <w:b w:val="0"/>
          <w:i w:val="0"/>
        </w:rPr>
        <w:t>hoạt động gây áp lực cổ đông (activism), 12, 117</w:t>
      </w:r>
    </w:p>
    <w:p>
      <w:pPr>
        <w:spacing w:after="80"/>
      </w:pPr>
      <w:r>
        <w:rPr>
          <w:b w:val="0"/>
          <w:i w:val="0"/>
        </w:rPr>
        <w:t>các cân nhắc về quản trị, 130–35</w:t>
      </w:r>
    </w:p>
    <w:p>
      <w:pPr>
        <w:spacing w:after="80"/>
      </w:pPr>
      <w:r>
        <w:rPr>
          <w:b w:val="0"/>
          <w:i w:val="0"/>
        </w:rPr>
        <w:t>lịch sử của hoạt động này, 119–23</w:t>
      </w:r>
    </w:p>
    <w:p>
      <w:pPr>
        <w:spacing w:after="80"/>
      </w:pPr>
      <w:r>
        <w:rPr>
          <w:b w:val="0"/>
          <w:i w:val="0"/>
        </w:rPr>
        <w:t>những người chơi chính, 123–24</w:t>
      </w:r>
    </w:p>
    <w:p>
      <w:pPr>
        <w:spacing w:after="80"/>
      </w:pPr>
      <w:r>
        <w:rPr>
          <w:b w:val="0"/>
          <w:i w:val="0"/>
        </w:rPr>
        <w:t>hiện đại, 125–30</w:t>
      </w:r>
    </w:p>
    <w:p>
      <w:pPr>
        <w:spacing w:after="80"/>
      </w:pPr>
      <w:r>
        <w:rPr>
          <w:b w:val="0"/>
          <w:i w:val="0"/>
        </w:rPr>
        <w:t>các điều khoản thông báo trước, 134</w:t>
      </w:r>
    </w:p>
    <w:p>
      <w:pPr>
        <w:spacing w:after="80"/>
      </w:pPr>
      <w:r>
        <w:rPr>
          <w:b w:val="0"/>
          <w:i w:val="0"/>
        </w:rPr>
        <w:t>đa dạng độ tuổi, 205</w:t>
      </w:r>
    </w:p>
    <w:p>
      <w:pPr>
        <w:spacing w:after="80"/>
      </w:pPr>
      <w:r>
        <w:rPr>
          <w:b w:val="0"/>
          <w:i w:val="0"/>
        </w:rPr>
        <w:t>chương trình nghị sự, 41–42</w:t>
      </w:r>
    </w:p>
    <w:p>
      <w:pPr>
        <w:spacing w:after="80"/>
      </w:pPr>
      <w:r>
        <w:rPr>
          <w:b w:val="0"/>
          <w:i w:val="0"/>
        </w:rPr>
        <w:t xml:space="preserve">AI. </w:t>
      </w:r>
      <w:r>
        <w:rPr>
          <w:b w:val="0"/>
          <w:i/>
        </w:rPr>
        <w:t>Xem</w:t>
      </w:r>
      <w:r>
        <w:rPr>
          <w:b w:val="0"/>
          <w:i w:val="0"/>
        </w:rPr>
        <w:t xml:space="preserve"> trí tuệ nhân tạo</w:t>
      </w:r>
    </w:p>
    <w:p>
      <w:pPr>
        <w:spacing w:after="80"/>
      </w:pPr>
      <w:r>
        <w:rPr>
          <w:b w:val="0"/>
          <w:i w:val="0"/>
        </w:rPr>
        <w:t>Airgas, 101–4</w:t>
      </w:r>
    </w:p>
    <w:p>
      <w:pPr>
        <w:spacing w:after="80"/>
      </w:pPr>
      <w:r>
        <w:rPr>
          <w:b w:val="0"/>
          <w:i w:val="0"/>
        </w:rPr>
        <w:t>Air Liquide, 104–5</w:t>
      </w:r>
    </w:p>
    <w:p>
      <w:pPr>
        <w:spacing w:after="80"/>
      </w:pPr>
      <w:r>
        <w:rPr>
          <w:b w:val="0"/>
          <w:i w:val="0"/>
        </w:rPr>
        <w:t>Air Products, 102–4</w:t>
      </w:r>
    </w:p>
    <w:p>
      <w:pPr>
        <w:spacing w:after="80"/>
      </w:pPr>
      <w:r>
        <w:rPr>
          <w:b w:val="0"/>
          <w:i w:val="0"/>
        </w:rPr>
        <w:t>Allen, Mike, 31–32, 34, 89, 108, 152, 194, 250, 263</w:t>
      </w:r>
    </w:p>
    <w:p>
      <w:pPr>
        <w:spacing w:after="80"/>
      </w:pPr>
      <w:r>
        <w:rPr>
          <w:b w:val="0"/>
          <w:i w:val="0"/>
        </w:rPr>
        <w:t>Allen, William T., 30–31</w:t>
      </w:r>
    </w:p>
    <w:p>
      <w:pPr>
        <w:spacing w:after="80"/>
      </w:pPr>
      <w:r>
        <w:rPr>
          <w:b w:val="0"/>
          <w:i w:val="0"/>
        </w:rPr>
        <w:t>các điều khoản chống thâu tóm, 98–99</w:t>
      </w:r>
    </w:p>
    <w:p>
      <w:pPr>
        <w:spacing w:after="80"/>
      </w:pPr>
      <w:r>
        <w:rPr>
          <w:b w:val="0"/>
          <w:i w:val="0"/>
        </w:rPr>
        <w:t>AOL, 92</w:t>
      </w:r>
    </w:p>
    <w:p>
      <w:pPr>
        <w:spacing w:after="80"/>
      </w:pPr>
      <w:r>
        <w:rPr>
          <w:b w:val="0"/>
          <w:i w:val="0"/>
        </w:rPr>
        <w:t>Apollo Global Management, 13, 20, 110, 162</w:t>
      </w:r>
    </w:p>
    <w:p>
      <w:pPr>
        <w:spacing w:after="80"/>
      </w:pPr>
      <w:r>
        <w:rPr>
          <w:b w:val="0"/>
          <w:i w:val="0"/>
        </w:rPr>
        <w:t>Apple, 62, 165</w:t>
      </w:r>
    </w:p>
    <w:p>
      <w:pPr>
        <w:spacing w:after="80"/>
      </w:pPr>
      <w:r>
        <w:rPr>
          <w:b w:val="0"/>
          <w:i w:val="0"/>
        </w:rPr>
        <w:t>trí tuệ nhân tạo (AI), 234–35</w:t>
      </w:r>
    </w:p>
    <w:p>
      <w:pPr>
        <w:spacing w:after="80"/>
      </w:pPr>
      <w:r>
        <w:rPr>
          <w:b w:val="0"/>
          <w:i w:val="0"/>
        </w:rPr>
        <w:t>các uỷ ban kiểm toán, 45–52, 188–89</w:t>
      </w:r>
    </w:p>
    <w:p>
      <w:pPr>
        <w:spacing w:after="80"/>
      </w:pPr>
      <w:r>
        <w:rPr>
          <w:b w:val="0"/>
          <w:i w:val="0"/>
        </w:rPr>
        <w:t>Lá thư Avon, 140</w:t>
      </w:r>
    </w:p>
    <w:p>
      <w:pPr>
        <w:spacing w:after="80"/>
      </w:pPr>
      <w:r>
        <w:rPr>
          <w:b w:val="0"/>
          <w:i w:val="0"/>
        </w:rPr>
        <w:t>Ballmer, Steve, 122, 127</w:t>
      </w:r>
    </w:p>
    <w:p>
      <w:pPr>
        <w:spacing w:after="80"/>
      </w:pPr>
      <w:r>
        <w:rPr>
          <w:b w:val="0"/>
          <w:i w:val="0"/>
        </w:rPr>
        <w:t>Balsanek, Kristy, 183–85, 188, 193, 263</w:t>
      </w:r>
    </w:p>
    <w:p>
      <w:pPr>
        <w:spacing w:after="80"/>
      </w:pPr>
      <w:r>
        <w:rPr>
          <w:b w:val="0"/>
          <w:i w:val="0"/>
        </w:rPr>
        <w:t>Banga, Ajay, 219</w:t>
      </w:r>
    </w:p>
    <w:p>
      <w:pPr>
        <w:spacing w:after="80"/>
      </w:pPr>
      <w:r>
        <w:rPr>
          <w:b w:val="0"/>
          <w:i w:val="0"/>
        </w:rPr>
        <w:t>Đạo luật Phá sản (1898), 157</w:t>
      </w:r>
    </w:p>
    <w:p>
      <w:pPr>
        <w:spacing w:after="80"/>
      </w:pPr>
      <w:r>
        <w:rPr>
          <w:b w:val="0"/>
          <w:i w:val="0"/>
        </w:rPr>
        <w:t>các giám đốc phá sản, 173–74</w:t>
      </w:r>
    </w:p>
    <w:p>
      <w:pPr>
        <w:spacing w:after="80"/>
      </w:pPr>
      <w:r>
        <w:rPr>
          <w:b w:val="0"/>
          <w:i w:val="0"/>
        </w:rPr>
        <w:t>Đạo luật Cải cách Phá sản (1978), 157–58</w:t>
      </w:r>
    </w:p>
    <w:p>
      <w:pPr>
        <w:spacing w:after="80"/>
      </w:pPr>
      <w:r>
        <w:rPr>
          <w:b w:val="0"/>
          <w:i w:val="0"/>
        </w:rPr>
        <w:t>Barra, Mary, 182</w:t>
      </w:r>
    </w:p>
    <w:p>
      <w:pPr>
        <w:spacing w:after="80"/>
      </w:pPr>
      <w:r>
        <w:rPr>
          <w:b w:val="0"/>
          <w:i w:val="0"/>
        </w:rPr>
        <w:t>Bastian, Stanley A., 210</w:t>
      </w:r>
    </w:p>
    <w:p>
      <w:pPr>
        <w:spacing w:after="80"/>
      </w:pPr>
      <w:r>
        <w:rPr>
          <w:b w:val="0"/>
          <w:i w:val="0"/>
        </w:rPr>
        <w:t>Bayh, Evan, 233–34, 263</w:t>
      </w:r>
    </w:p>
    <w:p>
      <w:pPr>
        <w:spacing w:after="80"/>
      </w:pPr>
      <w:r>
        <w:rPr>
          <w:b w:val="0"/>
          <w:i w:val="0"/>
        </w:rPr>
        <w:t>Bear Stearns, 109–10</w:t>
      </w:r>
    </w:p>
    <w:p>
      <w:pPr>
        <w:spacing w:after="80"/>
      </w:pPr>
      <w:r>
        <w:rPr>
          <w:b w:val="0"/>
          <w:i w:val="0"/>
        </w:rPr>
        <w:t>Bebchuk, Lucian, 129–30, 133–34, 196</w:t>
      </w:r>
    </w:p>
    <w:p>
      <w:pPr>
        <w:spacing w:after="80"/>
      </w:pPr>
      <w:r>
        <w:rPr>
          <w:b w:val="0"/>
          <w:i w:val="0"/>
        </w:rPr>
        <w:t>Benham, Doug, 54–55, 213, 231, 263</w:t>
      </w:r>
    </w:p>
    <w:p>
      <w:pPr>
        <w:spacing w:after="80"/>
      </w:pPr>
      <w:r>
        <w:rPr>
          <w:b w:val="0"/>
          <w:i w:val="0"/>
        </w:rPr>
        <w:t>Berg, Larry, 73, 263</w:t>
      </w:r>
    </w:p>
    <w:p>
      <w:pPr>
        <w:spacing w:after="80"/>
      </w:pPr>
      <w:r>
        <w:rPr>
          <w:b w:val="0"/>
          <w:i w:val="0"/>
        </w:rPr>
        <w:t>Bergerac, Michel, 98</w:t>
      </w:r>
    </w:p>
    <w:p>
      <w:pPr>
        <w:spacing w:after="80"/>
      </w:pPr>
      <w:r>
        <w:rPr>
          <w:b w:val="0"/>
          <w:i w:val="0"/>
        </w:rPr>
        <w:t>Berle, Adolf A., 9</w:t>
      </w:r>
    </w:p>
    <w:p>
      <w:pPr>
        <w:spacing w:after="80"/>
      </w:pPr>
      <w:r>
        <w:rPr>
          <w:b w:val="0"/>
          <w:i w:val="0"/>
        </w:rPr>
        <w:t>Best Buy, 84</w:t>
      </w:r>
    </w:p>
    <w:p>
      <w:pPr>
        <w:spacing w:after="80"/>
      </w:pPr>
      <w:r>
        <w:rPr>
          <w:b w:val="0"/>
          <w:i w:val="0"/>
        </w:rPr>
        <w:t>Black, Leon, 110</w:t>
      </w:r>
    </w:p>
    <w:p>
      <w:pPr>
        <w:spacing w:after="80"/>
      </w:pPr>
      <w:r>
        <w:rPr>
          <w:b w:val="0"/>
          <w:i w:val="0"/>
        </w:rPr>
        <w:t>Black, Lewis, 30</w:t>
      </w:r>
    </w:p>
    <w:p>
      <w:pPr>
        <w:spacing w:after="80"/>
      </w:pPr>
      <w:r>
        <w:rPr>
          <w:b w:val="0"/>
          <w:i w:val="0"/>
        </w:rPr>
        <w:t>BlackRock, 66, 80, 138, 143–46, 162, 181, 191–93</w:t>
      </w:r>
    </w:p>
    <w:p>
      <w:pPr>
        <w:spacing w:after="80"/>
      </w:pPr>
      <w:r>
        <w:rPr>
          <w:b w:val="0"/>
          <w:i w:val="0"/>
        </w:rPr>
        <w:t>Blackstone, 13, 57, 110, 159</w:t>
      </w:r>
    </w:p>
    <w:p>
      <w:pPr>
        <w:spacing w:after="80"/>
      </w:pPr>
      <w:r>
        <w:rPr>
          <w:b w:val="0"/>
          <w:i w:val="0"/>
        </w:rPr>
        <w:t xml:space="preserve">Vụ Blue Bell. Xem </w:t>
      </w:r>
      <w:r>
        <w:rPr>
          <w:b w:val="0"/>
          <w:i/>
        </w:rPr>
        <w:t>Marchand v. Barnhill</w:t>
      </w:r>
    </w:p>
    <w:p>
      <w:pPr>
        <w:spacing w:after="80"/>
      </w:pPr>
      <w:r>
        <w:rPr>
          <w:b w:val="0"/>
          <w:i w:val="0"/>
        </w:rPr>
        <w:t>văn hóa và sự ăn ý của hội đồng quản trị, 253–54</w:t>
      </w:r>
    </w:p>
    <w:p>
      <w:pPr>
        <w:spacing w:after="80"/>
      </w:pPr>
      <w:r>
        <w:rPr>
          <w:b w:val="0"/>
          <w:i w:val="0"/>
        </w:rPr>
        <w:t>sự đa dạng của hội đồng quản trị, 65–67, 186, 204–10</w:t>
      </w:r>
    </w:p>
    <w:p>
      <w:pPr>
        <w:spacing w:after="80"/>
      </w:pPr>
      <w:r>
        <w:rPr>
          <w:b w:val="0"/>
          <w:i w:val="0"/>
        </w:rPr>
        <w:t>đánh giá hội đồng quản trị, 243</w:t>
      </w:r>
    </w:p>
    <w:p>
      <w:pPr>
        <w:spacing w:after="80"/>
      </w:pPr>
      <w:r>
        <w:rPr>
          <w:b w:val="0"/>
          <w:i w:val="0"/>
        </w:rPr>
        <w:t>vai trò lãnh đạo của hội đồng quản trị, 69–77, 79–82</w:t>
      </w:r>
    </w:p>
    <w:p>
      <w:pPr>
        <w:spacing w:after="80"/>
      </w:pPr>
      <w:r>
        <w:rPr>
          <w:b w:val="0"/>
          <w:i w:val="0"/>
        </w:rPr>
        <w:t>các cuộc họp hội đồng quản trị, 41–42</w:t>
      </w:r>
    </w:p>
    <w:p>
      <w:pPr>
        <w:spacing w:after="80"/>
      </w:pPr>
      <w:r>
        <w:rPr>
          <w:b w:val="0"/>
          <w:i w:val="0"/>
        </w:rPr>
        <w:t>biên bản họp hội đồng quản trị, 29–30</w:t>
      </w:r>
    </w:p>
    <w:p>
      <w:pPr>
        <w:spacing w:after="80"/>
      </w:pPr>
      <w:r>
        <w:rPr>
          <w:b w:val="0"/>
          <w:i w:val="0"/>
        </w:rPr>
        <w:t>ma trận kỹ năng của hội đồng quản trị, 199–201</w:t>
      </w:r>
    </w:p>
    <w:p>
      <w:pPr>
        <w:spacing w:after="80"/>
      </w:pPr>
      <w:r>
        <w:rPr>
          <w:b w:val="0"/>
          <w:i w:val="0"/>
        </w:rPr>
        <w:t>Boeing, 22–23, 30, 37, 41, 58, 79, 242</w:t>
      </w:r>
    </w:p>
    <w:p>
      <w:pPr>
        <w:spacing w:after="80"/>
      </w:pPr>
      <w:r>
        <w:rPr>
          <w:b w:val="0"/>
          <w:i w:val="0"/>
        </w:rPr>
        <w:t>Bogan, Vicki L., 65</w:t>
      </w:r>
    </w:p>
    <w:p>
      <w:pPr>
        <w:spacing w:after="80"/>
      </w:pPr>
      <w:r>
        <w:rPr>
          <w:b w:val="0"/>
          <w:i w:val="0"/>
        </w:rPr>
        <w:t>Bogle, Jack, 142, 144</w:t>
      </w:r>
    </w:p>
    <w:p>
      <w:pPr>
        <w:spacing w:after="80"/>
      </w:pPr>
      <w:r>
        <w:rPr>
          <w:b w:val="0"/>
          <w:i w:val="0"/>
        </w:rPr>
        <w:t>Bolger, Bruce, 195</w:t>
      </w:r>
    </w:p>
    <w:p>
      <w:pPr>
        <w:spacing w:after="80"/>
      </w:pPr>
      <w:r>
        <w:rPr>
          <w:b w:val="0"/>
          <w:i w:val="0"/>
        </w:rPr>
        <w:t>tiền thưởng, 53–54, 57–58, 62, 72</w:t>
      </w:r>
    </w:p>
    <w:p>
      <w:pPr>
        <w:spacing w:after="80"/>
      </w:pPr>
      <w:r>
        <w:rPr>
          <w:b w:val="0"/>
          <w:i w:val="0"/>
        </w:rPr>
        <w:t>các CEO quay lại (boomerang CEOs), 224</w:t>
      </w:r>
    </w:p>
    <w:p>
      <w:pPr>
        <w:spacing w:after="80"/>
      </w:pPr>
      <w:r>
        <w:rPr>
          <w:b w:val="0"/>
          <w:i w:val="0"/>
        </w:rPr>
        <w:t>Botelho, Elena, 218</w:t>
      </w:r>
    </w:p>
    <w:p>
      <w:pPr>
        <w:spacing w:after="80"/>
      </w:pPr>
      <w:r>
        <w:rPr>
          <w:b w:val="0"/>
          <w:i w:val="0"/>
        </w:rPr>
        <w:t>Bouchard, Andre, 28–30, 35, 238, 250, 256, 263</w:t>
      </w:r>
    </w:p>
    <w:p>
      <w:pPr>
        <w:spacing w:after="80"/>
      </w:pPr>
      <w:r>
        <w:rPr>
          <w:b w:val="0"/>
          <w:i w:val="0"/>
        </w:rPr>
        <w:t>Hướng đạo sinh (Boy Scouts), 175</w:t>
      </w:r>
    </w:p>
    <w:p>
      <w:pPr>
        <w:spacing w:after="80"/>
      </w:pPr>
      <w:r>
        <w:rPr>
          <w:b w:val="0"/>
          <w:i w:val="0"/>
        </w:rPr>
        <w:t>Brandeis, Louis D., 9</w:t>
      </w:r>
    </w:p>
    <w:p>
      <w:pPr>
        <w:spacing w:after="80"/>
      </w:pPr>
      <w:r>
        <w:rPr>
          <w:b w:val="0"/>
          <w:i w:val="0"/>
        </w:rPr>
        <w:t>Brandon, David, 71–72, 168, 263</w:t>
      </w:r>
    </w:p>
    <w:p>
      <w:pPr>
        <w:spacing w:after="80"/>
      </w:pPr>
      <w:r>
        <w:rPr>
          <w:b w:val="0"/>
          <w:i w:val="0"/>
        </w:rPr>
        <w:t>Brown, Kathleen, 205, 209, 263</w:t>
      </w:r>
    </w:p>
    <w:p>
      <w:pPr>
        <w:spacing w:after="80"/>
      </w:pPr>
      <w:r>
        <w:rPr>
          <w:b w:val="0"/>
          <w:i w:val="0"/>
        </w:rPr>
        <w:t>Buffett, Warren, 119, 142, 247</w:t>
      </w:r>
    </w:p>
    <w:p>
      <w:pPr>
        <w:spacing w:after="80"/>
      </w:pPr>
      <w:r>
        <w:rPr>
          <w:b w:val="0"/>
          <w:i w:val="0"/>
        </w:rPr>
        <w:t>Bush, George W., 14</w:t>
      </w:r>
    </w:p>
    <w:p>
      <w:pPr>
        <w:spacing w:after="80"/>
      </w:pPr>
      <w:r>
        <w:rPr>
          <w:b w:val="0"/>
          <w:i w:val="0"/>
        </w:rPr>
        <w:t>Business Roundtable, 182</w:t>
      </w:r>
    </w:p>
    <w:p>
      <w:pPr>
        <w:spacing w:after="80"/>
      </w:pPr>
      <w:r>
        <w:rPr>
          <w:b w:val="0"/>
          <w:i w:val="0"/>
        </w:rPr>
        <w:t>Byrne, Robert, 71, 79, 221–22, 263</w:t>
      </w:r>
    </w:p>
    <w:p>
      <w:pPr>
        <w:spacing w:after="80"/>
      </w:pPr>
      <w:r>
        <w:rPr>
          <w:b w:val="0"/>
          <w:i w:val="0"/>
        </w:rPr>
        <w:t>Ủy ban Cadbury (Cadbury Committee), 80</w:t>
      </w:r>
    </w:p>
    <w:p>
      <w:pPr>
        <w:spacing w:after="80"/>
      </w:pPr>
      <w:r>
        <w:rPr>
          <w:b w:val="0"/>
          <w:i w:val="0"/>
        </w:rPr>
        <w:t>Calhoun, Dave, 37, 79</w:t>
      </w:r>
    </w:p>
    <w:p>
      <w:pPr>
        <w:spacing w:after="80"/>
      </w:pPr>
      <w:r>
        <w:rPr>
          <w:b w:val="0"/>
          <w:i w:val="0"/>
        </w:rPr>
        <w:t>Carbone, Mario, 23–25, 186, 218, 263</w:t>
      </w:r>
    </w:p>
    <w:p>
      <w:pPr>
        <w:spacing w:after="80"/>
      </w:pPr>
      <w:r>
        <w:rPr>
          <w:b w:val="0"/>
          <w:i/>
        </w:rPr>
        <w:t>Caremark</w:t>
      </w:r>
      <w:r>
        <w:rPr>
          <w:b w:val="0"/>
          <w:i w:val="0"/>
        </w:rPr>
        <w:t xml:space="preserve">. Xem </w:t>
      </w:r>
      <w:r>
        <w:rPr>
          <w:b w:val="0"/>
          <w:i/>
        </w:rPr>
        <w:t>In re Caremark Derivative Litigation</w:t>
      </w:r>
    </w:p>
    <w:p>
      <w:pPr>
        <w:spacing w:after="80"/>
      </w:pPr>
      <w:r>
        <w:rPr>
          <w:b w:val="0"/>
          <w:i w:val="0"/>
        </w:rPr>
        <w:t>Carlucci, Frank, 7</w:t>
      </w:r>
    </w:p>
    <w:p>
      <w:pPr>
        <w:spacing w:after="80"/>
      </w:pPr>
      <w:r>
        <w:rPr>
          <w:b w:val="0"/>
          <w:i w:val="0"/>
        </w:rPr>
        <w:t>Carlyle Group, 7, 111, 208</w:t>
      </w:r>
    </w:p>
    <w:p>
      <w:pPr>
        <w:spacing w:after="80"/>
      </w:pPr>
      <w:r>
        <w:rPr>
          <w:b w:val="0"/>
          <w:i w:val="0"/>
        </w:rPr>
        <w:t>Carney, John, 33</w:t>
      </w:r>
    </w:p>
    <w:p>
      <w:pPr>
        <w:spacing w:after="80"/>
      </w:pPr>
      <w:r>
        <w:rPr>
          <w:b w:val="0"/>
          <w:i w:val="0"/>
        </w:rPr>
        <w:t>Carney, Mark, 233</w:t>
      </w:r>
    </w:p>
    <w:p>
      <w:pPr>
        <w:spacing w:after="80"/>
      </w:pPr>
      <w:r>
        <w:rPr>
          <w:b w:val="0"/>
          <w:i w:val="0"/>
        </w:rPr>
        <w:t>Carstensen, Laura, 205, 247, 263</w:t>
      </w:r>
    </w:p>
    <w:p>
      <w:pPr>
        <w:spacing w:after="80"/>
      </w:pPr>
      <w:r>
        <w:rPr>
          <w:b w:val="0"/>
          <w:i w:val="0"/>
        </w:rPr>
        <w:t>Casesa, John, 264</w:t>
      </w:r>
    </w:p>
    <w:p>
      <w:pPr>
        <w:spacing w:after="80"/>
      </w:pPr>
      <w:r>
        <w:rPr>
          <w:b w:val="0"/>
          <w:i w:val="0"/>
        </w:rPr>
        <w:t>Catalano, Anna, 200, 213, 227, 250, 264</w:t>
      </w:r>
    </w:p>
    <w:p>
      <w:pPr>
        <w:spacing w:after="80"/>
      </w:pPr>
      <w:r>
        <w:rPr>
          <w:b w:val="0"/>
          <w:i w:val="0"/>
        </w:rPr>
        <w:t xml:space="preserve">CEO. </w:t>
      </w:r>
      <w:r>
        <w:rPr>
          <w:b w:val="0"/>
          <w:i/>
        </w:rPr>
        <w:t>Xem</w:t>
      </w:r>
      <w:r>
        <w:rPr>
          <w:b w:val="0"/>
          <w:i w:val="0"/>
        </w:rPr>
        <w:t xml:space="preserve"> chief executive officer</w:t>
      </w:r>
    </w:p>
    <w:p>
      <w:pPr>
        <w:spacing w:after="80"/>
      </w:pPr>
      <w:r>
        <w:rPr>
          <w:b w:val="0"/>
          <w:i w:val="0"/>
        </w:rPr>
        <w:t>chủ tịch danh dự, 73–74</w:t>
      </w:r>
    </w:p>
    <w:p>
      <w:pPr>
        <w:spacing w:after="80"/>
      </w:pPr>
      <w:r>
        <w:rPr>
          <w:b w:val="0"/>
          <w:i w:val="0"/>
        </w:rPr>
        <w:t>Chambers, John, 220</w:t>
      </w:r>
    </w:p>
    <w:p>
      <w:pPr>
        <w:spacing w:after="80"/>
      </w:pPr>
      <w:r>
        <w:rPr>
          <w:b w:val="0"/>
          <w:i w:val="0"/>
        </w:rPr>
        <w:t>Chandler, William, 60</w:t>
      </w:r>
    </w:p>
    <w:p>
      <w:pPr>
        <w:spacing w:after="80"/>
      </w:pPr>
      <w:r>
        <w:rPr>
          <w:b w:val="0"/>
          <w:i w:val="0"/>
        </w:rPr>
        <w:t>Chandler Act (1938), 157</w:t>
      </w:r>
    </w:p>
    <w:p>
      <w:pPr>
        <w:spacing w:after="80"/>
      </w:pPr>
      <w:r>
        <w:rPr>
          <w:b w:val="0"/>
          <w:i w:val="0"/>
        </w:rPr>
        <w:t>Chapman, Shelley, 172, 177–78, 264</w:t>
      </w:r>
    </w:p>
    <w:p>
      <w:pPr>
        <w:spacing w:after="80"/>
      </w:pPr>
      <w:r>
        <w:rPr>
          <w:b w:val="0"/>
          <w:i w:val="0"/>
        </w:rPr>
        <w:t>tái cấu trúc theo Chương 11, 3, 19, 22, 118, 155, 166–69, 172, 174, 176–78, 221</w:t>
      </w:r>
    </w:p>
    <w:p>
      <w:pPr>
        <w:spacing w:after="80"/>
      </w:pPr>
      <w:r>
        <w:rPr>
          <w:b w:val="0"/>
          <w:i w:val="0"/>
        </w:rPr>
        <w:t>Thanh lý theo Chương 7, 166–67</w:t>
      </w:r>
    </w:p>
    <w:p>
      <w:pPr>
        <w:spacing w:after="80"/>
      </w:pPr>
      <w:r>
        <w:rPr>
          <w:b w:val="0"/>
          <w:i w:val="0"/>
        </w:rPr>
        <w:t>điều lệ, 33, 49, 63–64</w:t>
      </w:r>
    </w:p>
    <w:p>
      <w:pPr>
        <w:spacing w:after="80"/>
      </w:pPr>
      <w:r>
        <w:rPr>
          <w:b w:val="0"/>
          <w:i w:val="0"/>
        </w:rPr>
        <w:t>Chemtura, 59</w:t>
      </w:r>
    </w:p>
    <w:p>
      <w:pPr>
        <w:spacing w:after="80"/>
      </w:pPr>
      <w:r>
        <w:rPr>
          <w:b w:val="0"/>
          <w:i w:val="0"/>
        </w:rPr>
        <w:t>giám đốc điều hành (CEO), 4, 14, 41, 43, 61–63, 69–70, 215–18</w:t>
      </w:r>
    </w:p>
    <w:p>
      <w:pPr>
        <w:spacing w:after="80"/>
      </w:pPr>
      <w:r>
        <w:rPr>
          <w:b w:val="0"/>
          <w:i w:val="0"/>
        </w:rPr>
        <w:t>lãnh đạo hội đồng quản trị và, 69–75, 79</w:t>
      </w:r>
    </w:p>
    <w:p>
      <w:pPr>
        <w:spacing w:after="80"/>
      </w:pPr>
      <w:r>
        <w:rPr>
          <w:b w:val="0"/>
          <w:i w:val="0"/>
        </w:rPr>
        <w:t>boomerang, 224</w:t>
      </w:r>
    </w:p>
    <w:p>
      <w:pPr>
        <w:spacing w:after="80"/>
      </w:pPr>
      <w:r>
        <w:rPr>
          <w:b w:val="0"/>
          <w:i w:val="0"/>
        </w:rPr>
        <w:t>các ủy ban thù lao và, 47, 52–57, 60–64</w:t>
      </w:r>
    </w:p>
    <w:p>
      <w:pPr>
        <w:spacing w:after="80"/>
      </w:pPr>
      <w:r>
        <w:rPr>
          <w:b w:val="0"/>
          <w:i w:val="0"/>
        </w:rPr>
        <w:t>với tư cách thành viên hội đồng quản trị, 201–2</w:t>
      </w:r>
    </w:p>
    <w:p>
      <w:pPr>
        <w:spacing w:after="80"/>
      </w:pPr>
      <w:r>
        <w:rPr>
          <w:b w:val="0"/>
          <w:i w:val="0"/>
        </w:rPr>
        <w:t>sự đa dạng của, 66–67</w:t>
      </w:r>
    </w:p>
    <w:p>
      <w:pPr>
        <w:spacing w:after="80"/>
      </w:pPr>
      <w:r>
        <w:rPr>
          <w:b w:val="0"/>
          <w:i w:val="0"/>
        </w:rPr>
        <w:t>đánh giá, 254</w:t>
      </w:r>
    </w:p>
    <w:p>
      <w:pPr>
        <w:spacing w:after="80"/>
      </w:pPr>
      <w:r>
        <w:rPr>
          <w:b w:val="0"/>
          <w:i w:val="0"/>
        </w:rPr>
        <w:t>tương tác và đánh giá, 226–28</w:t>
      </w:r>
    </w:p>
    <w:p>
      <w:pPr>
        <w:spacing w:after="80"/>
      </w:pPr>
      <w:r>
        <w:rPr>
          <w:b w:val="0"/>
          <w:i w:val="0"/>
        </w:rPr>
        <w:t>đánh giá hiệu suất của, 80</w:t>
      </w:r>
    </w:p>
    <w:p>
      <w:pPr>
        <w:spacing w:after="80"/>
      </w:pPr>
      <w:r>
        <w:rPr>
          <w:b w:val="0"/>
          <w:i w:val="0"/>
        </w:rPr>
        <w:t>tuyển dụng và thuê, 223–26</w:t>
      </w:r>
    </w:p>
    <w:p>
      <w:pPr>
        <w:spacing w:after="80"/>
      </w:pPr>
      <w:r>
        <w:rPr>
          <w:b w:val="0"/>
          <w:i w:val="0"/>
        </w:rPr>
        <w:t>lập kế hoạch kế nhiệm cho, 5, 80, 219–23</w:t>
      </w:r>
    </w:p>
    <w:p>
      <w:pPr>
        <w:spacing w:after="80"/>
      </w:pPr>
      <w:r>
        <w:rPr>
          <w:b w:val="0"/>
          <w:i w:val="0"/>
        </w:rPr>
        <w:t>Church, John, 20</w:t>
      </w:r>
    </w:p>
    <w:p>
      <w:pPr>
        <w:spacing w:after="80"/>
      </w:pPr>
      <w:r>
        <w:rPr>
          <w:b w:val="0"/>
          <w:i w:val="0"/>
        </w:rPr>
        <w:t xml:space="preserve">CISA. </w:t>
      </w:r>
      <w:r>
        <w:rPr>
          <w:b w:val="0"/>
          <w:i/>
        </w:rPr>
        <w:t>Xem</w:t>
      </w:r>
      <w:r>
        <w:rPr>
          <w:b w:val="0"/>
          <w:i w:val="0"/>
        </w:rPr>
        <w:t xml:space="preserve"> Cybersecurity &amp; Infrastructure Security Agency</w:t>
      </w:r>
    </w:p>
    <w:p>
      <w:pPr>
        <w:spacing w:after="80"/>
      </w:pPr>
      <w:r>
        <w:rPr>
          <w:b w:val="0"/>
          <w:i w:val="0"/>
        </w:rPr>
        <w:t>Citrin, Jim, 70, 218–20, 223, 227–28, 264</w:t>
      </w:r>
    </w:p>
    <w:p>
      <w:pPr>
        <w:spacing w:after="80"/>
      </w:pPr>
      <w:r>
        <w:rPr>
          <w:b w:val="0"/>
          <w:i w:val="0"/>
        </w:rPr>
        <w:t>hội đồng quản trị phân loại, 133</w:t>
      </w:r>
    </w:p>
    <w:p>
      <w:pPr>
        <w:spacing w:after="80"/>
      </w:pPr>
      <w:r>
        <w:rPr>
          <w:b w:val="0"/>
          <w:i w:val="0"/>
        </w:rPr>
        <w:t>Clayton, Jay, 149</w:t>
      </w:r>
    </w:p>
    <w:p>
      <w:pPr>
        <w:spacing w:after="80"/>
      </w:pPr>
      <w:r>
        <w:rPr>
          <w:b w:val="0"/>
          <w:i w:val="0"/>
        </w:rPr>
        <w:t>Climate Action 100+, 193</w:t>
      </w:r>
    </w:p>
    <w:p>
      <w:pPr>
        <w:spacing w:after="80"/>
      </w:pPr>
      <w:r>
        <w:rPr>
          <w:b w:val="0"/>
          <w:i w:val="0"/>
        </w:rPr>
        <w:t>rủi ro biến đổi khí hậu, 187, 232–33</w:t>
      </w:r>
    </w:p>
    <w:p>
      <w:pPr>
        <w:spacing w:after="80"/>
      </w:pPr>
      <w:r>
        <w:rPr>
          <w:b w:val="0"/>
          <w:i w:val="0"/>
        </w:rPr>
        <w:t>Coates, John, 137–38, 141</w:t>
      </w:r>
    </w:p>
    <w:p>
      <w:pPr>
        <w:spacing w:after="80"/>
      </w:pPr>
      <w:r>
        <w:rPr>
          <w:b w:val="0"/>
          <w:i w:val="0"/>
        </w:rPr>
        <w:t>Coller, Jeremy, 182</w:t>
      </w:r>
    </w:p>
    <w:p>
      <w:pPr>
        <w:spacing w:after="80"/>
      </w:pPr>
      <w:r>
        <w:rPr>
          <w:b w:val="0"/>
          <w:i w:val="0"/>
        </w:rPr>
        <w:t>Colonial Pipeline, 232</w:t>
      </w:r>
    </w:p>
    <w:p>
      <w:pPr>
        <w:spacing w:after="80"/>
      </w:pPr>
      <w:r>
        <w:rPr>
          <w:b w:val="0"/>
          <w:i w:val="0"/>
        </w:rPr>
        <w:t>kiêm nhiệm chủ tịch hội đồng quản trị và CEO, 70–71, 75, 83</w:t>
      </w:r>
    </w:p>
    <w:p>
      <w:pPr>
        <w:spacing w:after="80"/>
      </w:pPr>
      <w:r>
        <w:rPr>
          <w:b w:val="0"/>
          <w:i w:val="0"/>
        </w:rPr>
        <w:t>dự án cộng đồng, 14</w:t>
      </w:r>
    </w:p>
    <w:p>
      <w:pPr>
        <w:spacing w:after="80"/>
      </w:pPr>
      <w:r>
        <w:rPr>
          <w:b w:val="0"/>
          <w:i w:val="0"/>
        </w:rPr>
        <w:t>ủy ban lương thưởng, 45–46, 52–65, 188–89</w:t>
      </w:r>
    </w:p>
    <w:p>
      <w:pPr>
        <w:spacing w:after="80"/>
      </w:pPr>
      <w:r>
        <w:rPr>
          <w:b w:val="0"/>
          <w:i w:val="0"/>
        </w:rPr>
        <w:t>cố vấn lương thưởng, 58</w:t>
      </w:r>
    </w:p>
    <w:p>
      <w:pPr>
        <w:spacing w:after="80"/>
      </w:pPr>
      <w:r>
        <w:rPr>
          <w:b w:val="0"/>
          <w:i w:val="0"/>
        </w:rPr>
        <w:t>chỉ số lương thưởng, 64</w:t>
      </w:r>
    </w:p>
    <w:p>
      <w:pPr>
        <w:spacing w:after="80"/>
      </w:pPr>
      <w:r>
        <w:rPr>
          <w:b w:val="0"/>
          <w:i w:val="0"/>
        </w:rPr>
        <w:t>xung đột, 26, 39, 43, 90, 112, 203, 252</w:t>
      </w:r>
    </w:p>
    <w:p>
      <w:pPr>
        <w:spacing w:after="80"/>
      </w:pPr>
      <w:r>
        <w:rPr>
          <w:b w:val="0"/>
          <w:i w:val="0"/>
        </w:rPr>
        <w:t>tư vấn cho công ty gặp khó khăn và, 159–60</w:t>
      </w:r>
    </w:p>
    <w:p>
      <w:pPr>
        <w:spacing w:after="80"/>
      </w:pPr>
      <w:r>
        <w:rPr>
          <w:b w:val="0"/>
          <w:i w:val="0"/>
        </w:rPr>
        <w:t>nghĩa vụ trung thành và, 27–29, 38, 106–7</w:t>
      </w:r>
    </w:p>
    <w:p>
      <w:pPr>
        <w:spacing w:after="80"/>
      </w:pPr>
      <w:r>
        <w:rPr>
          <w:b/>
          <w:i w:val="0"/>
        </w:rPr>
        <w:t>rủi ro địa chính trị</w:t>
      </w:r>
      <w:r>
        <w:rPr>
          <w:b w:val="0"/>
          <w:i w:val="0"/>
        </w:rPr>
        <w:t>, 230, 233</w:t>
      </w:r>
    </w:p>
    <w:p>
      <w:pPr>
        <w:spacing w:after="80"/>
      </w:pPr>
      <w:r>
        <w:rPr>
          <w:b w:val="0"/>
          <w:i w:val="0"/>
        </w:rPr>
        <w:t>các giám đốc độc lập và, 171, 173–74</w:t>
      </w:r>
    </w:p>
    <w:p>
      <w:pPr>
        <w:spacing w:after="80"/>
      </w:pPr>
      <w:r>
        <w:rPr>
          <w:b w:val="0"/>
          <w:i w:val="0"/>
        </w:rPr>
        <w:t>xung đột lợi ích, 13, 28, 58, 171, 173</w:t>
      </w:r>
    </w:p>
    <w:p>
      <w:pPr>
        <w:spacing w:after="80"/>
      </w:pPr>
      <w:r>
        <w:rPr>
          <w:b w:val="0"/>
          <w:i w:val="0"/>
        </w:rPr>
        <w:t>giữa nhà đầu tư và người quản lý, 8</w:t>
      </w:r>
    </w:p>
    <w:p>
      <w:pPr>
        <w:spacing w:after="80"/>
      </w:pPr>
      <w:r>
        <w:rPr>
          <w:b w:val="0"/>
          <w:i w:val="0"/>
        </w:rPr>
        <w:t>cố vấn ủy quyền và, 149–50</w:t>
      </w:r>
    </w:p>
    <w:p>
      <w:pPr>
        <w:spacing w:after="80"/>
      </w:pPr>
      <w:r>
        <w:rPr>
          <w:b w:val="0"/>
          <w:i w:val="0"/>
        </w:rPr>
        <w:t>các ủy ban đặc biệt và, 46–47</w:t>
      </w:r>
    </w:p>
    <w:p>
      <w:pPr>
        <w:spacing w:after="80"/>
      </w:pPr>
      <w:r>
        <w:rPr>
          <w:b w:val="0"/>
          <w:i w:val="0"/>
        </w:rPr>
        <w:t>các công ty bị kiểm soát, 32–33</w:t>
      </w:r>
    </w:p>
    <w:p>
      <w:pPr>
        <w:spacing w:after="80"/>
      </w:pPr>
      <w:r>
        <w:rPr>
          <w:b w:val="0"/>
          <w:i w:val="0"/>
        </w:rPr>
        <w:t>cổ đông kiểm soát, 38–39, 105, 108</w:t>
      </w:r>
    </w:p>
    <w:p>
      <w:pPr>
        <w:spacing w:after="80"/>
      </w:pPr>
      <w:r>
        <w:rPr>
          <w:b w:val="0"/>
          <w:i w:val="0"/>
        </w:rPr>
        <w:t>Cook, G. Bradford, 10</w:t>
      </w:r>
    </w:p>
    <w:p>
      <w:pPr>
        <w:spacing w:after="80"/>
      </w:pPr>
      <w:r>
        <w:rPr>
          <w:b w:val="0"/>
          <w:i w:val="0"/>
        </w:rPr>
        <w:t>Cook, Tim, 62, 182</w:t>
      </w:r>
    </w:p>
    <w:p>
      <w:pPr>
        <w:spacing w:after="80"/>
      </w:pPr>
      <w:r>
        <w:rPr>
          <w:b w:val="0"/>
          <w:i w:val="0"/>
        </w:rPr>
        <w:t xml:space="preserve">quản trị doanh nghiệp. </w:t>
      </w:r>
      <w:r>
        <w:rPr>
          <w:b w:val="0"/>
          <w:i/>
        </w:rPr>
        <w:t>Xem</w:t>
      </w:r>
      <w:r>
        <w:rPr>
          <w:b w:val="0"/>
          <w:i w:val="0"/>
        </w:rPr>
        <w:t xml:space="preserve"> quản trị</w:t>
      </w:r>
    </w:p>
    <w:p>
      <w:pPr>
        <w:spacing w:after="80"/>
      </w:pPr>
      <w:r>
        <w:rPr>
          <w:b w:val="0"/>
          <w:i w:val="0"/>
        </w:rPr>
        <w:t>Bộ Quy tắc Quản trị Doanh nghiệp (Anh), 80</w:t>
      </w:r>
    </w:p>
    <w:p>
      <w:pPr>
        <w:spacing w:after="80"/>
      </w:pPr>
      <w:r>
        <w:rPr>
          <w:b w:val="0"/>
          <w:i w:val="0"/>
        </w:rPr>
        <w:t>chiến lược doanh nghiệp, 23–24, 113, 254</w:t>
      </w:r>
    </w:p>
    <w:p>
      <w:pPr>
        <w:spacing w:after="80"/>
      </w:pPr>
      <w:r>
        <w:rPr>
          <w:b w:val="0"/>
          <w:i/>
        </w:rPr>
        <w:t>Corwin v. KKR Financial Holdings</w:t>
      </w:r>
      <w:r>
        <w:rPr>
          <w:b w:val="0"/>
          <w:i w:val="0"/>
        </w:rPr>
        <w:t>, 105–6</w:t>
      </w:r>
    </w:p>
    <w:p>
      <w:pPr>
        <w:spacing w:after="80"/>
      </w:pPr>
      <w:r>
        <w:rPr>
          <w:b w:val="0"/>
          <w:i w:val="0"/>
        </w:rPr>
        <w:t>Coster, Philip, 45</w:t>
      </w:r>
    </w:p>
    <w:p>
      <w:pPr>
        <w:spacing w:after="80"/>
      </w:pPr>
      <w:r>
        <w:rPr>
          <w:b w:val="0"/>
          <w:i w:val="0"/>
        </w:rPr>
        <w:t>Hội đồng Nhà đầu tư Tổ chức, 13</w:t>
      </w:r>
    </w:p>
    <w:p>
      <w:pPr>
        <w:spacing w:after="80"/>
      </w:pPr>
      <w:r>
        <w:rPr>
          <w:b w:val="0"/>
          <w:i w:val="0"/>
        </w:rPr>
        <w:t>Đại dịch COVID-19, 224, 233, 241</w:t>
      </w:r>
    </w:p>
    <w:p>
      <w:pPr>
        <w:spacing w:after="80"/>
      </w:pPr>
      <w:r>
        <w:rPr>
          <w:b w:val="0"/>
          <w:i w:val="0"/>
        </w:rPr>
        <w:t>quản lý khủng hoảng, 237–38</w:t>
      </w:r>
    </w:p>
    <w:p>
      <w:pPr>
        <w:spacing w:after="80"/>
      </w:pPr>
      <w:r>
        <w:rPr>
          <w:b w:val="0"/>
          <w:i w:val="0"/>
        </w:rPr>
        <w:t>Crist, Peter, 74, 216, 220, 228, 252, 264</w:t>
      </w:r>
    </w:p>
    <w:p>
      <w:pPr>
        <w:spacing w:after="80"/>
      </w:pPr>
      <w:r>
        <w:rPr>
          <w:b w:val="0"/>
          <w:i w:val="0"/>
        </w:rPr>
        <w:t>Cơ quan An ninh mạng và An ninh Hạ tầng (CISA), 232</w:t>
      </w:r>
    </w:p>
    <w:p>
      <w:pPr>
        <w:spacing w:after="80"/>
      </w:pPr>
      <w:r>
        <w:rPr>
          <w:b w:val="0"/>
          <w:i w:val="0"/>
        </w:rPr>
        <w:t>rủi ro an ninh mạng, 187, 230–32, 238</w:t>
      </w:r>
    </w:p>
    <w:p>
      <w:pPr>
        <w:spacing w:after="80"/>
      </w:pPr>
      <w:r>
        <w:rPr>
          <w:b w:val="0"/>
          <w:i w:val="0"/>
        </w:rPr>
        <w:t>Darden Restaurants, 127–28</w:t>
      </w:r>
    </w:p>
    <w:p>
      <w:pPr>
        <w:spacing w:after="80"/>
      </w:pPr>
      <w:r>
        <w:rPr>
          <w:b w:val="0"/>
          <w:i w:val="0"/>
        </w:rPr>
        <w:t>con nợ đang nắm giữ tài sản (debtor in possession), 158, 166–67</w:t>
      </w:r>
    </w:p>
    <w:p>
      <w:pPr>
        <w:spacing w:after="80"/>
      </w:pPr>
      <w:r>
        <w:rPr>
          <w:b w:val="0"/>
          <w:i w:val="0"/>
        </w:rPr>
        <w:t>tài trợ cho con nợ đang nắm giữ tài sản (debtor-in-possession financing), 158</w:t>
      </w:r>
    </w:p>
    <w:p>
      <w:pPr>
        <w:spacing w:after="80"/>
      </w:pPr>
      <w:r>
        <w:rPr>
          <w:b w:val="0"/>
          <w:i w:val="0"/>
        </w:rPr>
        <w:t xml:space="preserve">DEI. </w:t>
      </w:r>
      <w:r>
        <w:rPr>
          <w:b w:val="0"/>
          <w:i/>
        </w:rPr>
        <w:t>Xem</w:t>
      </w:r>
      <w:r>
        <w:rPr>
          <w:b w:val="0"/>
          <w:i w:val="0"/>
        </w:rPr>
        <w:t xml:space="preserve"> đa dạng, công bằng và hòa nhập</w:t>
      </w:r>
    </w:p>
    <w:p>
      <w:pPr>
        <w:spacing w:after="80"/>
      </w:pPr>
      <w:r>
        <w:rPr>
          <w:b w:val="0"/>
          <w:i w:val="0"/>
        </w:rPr>
        <w:t>Bộ luật Doanh nghiệp Delaware, Mục 203, 99</w:t>
      </w:r>
    </w:p>
    <w:p>
      <w:pPr>
        <w:spacing w:after="80"/>
      </w:pPr>
      <w:r>
        <w:rPr>
          <w:b w:val="0"/>
          <w:i w:val="0"/>
        </w:rPr>
        <w:t>Tòa án Chancery Delaware, 29–31, 33–34, 38, 89–90, 95, 101, 106</w:t>
      </w:r>
    </w:p>
    <w:p>
      <w:pPr>
        <w:spacing w:after="80"/>
      </w:pPr>
      <w:r>
        <w:rPr>
          <w:b w:val="0"/>
          <w:i w:val="0"/>
        </w:rPr>
        <w:t>vụ án Blue Bell, 36</w:t>
      </w:r>
    </w:p>
    <w:p>
      <w:pPr>
        <w:spacing w:after="80"/>
      </w:pPr>
      <w:r>
        <w:rPr>
          <w:b w:val="0"/>
          <w:i w:val="0"/>
        </w:rPr>
        <w:t>Boeing và, 22–23, 37</w:t>
      </w:r>
    </w:p>
    <w:p>
      <w:pPr>
        <w:spacing w:after="80"/>
      </w:pPr>
      <w:r>
        <w:rPr>
          <w:b w:val="0"/>
          <w:i w:val="0"/>
        </w:rPr>
        <w:t>về trách nhiệm của giám đốc khi gần mất khả năng thanh toán, 171</w:t>
      </w:r>
    </w:p>
    <w:p>
      <w:pPr>
        <w:spacing w:after="80"/>
      </w:pPr>
      <w:r>
        <w:rPr>
          <w:b w:val="0"/>
          <w:i w:val="0"/>
        </w:rPr>
        <w:t>vụ án Disney và, 60</w:t>
      </w:r>
    </w:p>
    <w:p>
      <w:pPr>
        <w:spacing w:after="80"/>
      </w:pPr>
      <w:r>
        <w:rPr>
          <w:b w:val="0"/>
          <w:i w:val="0"/>
        </w:rPr>
        <w:t>tính công bằng toàn diện (entire fairness) và, 107–8</w:t>
      </w:r>
    </w:p>
    <w:p>
      <w:pPr>
        <w:spacing w:after="80"/>
      </w:pPr>
      <w:r>
        <w:rPr>
          <w:b w:val="0"/>
          <w:i w:val="0"/>
        </w:rPr>
        <w:t>Smurfit-Stone và, 19, 21–22</w:t>
      </w:r>
    </w:p>
    <w:p>
      <w:pPr>
        <w:spacing w:after="80"/>
      </w:pPr>
      <w:r>
        <w:rPr>
          <w:b w:val="0"/>
          <w:i w:val="0"/>
        </w:rPr>
        <w:t>về tranh luận giữa các bên liên quan và cổ đông và, 195</w:t>
      </w:r>
    </w:p>
    <w:p>
      <w:pPr>
        <w:spacing w:after="80"/>
      </w:pPr>
      <w:r>
        <w:rPr>
          <w:b w:val="0"/>
          <w:i w:val="0"/>
        </w:rPr>
        <w:t>trường hợp Tesla và, 60–61</w:t>
      </w:r>
    </w:p>
    <w:p>
      <w:pPr>
        <w:spacing w:after="80"/>
      </w:pPr>
      <w:r>
        <w:rPr>
          <w:b w:val="0"/>
          <w:i w:val="0"/>
        </w:rPr>
        <w:t xml:space="preserve">trường hợp </w:t>
      </w:r>
      <w:r>
        <w:rPr>
          <w:b w:val="0"/>
          <w:i/>
        </w:rPr>
        <w:t>Trulia</w:t>
      </w:r>
      <w:r>
        <w:rPr>
          <w:b w:val="0"/>
          <w:i w:val="0"/>
        </w:rPr>
        <w:t>, 89</w:t>
      </w:r>
    </w:p>
    <w:p>
      <w:pPr>
        <w:spacing w:after="80"/>
      </w:pPr>
      <w:r>
        <w:rPr>
          <w:b w:val="0"/>
          <w:i w:val="0"/>
        </w:rPr>
        <w:t xml:space="preserve">trường hợp </w:t>
      </w:r>
      <w:r>
        <w:rPr>
          <w:b w:val="0"/>
          <w:i/>
        </w:rPr>
        <w:t>Van Gorkom</w:t>
      </w:r>
      <w:r>
        <w:rPr>
          <w:b w:val="0"/>
          <w:i w:val="0"/>
        </w:rPr>
        <w:t>, 95–96</w:t>
      </w:r>
    </w:p>
    <w:p>
      <w:pPr>
        <w:spacing w:after="80"/>
      </w:pPr>
      <w:r>
        <w:rPr>
          <w:b w:val="0"/>
          <w:i w:val="0"/>
        </w:rPr>
        <w:t>các tòa án Delaware, 30–35</w:t>
      </w:r>
    </w:p>
    <w:p>
      <w:pPr>
        <w:spacing w:after="80"/>
      </w:pPr>
      <w:r>
        <w:rPr>
          <w:b w:val="0"/>
          <w:i w:val="0"/>
        </w:rPr>
        <w:t>Luật Tổng công ty Delaware, 106</w:t>
      </w:r>
    </w:p>
    <w:p>
      <w:pPr>
        <w:spacing w:after="80"/>
      </w:pPr>
      <w:r>
        <w:rPr>
          <w:b w:val="0"/>
          <w:i w:val="0"/>
        </w:rPr>
        <w:t>Tòa án Tối cao Delaware, 29, 31, 33, 61, 102</w:t>
      </w:r>
    </w:p>
    <w:p>
      <w:pPr>
        <w:spacing w:after="80"/>
      </w:pPr>
      <w:r>
        <w:rPr>
          <w:b w:val="0"/>
          <w:i w:val="0"/>
        </w:rPr>
        <w:t>trường hợp Blue Bell, 36</w:t>
      </w:r>
    </w:p>
    <w:p>
      <w:pPr>
        <w:spacing w:after="80"/>
      </w:pPr>
      <w:r>
        <w:rPr>
          <w:b w:val="0"/>
          <w:i w:val="0"/>
        </w:rPr>
        <w:t>về trách nhiệm của giám đốc khi gần mất khả năng thanh toán, 170</w:t>
      </w:r>
    </w:p>
    <w:p>
      <w:pPr>
        <w:spacing w:after="80"/>
      </w:pPr>
      <w:r>
        <w:rPr>
          <w:b w:val="0"/>
          <w:i w:val="0"/>
        </w:rPr>
        <w:t>về nghĩa vụ cẩn trọng, 26</w:t>
      </w:r>
    </w:p>
    <w:p>
      <w:pPr>
        <w:spacing w:after="80"/>
      </w:pPr>
      <w:r>
        <w:rPr>
          <w:b w:val="0"/>
          <w:i w:val="0"/>
        </w:rPr>
        <w:t>về nghĩa vụ trung thành, 27–28</w:t>
      </w:r>
    </w:p>
    <w:p>
      <w:pPr>
        <w:spacing w:after="80"/>
      </w:pPr>
      <w:r>
        <w:rPr>
          <w:b w:val="0"/>
          <w:i w:val="0"/>
        </w:rPr>
        <w:t>toàn bộ sự công bằng và, 106–7</w:t>
      </w:r>
    </w:p>
    <w:p>
      <w:pPr>
        <w:spacing w:after="80"/>
      </w:pPr>
      <w:r>
        <w:rPr>
          <w:b w:val="0"/>
          <w:i w:val="0"/>
        </w:rPr>
        <w:t>về thuốc độc (poison pills), 99</w:t>
      </w:r>
    </w:p>
    <w:p>
      <w:pPr>
        <w:spacing w:after="80"/>
      </w:pPr>
      <w:r>
        <w:rPr>
          <w:b w:val="0"/>
          <w:i w:val="0"/>
        </w:rPr>
        <w:t xml:space="preserve">tiêu chuẩn </w:t>
      </w:r>
      <w:r>
        <w:rPr>
          <w:b w:val="0"/>
          <w:i/>
        </w:rPr>
        <w:t>Revlon</w:t>
      </w:r>
      <w:r>
        <w:rPr>
          <w:b w:val="0"/>
          <w:i w:val="0"/>
        </w:rPr>
        <w:t xml:space="preserve"> và, 98, 105</w:t>
      </w:r>
    </w:p>
    <w:p>
      <w:pPr>
        <w:spacing w:after="80"/>
      </w:pPr>
      <w:r>
        <w:rPr>
          <w:b w:val="0"/>
          <w:i w:val="0"/>
        </w:rPr>
        <w:t xml:space="preserve">tiêu chuẩn </w:t>
      </w:r>
      <w:r>
        <w:rPr>
          <w:b w:val="0"/>
          <w:i/>
        </w:rPr>
        <w:t>Unocal</w:t>
      </w:r>
      <w:r>
        <w:rPr>
          <w:b w:val="0"/>
          <w:i w:val="0"/>
        </w:rPr>
        <w:t xml:space="preserve"> và, 101</w:t>
      </w:r>
    </w:p>
    <w:p>
      <w:pPr>
        <w:spacing w:after="80"/>
      </w:pPr>
      <w:r>
        <w:rPr>
          <w:b w:val="0"/>
          <w:i/>
        </w:rPr>
        <w:t>vụ án Van Gorkom</w:t>
      </w:r>
      <w:r>
        <w:rPr>
          <w:b w:val="0"/>
          <w:i w:val="0"/>
        </w:rPr>
        <w:t>, 94–97</w:t>
      </w:r>
    </w:p>
    <w:p>
      <w:pPr>
        <w:spacing w:after="80"/>
      </w:pPr>
      <w:r>
        <w:rPr>
          <w:b w:val="0"/>
          <w:i w:val="0"/>
        </w:rPr>
        <w:t>Deloitte, 56, 182, 189, 236</w:t>
      </w:r>
    </w:p>
    <w:p>
      <w:pPr>
        <w:spacing w:after="80"/>
      </w:pPr>
      <w:r>
        <w:rPr>
          <w:b w:val="0"/>
          <w:i w:val="0"/>
        </w:rPr>
        <w:t>DeMott, Deborah A., 29</w:t>
      </w:r>
    </w:p>
    <w:p>
      <w:pPr>
        <w:spacing w:after="80"/>
      </w:pPr>
      <w:r>
        <w:rPr>
          <w:b w:val="0"/>
          <w:i w:val="0"/>
        </w:rPr>
        <w:t>Devine, William, 78–79</w:t>
      </w:r>
    </w:p>
    <w:p>
      <w:pPr>
        <w:spacing w:after="80"/>
      </w:pPr>
      <w:r>
        <w:rPr>
          <w:b w:val="0"/>
          <w:i w:val="0"/>
        </w:rPr>
        <w:t>Dimon, Jamie, 81, 85, 150, 182</w:t>
      </w:r>
    </w:p>
    <w:p>
      <w:pPr>
        <w:spacing w:after="80"/>
      </w:pPr>
      <w:r>
        <w:rPr>
          <w:b w:val="0"/>
          <w:i w:val="0"/>
        </w:rPr>
        <w:t>Dingman, Michael, 4–5</w:t>
      </w:r>
    </w:p>
    <w:p>
      <w:pPr>
        <w:spacing w:after="80"/>
      </w:pPr>
      <w:r>
        <w:rPr>
          <w:b w:val="0"/>
          <w:i w:val="0"/>
        </w:rPr>
        <w:t>các quỹ cho vay trực tiếp, 162</w:t>
      </w:r>
    </w:p>
    <w:p>
      <w:pPr>
        <w:spacing w:after="80"/>
      </w:pPr>
      <w:r>
        <w:rPr>
          <w:b w:val="0"/>
          <w:i w:val="0"/>
        </w:rPr>
        <w:t>các giám đốc</w:t>
      </w:r>
    </w:p>
    <w:p>
      <w:pPr>
        <w:spacing w:after="80"/>
      </w:pPr>
      <w:r>
        <w:rPr>
          <w:b w:val="0"/>
          <w:i w:val="0"/>
        </w:rPr>
        <w:t>chương trình nghị sự, câu hỏi và các cuộc họp và, 41–42</w:t>
      </w:r>
    </w:p>
    <w:p>
      <w:pPr>
        <w:spacing w:after="80"/>
      </w:pPr>
      <w:r>
        <w:rPr>
          <w:b w:val="0"/>
          <w:i w:val="0"/>
        </w:rPr>
        <w:t>phá sản, 173–74</w:t>
      </w:r>
    </w:p>
    <w:p>
      <w:pPr>
        <w:spacing w:after="80"/>
      </w:pPr>
      <w:r>
        <w:rPr>
          <w:b w:val="0"/>
          <w:i w:val="0"/>
        </w:rPr>
        <w:t>các CEO với vai trò giám đốc, 201–2</w:t>
      </w:r>
    </w:p>
    <w:p>
      <w:pPr>
        <w:spacing w:after="80"/>
      </w:pPr>
      <w:r>
        <w:rPr>
          <w:b w:val="0"/>
          <w:i w:val="0"/>
        </w:rPr>
        <w:t>ESG và, 193–94</w:t>
      </w:r>
    </w:p>
    <w:p>
      <w:pPr>
        <w:spacing w:after="80"/>
      </w:pPr>
      <w:r>
        <w:rPr>
          <w:b w:val="0"/>
          <w:i w:val="0"/>
        </w:rPr>
        <w:t>đánh giá về họ, 243, 248–51</w:t>
      </w:r>
    </w:p>
    <w:p>
      <w:pPr>
        <w:spacing w:after="80"/>
      </w:pPr>
      <w:r>
        <w:rPr>
          <w:b w:val="0"/>
          <w:i w:val="0"/>
        </w:rPr>
        <w:t>những nỗ lực thiện chí của họ, 39–40</w:t>
      </w:r>
    </w:p>
    <w:p>
      <w:pPr>
        <w:spacing w:after="80"/>
      </w:pPr>
      <w:r>
        <w:rPr>
          <w:b w:val="0"/>
          <w:i w:val="0"/>
        </w:rPr>
        <w:t>xác định ứng viên cho vị trí này, 202–4</w:t>
      </w:r>
    </w:p>
    <w:p>
      <w:pPr>
        <w:spacing w:after="80"/>
      </w:pPr>
      <w:r>
        <w:rPr>
          <w:b w:val="0"/>
          <w:i w:val="0"/>
        </w:rPr>
        <w:t>bồi thường và, 29</w:t>
      </w:r>
    </w:p>
    <w:p>
      <w:pPr>
        <w:spacing w:after="80"/>
      </w:pPr>
      <w:r>
        <w:rPr>
          <w:b w:val="0"/>
          <w:i w:val="0"/>
        </w:rPr>
        <w:t>bảo vệ trách nhiệm pháp lý cho, 97</w:t>
      </w:r>
    </w:p>
    <w:p>
      <w:pPr>
        <w:spacing w:after="80"/>
      </w:pPr>
      <w:r>
        <w:rPr>
          <w:b w:val="0"/>
          <w:i w:val="0"/>
        </w:rPr>
        <w:t>cấp phép, 251–52</w:t>
      </w:r>
    </w:p>
    <w:p>
      <w:pPr>
        <w:spacing w:after="80"/>
      </w:pPr>
      <w:r>
        <w:rPr>
          <w:b w:val="0"/>
          <w:i w:val="0"/>
        </w:rPr>
        <w:t>tương tác quản lý với, 43–44</w:t>
      </w:r>
    </w:p>
    <w:p>
      <w:pPr>
        <w:spacing w:after="80"/>
      </w:pPr>
      <w:r>
        <w:rPr>
          <w:b w:val="0"/>
          <w:i w:val="0"/>
        </w:rPr>
        <w:t>cố vấn cho, 212</w:t>
      </w:r>
    </w:p>
    <w:p>
      <w:pPr>
        <w:spacing w:after="80"/>
      </w:pPr>
      <w:r>
        <w:rPr>
          <w:b w:val="0"/>
          <w:i w:val="0"/>
        </w:rPr>
        <w:t>ủy ban đề cử và quản trị và, 65</w:t>
      </w:r>
    </w:p>
    <w:p>
      <w:pPr>
        <w:spacing w:after="80"/>
      </w:pPr>
      <w:r>
        <w:rPr>
          <w:b w:val="0"/>
          <w:i w:val="0"/>
        </w:rPr>
        <w:t>định hướng và hội nhập, 211–13</w:t>
      </w:r>
    </w:p>
    <w:p>
      <w:pPr>
        <w:spacing w:after="80"/>
      </w:pPr>
      <w:r>
        <w:rPr>
          <w:b w:val="0"/>
          <w:i w:val="0"/>
        </w:rPr>
        <w:t>tuyển dụng, 65, 68, 199–202</w:t>
      </w:r>
    </w:p>
    <w:p>
      <w:pPr>
        <w:spacing w:after="80"/>
      </w:pPr>
      <w:r>
        <w:rPr>
          <w:b w:val="0"/>
          <w:i w:val="0"/>
        </w:rPr>
        <w:t>trách nhiệm của, 23–26</w:t>
      </w:r>
    </w:p>
    <w:p>
      <w:pPr>
        <w:spacing w:after="80"/>
      </w:pPr>
      <w:r>
        <w:rPr>
          <w:b w:val="0"/>
          <w:i w:val="0"/>
        </w:rPr>
        <w:t>tiêu chuẩn cho các quyết định của, 35–39</w:t>
      </w:r>
    </w:p>
    <w:p>
      <w:pPr>
        <w:spacing w:after="80"/>
      </w:pPr>
      <w:r>
        <w:rPr>
          <w:b w:val="0"/>
          <w:i/>
        </w:rPr>
        <w:t>Xem thêm</w:t>
      </w:r>
      <w:r>
        <w:rPr>
          <w:b w:val="0"/>
          <w:i w:val="0"/>
        </w:rPr>
        <w:t xml:space="preserve"> giám đốc độc lập</w:t>
      </w:r>
    </w:p>
    <w:p>
      <w:pPr>
        <w:spacing w:after="80"/>
      </w:pPr>
      <w:r>
        <w:rPr>
          <w:b w:val="0"/>
          <w:i w:val="0"/>
        </w:rPr>
        <w:t>bảo hiểm giám đốc và cán bộ (bảo hiểm D&amp;O), 23, 37, 90, 171</w:t>
      </w:r>
    </w:p>
    <w:p>
      <w:pPr>
        <w:spacing w:after="80"/>
      </w:pPr>
      <w:r>
        <w:rPr>
          <w:b w:val="0"/>
          <w:i w:val="0"/>
        </w:rPr>
        <w:t>Disney, 59–60, 224</w:t>
      </w:r>
    </w:p>
    <w:p>
      <w:pPr>
        <w:spacing w:after="80"/>
      </w:pPr>
      <w:r>
        <w:rPr>
          <w:b w:val="0"/>
          <w:i w:val="0"/>
        </w:rPr>
        <w:t>đa dạng, 65–67, 186, 204–10</w:t>
      </w:r>
    </w:p>
    <w:p>
      <w:pPr>
        <w:spacing w:after="80"/>
      </w:pPr>
      <w:r>
        <w:rPr>
          <w:b w:val="0"/>
          <w:i w:val="0"/>
        </w:rPr>
        <w:t>đa dạng, công bằng và hòa nhập (DEI), 146, 186–87, 210</w:t>
      </w:r>
    </w:p>
    <w:p>
      <w:pPr>
        <w:spacing w:after="80"/>
      </w:pPr>
      <w:r>
        <w:rPr>
          <w:b w:val="0"/>
          <w:i w:val="0"/>
        </w:rPr>
        <w:t>Đạo luật Cải cách Phố Wall và Bảo vệ Người tiêu dùng Dodd-Frank, 45, 58, 61–63, 148</w:t>
      </w:r>
    </w:p>
    <w:p>
      <w:pPr>
        <w:spacing w:after="80"/>
      </w:pPr>
      <w:r>
        <w:rPr>
          <w:b w:val="0"/>
          <w:i w:val="0"/>
        </w:rPr>
        <w:t>Dollar Thrifty, 101</w:t>
      </w:r>
    </w:p>
    <w:p>
      <w:pPr>
        <w:spacing w:after="80"/>
      </w:pPr>
      <w:r>
        <w:rPr>
          <w:b w:val="0"/>
          <w:i w:val="0"/>
        </w:rPr>
        <w:t>Douglas, William O., 159</w:t>
      </w:r>
    </w:p>
    <w:p>
      <w:pPr>
        <w:spacing w:after="80"/>
      </w:pPr>
      <w:r>
        <w:rPr>
          <w:b w:val="0"/>
          <w:i w:val="0"/>
        </w:rPr>
        <w:t>Drain, Robert, 164, 172–74, 177–78, 264</w:t>
      </w:r>
    </w:p>
    <w:p>
      <w:pPr>
        <w:spacing w:after="80"/>
      </w:pPr>
      <w:r>
        <w:rPr>
          <w:b w:val="0"/>
          <w:i w:val="0"/>
        </w:rPr>
        <w:t>Drewry, Christopher, 118, 125, 129–32, 248, 264</w:t>
      </w:r>
    </w:p>
    <w:p>
      <w:pPr>
        <w:spacing w:after="80"/>
      </w:pPr>
      <w:r>
        <w:rPr>
          <w:b w:val="0"/>
          <w:i w:val="0"/>
        </w:rPr>
        <w:t>thẩm định kỹ lưỡng (due diligence), quy trình M&amp;A và, 113–14</w:t>
      </w:r>
    </w:p>
    <w:p>
      <w:pPr>
        <w:spacing w:after="80"/>
      </w:pPr>
      <w:r>
        <w:rPr>
          <w:b w:val="0"/>
          <w:i w:val="0"/>
        </w:rPr>
        <w:t>nghĩa vụ cẩn trọng (duty of care), 13, 26–27, 37, 79, 107, 169</w:t>
      </w:r>
    </w:p>
    <w:p>
      <w:pPr>
        <w:spacing w:after="80"/>
      </w:pPr>
      <w:r>
        <w:rPr>
          <w:b w:val="0"/>
          <w:i w:val="0"/>
        </w:rPr>
        <w:t>bồi thường (indemnity) và, 29</w:t>
      </w:r>
    </w:p>
    <w:p>
      <w:pPr>
        <w:spacing w:after="80"/>
      </w:pPr>
      <w:r>
        <w:rPr>
          <w:b w:val="0"/>
          <w:i w:val="0"/>
        </w:rPr>
        <w:t xml:space="preserve">vụ án </w:t>
      </w:r>
      <w:r>
        <w:rPr>
          <w:b w:val="0"/>
          <w:i/>
        </w:rPr>
        <w:t>Van Gorkom</w:t>
      </w:r>
      <w:r>
        <w:rPr>
          <w:b w:val="0"/>
          <w:i w:val="0"/>
        </w:rPr>
        <w:t xml:space="preserve"> và, 94–97</w:t>
      </w:r>
    </w:p>
    <w:p>
      <w:pPr>
        <w:spacing w:after="80"/>
      </w:pPr>
      <w:r>
        <w:rPr>
          <w:b w:val="0"/>
          <w:i w:val="0"/>
        </w:rPr>
        <w:t>nghĩa vụ trung thành (duty of loyalty), 13, 26–29, 34–35, 37, 106–8</w:t>
      </w:r>
    </w:p>
    <w:p>
      <w:pPr>
        <w:spacing w:after="80"/>
      </w:pPr>
      <w:r>
        <w:rPr>
          <w:b w:val="0"/>
          <w:i w:val="0"/>
        </w:rPr>
        <w:t>Dysart, Ted, 199, 201–2, 208, 245, 250, 264</w:t>
      </w:r>
    </w:p>
    <w:p>
      <w:pPr>
        <w:spacing w:after="80"/>
      </w:pPr>
      <w:r>
        <w:rPr>
          <w:b w:val="0"/>
          <w:i w:val="0"/>
        </w:rPr>
        <w:t>Dyson, Charles H., 109</w:t>
      </w:r>
    </w:p>
    <w:p>
      <w:pPr>
        <w:spacing w:after="80"/>
      </w:pPr>
      <w:r>
        <w:rPr>
          <w:b w:val="0"/>
          <w:i w:val="0"/>
        </w:rPr>
        <w:t>Dyson, John, 109, 264</w:t>
      </w:r>
    </w:p>
    <w:p>
      <w:pPr>
        <w:spacing w:after="80"/>
      </w:pPr>
      <w:r>
        <w:rPr>
          <w:b w:val="0"/>
          <w:i w:val="0"/>
        </w:rPr>
        <w:t>Easterly, Jen, 232</w:t>
      </w:r>
    </w:p>
    <w:p>
      <w:pPr>
        <w:spacing w:after="80"/>
      </w:pPr>
      <w:r>
        <w:rPr>
          <w:b w:val="0"/>
          <w:i w:val="0"/>
        </w:rPr>
        <w:t>Edmans, Alex, 195</w:t>
      </w:r>
    </w:p>
    <w:p>
      <w:pPr>
        <w:spacing w:after="80"/>
      </w:pPr>
      <w:r>
        <w:rPr>
          <w:b w:val="0"/>
          <w:i w:val="0"/>
        </w:rPr>
        <w:t>Eisner, Michael, 60</w:t>
      </w:r>
    </w:p>
    <w:p>
      <w:pPr>
        <w:spacing w:after="80"/>
      </w:pPr>
      <w:r>
        <w:rPr>
          <w:b w:val="0"/>
          <w:i w:val="0"/>
        </w:rPr>
        <w:t>Elbaum, Lawrence, 118, 128, 134–35, 264</w:t>
      </w:r>
    </w:p>
    <w:p>
      <w:pPr>
        <w:spacing w:after="80"/>
      </w:pPr>
      <w:r>
        <w:rPr>
          <w:b w:val="0"/>
          <w:i w:val="0"/>
        </w:rPr>
        <w:t>Elhauge, Einer, 144</w:t>
      </w:r>
    </w:p>
    <w:p>
      <w:pPr>
        <w:spacing w:after="80"/>
      </w:pPr>
      <w:r>
        <w:rPr>
          <w:b w:val="0"/>
          <w:i w:val="0"/>
        </w:rPr>
        <w:t>Elkington, John, 180</w:t>
      </w:r>
    </w:p>
    <w:p>
      <w:pPr>
        <w:spacing w:after="80"/>
      </w:pPr>
      <w:r>
        <w:rPr>
          <w:b w:val="0"/>
          <w:i w:val="0"/>
        </w:rPr>
        <w:t>Ellias, Jared, 169, 173–74, 264</w:t>
      </w:r>
    </w:p>
    <w:p>
      <w:pPr>
        <w:spacing w:after="80"/>
      </w:pPr>
      <w:r>
        <w:rPr>
          <w:b w:val="0"/>
          <w:i w:val="0"/>
        </w:rPr>
        <w:t>Ellison, Larry, 38–39</w:t>
      </w:r>
    </w:p>
    <w:p>
      <w:pPr>
        <w:spacing w:after="80"/>
      </w:pPr>
      <w:r>
        <w:rPr>
          <w:b w:val="0"/>
          <w:i w:val="0"/>
        </w:rPr>
        <w:t>Elmore, Len, 24, 264</w:t>
      </w:r>
    </w:p>
    <w:p>
      <w:pPr>
        <w:spacing w:after="80"/>
      </w:pPr>
      <w:r>
        <w:rPr>
          <w:b w:val="0"/>
          <w:i w:val="0"/>
        </w:rPr>
        <w:t>Elson, Charles, 37, 148, 150, 241, 264</w:t>
      </w:r>
    </w:p>
    <w:p>
      <w:pPr>
        <w:spacing w:after="80"/>
      </w:pPr>
      <w:r>
        <w:rPr>
          <w:b w:val="0"/>
          <w:i w:val="0"/>
        </w:rPr>
        <w:t>về trách nhiệm của hội đồng quản trị, 25–26</w:t>
      </w:r>
    </w:p>
    <w:p>
      <w:pPr>
        <w:spacing w:after="80"/>
      </w:pPr>
      <w:r>
        <w:rPr>
          <w:b w:val="0"/>
          <w:i w:val="0"/>
        </w:rPr>
        <w:t>về vai trò CEO và chủ tịch, 78</w:t>
      </w:r>
    </w:p>
    <w:p>
      <w:pPr>
        <w:spacing w:after="80"/>
      </w:pPr>
      <w:r>
        <w:rPr>
          <w:b w:val="0"/>
          <w:i w:val="0"/>
        </w:rPr>
        <w:t>về đánh giá CEO, 228</w:t>
      </w:r>
    </w:p>
    <w:p>
      <w:pPr>
        <w:spacing w:after="80"/>
      </w:pPr>
      <w:r>
        <w:rPr>
          <w:b w:val="0"/>
          <w:i w:val="0"/>
        </w:rPr>
        <w:t>về đánh giá giám đốc, 249</w:t>
      </w:r>
    </w:p>
    <w:p>
      <w:pPr>
        <w:spacing w:after="80"/>
      </w:pPr>
      <w:r>
        <w:rPr>
          <w:b w:val="0"/>
          <w:i w:val="0"/>
        </w:rPr>
        <w:t>về chỉ số và quản trị, 138</w:t>
      </w:r>
    </w:p>
    <w:p>
      <w:pPr>
        <w:spacing w:after="80"/>
      </w:pPr>
      <w:r>
        <w:rPr>
          <w:b w:val="0"/>
          <w:i w:val="0"/>
        </w:rPr>
        <w:t>về hội nhập nhân viên mới, 213</w:t>
      </w:r>
    </w:p>
    <w:p>
      <w:pPr>
        <w:spacing w:after="80"/>
      </w:pPr>
      <w:r>
        <w:rPr>
          <w:b w:val="0"/>
          <w:i w:val="0"/>
        </w:rPr>
        <w:t>về quản lý rủi ro, 230</w:t>
      </w:r>
    </w:p>
    <w:p>
      <w:pPr>
        <w:spacing w:after="80"/>
      </w:pPr>
      <w:r>
        <w:rPr>
          <w:b w:val="0"/>
          <w:i w:val="0"/>
        </w:rPr>
        <w:t>về Sarbanes-Oxley, 49</w:t>
      </w:r>
    </w:p>
    <w:p>
      <w:pPr>
        <w:spacing w:after="80"/>
      </w:pPr>
      <w:r>
        <w:rPr>
          <w:b w:val="0"/>
          <w:i w:val="0"/>
        </w:rPr>
        <w:t>về hoạch định kế nhiệm, 220</w:t>
      </w:r>
    </w:p>
    <w:p>
      <w:pPr>
        <w:spacing w:after="80"/>
      </w:pPr>
      <w:r>
        <w:rPr>
          <w:b w:val="0"/>
          <w:i w:val="0"/>
        </w:rPr>
        <w:t>quyền sở hữu của nhân viên, 56–57</w:t>
      </w:r>
    </w:p>
    <w:p>
      <w:pPr>
        <w:spacing w:after="80"/>
      </w:pPr>
      <w:r>
        <w:rPr>
          <w:b w:val="0"/>
          <w:i w:val="0"/>
        </w:rPr>
        <w:t>Đạo luật Bảo đảm Thu nhập Hưu trí cho Nhân viên (ERISA), 140</w:t>
      </w:r>
    </w:p>
    <w:p>
      <w:pPr>
        <w:spacing w:after="80"/>
      </w:pPr>
      <w:r>
        <w:rPr>
          <w:b w:val="0"/>
          <w:i w:val="0"/>
        </w:rPr>
        <w:t>giám sát tăng cường, 98–106, 112, 134</w:t>
      </w:r>
    </w:p>
    <w:p>
      <w:pPr>
        <w:spacing w:after="80"/>
      </w:pPr>
      <w:r>
        <w:rPr>
          <w:b w:val="0"/>
          <w:i w:val="0"/>
        </w:rPr>
        <w:t>Enron, 13, 25, 45, 47, 148</w:t>
      </w:r>
    </w:p>
    <w:p>
      <w:pPr>
        <w:spacing w:after="80"/>
      </w:pPr>
      <w:r>
        <w:rPr>
          <w:b w:val="0"/>
          <w:i w:val="0"/>
        </w:rPr>
        <w:t>tiêu chuẩn công bằng toàn diện, 33, 38, 106–8</w:t>
      </w:r>
    </w:p>
    <w:p>
      <w:pPr>
        <w:spacing w:after="80"/>
      </w:pPr>
      <w:r>
        <w:rPr>
          <w:b w:val="0"/>
          <w:i w:val="0"/>
        </w:rPr>
        <w:t>môi trường, xã hội và quản trị (environmental, social, and governance – ESG), 5, 8, 179</w:t>
      </w:r>
    </w:p>
    <w:p>
      <w:pPr>
        <w:spacing w:after="80"/>
      </w:pPr>
      <w:r>
        <w:rPr>
          <w:b w:val="0"/>
          <w:i w:val="0"/>
        </w:rPr>
        <w:t>phản ứng ngược chống lại, 191–93</w:t>
      </w:r>
    </w:p>
    <w:p>
      <w:pPr>
        <w:spacing w:after="80"/>
      </w:pPr>
      <w:r>
        <w:rPr>
          <w:b w:val="0"/>
          <w:i w:val="0"/>
        </w:rPr>
        <w:t>BlackRock và, 145</w:t>
      </w:r>
    </w:p>
    <w:p>
      <w:pPr>
        <w:spacing w:after="80"/>
      </w:pPr>
      <w:r>
        <w:rPr>
          <w:b w:val="0"/>
          <w:i w:val="0"/>
        </w:rPr>
        <w:t>các giám đốc và, 193–94</w:t>
      </w:r>
    </w:p>
    <w:p>
      <w:pPr>
        <w:spacing w:after="80"/>
      </w:pPr>
      <w:r>
        <w:rPr>
          <w:b w:val="0"/>
          <w:i w:val="0"/>
        </w:rPr>
        <w:t>hợp phần môi trường, 183–85</w:t>
      </w:r>
    </w:p>
    <w:p>
      <w:pPr>
        <w:spacing w:after="80"/>
      </w:pPr>
      <w:r>
        <w:rPr>
          <w:b w:val="0"/>
          <w:i w:val="0"/>
        </w:rPr>
        <w:t>hợp phần quản trị, 187–89</w:t>
      </w:r>
    </w:p>
    <w:p>
      <w:pPr>
        <w:spacing w:after="80"/>
      </w:pPr>
      <w:r>
        <w:rPr>
          <w:b w:val="0"/>
          <w:i w:val="0"/>
        </w:rPr>
        <w:t>lịch sử, 180–83</w:t>
      </w:r>
    </w:p>
    <w:p>
      <w:pPr>
        <w:spacing w:after="80"/>
      </w:pPr>
      <w:r>
        <w:rPr>
          <w:b w:val="0"/>
          <w:i w:val="0"/>
        </w:rPr>
        <w:t>các công ty lập chỉ số và, 146</w:t>
      </w:r>
    </w:p>
    <w:p>
      <w:pPr>
        <w:spacing w:after="80"/>
      </w:pPr>
      <w:r>
        <w:rPr>
          <w:b w:val="0"/>
          <w:i w:val="0"/>
        </w:rPr>
        <w:t>các nhà đầu tư tổ chức và, 139</w:t>
      </w:r>
    </w:p>
    <w:p>
      <w:pPr>
        <w:spacing w:after="80"/>
      </w:pPr>
      <w:r>
        <w:rPr>
          <w:b w:val="0"/>
          <w:i w:val="0"/>
        </w:rPr>
        <w:t>những thách thức trong đo lường và báo cáo, 189–91</w:t>
      </w:r>
    </w:p>
    <w:p>
      <w:pPr>
        <w:spacing w:after="80"/>
      </w:pPr>
      <w:r>
        <w:rPr>
          <w:b w:val="0"/>
          <w:i w:val="0"/>
        </w:rPr>
        <w:t>ủy ban đề cử và quản trị và, 65</w:t>
      </w:r>
    </w:p>
    <w:p>
      <w:pPr>
        <w:spacing w:after="80"/>
      </w:pPr>
      <w:r>
        <w:rPr>
          <w:b w:val="0"/>
          <w:i w:val="0"/>
        </w:rPr>
        <w:t>hợp phần xã hội, 185–87</w:t>
      </w:r>
    </w:p>
    <w:p>
      <w:pPr>
        <w:spacing w:after="80"/>
      </w:pPr>
      <w:r>
        <w:rPr>
          <w:b w:val="0"/>
          <w:i w:val="0"/>
        </w:rPr>
        <w:t>cuộc tranh luận giữa các bên liên quan và cổ đông, 194–96</w:t>
      </w:r>
    </w:p>
    <w:p>
      <w:pPr>
        <w:spacing w:after="80"/>
      </w:pPr>
      <w:r>
        <w:rPr>
          <w:b w:val="0"/>
          <w:i w:val="0"/>
        </w:rPr>
        <w:t>công bố thông tin môi trường, 184</w:t>
      </w:r>
    </w:p>
    <w:p>
      <w:pPr>
        <w:spacing w:after="80"/>
      </w:pPr>
      <w:r>
        <w:rPr>
          <w:b w:val="0"/>
          <w:i w:val="0"/>
        </w:rPr>
        <w:t>vốn chủ sở hữu</w:t>
      </w:r>
    </w:p>
    <w:p>
      <w:pPr>
        <w:spacing w:after="80"/>
      </w:pPr>
      <w:r>
        <w:rPr>
          <w:b w:val="0"/>
          <w:i w:val="0"/>
        </w:rPr>
        <w:t>trong khoản đền bù, 54</w:t>
      </w:r>
    </w:p>
    <w:p>
      <w:pPr>
        <w:spacing w:after="80"/>
      </w:pPr>
      <w:r>
        <w:rPr>
          <w:b w:val="0"/>
          <w:i w:val="0"/>
        </w:rPr>
        <w:t>các hình thức, 55</w:t>
      </w:r>
    </w:p>
    <w:p>
      <w:pPr>
        <w:spacing w:after="80"/>
      </w:pPr>
      <w:r>
        <w:rPr>
          <w:b w:val="0"/>
          <w:i w:val="0"/>
        </w:rPr>
        <w:t>các khoản trợ cấp dài hạn, 53</w:t>
      </w:r>
    </w:p>
    <w:p>
      <w:pPr>
        <w:spacing w:after="80"/>
      </w:pPr>
      <w:r>
        <w:rPr>
          <w:b w:val="0"/>
          <w:i w:val="0"/>
        </w:rPr>
        <w:t>tiếp nhận vốn chủ sở hữu, 156–57</w:t>
      </w:r>
    </w:p>
    <w:p>
      <w:pPr>
        <w:spacing w:after="80"/>
      </w:pPr>
      <w:r>
        <w:rPr>
          <w:b w:val="0"/>
          <w:i w:val="0"/>
        </w:rPr>
        <w:t xml:space="preserve">ERISA. </w:t>
      </w:r>
      <w:r>
        <w:rPr>
          <w:b w:val="0"/>
          <w:i/>
        </w:rPr>
        <w:t>Xem</w:t>
      </w:r>
      <w:r>
        <w:rPr>
          <w:b w:val="0"/>
          <w:i w:val="0"/>
        </w:rPr>
        <w:t xml:space="preserve"> Employee Retirement Income Security Act</w:t>
      </w:r>
    </w:p>
    <w:p>
      <w:pPr>
        <w:spacing w:after="80"/>
      </w:pPr>
      <w:r>
        <w:rPr>
          <w:b w:val="0"/>
          <w:i w:val="0"/>
        </w:rPr>
        <w:t>Ernst &amp; Young (EY), 4, 50, 216</w:t>
      </w:r>
    </w:p>
    <w:p>
      <w:pPr>
        <w:spacing w:after="80"/>
      </w:pPr>
      <w:r>
        <w:rPr>
          <w:b w:val="0"/>
          <w:i w:val="0"/>
        </w:rPr>
        <w:t xml:space="preserve">ESG. </w:t>
      </w:r>
      <w:r>
        <w:rPr>
          <w:b w:val="0"/>
          <w:i/>
        </w:rPr>
        <w:t>Xem</w:t>
      </w:r>
      <w:r>
        <w:rPr>
          <w:b w:val="0"/>
          <w:i w:val="0"/>
        </w:rPr>
        <w:t xml:space="preserve"> môi trường, xã hội và quản trị</w:t>
      </w:r>
    </w:p>
    <w:p>
      <w:pPr>
        <w:spacing w:after="80"/>
      </w:pPr>
      <w:r>
        <w:rPr>
          <w:b w:val="0"/>
          <w:i w:val="0"/>
        </w:rPr>
        <w:t xml:space="preserve">EU. </w:t>
      </w:r>
      <w:r>
        <w:rPr>
          <w:b w:val="0"/>
          <w:i/>
        </w:rPr>
        <w:t>Xem</w:t>
      </w:r>
      <w:r>
        <w:rPr>
          <w:b w:val="0"/>
          <w:i w:val="0"/>
        </w:rPr>
        <w:t xml:space="preserve"> Liên minh châu Âu</w:t>
      </w:r>
    </w:p>
    <w:p>
      <w:pPr>
        <w:spacing w:after="80"/>
      </w:pPr>
      <w:r>
        <w:rPr>
          <w:b w:val="0"/>
          <w:i w:val="0"/>
        </w:rPr>
        <w:t>Liên minh châu Âu (EU), 184, 190</w:t>
      </w:r>
    </w:p>
    <w:p>
      <w:pPr>
        <w:spacing w:after="80"/>
      </w:pPr>
      <w:r>
        <w:rPr>
          <w:b w:val="0"/>
          <w:i w:val="0"/>
        </w:rPr>
        <w:t>chủ tịch điều hành, 70–71, 73–74</w:t>
      </w:r>
    </w:p>
    <w:p>
      <w:pPr>
        <w:spacing w:after="80"/>
      </w:pPr>
      <w:r>
        <w:rPr>
          <w:b w:val="0"/>
          <w:i w:val="0"/>
        </w:rPr>
        <w:t>các công ty săn đầu người cấp cao, 223, 225</w:t>
      </w:r>
    </w:p>
    <w:p>
      <w:pPr>
        <w:spacing w:after="80"/>
      </w:pPr>
      <w:r>
        <w:rPr>
          <w:b w:val="0"/>
          <w:i w:val="0"/>
        </w:rPr>
        <w:t>“Vai trò mở rộng của Ủy ban Đền bù, The” (Huang và Floersch), 64</w:t>
      </w:r>
    </w:p>
    <w:p>
      <w:pPr>
        <w:spacing w:after="80"/>
      </w:pPr>
      <w:r>
        <w:rPr>
          <w:b w:val="0"/>
          <w:i w:val="0"/>
        </w:rPr>
        <w:t>cố vấn bên ngoài, quy trình M&amp;A và, 113</w:t>
      </w:r>
    </w:p>
    <w:p>
      <w:pPr>
        <w:spacing w:after="80"/>
      </w:pPr>
      <w:r>
        <w:rPr>
          <w:b w:val="0"/>
          <w:i w:val="0"/>
        </w:rPr>
        <w:t>Exxon, 123, 192</w:t>
      </w:r>
    </w:p>
    <w:p>
      <w:pPr>
        <w:spacing w:after="80"/>
      </w:pPr>
      <w:r>
        <w:rPr>
          <w:b w:val="0"/>
          <w:i w:val="0"/>
        </w:rPr>
        <w:t xml:space="preserve">EY. </w:t>
      </w:r>
      <w:r>
        <w:rPr>
          <w:b w:val="0"/>
          <w:i/>
        </w:rPr>
        <w:t>Xem</w:t>
      </w:r>
      <w:r>
        <w:rPr>
          <w:b w:val="0"/>
          <w:i w:val="0"/>
        </w:rPr>
        <w:t xml:space="preserve"> Ernst &amp; Young</w:t>
      </w:r>
    </w:p>
    <w:p>
      <w:pPr>
        <w:spacing w:after="80"/>
      </w:pPr>
      <w:r>
        <w:rPr>
          <w:b w:val="0"/>
          <w:i w:val="0"/>
        </w:rPr>
        <w:t xml:space="preserve">FAA. </w:t>
      </w:r>
      <w:r>
        <w:rPr>
          <w:b w:val="0"/>
          <w:i/>
        </w:rPr>
        <w:t>Xem</w:t>
      </w:r>
      <w:r>
        <w:rPr>
          <w:b w:val="0"/>
          <w:i w:val="0"/>
        </w:rPr>
        <w:t xml:space="preserve"> Federal Aviation Administration</w:t>
      </w:r>
    </w:p>
    <w:p>
      <w:pPr>
        <w:spacing w:after="80"/>
      </w:pPr>
      <w:r>
        <w:rPr>
          <w:b w:val="0"/>
          <w:i w:val="0"/>
        </w:rPr>
        <w:t>ý kiến về tính công bằng, 107</w:t>
      </w:r>
    </w:p>
    <w:p>
      <w:pPr>
        <w:spacing w:after="80"/>
      </w:pPr>
      <w:r>
        <w:rPr>
          <w:b w:val="0"/>
          <w:i w:val="0"/>
        </w:rPr>
        <w:t>Favas, Matthieu, 223</w:t>
      </w:r>
    </w:p>
    <w:p>
      <w:pPr>
        <w:spacing w:after="80"/>
      </w:pPr>
      <w:r>
        <w:rPr>
          <w:b w:val="0"/>
          <w:i w:val="0"/>
        </w:rPr>
        <w:t>Cục Hàng không Liên bang (Federal Aviation Administration - FAA), 242</w:t>
      </w:r>
    </w:p>
    <w:p>
      <w:pPr>
        <w:spacing w:after="80"/>
      </w:pPr>
      <w:r>
        <w:rPr>
          <w:b w:val="0"/>
          <w:i w:val="0"/>
        </w:rPr>
        <w:t>Fidelity, 143–44</w:t>
      </w:r>
    </w:p>
    <w:p>
      <w:pPr>
        <w:spacing w:after="80"/>
      </w:pPr>
      <w:r>
        <w:rPr>
          <w:b w:val="0"/>
          <w:i w:val="0"/>
        </w:rPr>
        <w:t>người có nghĩa vụ ủy thác, 10, 23, 39, 60, 115, 172, 237</w:t>
      </w:r>
    </w:p>
    <w:p>
      <w:pPr>
        <w:spacing w:after="80"/>
      </w:pPr>
      <w:r>
        <w:rPr>
          <w:b w:val="0"/>
          <w:i w:val="0"/>
        </w:rPr>
        <w:t>nghĩa vụ ủy thác, 19, 22, 106, 116, 140, 144, 194–95, 231, 240, 245</w:t>
      </w:r>
    </w:p>
    <w:p>
      <w:pPr>
        <w:spacing w:after="80"/>
      </w:pPr>
      <w:r>
        <w:rPr>
          <w:b w:val="0"/>
          <w:i w:val="0"/>
        </w:rPr>
        <w:t>nhằm tối đa hóa giá trị cổ đông, 98</w:t>
      </w:r>
    </w:p>
    <w:p>
      <w:pPr>
        <w:spacing w:after="80"/>
      </w:pPr>
      <w:r>
        <w:rPr>
          <w:b w:val="0"/>
          <w:i w:val="0"/>
        </w:rPr>
        <w:t>tái hợp nhất doanh nghiệp và, 34</w:t>
      </w:r>
    </w:p>
    <w:p>
      <w:pPr>
        <w:spacing w:after="80"/>
      </w:pPr>
      <w:r>
        <w:rPr>
          <w:b w:val="0"/>
          <w:i w:val="0"/>
        </w:rPr>
        <w:t>tái cấu trúc và, 169–71</w:t>
      </w:r>
    </w:p>
    <w:p>
      <w:pPr>
        <w:spacing w:after="80"/>
      </w:pPr>
      <w:r>
        <w:rPr>
          <w:b w:val="0"/>
          <w:i w:val="0"/>
        </w:rPr>
        <w:t xml:space="preserve">vụ án </w:t>
      </w:r>
      <w:r>
        <w:rPr>
          <w:b w:val="0"/>
          <w:i/>
        </w:rPr>
        <w:t>Van Gorkom</w:t>
      </w:r>
      <w:r>
        <w:rPr>
          <w:b w:val="0"/>
          <w:i w:val="0"/>
        </w:rPr>
        <w:t xml:space="preserve"> và, 96</w:t>
      </w:r>
    </w:p>
    <w:p>
      <w:pPr>
        <w:spacing w:after="80"/>
      </w:pPr>
      <w:r>
        <w:rPr>
          <w:b w:val="0"/>
          <w:i w:val="0"/>
        </w:rPr>
        <w:t>chức năng ủy thác, nghĩa vụ cẩn trọng và, 27</w:t>
      </w:r>
    </w:p>
    <w:p>
      <w:pPr>
        <w:spacing w:after="80"/>
      </w:pPr>
      <w:r>
        <w:rPr>
          <w:b w:val="0"/>
          <w:i w:val="0"/>
        </w:rPr>
        <w:t>khủng hoảng tài chính 2007–9, 45, 126, 161–62</w:t>
      </w:r>
    </w:p>
    <w:p>
      <w:pPr>
        <w:spacing w:after="80"/>
      </w:pPr>
      <w:r>
        <w:rPr>
          <w:b w:val="0"/>
          <w:i w:val="0"/>
        </w:rPr>
        <w:t>các thương vụ M&amp;A tài chính, 91</w:t>
      </w:r>
    </w:p>
    <w:p>
      <w:pPr>
        <w:spacing w:after="80"/>
      </w:pPr>
      <w:r>
        <w:rPr>
          <w:b w:val="0"/>
          <w:i w:val="0"/>
        </w:rPr>
        <w:t>tái cấu trúc tài chính, 155</w:t>
      </w:r>
    </w:p>
    <w:p>
      <w:pPr>
        <w:spacing w:after="80"/>
      </w:pPr>
      <w:r>
        <w:rPr>
          <w:b w:val="0"/>
          <w:i w:val="0"/>
        </w:rPr>
        <w:t>báo cáo tài chính, 49</w:t>
      </w:r>
    </w:p>
    <w:p>
      <w:pPr>
        <w:spacing w:after="80"/>
      </w:pPr>
      <w:r>
        <w:rPr>
          <w:b w:val="0"/>
          <w:i w:val="0"/>
        </w:rPr>
        <w:t>Fink, Larry, 139, 145, 181, 192</w:t>
      </w:r>
    </w:p>
    <w:p>
      <w:pPr>
        <w:spacing w:after="80"/>
      </w:pPr>
      <w:r>
        <w:rPr>
          <w:b w:val="0"/>
          <w:i w:val="0"/>
        </w:rPr>
        <w:t>Fisch, Jill E., 31, 61</w:t>
      </w:r>
    </w:p>
    <w:p>
      <w:pPr>
        <w:spacing w:after="80"/>
      </w:pPr>
      <w:r>
        <w:rPr>
          <w:b w:val="0"/>
          <w:i w:val="0"/>
        </w:rPr>
        <w:t>Floersch, Richard R., 64</w:t>
      </w:r>
    </w:p>
    <w:p>
      <w:pPr>
        <w:spacing w:after="80"/>
      </w:pPr>
      <w:r>
        <w:rPr>
          <w:b w:val="0"/>
          <w:i w:val="0"/>
        </w:rPr>
        <w:t>Floyd, George, 66, 207</w:t>
      </w:r>
    </w:p>
    <w:p>
      <w:pPr>
        <w:spacing w:after="80"/>
      </w:pPr>
      <w:r>
        <w:rPr>
          <w:b w:val="0"/>
          <w:i w:val="0"/>
        </w:rPr>
        <w:t>Forstmann Little, 98, 100–101</w:t>
      </w:r>
    </w:p>
    <w:p>
      <w:pPr>
        <w:spacing w:after="80"/>
      </w:pPr>
      <w:r>
        <w:rPr>
          <w:b w:val="0"/>
          <w:i w:val="0"/>
        </w:rPr>
        <w:t>Fox, Brian, 160, 264</w:t>
      </w:r>
    </w:p>
    <w:p>
      <w:pPr>
        <w:spacing w:after="80"/>
      </w:pPr>
      <w:r>
        <w:rPr>
          <w:b w:val="0"/>
          <w:i w:val="0"/>
        </w:rPr>
        <w:t>chuyển nhượng gian lận, 167</w:t>
      </w:r>
    </w:p>
    <w:p>
      <w:pPr>
        <w:spacing w:after="80"/>
      </w:pPr>
      <w:r>
        <w:rPr>
          <w:b w:val="0"/>
          <w:i w:val="0"/>
        </w:rPr>
        <w:t>Freeman, Ken, 44</w:t>
      </w:r>
    </w:p>
    <w:p>
      <w:pPr>
        <w:spacing w:after="80"/>
      </w:pPr>
      <w:r>
        <w:rPr>
          <w:b w:val="0"/>
          <w:i w:val="0"/>
        </w:rPr>
        <w:t>Frerichs, Michael, 77</w:t>
      </w:r>
    </w:p>
    <w:p>
      <w:pPr>
        <w:spacing w:after="80"/>
      </w:pPr>
      <w:r>
        <w:rPr>
          <w:b w:val="0"/>
          <w:i w:val="0"/>
        </w:rPr>
        <w:t>Frick, Walter, 119</w:t>
      </w:r>
    </w:p>
    <w:p>
      <w:pPr>
        <w:spacing w:after="80"/>
      </w:pPr>
      <w:r>
        <w:rPr>
          <w:b w:val="0"/>
          <w:i w:val="0"/>
        </w:rPr>
        <w:t>Friedman, Milton, 11, 179</w:t>
      </w:r>
    </w:p>
    <w:p>
      <w:pPr>
        <w:spacing w:after="80"/>
      </w:pPr>
      <w:r>
        <w:rPr>
          <w:b w:val="0"/>
          <w:i w:val="0"/>
        </w:rPr>
        <w:t>Furlow, Clark W., 101</w:t>
      </w:r>
    </w:p>
    <w:p>
      <w:pPr>
        <w:spacing w:after="80"/>
      </w:pPr>
      <w:r>
        <w:rPr>
          <w:b w:val="0"/>
          <w:i w:val="0"/>
        </w:rPr>
        <w:t>Gartner, Steven, 122, 130, 264</w:t>
      </w:r>
    </w:p>
    <w:p>
      <w:pPr>
        <w:spacing w:after="80"/>
      </w:pPr>
      <w:r>
        <w:rPr>
          <w:b w:val="0"/>
          <w:i w:val="0"/>
        </w:rPr>
        <w:t>đa dạng giới tính, 206</w:t>
      </w:r>
    </w:p>
    <w:p>
      <w:pPr>
        <w:spacing w:after="80"/>
      </w:pPr>
      <w:r>
        <w:rPr>
          <w:b w:val="0"/>
          <w:i w:val="0"/>
        </w:rPr>
        <w:t>GenesisCare, 155, 175</w:t>
      </w:r>
    </w:p>
    <w:p>
      <w:pPr>
        <w:spacing w:after="80"/>
      </w:pPr>
      <w:r>
        <w:rPr>
          <w:b w:val="0"/>
          <w:i w:val="0"/>
        </w:rPr>
        <w:t>Gensler, Gary, 125, 187</w:t>
      </w:r>
    </w:p>
    <w:p>
      <w:pPr>
        <w:spacing w:after="80"/>
      </w:pPr>
      <w:r>
        <w:rPr>
          <w:b w:val="0"/>
          <w:i w:val="0"/>
        </w:rPr>
        <w:t>rủi ro địa chính trị, 233–34</w:t>
      </w:r>
    </w:p>
    <w:p>
      <w:pPr>
        <w:spacing w:after="80"/>
      </w:pPr>
      <w:r>
        <w:rPr>
          <w:b w:val="0"/>
          <w:i w:val="0"/>
        </w:rPr>
        <w:t>Georgia-Pacific, 19</w:t>
      </w:r>
    </w:p>
    <w:p>
      <w:pPr>
        <w:spacing w:after="80"/>
      </w:pPr>
      <w:r>
        <w:rPr>
          <w:b w:val="0"/>
          <w:i w:val="0"/>
        </w:rPr>
        <w:t>Gerace, Sam, 79</w:t>
      </w:r>
    </w:p>
    <w:p>
      <w:pPr>
        <w:spacing w:after="80"/>
      </w:pPr>
      <w:r>
        <w:rPr>
          <w:b w:val="0"/>
          <w:i w:val="0"/>
        </w:rPr>
        <w:t>Geraghty, Joanna, 67</w:t>
      </w:r>
    </w:p>
    <w:p>
      <w:pPr>
        <w:spacing w:after="80"/>
      </w:pPr>
      <w:r>
        <w:rPr>
          <w:b w:val="0"/>
          <w:i w:val="0"/>
        </w:rPr>
        <w:t>Gilbert, John, 120</w:t>
      </w:r>
    </w:p>
    <w:p>
      <w:pPr>
        <w:spacing w:after="80"/>
      </w:pPr>
      <w:r>
        <w:rPr>
          <w:b w:val="0"/>
          <w:i w:val="0"/>
        </w:rPr>
        <w:t>Gilbert, Lewis, 120</w:t>
      </w:r>
    </w:p>
    <w:p>
      <w:pPr>
        <w:spacing w:after="80"/>
      </w:pPr>
      <w:r>
        <w:rPr>
          <w:b w:val="0"/>
          <w:i w:val="0"/>
        </w:rPr>
        <w:t>Gillan, Stuart L., 139</w:t>
      </w:r>
    </w:p>
    <w:p>
      <w:pPr>
        <w:spacing w:after="80"/>
      </w:pPr>
      <w:r>
        <w:rPr>
          <w:b w:val="0"/>
          <w:i w:val="0"/>
        </w:rPr>
        <w:t>Girsky, Steve, 78, 212, 238–41, 246–47, 264</w:t>
      </w:r>
    </w:p>
    <w:p>
      <w:pPr>
        <w:spacing w:after="80"/>
      </w:pPr>
      <w:r>
        <w:rPr>
          <w:b w:val="0"/>
          <w:i w:val="0"/>
        </w:rPr>
        <w:t>Glass Lewis, 80, 138, 141, 146–51</w:t>
      </w:r>
    </w:p>
    <w:p>
      <w:pPr>
        <w:spacing w:after="80"/>
      </w:pPr>
      <w:r>
        <w:rPr>
          <w:b w:val="0"/>
          <w:i w:val="0"/>
        </w:rPr>
        <w:t>về bầu cử hội đồng quản trị, 134</w:t>
      </w:r>
    </w:p>
    <w:p>
      <w:pPr>
        <w:spacing w:after="80"/>
      </w:pPr>
      <w:r>
        <w:rPr>
          <w:b w:val="0"/>
          <w:i w:val="0"/>
        </w:rPr>
        <w:t>khuyến nghị đánh giá hội đồng quản trị, 249</w:t>
      </w:r>
    </w:p>
    <w:p>
      <w:pPr>
        <w:spacing w:after="80"/>
      </w:pPr>
      <w:r>
        <w:rPr>
          <w:b w:val="0"/>
          <w:i w:val="0"/>
        </w:rPr>
        <w:t>yêu cầu về đa dạng, 207</w:t>
      </w:r>
    </w:p>
    <w:p>
      <w:pPr>
        <w:spacing w:after="80"/>
      </w:pPr>
      <w:r>
        <w:rPr>
          <w:b w:val="0"/>
          <w:i w:val="0"/>
        </w:rPr>
        <w:t>giới hạn nhiệm kỳ và, 245</w:t>
      </w:r>
    </w:p>
    <w:p>
      <w:pPr>
        <w:spacing w:after="80"/>
      </w:pPr>
      <w:r>
        <w:rPr>
          <w:b w:val="0"/>
          <w:i w:val="0"/>
        </w:rPr>
        <w:t>khủng hoảng tài chính toàn cầu 2007–9, 13</w:t>
      </w:r>
    </w:p>
    <w:p>
      <w:pPr>
        <w:spacing w:after="80"/>
      </w:pPr>
      <w:r>
        <w:rPr>
          <w:b w:val="0"/>
          <w:i w:val="0"/>
        </w:rPr>
        <w:t>Goldberg, Arthur, 10</w:t>
      </w:r>
    </w:p>
    <w:p>
      <w:pPr>
        <w:spacing w:after="80"/>
      </w:pPr>
      <w:r>
        <w:rPr>
          <w:b w:val="0"/>
          <w:i w:val="0"/>
        </w:rPr>
        <w:t>Goltz, Felix, 191</w:t>
      </w:r>
    </w:p>
    <w:p>
      <w:pPr>
        <w:spacing w:after="80"/>
      </w:pPr>
      <w:r>
        <w:rPr>
          <w:b w:val="0"/>
          <w:i w:val="0"/>
        </w:rPr>
        <w:t>Goodman, Anthony, 243</w:t>
      </w:r>
    </w:p>
    <w:p>
      <w:pPr>
        <w:spacing w:after="80"/>
      </w:pPr>
      <w:r>
        <w:rPr>
          <w:b w:val="0"/>
          <w:i w:val="0"/>
        </w:rPr>
        <w:t>Gorman, James, 73, 85</w:t>
      </w:r>
    </w:p>
    <w:p>
      <w:pPr>
        <w:spacing w:after="80"/>
      </w:pPr>
      <w:r>
        <w:rPr>
          <w:b w:val="0"/>
          <w:i w:val="0"/>
        </w:rPr>
        <w:t>Gorsuch, Neil, 176</w:t>
      </w:r>
    </w:p>
    <w:p>
      <w:pPr>
        <w:spacing w:after="80"/>
      </w:pPr>
      <w:r>
        <w:rPr>
          <w:b w:val="0"/>
          <w:i/>
        </w:rPr>
        <w:t>Gottlieb v. Heyden Chemical</w:t>
      </w:r>
      <w:r>
        <w:rPr>
          <w:b w:val="0"/>
          <w:i w:val="0"/>
        </w:rPr>
        <w:t>, 107</w:t>
      </w:r>
    </w:p>
    <w:p>
      <w:pPr>
        <w:spacing w:after="80"/>
      </w:pPr>
      <w:r>
        <w:rPr>
          <w:b w:val="0"/>
          <w:i w:val="0"/>
        </w:rPr>
        <w:t>quản trị, 5, 8, 25</w:t>
      </w:r>
    </w:p>
    <w:p>
      <w:pPr>
        <w:spacing w:after="80"/>
      </w:pPr>
      <w:r>
        <w:rPr>
          <w:b w:val="0"/>
          <w:i w:val="0"/>
        </w:rPr>
        <w:t>hoạt động vận động và, 130–35</w:t>
      </w:r>
    </w:p>
    <w:p>
      <w:pPr>
        <w:spacing w:after="80"/>
      </w:pPr>
      <w:r>
        <w:rPr>
          <w:b w:val="0"/>
          <w:i w:val="0"/>
        </w:rPr>
        <w:t>BlackRock và, 145</w:t>
      </w:r>
    </w:p>
    <w:p>
      <w:pPr>
        <w:spacing w:after="80"/>
      </w:pPr>
      <w:r>
        <w:rPr>
          <w:b w:val="0"/>
          <w:i w:val="0"/>
        </w:rPr>
        <w:t>trong ESG, 187–89</w:t>
      </w:r>
    </w:p>
    <w:p>
      <w:pPr>
        <w:spacing w:after="80"/>
      </w:pPr>
      <w:r>
        <w:rPr>
          <w:b w:val="0"/>
          <w:i w:val="0"/>
        </w:rPr>
        <w:t>làn sóng cải cách đầu tiên trong, 9–13</w:t>
      </w:r>
    </w:p>
    <w:p>
      <w:pPr>
        <w:spacing w:after="80"/>
      </w:pPr>
      <w:r>
        <w:rPr>
          <w:b w:val="0"/>
          <w:i w:val="0"/>
        </w:rPr>
        <w:t>lập chỉ số và, 138</w:t>
      </w:r>
    </w:p>
    <w:p>
      <w:pPr>
        <w:spacing w:after="80"/>
      </w:pPr>
      <w:r>
        <w:rPr>
          <w:b w:val="0"/>
          <w:i w:val="0"/>
        </w:rPr>
        <w:t>nhà đầu tư tổ chức và, 151–53</w:t>
      </w:r>
    </w:p>
    <w:p>
      <w:pPr>
        <w:spacing w:after="80"/>
      </w:pPr>
      <w:r>
        <w:rPr>
          <w:b w:val="0"/>
          <w:i w:val="0"/>
        </w:rPr>
        <w:t>giám đốc độc lập chủ chốt và, 78–79</w:t>
      </w:r>
    </w:p>
    <w:p>
      <w:pPr>
        <w:spacing w:after="80"/>
      </w:pPr>
      <w:r>
        <w:rPr>
          <w:b w:val="0"/>
          <w:i w:val="0"/>
        </w:rPr>
        <w:t>sau tái cấu trúc, 178</w:t>
      </w:r>
    </w:p>
    <w:p>
      <w:pPr>
        <w:spacing w:after="80"/>
      </w:pPr>
      <w:r>
        <w:rPr>
          <w:b w:val="0"/>
          <w:i w:val="0"/>
        </w:rPr>
        <w:t>đề xuất ủy quyền và, 120</w:t>
      </w:r>
    </w:p>
    <w:p>
      <w:pPr>
        <w:spacing w:after="80"/>
      </w:pPr>
      <w:r>
        <w:rPr>
          <w:b w:val="0"/>
          <w:i w:val="0"/>
        </w:rPr>
        <w:t>làn sóng cải cách thứ hai trong, 13–15</w:t>
      </w:r>
    </w:p>
    <w:p>
      <w:pPr>
        <w:spacing w:after="80"/>
      </w:pPr>
      <w:r>
        <w:rPr>
          <w:b w:val="0"/>
          <w:i w:val="0"/>
        </w:rPr>
        <w:t>tách vai trò CEO và chủ tịch hội đồng quản trị, 78</w:t>
      </w:r>
    </w:p>
    <w:p>
      <w:pPr>
        <w:spacing w:after="80"/>
      </w:pPr>
      <w:r>
        <w:rPr>
          <w:b w:val="0"/>
          <w:i w:val="0"/>
        </w:rPr>
        <w:t>tài sản của quỹ hưu trí chính phủ, 139</w:t>
      </w:r>
    </w:p>
    <w:p>
      <w:pPr>
        <w:spacing w:after="80"/>
      </w:pPr>
      <w:r>
        <w:rPr>
          <w:b w:val="0"/>
          <w:i w:val="0"/>
        </w:rPr>
        <w:t>Graham, Benjamin, 119–20</w:t>
      </w:r>
    </w:p>
    <w:p>
      <w:pPr>
        <w:spacing w:after="80"/>
      </w:pPr>
      <w:r>
        <w:rPr>
          <w:b w:val="0"/>
          <w:i w:val="0"/>
        </w:rPr>
        <w:t>Grant, Adam, 43</w:t>
      </w:r>
    </w:p>
    <w:p>
      <w:pPr>
        <w:spacing w:after="80"/>
      </w:pPr>
      <w:r>
        <w:rPr>
          <w:b w:val="0"/>
          <w:i w:val="0"/>
        </w:rPr>
        <w:t>Đại suy thoái, 9, 91, 109, 157</w:t>
      </w:r>
    </w:p>
    <w:p>
      <w:pPr>
        <w:spacing w:after="80"/>
      </w:pPr>
      <w:r>
        <w:rPr>
          <w:b w:val="0"/>
          <w:i w:val="0"/>
        </w:rPr>
        <w:t>Đại suy thoái 2007–9, 45, 126, 161–62</w:t>
      </w:r>
    </w:p>
    <w:p>
      <w:pPr>
        <w:spacing w:after="80"/>
      </w:pPr>
      <w:r>
        <w:rPr>
          <w:b w:val="0"/>
          <w:i w:val="0"/>
        </w:rPr>
        <w:t>Greenberg, Scott, 170, 265</w:t>
      </w:r>
    </w:p>
    <w:p>
      <w:pPr>
        <w:spacing w:after="80"/>
      </w:pPr>
      <w:r>
        <w:rPr>
          <w:b w:val="0"/>
          <w:i w:val="0"/>
        </w:rPr>
        <w:t>Griffin, Caleb N., 144</w:t>
      </w:r>
    </w:p>
    <w:p>
      <w:pPr>
        <w:spacing w:after="80"/>
      </w:pPr>
      <w:r>
        <w:rPr>
          <w:b w:val="0"/>
          <w:i w:val="0"/>
        </w:rPr>
        <w:t>Gubler, Zachary, 100</w:t>
      </w:r>
    </w:p>
    <w:p>
      <w:pPr>
        <w:spacing w:after="80"/>
      </w:pPr>
      <w:r>
        <w:rPr>
          <w:b w:val="0"/>
          <w:i w:val="0"/>
        </w:rPr>
        <w:t>Gursahaney, Naren, 243, 265</w:t>
      </w:r>
    </w:p>
    <w:p>
      <w:pPr>
        <w:spacing w:after="80"/>
      </w:pPr>
      <w:r>
        <w:rPr>
          <w:b w:val="0"/>
          <w:i w:val="0"/>
        </w:rPr>
        <w:t>về giới hạn độ tuổi, 247</w:t>
      </w:r>
    </w:p>
    <w:p>
      <w:pPr>
        <w:spacing w:after="80"/>
      </w:pPr>
      <w:r>
        <w:rPr>
          <w:b w:val="0"/>
          <w:i w:val="0"/>
        </w:rPr>
        <w:t>về các mô hình lãnh đạo hội đồng quản trị, 76</w:t>
      </w:r>
    </w:p>
    <w:p>
      <w:pPr>
        <w:spacing w:after="80"/>
      </w:pPr>
      <w:r>
        <w:rPr>
          <w:b w:val="0"/>
          <w:i w:val="0"/>
        </w:rPr>
        <w:t>về trách nhiệm của hội đồng quản trị, 24</w:t>
      </w:r>
    </w:p>
    <w:p>
      <w:pPr>
        <w:spacing w:after="80"/>
      </w:pPr>
      <w:r>
        <w:rPr>
          <w:b w:val="0"/>
          <w:i w:val="0"/>
        </w:rPr>
        <w:t>về tuyển dụng CEO, 225</w:t>
      </w:r>
    </w:p>
    <w:p>
      <w:pPr>
        <w:spacing w:after="80"/>
      </w:pPr>
      <w:r>
        <w:rPr>
          <w:b w:val="0"/>
          <w:i w:val="0"/>
        </w:rPr>
        <w:t>về đánh giá giám đốc, 250</w:t>
      </w:r>
    </w:p>
    <w:p>
      <w:pPr>
        <w:spacing w:after="80"/>
      </w:pPr>
      <w:r>
        <w:rPr>
          <w:b w:val="0"/>
          <w:i w:val="0"/>
        </w:rPr>
        <w:t>về việc tách vai trò chủ tịch hội đồng quản trị và CEO, 84</w:t>
      </w:r>
    </w:p>
    <w:p>
      <w:pPr>
        <w:spacing w:after="80"/>
      </w:pPr>
      <w:r>
        <w:rPr>
          <w:b w:val="0"/>
          <w:i w:val="0"/>
        </w:rPr>
        <w:t>về hoạch định chiến lược, 42</w:t>
      </w:r>
    </w:p>
    <w:p>
      <w:pPr>
        <w:spacing w:after="80"/>
      </w:pPr>
      <w:r>
        <w:rPr>
          <w:b w:val="0"/>
          <w:i w:val="0"/>
        </w:rPr>
        <w:t>về giới hạn nhiệm kỳ, 245</w:t>
      </w:r>
    </w:p>
    <w:p>
      <w:pPr>
        <w:spacing w:after="80"/>
      </w:pPr>
      <w:r>
        <w:rPr>
          <w:b w:val="0"/>
          <w:i w:val="0"/>
        </w:rPr>
        <w:t>Guth, Charles G., 27, 106</w:t>
      </w:r>
    </w:p>
    <w:p>
      <w:pPr>
        <w:spacing w:after="80"/>
      </w:pPr>
      <w:r>
        <w:rPr>
          <w:b w:val="0"/>
          <w:i/>
        </w:rPr>
        <w:t>Guth v. Loft</w:t>
      </w:r>
      <w:r>
        <w:rPr>
          <w:b w:val="0"/>
          <w:i w:val="0"/>
        </w:rPr>
        <w:t>, 27–28</w:t>
      </w:r>
    </w:p>
    <w:p>
      <w:pPr>
        <w:spacing w:after="80"/>
      </w:pPr>
      <w:r>
        <w:rPr>
          <w:b w:val="0"/>
          <w:i w:val="0"/>
        </w:rPr>
        <w:t>Hansen, Dale, 141</w:t>
      </w:r>
    </w:p>
    <w:p>
      <w:pPr>
        <w:spacing w:after="80"/>
      </w:pPr>
      <w:r>
        <w:rPr>
          <w:b w:val="0"/>
          <w:i/>
        </w:rPr>
        <w:t>Harkin v. Brundage</w:t>
      </w:r>
      <w:r>
        <w:rPr>
          <w:b w:val="0"/>
          <w:i w:val="0"/>
        </w:rPr>
        <w:t>, 157</w:t>
      </w:r>
    </w:p>
    <w:p>
      <w:pPr>
        <w:spacing w:after="80"/>
      </w:pPr>
      <w:r>
        <w:rPr>
          <w:b w:val="0"/>
          <w:i w:val="0"/>
        </w:rPr>
        <w:t>Harris, Josh, 110</w:t>
      </w:r>
    </w:p>
    <w:p>
      <w:pPr>
        <w:spacing w:after="80"/>
      </w:pPr>
      <w:r>
        <w:rPr>
          <w:b w:val="0"/>
          <w:i w:val="0"/>
        </w:rPr>
        <w:t>Haythornthwaite, Richard, 219</w:t>
      </w:r>
    </w:p>
    <w:p>
      <w:pPr>
        <w:spacing w:after="80"/>
      </w:pPr>
      <w:r>
        <w:rPr>
          <w:b w:val="0"/>
          <w:i w:val="0"/>
        </w:rPr>
        <w:t>Heckes, Howard, 216–17, 220, 222, 227, 265</w:t>
      </w:r>
    </w:p>
    <w:p>
      <w:pPr>
        <w:spacing w:after="80"/>
      </w:pPr>
      <w:r>
        <w:rPr>
          <w:b w:val="0"/>
          <w:i w:val="0"/>
        </w:rPr>
        <w:t>Heltebran, Laura, 165, 265</w:t>
      </w:r>
    </w:p>
    <w:p>
      <w:pPr>
        <w:spacing w:after="80"/>
      </w:pPr>
      <w:r>
        <w:rPr>
          <w:b w:val="0"/>
          <w:i w:val="0"/>
        </w:rPr>
        <w:t>Hertz, 101</w:t>
      </w:r>
    </w:p>
    <w:p>
      <w:pPr>
        <w:spacing w:after="80"/>
      </w:pPr>
      <w:r>
        <w:rPr>
          <w:b w:val="0"/>
          <w:i w:val="0"/>
        </w:rPr>
        <w:t>Hinchman, Brook, 265</w:t>
      </w:r>
    </w:p>
    <w:p>
      <w:pPr>
        <w:spacing w:after="80"/>
      </w:pPr>
      <w:r>
        <w:rPr>
          <w:b w:val="0"/>
          <w:i w:val="0"/>
        </w:rPr>
        <w:t>Hindenburg Research, 123, 239</w:t>
      </w:r>
    </w:p>
    <w:p>
      <w:pPr>
        <w:spacing w:after="80"/>
      </w:pPr>
      <w:r>
        <w:rPr>
          <w:b w:val="0"/>
          <w:i w:val="0"/>
        </w:rPr>
        <w:t>Hockaday, Ed, 246</w:t>
      </w:r>
    </w:p>
    <w:p>
      <w:pPr>
        <w:spacing w:after="80"/>
      </w:pPr>
      <w:r>
        <w:rPr>
          <w:b w:val="0"/>
          <w:i w:val="0"/>
        </w:rPr>
        <w:t>Holland, Emily, 191</w:t>
      </w:r>
    </w:p>
    <w:p>
      <w:pPr>
        <w:spacing w:after="80"/>
      </w:pPr>
      <w:r>
        <w:rPr>
          <w:b w:val="0"/>
          <w:i w:val="0"/>
        </w:rPr>
        <w:t>Horbach, Sandra, 111, 208, 255, 265</w:t>
      </w:r>
    </w:p>
    <w:p>
      <w:pPr>
        <w:spacing w:after="80"/>
      </w:pPr>
      <w:r>
        <w:rPr>
          <w:b w:val="0"/>
          <w:i w:val="0"/>
        </w:rPr>
        <w:t>thâu tóm thù địch, 98–99</w:t>
      </w:r>
    </w:p>
    <w:p>
      <w:pPr>
        <w:spacing w:after="80"/>
      </w:pPr>
      <w:r>
        <w:rPr>
          <w:b w:val="0"/>
          <w:i w:val="0"/>
        </w:rPr>
        <w:t>Huang, Ani, 64</w:t>
      </w:r>
    </w:p>
    <w:p>
      <w:pPr>
        <w:spacing w:after="80"/>
      </w:pPr>
      <w:r>
        <w:rPr>
          <w:b w:val="0"/>
          <w:i w:val="0"/>
        </w:rPr>
        <w:t>quản lý vốn nhân lực, 63–64</w:t>
      </w:r>
    </w:p>
    <w:p>
      <w:pPr>
        <w:spacing w:after="80"/>
      </w:pPr>
      <w:r>
        <w:rPr>
          <w:b w:val="0"/>
          <w:i w:val="0"/>
        </w:rPr>
        <w:t>Humbach, John A., 97</w:t>
      </w:r>
    </w:p>
    <w:p>
      <w:pPr>
        <w:spacing w:after="80"/>
      </w:pPr>
      <w:r>
        <w:rPr>
          <w:b w:val="0"/>
          <w:i w:val="0"/>
        </w:rPr>
        <w:t>Hunker, David, 117</w:t>
      </w:r>
    </w:p>
    <w:p>
      <w:pPr>
        <w:spacing w:after="80"/>
      </w:pPr>
      <w:r>
        <w:rPr>
          <w:b w:val="0"/>
          <w:i w:val="0"/>
        </w:rPr>
        <w:t>Icahn, Carl, 12, 91, 123</w:t>
      </w:r>
    </w:p>
    <w:p>
      <w:pPr>
        <w:spacing w:after="80"/>
      </w:pPr>
      <w:r>
        <w:rPr>
          <w:b w:val="0"/>
          <w:i w:val="0"/>
        </w:rPr>
        <w:t>Iger, Bob, 127, 224</w:t>
      </w:r>
    </w:p>
    <w:p>
      <w:pPr>
        <w:spacing w:after="80"/>
      </w:pPr>
      <w:r>
        <w:rPr>
          <w:b w:val="0"/>
          <w:i w:val="0"/>
        </w:rPr>
        <w:t>tái cấu trúc trong tòa án, 163–64, 166–69</w:t>
      </w:r>
    </w:p>
    <w:p>
      <w:pPr>
        <w:spacing w:after="80"/>
      </w:pPr>
      <w:r>
        <w:rPr>
          <w:b w:val="0"/>
          <w:i w:val="0"/>
        </w:rPr>
        <w:t>các công ty kiểm toán độc lập, 50–51</w:t>
      </w:r>
    </w:p>
    <w:p>
      <w:pPr>
        <w:spacing w:after="80"/>
      </w:pPr>
      <w:r>
        <w:rPr>
          <w:b w:val="0"/>
          <w:i w:val="0"/>
        </w:rPr>
        <w:t>chủ tịch độc lập, 70–71, 75, 77–82, 84</w:t>
      </w:r>
    </w:p>
    <w:p>
      <w:pPr>
        <w:spacing w:after="80"/>
      </w:pPr>
      <w:r>
        <w:rPr>
          <w:b w:val="0"/>
          <w:i w:val="0"/>
        </w:rPr>
        <w:t>giám đốc độc lập, 10–11, 43, 94, 132, 238, 245</w:t>
      </w:r>
    </w:p>
    <w:p>
      <w:pPr>
        <w:spacing w:after="80"/>
      </w:pPr>
      <w:r>
        <w:rPr>
          <w:b w:val="0"/>
          <w:i w:val="0"/>
        </w:rPr>
        <w:t>yêu cầu về ủy ban và, 46, 52</w:t>
      </w:r>
    </w:p>
    <w:p>
      <w:pPr>
        <w:spacing w:after="80"/>
      </w:pPr>
      <w:r>
        <w:rPr>
          <w:b w:val="0"/>
          <w:i w:val="0"/>
        </w:rPr>
        <w:t>xung đột và, 171, 173–74</w:t>
      </w:r>
    </w:p>
    <w:p>
      <w:pPr>
        <w:spacing w:after="80"/>
      </w:pPr>
      <w:r>
        <w:rPr>
          <w:b w:val="0"/>
          <w:i w:val="0"/>
        </w:rPr>
        <w:t>hệ thống con nợ đang nắm quyền kiểm soát (debtor-in-possession) và, s158</w:t>
      </w:r>
    </w:p>
    <w:p>
      <w:pPr>
        <w:spacing w:after="80"/>
      </w:pPr>
      <w:r>
        <w:rPr>
          <w:b w:val="0"/>
          <w:i w:val="0"/>
        </w:rPr>
        <w:t>định nghĩa, 46</w:t>
      </w:r>
    </w:p>
    <w:p>
      <w:pPr>
        <w:spacing w:after="80"/>
      </w:pPr>
      <w:r>
        <w:rPr>
          <w:b w:val="0"/>
          <w:i w:val="0"/>
        </w:rPr>
        <w:t>xác định ứng viên cho, 203–4</w:t>
      </w:r>
    </w:p>
    <w:p>
      <w:pPr>
        <w:spacing w:after="80"/>
      </w:pPr>
      <w:r>
        <w:rPr>
          <w:b w:val="0"/>
          <w:i w:val="0"/>
        </w:rPr>
        <w:t>lead, 41, 69–71, 75–80, 82, 85, 226</w:t>
      </w:r>
    </w:p>
    <w:p>
      <w:pPr>
        <w:spacing w:after="80"/>
      </w:pPr>
      <w:r>
        <w:rPr>
          <w:b w:val="0"/>
          <w:i w:val="0"/>
        </w:rPr>
        <w:t>tuyển dụng và, 68</w:t>
      </w:r>
    </w:p>
    <w:p>
      <w:pPr>
        <w:spacing w:after="80"/>
      </w:pPr>
      <w:r>
        <w:rPr>
          <w:b w:val="0"/>
          <w:i w:val="0"/>
        </w:rPr>
        <w:t>tái cấu trúc và, 168, 171–78</w:t>
      </w:r>
    </w:p>
    <w:p>
      <w:pPr>
        <w:spacing w:after="80"/>
      </w:pPr>
      <w:r>
        <w:rPr>
          <w:b w:val="0"/>
          <w:i w:val="0"/>
        </w:rPr>
        <w:t>Smurfit-Stone và, 19–20, 22</w:t>
      </w:r>
    </w:p>
    <w:p>
      <w:pPr>
        <w:spacing w:after="80"/>
      </w:pPr>
      <w:r>
        <w:rPr>
          <w:b w:val="0"/>
          <w:i w:val="0"/>
        </w:rPr>
        <w:t>các ủy ban đặc biệt của, 108, 112</w:t>
      </w:r>
    </w:p>
    <w:p>
      <w:pPr>
        <w:spacing w:after="80"/>
      </w:pPr>
      <w:r>
        <w:rPr>
          <w:b w:val="0"/>
          <w:i w:val="0"/>
        </w:rPr>
        <w:t>quỹ chỉ số, 141–46, 153, 180</w:t>
      </w:r>
    </w:p>
    <w:p>
      <w:pPr>
        <w:spacing w:after="80"/>
      </w:pPr>
      <w:r>
        <w:rPr>
          <w:b w:val="0"/>
          <w:i w:val="0"/>
        </w:rPr>
        <w:t>việc lập chỉ số, 138</w:t>
      </w:r>
    </w:p>
    <w:p>
      <w:pPr>
        <w:spacing w:after="80"/>
      </w:pPr>
      <w:r>
        <w:rPr>
          <w:b w:val="0"/>
          <w:i w:val="0"/>
        </w:rPr>
        <w:t>đánh giá từng giám đốc, 248–51</w:t>
      </w:r>
    </w:p>
    <w:p>
      <w:pPr>
        <w:spacing w:after="80"/>
      </w:pPr>
      <w:r>
        <w:rPr>
          <w:b w:val="0"/>
          <w:i w:val="0"/>
        </w:rPr>
        <w:t>phát hành cổ phiếu lần đầu ra công chúng (IPO), 13</w:t>
      </w:r>
    </w:p>
    <w:p>
      <w:pPr>
        <w:spacing w:after="80"/>
      </w:pPr>
      <w:r>
        <w:rPr>
          <w:b w:val="0"/>
          <w:i/>
        </w:rPr>
        <w:t>In re Caremark Derivative Litigation</w:t>
      </w:r>
      <w:r>
        <w:rPr>
          <w:b w:val="0"/>
          <w:i w:val="0"/>
        </w:rPr>
        <w:t xml:space="preserve"> (</w:t>
      </w:r>
      <w:r>
        <w:rPr>
          <w:b w:val="0"/>
          <w:i/>
        </w:rPr>
        <w:t>Caremark</w:t>
      </w:r>
      <w:r>
        <w:rPr>
          <w:b w:val="0"/>
          <w:i w:val="0"/>
        </w:rPr>
        <w:t>), 31, 36</w:t>
      </w:r>
    </w:p>
    <w:p>
      <w:pPr>
        <w:spacing w:after="80"/>
      </w:pPr>
      <w:r>
        <w:rPr>
          <w:b w:val="0"/>
          <w:i/>
        </w:rPr>
        <w:t>In re Dollar Thrifty Shareholder Litigation</w:t>
      </w:r>
      <w:r>
        <w:rPr>
          <w:b w:val="0"/>
          <w:i w:val="0"/>
        </w:rPr>
        <w:t>, 101</w:t>
      </w:r>
    </w:p>
    <w:p>
      <w:pPr>
        <w:spacing w:after="80"/>
      </w:pPr>
      <w:r>
        <w:rPr>
          <w:b w:val="0"/>
          <w:i/>
        </w:rPr>
        <w:t>In re MFW Shareholders Litigation</w:t>
      </w:r>
      <w:r>
        <w:rPr>
          <w:b w:val="0"/>
          <w:i w:val="0"/>
        </w:rPr>
        <w:t>, 108</w:t>
      </w:r>
    </w:p>
    <w:p>
      <w:pPr>
        <w:spacing w:after="80"/>
      </w:pPr>
      <w:r>
        <w:rPr>
          <w:b w:val="0"/>
          <w:i/>
        </w:rPr>
        <w:t>In re Oracle Corporation Derivative Litigation</w:t>
      </w:r>
      <w:r>
        <w:rPr>
          <w:b w:val="0"/>
          <w:i w:val="0"/>
        </w:rPr>
        <w:t>, 38–39</w:t>
      </w:r>
    </w:p>
    <w:p>
      <w:pPr>
        <w:spacing w:after="80"/>
      </w:pPr>
      <w:r>
        <w:rPr>
          <w:b w:val="0"/>
          <w:i/>
        </w:rPr>
        <w:t>In re Smurfit-Stone Shareholder Litigation</w:t>
      </w:r>
      <w:r>
        <w:rPr>
          <w:b w:val="0"/>
          <w:i w:val="0"/>
        </w:rPr>
        <w:t>, 19, 30, 108</w:t>
      </w:r>
    </w:p>
    <w:p>
      <w:pPr>
        <w:spacing w:after="80"/>
      </w:pPr>
      <w:r>
        <w:rPr>
          <w:b w:val="0"/>
          <w:i/>
        </w:rPr>
        <w:t>In re Trulia Stockholder Litigation</w:t>
      </w:r>
      <w:r>
        <w:rPr>
          <w:b w:val="0"/>
          <w:i w:val="0"/>
        </w:rPr>
        <w:t>, 89</w:t>
      </w:r>
    </w:p>
    <w:p>
      <w:pPr>
        <w:spacing w:after="80"/>
      </w:pPr>
      <w:r>
        <w:rPr>
          <w:b w:val="0"/>
          <w:i/>
        </w:rPr>
        <w:t>In re Walt Disney Derivative Litigation</w:t>
      </w:r>
      <w:r>
        <w:rPr>
          <w:b w:val="0"/>
          <w:i w:val="0"/>
        </w:rPr>
        <w:t>, 59–60</w:t>
      </w:r>
    </w:p>
    <w:p>
      <w:pPr>
        <w:spacing w:after="80"/>
      </w:pPr>
      <w:r>
        <w:rPr>
          <w:b w:val="0"/>
          <w:i w:val="0"/>
        </w:rPr>
        <w:t>mất khả năng thanh toán, 170–71</w:t>
      </w:r>
    </w:p>
    <w:p>
      <w:pPr>
        <w:spacing w:after="80"/>
      </w:pPr>
      <w:r>
        <w:rPr>
          <w:b w:val="0"/>
          <w:i w:val="0"/>
        </w:rPr>
        <w:t>nhà đầu tư tổ chức, 13, 137, 139–41, 151–53</w:t>
      </w:r>
    </w:p>
    <w:p>
      <w:pPr>
        <w:spacing w:after="80"/>
      </w:pPr>
      <w:r>
        <w:rPr>
          <w:b w:val="0"/>
          <w:i w:val="0"/>
        </w:rPr>
        <w:t>Institutional Shareholder Services (ISS), 80, 100, 138, 141, 146–51</w:t>
      </w:r>
    </w:p>
    <w:p>
      <w:pPr>
        <w:spacing w:after="80"/>
      </w:pPr>
      <w:r>
        <w:rPr>
          <w:b w:val="0"/>
          <w:i w:val="0"/>
        </w:rPr>
        <w:t>về bầu cử hội đồng quản trị, 134</w:t>
      </w:r>
    </w:p>
    <w:p>
      <w:pPr>
        <w:spacing w:after="80"/>
      </w:pPr>
      <w:r>
        <w:rPr>
          <w:b w:val="0"/>
          <w:i w:val="0"/>
        </w:rPr>
        <w:t>khuyến nghị đánh giá hội đồng quản trị, 249</w:t>
      </w:r>
    </w:p>
    <w:p>
      <w:pPr>
        <w:spacing w:after="80"/>
      </w:pPr>
      <w:r>
        <w:rPr>
          <w:b w:val="0"/>
          <w:i w:val="0"/>
        </w:rPr>
        <w:t>đa dạng và, 187, 207</w:t>
      </w:r>
    </w:p>
    <w:p>
      <w:pPr>
        <w:spacing w:after="80"/>
      </w:pPr>
      <w:r>
        <w:rPr>
          <w:b w:val="0"/>
          <w:i w:val="0"/>
        </w:rPr>
        <w:t>giới hạn nhiệm kỳ và, 245</w:t>
      </w:r>
    </w:p>
    <w:p>
      <w:pPr>
        <w:spacing w:after="80"/>
      </w:pPr>
      <w:r>
        <w:rPr>
          <w:b w:val="0"/>
          <w:i w:val="0"/>
        </w:rPr>
        <w:t xml:space="preserve">IPO. </w:t>
      </w:r>
      <w:r>
        <w:rPr>
          <w:b w:val="0"/>
          <w:i/>
        </w:rPr>
        <w:t>Xem</w:t>
      </w:r>
      <w:r>
        <w:rPr>
          <w:b w:val="0"/>
          <w:i w:val="0"/>
        </w:rPr>
        <w:t xml:space="preserve"> phát hành cổ phiếu lần đầu ra công chúng</w:t>
      </w:r>
    </w:p>
    <w:p>
      <w:pPr>
        <w:spacing w:after="80"/>
      </w:pPr>
      <w:r>
        <w:rPr>
          <w:b w:val="0"/>
          <w:i w:val="0"/>
        </w:rPr>
        <w:t xml:space="preserve">ISS. </w:t>
      </w:r>
      <w:r>
        <w:rPr>
          <w:b w:val="0"/>
          <w:i/>
        </w:rPr>
        <w:t>Xem</w:t>
      </w:r>
      <w:r>
        <w:rPr>
          <w:b w:val="0"/>
          <w:i w:val="0"/>
        </w:rPr>
        <w:t xml:space="preserve"> Institutional Shareholder Services</w:t>
      </w:r>
    </w:p>
    <w:p>
      <w:pPr>
        <w:spacing w:after="80"/>
      </w:pPr>
      <w:r>
        <w:rPr>
          <w:b w:val="0"/>
          <w:i w:val="0"/>
        </w:rPr>
        <w:t>Jacobs, Jack B., 31, 72</w:t>
      </w:r>
    </w:p>
    <w:p>
      <w:pPr>
        <w:spacing w:after="80"/>
      </w:pPr>
      <w:r>
        <w:rPr>
          <w:b w:val="0"/>
          <w:i w:val="0"/>
        </w:rPr>
        <w:t>Jacobs, Ken, 71–72, 265</w:t>
      </w:r>
    </w:p>
    <w:p>
      <w:pPr>
        <w:spacing w:after="80"/>
      </w:pPr>
      <w:r>
        <w:rPr>
          <w:b w:val="0"/>
          <w:i w:val="0"/>
        </w:rPr>
        <w:t>JetBlue, 67, 187</w:t>
      </w:r>
    </w:p>
    <w:p>
      <w:pPr>
        <w:spacing w:after="80"/>
      </w:pPr>
      <w:r>
        <w:rPr>
          <w:b w:val="0"/>
          <w:i w:val="0"/>
        </w:rPr>
        <w:t>Jobs, Steve, 165</w:t>
      </w:r>
    </w:p>
    <w:p>
      <w:pPr>
        <w:spacing w:after="80"/>
      </w:pPr>
      <w:r>
        <w:rPr>
          <w:b w:val="0"/>
          <w:i w:val="0"/>
        </w:rPr>
        <w:t>Johnson, Clem, 225</w:t>
      </w:r>
    </w:p>
    <w:p>
      <w:pPr>
        <w:spacing w:after="80"/>
      </w:pPr>
      <w:r>
        <w:rPr>
          <w:b w:val="0"/>
          <w:i w:val="0"/>
        </w:rPr>
        <w:t>Johnson, Ron, 128</w:t>
      </w:r>
    </w:p>
    <w:p>
      <w:pPr>
        <w:spacing w:after="80"/>
      </w:pPr>
      <w:r>
        <w:rPr>
          <w:b w:val="0"/>
          <w:i w:val="0"/>
        </w:rPr>
        <w:t>Joly, Hubert, 84, 224</w:t>
      </w:r>
    </w:p>
    <w:p>
      <w:pPr>
        <w:spacing w:after="80"/>
      </w:pPr>
      <w:r>
        <w:rPr>
          <w:b w:val="0"/>
          <w:i w:val="0"/>
        </w:rPr>
        <w:t>Jordan, Michael, 83</w:t>
      </w:r>
    </w:p>
    <w:p>
      <w:pPr>
        <w:spacing w:after="80"/>
      </w:pPr>
      <w:r>
        <w:rPr>
          <w:b w:val="0"/>
          <w:i w:val="0"/>
        </w:rPr>
        <w:t>JPMorganChase, 81, 85, 150, 193</w:t>
      </w:r>
    </w:p>
    <w:p>
      <w:pPr>
        <w:spacing w:after="80"/>
      </w:pPr>
      <w:r>
        <w:rPr>
          <w:b w:val="0"/>
          <w:i w:val="0"/>
        </w:rPr>
        <w:t>Kamar, Ehud, 173</w:t>
      </w:r>
    </w:p>
    <w:p>
      <w:pPr>
        <w:spacing w:after="80"/>
      </w:pPr>
      <w:r>
        <w:rPr>
          <w:b w:val="0"/>
          <w:i w:val="0"/>
        </w:rPr>
        <w:t>Kaplan, Steve, 115</w:t>
      </w:r>
    </w:p>
    <w:p>
      <w:pPr>
        <w:spacing w:after="80"/>
      </w:pPr>
      <w:r>
        <w:rPr>
          <w:b w:val="0"/>
          <w:i w:val="0"/>
        </w:rPr>
        <w:t>Karakulova, Karina, 140</w:t>
      </w:r>
    </w:p>
    <w:p>
      <w:pPr>
        <w:spacing w:after="80"/>
      </w:pPr>
      <w:r>
        <w:rPr>
          <w:b w:val="0"/>
          <w:i w:val="0"/>
        </w:rPr>
        <w:t>Kastiel, Kobi, 173</w:t>
      </w:r>
    </w:p>
    <w:p>
      <w:pPr>
        <w:spacing w:after="80"/>
      </w:pPr>
      <w:r>
        <w:rPr>
          <w:b w:val="0"/>
          <w:i w:val="0"/>
        </w:rPr>
        <w:t>Kavanaugh, Brett, 176</w:t>
      </w:r>
    </w:p>
    <w:p>
      <w:pPr>
        <w:spacing w:after="80"/>
      </w:pPr>
      <w:r>
        <w:rPr>
          <w:b w:val="0"/>
          <w:i w:val="0"/>
        </w:rPr>
        <w:t>Kennedy, Ted, Jr., 206</w:t>
      </w:r>
    </w:p>
    <w:p>
      <w:pPr>
        <w:spacing w:after="80"/>
      </w:pPr>
      <w:r>
        <w:rPr>
          <w:b w:val="0"/>
          <w:i w:val="0"/>
        </w:rPr>
        <w:t>Key, Steve, 4, 213, 226, 265</w:t>
      </w:r>
    </w:p>
    <w:p>
      <w:pPr>
        <w:spacing w:after="80"/>
      </w:pPr>
      <w:r>
        <w:rPr>
          <w:b w:val="0"/>
          <w:i w:val="0"/>
        </w:rPr>
        <w:t>Kindler, Rob, 102, 108, 265</w:t>
      </w:r>
    </w:p>
    <w:p>
      <w:pPr>
        <w:spacing w:after="80"/>
      </w:pPr>
      <w:r>
        <w:rPr>
          <w:b w:val="0"/>
          <w:i w:val="0"/>
        </w:rPr>
        <w:t>KKR, 13, 56–57, 105, 109–11, 187</w:t>
      </w:r>
    </w:p>
    <w:p>
      <w:pPr>
        <w:spacing w:after="80"/>
      </w:pPr>
      <w:r>
        <w:rPr>
          <w:b w:val="0"/>
          <w:i w:val="0"/>
        </w:rPr>
        <w:t>Klain, Ron, 25, 44, 218, 231–32, 238, 265</w:t>
      </w:r>
    </w:p>
    <w:p>
      <w:pPr>
        <w:spacing w:after="80"/>
      </w:pPr>
      <w:r>
        <w:rPr>
          <w:b w:val="0"/>
          <w:i w:val="0"/>
        </w:rPr>
        <w:t>Klein, Ele, 126, 265</w:t>
      </w:r>
    </w:p>
    <w:p>
      <w:pPr>
        <w:spacing w:after="80"/>
      </w:pPr>
      <w:r>
        <w:rPr>
          <w:b w:val="0"/>
          <w:i w:val="0"/>
        </w:rPr>
        <w:t>Klein, Katherine, 206</w:t>
      </w:r>
    </w:p>
    <w:p>
      <w:pPr>
        <w:spacing w:after="80"/>
      </w:pPr>
      <w:r>
        <w:rPr>
          <w:b w:val="0"/>
          <w:i w:val="0"/>
        </w:rPr>
        <w:t>Klein, Rich, 266</w:t>
      </w:r>
    </w:p>
    <w:p>
      <w:pPr>
        <w:spacing w:after="80"/>
      </w:pPr>
      <w:r>
        <w:rPr>
          <w:b w:val="0"/>
          <w:i w:val="0"/>
        </w:rPr>
        <w:t>Klemash, Steve, 117</w:t>
      </w:r>
    </w:p>
    <w:p>
      <w:pPr>
        <w:spacing w:after="80"/>
      </w:pPr>
      <w:r>
        <w:rPr>
          <w:b w:val="0"/>
          <w:i w:val="0"/>
        </w:rPr>
        <w:t>Kohlberg, Jerome, 109–10</w:t>
      </w:r>
    </w:p>
    <w:p>
      <w:pPr>
        <w:spacing w:after="80"/>
      </w:pPr>
      <w:r>
        <w:rPr>
          <w:b w:val="0"/>
          <w:i w:val="0"/>
        </w:rPr>
        <w:t>Kostin, David, 117</w:t>
      </w:r>
    </w:p>
    <w:p>
      <w:pPr>
        <w:spacing w:after="80"/>
      </w:pPr>
      <w:r>
        <w:rPr>
          <w:b w:val="0"/>
          <w:i w:val="0"/>
        </w:rPr>
        <w:t>Krause, Ryan, 81</w:t>
      </w:r>
    </w:p>
    <w:p>
      <w:pPr>
        <w:spacing w:after="80"/>
      </w:pPr>
      <w:r>
        <w:rPr>
          <w:b w:val="0"/>
          <w:i w:val="0"/>
        </w:rPr>
        <w:t>Kravis, Henry, 109–10</w:t>
      </w:r>
    </w:p>
    <w:p>
      <w:pPr>
        <w:spacing w:after="80"/>
      </w:pPr>
      <w:r>
        <w:rPr>
          <w:b w:val="0"/>
          <w:i w:val="0"/>
        </w:rPr>
        <w:t>Lafley, A. G., 216</w:t>
      </w:r>
    </w:p>
    <w:p>
      <w:pPr>
        <w:spacing w:after="80"/>
      </w:pPr>
      <w:r>
        <w:rPr>
          <w:b w:val="0"/>
          <w:i w:val="0"/>
        </w:rPr>
        <w:t>Lamb, Natasha, 77</w:t>
      </w:r>
    </w:p>
    <w:p>
      <w:pPr>
        <w:spacing w:after="80"/>
      </w:pPr>
      <w:r>
        <w:rPr>
          <w:b w:val="0"/>
          <w:i w:val="0"/>
        </w:rPr>
        <w:t>Larcker, David F., 81, 84, 149</w:t>
      </w:r>
    </w:p>
    <w:p>
      <w:pPr>
        <w:spacing w:after="80"/>
      </w:pPr>
      <w:r>
        <w:rPr>
          <w:b w:val="0"/>
          <w:i w:val="0"/>
        </w:rPr>
        <w:t>Laster, J. Travis, 33, 195</w:t>
      </w:r>
    </w:p>
    <w:p>
      <w:pPr>
        <w:spacing w:after="80"/>
      </w:pPr>
      <w:r>
        <w:rPr>
          <w:b w:val="0"/>
          <w:i/>
        </w:rPr>
        <w:t>Lavin v. West Corporation</w:t>
      </w:r>
      <w:r>
        <w:rPr>
          <w:b w:val="0"/>
          <w:i w:val="0"/>
        </w:rPr>
        <w:t>, 106</w:t>
      </w:r>
    </w:p>
    <w:p>
      <w:pPr>
        <w:spacing w:after="80"/>
      </w:pPr>
      <w:r>
        <w:rPr>
          <w:b w:val="0"/>
          <w:i w:val="0"/>
        </w:rPr>
        <w:t>Lazard, 3–5, 20–21, 71, 121, 160, 162</w:t>
      </w:r>
    </w:p>
    <w:p>
      <w:pPr>
        <w:spacing w:after="80"/>
      </w:pPr>
      <w:r>
        <w:rPr>
          <w:b w:val="0"/>
          <w:i w:val="0"/>
        </w:rPr>
        <w:t xml:space="preserve">LBOs. </w:t>
      </w:r>
      <w:r>
        <w:rPr>
          <w:b w:val="0"/>
          <w:i/>
        </w:rPr>
        <w:t>Xem</w:t>
      </w:r>
      <w:r>
        <w:rPr>
          <w:b w:val="0"/>
          <w:i w:val="0"/>
        </w:rPr>
        <w:t xml:space="preserve"> leveraged buyouts</w:t>
      </w:r>
    </w:p>
    <w:p>
      <w:pPr>
        <w:spacing w:after="80"/>
      </w:pPr>
      <w:r>
        <w:rPr>
          <w:b w:val="0"/>
          <w:i w:val="0"/>
        </w:rPr>
        <w:t>lãnh đạo, 79, 81–82, 218</w:t>
      </w:r>
    </w:p>
    <w:p>
      <w:pPr>
        <w:spacing w:after="80"/>
      </w:pPr>
      <w:r>
        <w:rPr>
          <w:b w:val="0"/>
          <w:i w:val="0"/>
        </w:rPr>
        <w:t>tầm quan trọng của, 69–70, 256</w:t>
      </w:r>
    </w:p>
    <w:p>
      <w:pPr>
        <w:spacing w:after="80"/>
      </w:pPr>
      <w:r>
        <w:rPr>
          <w:b w:val="0"/>
          <w:i w:val="0"/>
        </w:rPr>
        <w:t>các mô hình, 70–77</w:t>
      </w:r>
    </w:p>
    <w:p>
      <w:pPr>
        <w:spacing w:after="80"/>
      </w:pPr>
      <w:r>
        <w:rPr>
          <w:b w:val="0"/>
          <w:i w:val="0"/>
        </w:rPr>
        <w:t>thành viên độc lập hội đồng quản trị, 70, 75–76, 78–79</w:t>
      </w:r>
    </w:p>
    <w:p>
      <w:pPr>
        <w:spacing w:after="80"/>
      </w:pPr>
      <w:r>
        <w:rPr>
          <w:b w:val="0"/>
          <w:i w:val="0"/>
        </w:rPr>
        <w:t>Lear, 118, 211, 225, 238</w:t>
      </w:r>
    </w:p>
    <w:p>
      <w:pPr>
        <w:spacing w:after="80"/>
      </w:pPr>
      <w:r>
        <w:rPr>
          <w:b w:val="0"/>
          <w:i w:val="0"/>
        </w:rPr>
        <w:t>Lee, James B. (“Jimmy”), 161</w:t>
      </w:r>
    </w:p>
    <w:p>
      <w:pPr>
        <w:spacing w:after="80"/>
      </w:pPr>
      <w:r>
        <w:rPr>
          <w:b w:val="0"/>
          <w:i w:val="0"/>
        </w:rPr>
        <w:t>Lemkau, Gregg, 116, 266</w:t>
      </w:r>
    </w:p>
    <w:p>
      <w:pPr>
        <w:spacing w:after="80"/>
      </w:pPr>
      <w:r>
        <w:rPr>
          <w:b w:val="0"/>
          <w:i w:val="0"/>
        </w:rPr>
        <w:t>thương vụ mua lại bằng đòn bẩy (leveraged buyouts – LBOs), 7, 12, 91–92, 100, 108–12</w:t>
      </w:r>
    </w:p>
    <w:p>
      <w:pPr>
        <w:spacing w:after="80"/>
      </w:pPr>
      <w:r>
        <w:rPr>
          <w:b w:val="0"/>
          <w:i w:val="0"/>
        </w:rPr>
        <w:t>Lewis, Bill, 20</w:t>
      </w:r>
    </w:p>
    <w:p>
      <w:pPr>
        <w:spacing w:after="80"/>
      </w:pPr>
      <w:r>
        <w:rPr>
          <w:b w:val="0"/>
          <w:i w:val="0"/>
        </w:rPr>
        <w:t>các bài tập quản lý nợ phải trả (liability management exercises – LMEs), 164</w:t>
      </w:r>
    </w:p>
    <w:p>
      <w:pPr>
        <w:spacing w:after="80"/>
      </w:pPr>
      <w:r>
        <w:rPr>
          <w:b w:val="0"/>
          <w:i w:val="0"/>
        </w:rPr>
        <w:t>Lipin, Steve, 131, 195, 266</w:t>
      </w:r>
    </w:p>
    <w:p>
      <w:pPr>
        <w:spacing w:after="80"/>
      </w:pPr>
      <w:r>
        <w:rPr>
          <w:b w:val="0"/>
          <w:i w:val="0"/>
        </w:rPr>
        <w:t>Lipschultz, Marc, 161–62, 266</w:t>
      </w:r>
    </w:p>
    <w:p>
      <w:pPr>
        <w:spacing w:after="80"/>
      </w:pPr>
      <w:r>
        <w:rPr>
          <w:b w:val="0"/>
          <w:i w:val="0"/>
        </w:rPr>
        <w:t>Lipton, Marty, 12, 14, 75, 98–100, 128–29, 196, 266</w:t>
      </w:r>
    </w:p>
    <w:p>
      <w:pPr>
        <w:spacing w:after="80"/>
      </w:pPr>
      <w:r>
        <w:rPr>
          <w:b w:val="0"/>
          <w:i w:val="0"/>
        </w:rPr>
        <w:t>Little, Royal, 109</w:t>
      </w:r>
    </w:p>
    <w:p>
      <w:pPr>
        <w:spacing w:after="80"/>
      </w:pPr>
      <w:r>
        <w:rPr>
          <w:b w:val="0"/>
          <w:i w:val="0"/>
        </w:rPr>
        <w:t xml:space="preserve">LMEs. </w:t>
      </w:r>
      <w:r>
        <w:rPr>
          <w:b w:val="0"/>
          <w:i/>
        </w:rPr>
        <w:t>Xem</w:t>
      </w:r>
      <w:r>
        <w:rPr>
          <w:b w:val="0"/>
          <w:i w:val="0"/>
        </w:rPr>
        <w:t xml:space="preserve"> các bài tập quản lý nợ phải trả</w:t>
      </w:r>
    </w:p>
    <w:p>
      <w:pPr>
        <w:spacing w:after="80"/>
      </w:pPr>
      <w:r>
        <w:rPr>
          <w:b w:val="0"/>
          <w:i w:val="0"/>
        </w:rPr>
        <w:t>Loeb, Dan, 123</w:t>
      </w:r>
    </w:p>
    <w:p>
      <w:pPr>
        <w:spacing w:after="80"/>
      </w:pPr>
      <w:r>
        <w:rPr>
          <w:b w:val="0"/>
          <w:i w:val="0"/>
        </w:rPr>
        <w:t>Sở giao dịch chứng khoán London, các yêu cầu công bố thông tin về lãnh đạo hội đồng quản trị, 80</w:t>
      </w:r>
    </w:p>
    <w:p>
      <w:pPr>
        <w:spacing w:after="80"/>
      </w:pPr>
      <w:r>
        <w:rPr>
          <w:b w:val="0"/>
          <w:i w:val="0"/>
        </w:rPr>
        <w:t>các khoản trợ cấp cổ phần dài hạn, 53</w:t>
      </w:r>
    </w:p>
    <w:p>
      <w:pPr>
        <w:spacing w:after="80"/>
      </w:pPr>
      <w:r>
        <w:rPr>
          <w:b w:val="0"/>
          <w:i w:val="0"/>
        </w:rPr>
        <w:t>Lorsch, Jay, 75</w:t>
      </w:r>
    </w:p>
    <w:p>
      <w:pPr>
        <w:spacing w:after="80"/>
      </w:pPr>
      <w:r>
        <w:rPr>
          <w:b w:val="0"/>
          <w:i w:val="0"/>
        </w:rPr>
        <w:t>Lumbra, Ron, 40, 201–2, 207–9, 212, 225–26, 266</w:t>
      </w:r>
    </w:p>
    <w:p>
      <w:pPr>
        <w:spacing w:after="80"/>
      </w:pPr>
      <w:r>
        <w:rPr>
          <w:b w:val="0"/>
          <w:i w:val="0"/>
        </w:rPr>
        <w:t>Lynch, Fred, 79, 201, 220–22, 226, 228, 266</w:t>
      </w:r>
    </w:p>
    <w:p>
      <w:pPr>
        <w:spacing w:after="80"/>
      </w:pPr>
      <w:r>
        <w:rPr>
          <w:b w:val="0"/>
          <w:i w:val="0"/>
        </w:rPr>
        <w:t>Ma, Jenny, 117</w:t>
      </w:r>
    </w:p>
    <w:p>
      <w:pPr>
        <w:spacing w:after="80"/>
      </w:pPr>
      <w:r>
        <w:rPr>
          <w:b w:val="0"/>
          <w:i w:val="0"/>
        </w:rPr>
        <w:t>Mace, Myles, 9</w:t>
      </w:r>
    </w:p>
    <w:p>
      <w:pPr>
        <w:spacing w:after="80"/>
      </w:pPr>
      <w:r>
        <w:rPr>
          <w:b w:val="0"/>
          <w:i w:val="0"/>
        </w:rPr>
        <w:t>Malone, Leah, 191</w:t>
      </w:r>
    </w:p>
    <w:p>
      <w:pPr>
        <w:spacing w:after="80"/>
      </w:pPr>
      <w:r>
        <w:rPr>
          <w:b w:val="0"/>
          <w:i w:val="0"/>
        </w:rPr>
        <w:t>quản lý, tương tác của giám đốc với, 43–44</w:t>
      </w:r>
    </w:p>
    <w:p>
      <w:pPr>
        <w:spacing w:after="80"/>
      </w:pPr>
      <w:r>
        <w:rPr>
          <w:b w:val="0"/>
          <w:i w:val="0"/>
        </w:rPr>
        <w:t xml:space="preserve">M&amp;A. </w:t>
      </w:r>
      <w:r>
        <w:rPr>
          <w:b w:val="0"/>
          <w:i/>
        </w:rPr>
        <w:t>Xem</w:t>
      </w:r>
      <w:r>
        <w:rPr>
          <w:b w:val="0"/>
          <w:i w:val="0"/>
        </w:rPr>
        <w:t xml:space="preserve"> sáp nhập và mua lại</w:t>
      </w:r>
    </w:p>
    <w:p>
      <w:pPr>
        <w:spacing w:after="80"/>
      </w:pPr>
      <w:r>
        <w:rPr>
          <w:b w:val="0"/>
          <w:i w:val="0"/>
        </w:rPr>
        <w:t>Mandato, Joseph, 78–79</w:t>
      </w:r>
    </w:p>
    <w:p>
      <w:pPr>
        <w:spacing w:after="80"/>
      </w:pPr>
      <w:r>
        <w:rPr>
          <w:b w:val="0"/>
          <w:i w:val="0"/>
        </w:rPr>
        <w:t>Manjoo, Farhad, 144</w:t>
      </w:r>
    </w:p>
    <w:p>
      <w:pPr>
        <w:spacing w:after="80"/>
      </w:pPr>
      <w:r>
        <w:rPr>
          <w:b w:val="0"/>
          <w:i w:val="0"/>
        </w:rPr>
        <w:t>Manoff, Mark, 50–51, 216, 266</w:t>
      </w:r>
    </w:p>
    <w:p>
      <w:pPr>
        <w:spacing w:after="80"/>
      </w:pPr>
      <w:r>
        <w:rPr>
          <w:b w:val="0"/>
          <w:i w:val="0"/>
        </w:rPr>
        <w:t>Manzo, Bob, 159–60, 165, 266</w:t>
      </w:r>
    </w:p>
    <w:p>
      <w:pPr>
        <w:spacing w:after="80"/>
      </w:pPr>
      <w:r>
        <w:rPr>
          <w:b w:val="0"/>
          <w:i/>
        </w:rPr>
        <w:t>Marchand v. Barnhill</w:t>
      </w:r>
      <w:r>
        <w:rPr>
          <w:b w:val="0"/>
          <w:i w:val="0"/>
        </w:rPr>
        <w:t xml:space="preserve"> (Blue Bell), 35–37, 41</w:t>
      </w:r>
    </w:p>
    <w:p>
      <w:pPr>
        <w:spacing w:after="80"/>
      </w:pPr>
      <w:r>
        <w:rPr>
          <w:b w:val="0"/>
          <w:i w:val="0"/>
        </w:rPr>
        <w:t>Marmon Group, 94–95</w:t>
      </w:r>
    </w:p>
    <w:p>
      <w:pPr>
        <w:spacing w:after="80"/>
      </w:pPr>
      <w:r>
        <w:rPr>
          <w:b w:val="0"/>
          <w:i w:val="0"/>
        </w:rPr>
        <w:t>Masonite, 3–4, 105, 217, 220–22, 228</w:t>
      </w:r>
    </w:p>
    <w:p>
      <w:pPr>
        <w:spacing w:after="80"/>
      </w:pPr>
      <w:r>
        <w:rPr>
          <w:b w:val="0"/>
          <w:i w:val="0"/>
        </w:rPr>
        <w:t>Matt, Gary, 93, 266</w:t>
      </w:r>
    </w:p>
    <w:p>
      <w:pPr>
        <w:spacing w:after="80"/>
      </w:pPr>
      <w:r>
        <w:rPr>
          <w:b w:val="0"/>
          <w:i w:val="0"/>
        </w:rPr>
        <w:t>Mattson, George, 165, 266</w:t>
      </w:r>
    </w:p>
    <w:p>
      <w:pPr>
        <w:spacing w:after="80"/>
      </w:pPr>
      <w:r>
        <w:rPr>
          <w:b w:val="0"/>
          <w:i w:val="0"/>
        </w:rPr>
        <w:t>McCann, Jim, 8, 75, 83, 247, 266</w:t>
      </w:r>
    </w:p>
    <w:p>
      <w:pPr>
        <w:spacing w:after="80"/>
      </w:pPr>
      <w:r>
        <w:rPr>
          <w:b w:val="0"/>
          <w:i w:val="0"/>
        </w:rPr>
        <w:t>McCausland, Peter, 27, 101–5, 266</w:t>
      </w:r>
    </w:p>
    <w:p>
      <w:pPr>
        <w:spacing w:after="80"/>
      </w:pPr>
      <w:r>
        <w:rPr>
          <w:b w:val="0"/>
          <w:i w:val="0"/>
        </w:rPr>
        <w:t>McCormick, Kathaleen, 60–61</w:t>
      </w:r>
    </w:p>
    <w:p>
      <w:pPr>
        <w:spacing w:after="80"/>
      </w:pPr>
      <w:r>
        <w:rPr>
          <w:b w:val="0"/>
          <w:i w:val="0"/>
        </w:rPr>
        <w:t>McKesson &amp; Robbins, 45, 47</w:t>
      </w:r>
    </w:p>
    <w:p>
      <w:pPr>
        <w:spacing w:after="80"/>
      </w:pPr>
      <w:r>
        <w:rPr>
          <w:b w:val="0"/>
          <w:i w:val="0"/>
        </w:rPr>
        <w:t>Means, Gardiner, 9</w:t>
      </w:r>
    </w:p>
    <w:p>
      <w:pPr>
        <w:spacing w:after="80"/>
      </w:pPr>
      <w:r>
        <w:rPr>
          <w:b w:val="0"/>
          <w:i w:val="0"/>
        </w:rPr>
        <w:t>mua bán và sáp nhập (M&amp;A), 7, 12, 20, 37–38, 89–93, 101, 112–16, 160</w:t>
      </w:r>
    </w:p>
    <w:p>
      <w:pPr>
        <w:spacing w:after="80"/>
      </w:pPr>
      <w:r>
        <w:rPr>
          <w:b w:val="0"/>
          <w:i w:val="0"/>
        </w:rPr>
        <w:t>Meta, 77–78</w:t>
      </w:r>
    </w:p>
    <w:p>
      <w:pPr>
        <w:spacing w:after="80"/>
      </w:pPr>
      <w:r>
        <w:rPr>
          <w:b w:val="0"/>
          <w:i w:val="0"/>
        </w:rPr>
        <w:t>Metzenbaum, Howard, 11</w:t>
      </w:r>
    </w:p>
    <w:p>
      <w:pPr>
        <w:spacing w:after="80"/>
      </w:pPr>
      <w:r>
        <w:rPr>
          <w:b w:val="0"/>
          <w:i w:val="0"/>
        </w:rPr>
        <w:t>Microsoft, 122, 127, 165</w:t>
      </w:r>
    </w:p>
    <w:p>
      <w:pPr>
        <w:spacing w:after="80"/>
      </w:pPr>
      <w:r>
        <w:rPr>
          <w:b w:val="0"/>
          <w:i w:val="0"/>
        </w:rPr>
        <w:t>Miebach, Michael, 219–20</w:t>
      </w:r>
    </w:p>
    <w:p>
      <w:pPr>
        <w:spacing w:after="80"/>
      </w:pPr>
      <w:r>
        <w:rPr>
          <w:b w:val="0"/>
          <w:i w:val="0"/>
        </w:rPr>
        <w:t>Milken, Michael, 12, 161</w:t>
      </w:r>
    </w:p>
    <w:p>
      <w:pPr>
        <w:spacing w:after="80"/>
      </w:pPr>
      <w:r>
        <w:rPr>
          <w:b w:val="0"/>
          <w:i w:val="0"/>
        </w:rPr>
        <w:t>Miller, Harvey, 159</w:t>
      </w:r>
    </w:p>
    <w:p>
      <w:pPr>
        <w:spacing w:after="80"/>
      </w:pPr>
      <w:r>
        <w:rPr>
          <w:b w:val="0"/>
          <w:i w:val="0"/>
        </w:rPr>
        <w:t>Millstein, Ira, 76</w:t>
      </w:r>
    </w:p>
    <w:p>
      <w:pPr>
        <w:spacing w:after="80"/>
      </w:pPr>
      <w:r>
        <w:rPr>
          <w:b w:val="0"/>
          <w:i w:val="0"/>
        </w:rPr>
        <w:t>Millstein Center, 76</w:t>
      </w:r>
    </w:p>
    <w:p>
      <w:pPr>
        <w:spacing w:after="80"/>
      </w:pPr>
      <w:r>
        <w:rPr>
          <w:b w:val="0"/>
          <w:i w:val="0"/>
        </w:rPr>
        <w:t>Milton, Trevor, 239–41</w:t>
      </w:r>
    </w:p>
    <w:p>
      <w:pPr>
        <w:spacing w:after="80"/>
      </w:pPr>
      <w:r>
        <w:rPr>
          <w:b w:val="0"/>
          <w:i w:val="0"/>
        </w:rPr>
        <w:t>Minow, Nell, 37</w:t>
      </w:r>
    </w:p>
    <w:p>
      <w:pPr>
        <w:spacing w:after="80"/>
      </w:pPr>
      <w:r>
        <w:rPr>
          <w:b w:val="0"/>
          <w:i w:val="0"/>
        </w:rPr>
        <w:t>Miter Brands, 105</w:t>
      </w:r>
    </w:p>
    <w:p>
      <w:pPr>
        <w:spacing w:after="80"/>
      </w:pPr>
      <w:r>
        <w:rPr>
          <w:b w:val="0"/>
          <w:i/>
        </w:rPr>
        <w:t>Modern Corporation and Private Property, The</w:t>
      </w:r>
      <w:r>
        <w:rPr>
          <w:b w:val="0"/>
          <w:i w:val="0"/>
        </w:rPr>
        <w:t xml:space="preserve"> (Berle và Means), 9</w:t>
      </w:r>
    </w:p>
    <w:p>
      <w:pPr>
        <w:spacing w:after="80"/>
      </w:pPr>
      <w:r>
        <w:rPr>
          <w:b w:val="0"/>
          <w:i w:val="0"/>
        </w:rPr>
        <w:t>Moelis, Ken, 33</w:t>
      </w:r>
    </w:p>
    <w:p>
      <w:pPr>
        <w:spacing w:after="80"/>
      </w:pPr>
      <w:r>
        <w:rPr>
          <w:b w:val="0"/>
          <w:i/>
        </w:rPr>
        <w:t>Moran v. Household International</w:t>
      </w:r>
      <w:r>
        <w:rPr>
          <w:b w:val="0"/>
          <w:i w:val="0"/>
        </w:rPr>
        <w:t>, 101</w:t>
      </w:r>
    </w:p>
    <w:p>
      <w:pPr>
        <w:spacing w:after="80"/>
      </w:pPr>
      <w:r>
        <w:rPr>
          <w:b w:val="0"/>
          <w:i w:val="0"/>
        </w:rPr>
        <w:t>Morgan Stanley, 73, 85</w:t>
      </w:r>
    </w:p>
    <w:p>
      <w:pPr>
        <w:spacing w:after="80"/>
      </w:pPr>
      <w:r>
        <w:rPr>
          <w:b w:val="0"/>
          <w:i w:val="0"/>
        </w:rPr>
        <w:t>MSCI, 180</w:t>
      </w:r>
    </w:p>
    <w:p>
      <w:pPr>
        <w:spacing w:after="80"/>
      </w:pPr>
      <w:r>
        <w:rPr>
          <w:b w:val="0"/>
          <w:i w:val="0"/>
        </w:rPr>
        <w:t>Muilenburg, Dennis, 79</w:t>
      </w:r>
    </w:p>
    <w:p>
      <w:pPr>
        <w:spacing w:after="80"/>
      </w:pPr>
      <w:r>
        <w:rPr>
          <w:b w:val="0"/>
          <w:i w:val="0"/>
        </w:rPr>
        <w:t>Mullen, Đô đốc Mike, 14, 63, 212, 218, 220, 227, 266</w:t>
      </w:r>
    </w:p>
    <w:p>
      <w:pPr>
        <w:spacing w:after="80"/>
      </w:pPr>
      <w:r>
        <w:rPr>
          <w:b w:val="0"/>
          <w:i w:val="0"/>
        </w:rPr>
        <w:t>về các ủy ban kiểm toán, 48</w:t>
      </w:r>
    </w:p>
    <w:p>
      <w:pPr>
        <w:spacing w:after="80"/>
      </w:pPr>
      <w:r>
        <w:rPr>
          <w:b w:val="0"/>
          <w:i w:val="0"/>
        </w:rPr>
        <w:t>về sự đa dạng, 206</w:t>
      </w:r>
    </w:p>
    <w:p>
      <w:pPr>
        <w:spacing w:after="80"/>
      </w:pPr>
      <w:r>
        <w:rPr>
          <w:b w:val="0"/>
          <w:i w:val="0"/>
        </w:rPr>
        <w:t>về các cuộc họp, 41–42</w:t>
      </w:r>
    </w:p>
    <w:p>
      <w:pPr>
        <w:spacing w:after="80"/>
      </w:pPr>
      <w:r>
        <w:rPr>
          <w:b w:val="0"/>
          <w:i w:val="0"/>
        </w:rPr>
        <w:t>Musk, Elon, 32, 34, 60–61, 148</w:t>
      </w:r>
    </w:p>
    <w:p>
      <w:pPr>
        <w:spacing w:after="80"/>
      </w:pPr>
      <w:r>
        <w:rPr>
          <w:b w:val="0"/>
          <w:i w:val="0"/>
        </w:rPr>
        <w:t xml:space="preserve">NACD. </w:t>
      </w:r>
      <w:r>
        <w:rPr>
          <w:b w:val="0"/>
          <w:i/>
        </w:rPr>
        <w:t>Xem</w:t>
      </w:r>
      <w:r>
        <w:rPr>
          <w:b w:val="0"/>
          <w:i w:val="0"/>
        </w:rPr>
        <w:t xml:space="preserve"> National Association of Corporate Directors</w:t>
      </w:r>
    </w:p>
    <w:p>
      <w:pPr>
        <w:spacing w:after="80"/>
      </w:pPr>
      <w:r>
        <w:rPr>
          <w:b w:val="0"/>
          <w:i w:val="0"/>
        </w:rPr>
        <w:t>Nadella, Satya, 122</w:t>
      </w:r>
    </w:p>
    <w:p>
      <w:pPr>
        <w:spacing w:after="80"/>
      </w:pPr>
      <w:r>
        <w:rPr>
          <w:b w:val="0"/>
          <w:i w:val="0"/>
        </w:rPr>
        <w:t>Naftalis, Gary, 60</w:t>
      </w:r>
    </w:p>
    <w:p>
      <w:pPr>
        <w:spacing w:after="80"/>
      </w:pPr>
      <w:r>
        <w:rPr>
          <w:b w:val="0"/>
          <w:i w:val="0"/>
        </w:rPr>
        <w:t>Narasimhan, Laxman, 74</w:t>
      </w:r>
    </w:p>
    <w:p>
      <w:pPr>
        <w:spacing w:after="80"/>
      </w:pPr>
      <w:r>
        <w:rPr>
          <w:b w:val="0"/>
          <w:i w:val="0"/>
        </w:rPr>
        <w:t>NASDAQ, 46, 52, 58, 76, 203–4, 207, 243</w:t>
      </w:r>
    </w:p>
    <w:p>
      <w:pPr>
        <w:spacing w:after="80"/>
      </w:pPr>
      <w:r>
        <w:rPr>
          <w:b w:val="0"/>
          <w:i w:val="0"/>
        </w:rPr>
        <w:t>National Association of Corporate Directors (NACD), 13–14, 56, 72, 75, 212–13, 232, 252, 258</w:t>
      </w:r>
    </w:p>
    <w:p>
      <w:pPr>
        <w:spacing w:after="80"/>
      </w:pPr>
      <w:r>
        <w:rPr>
          <w:b w:val="0"/>
          <w:i w:val="0"/>
        </w:rPr>
        <w:t>Neff, Daniel, 104, 132–33, 266</w:t>
      </w:r>
    </w:p>
    <w:p>
      <w:pPr>
        <w:spacing w:after="80"/>
      </w:pPr>
      <w:r>
        <w:rPr>
          <w:b w:val="0"/>
          <w:i w:val="0"/>
        </w:rPr>
        <w:t>Nelson, Gaylord, 183</w:t>
      </w:r>
    </w:p>
    <w:p>
      <w:pPr>
        <w:spacing w:after="80"/>
      </w:pPr>
      <w:r>
        <w:rPr>
          <w:b w:val="0"/>
          <w:i w:val="0"/>
        </w:rPr>
        <w:t>Netflix, 62, 123</w:t>
      </w:r>
    </w:p>
    <w:p>
      <w:pPr>
        <w:spacing w:after="80"/>
      </w:pPr>
      <w:r>
        <w:rPr>
          <w:b w:val="0"/>
          <w:i w:val="0"/>
        </w:rPr>
        <w:t>NetSuite, 39</w:t>
      </w:r>
    </w:p>
    <w:p>
      <w:pPr>
        <w:spacing w:after="80"/>
      </w:pPr>
      <w:r>
        <w:rPr>
          <w:b w:val="0"/>
          <w:i w:val="0"/>
        </w:rPr>
        <w:t>Nevada, 33–35</w:t>
      </w:r>
    </w:p>
    <w:p>
      <w:pPr>
        <w:spacing w:after="80"/>
      </w:pPr>
      <w:r>
        <w:rPr>
          <w:b w:val="0"/>
          <w:i w:val="0"/>
        </w:rPr>
        <w:t>Newman, Art, 159–60</w:t>
      </w:r>
    </w:p>
    <w:p>
      <w:pPr>
        <w:spacing w:after="80"/>
      </w:pPr>
      <w:r>
        <w:rPr>
          <w:b w:val="0"/>
          <w:i w:val="0"/>
        </w:rPr>
        <w:t>Niccol, Brian, 74</w:t>
      </w:r>
    </w:p>
    <w:p>
      <w:pPr>
        <w:spacing w:after="80"/>
      </w:pPr>
      <w:r>
        <w:rPr>
          <w:b w:val="0"/>
          <w:i w:val="0"/>
        </w:rPr>
        <w:t>Nikola, 238–41</w:t>
      </w:r>
    </w:p>
    <w:p>
      <w:pPr>
        <w:spacing w:after="80"/>
      </w:pPr>
      <w:r>
        <w:rPr>
          <w:b w:val="0"/>
          <w:i w:val="0"/>
        </w:rPr>
        <w:t>ủy ban đề cử và quản trị, 46, 65–68, 188–89</w:t>
      </w:r>
    </w:p>
    <w:p>
      <w:pPr>
        <w:spacing w:after="80"/>
      </w:pPr>
      <w:r>
        <w:rPr>
          <w:b w:val="0"/>
          <w:i w:val="0"/>
        </w:rPr>
        <w:t>các chỉ số phi tài chính, 57–58</w:t>
      </w:r>
    </w:p>
    <w:p>
      <w:pPr>
        <w:spacing w:after="80"/>
      </w:pPr>
      <w:r>
        <w:rPr>
          <w:b w:val="0"/>
          <w:i/>
        </w:rPr>
        <w:t>North American Catholic Educational Programming Foundation, Inc. v. Gheewalla</w:t>
      </w:r>
      <w:r>
        <w:rPr>
          <w:b w:val="0"/>
          <w:i w:val="0"/>
        </w:rPr>
        <w:t>, 170</w:t>
      </w:r>
    </w:p>
    <w:p>
      <w:pPr>
        <w:spacing w:after="80"/>
      </w:pPr>
      <w:r>
        <w:rPr>
          <w:b w:val="0"/>
          <w:i w:val="0"/>
        </w:rPr>
        <w:t>NYSE, 4, 11, 59, 90, 207, 243, 248</w:t>
      </w:r>
    </w:p>
    <w:p>
      <w:pPr>
        <w:spacing w:after="80"/>
      </w:pPr>
      <w:r>
        <w:rPr>
          <w:b w:val="0"/>
          <w:i w:val="0"/>
        </w:rPr>
        <w:t>các ủy ban kiểm toán và, 47–48</w:t>
      </w:r>
    </w:p>
    <w:p>
      <w:pPr>
        <w:spacing w:after="80"/>
      </w:pPr>
      <w:r>
        <w:rPr>
          <w:b w:val="0"/>
          <w:i w:val="0"/>
        </w:rPr>
        <w:t>yêu cầu đối với ủy ban, 45–46</w:t>
      </w:r>
    </w:p>
    <w:p>
      <w:pPr>
        <w:spacing w:after="80"/>
      </w:pPr>
      <w:r>
        <w:rPr>
          <w:b w:val="0"/>
          <w:i w:val="0"/>
        </w:rPr>
        <w:t>các ủy ban thù lao và, 52</w:t>
      </w:r>
    </w:p>
    <w:p>
      <w:pPr>
        <w:spacing w:after="80"/>
      </w:pPr>
      <w:r>
        <w:rPr>
          <w:b w:val="0"/>
          <w:i w:val="0"/>
        </w:rPr>
        <w:t>các cố vấn thù lao và, 58</w:t>
      </w:r>
    </w:p>
    <w:p>
      <w:pPr>
        <w:spacing w:after="80"/>
      </w:pPr>
      <w:r>
        <w:rPr>
          <w:b w:val="0"/>
          <w:i w:val="0"/>
        </w:rPr>
        <w:t>quy định về thành viên hội đồng quản trị độc lập, 203–4</w:t>
      </w:r>
    </w:p>
    <w:p>
      <w:pPr>
        <w:spacing w:after="80"/>
      </w:pPr>
      <w:r>
        <w:rPr>
          <w:b w:val="0"/>
          <w:i w:val="0"/>
        </w:rPr>
        <w:t>thành viên hội đồng quản trị độc lập chủ trì và, 76</w:t>
      </w:r>
    </w:p>
    <w:p>
      <w:pPr>
        <w:spacing w:after="80"/>
      </w:pPr>
      <w:r>
        <w:rPr>
          <w:b w:val="0"/>
          <w:i w:val="0"/>
        </w:rPr>
        <w:t>Oberhelman, Doug, 24, 76, 81–82, 123, 183, 192, 196, 201–2, 213</w:t>
      </w:r>
    </w:p>
    <w:p>
      <w:pPr>
        <w:spacing w:after="80"/>
      </w:pPr>
      <w:r>
        <w:rPr>
          <w:b w:val="0"/>
          <w:i w:val="0"/>
        </w:rPr>
        <w:t>Olive Garden, 127–28</w:t>
      </w:r>
    </w:p>
    <w:p>
      <w:pPr>
        <w:spacing w:after="80"/>
      </w:pPr>
      <w:r>
        <w:rPr>
          <w:b w:val="0"/>
          <w:i w:val="0"/>
        </w:rPr>
        <w:t>hội nhập nhân sự mới, 211–13</w:t>
      </w:r>
    </w:p>
    <w:p>
      <w:pPr>
        <w:spacing w:after="80"/>
      </w:pPr>
      <w:r>
        <w:rPr>
          <w:b w:val="0"/>
          <w:i w:val="0"/>
        </w:rPr>
        <w:t>O’Neill, Paul, 195</w:t>
      </w:r>
    </w:p>
    <w:p>
      <w:pPr>
        <w:spacing w:after="80"/>
      </w:pPr>
      <w:r>
        <w:rPr>
          <w:b w:val="0"/>
          <w:i w:val="0"/>
        </w:rPr>
        <w:t>Oracle, 38–39, 90</w:t>
      </w:r>
    </w:p>
    <w:p>
      <w:pPr>
        <w:spacing w:after="80"/>
      </w:pPr>
      <w:r>
        <w:rPr>
          <w:b w:val="0"/>
          <w:i w:val="0"/>
        </w:rPr>
        <w:t>định hướng, 211–13</w:t>
      </w:r>
    </w:p>
    <w:p>
      <w:pPr>
        <w:spacing w:after="80"/>
      </w:pPr>
      <w:r>
        <w:rPr>
          <w:b w:val="0"/>
          <w:i w:val="0"/>
        </w:rPr>
        <w:t>Orszag, Peter, 71</w:t>
      </w:r>
    </w:p>
    <w:p>
      <w:pPr>
        <w:spacing w:after="80"/>
      </w:pPr>
      <w:r>
        <w:rPr>
          <w:b w:val="0"/>
          <w:i w:val="0"/>
        </w:rPr>
        <w:t>Ortberg, Kelly, 37</w:t>
      </w:r>
    </w:p>
    <w:p>
      <w:pPr>
        <w:spacing w:after="80"/>
      </w:pPr>
      <w:r>
        <w:rPr>
          <w:b w:val="0"/>
          <w:i/>
        </w:rPr>
        <w:t>Other People’s Money and How the Bankers Use It</w:t>
      </w:r>
      <w:r>
        <w:rPr>
          <w:b w:val="0"/>
          <w:i w:val="0"/>
        </w:rPr>
        <w:t xml:space="preserve"> (Brandeis), 9</w:t>
      </w:r>
    </w:p>
    <w:p>
      <w:pPr>
        <w:spacing w:after="80"/>
      </w:pPr>
      <w:r>
        <w:rPr>
          <w:b w:val="0"/>
          <w:i w:val="0"/>
        </w:rPr>
        <w:t>tái cấu trúc ngoài tòa án, 163–66, 168</w:t>
      </w:r>
    </w:p>
    <w:p>
      <w:pPr>
        <w:spacing w:after="80"/>
      </w:pPr>
      <w:r>
        <w:rPr>
          <w:b w:val="0"/>
          <w:i w:val="0"/>
        </w:rPr>
        <w:t>Ovitz, Michael, 59–60</w:t>
      </w:r>
    </w:p>
    <w:p>
      <w:pPr>
        <w:spacing w:after="80"/>
      </w:pPr>
      <w:r>
        <w:rPr>
          <w:b w:val="0"/>
          <w:i w:val="0"/>
        </w:rPr>
        <w:t>Palia, Darius, 61</w:t>
      </w:r>
    </w:p>
    <w:p>
      <w:pPr>
        <w:spacing w:after="80"/>
      </w:pPr>
      <w:r>
        <w:rPr>
          <w:b w:val="0"/>
          <w:i w:val="0"/>
        </w:rPr>
        <w:t>Pantry Pride, 98</w:t>
      </w:r>
    </w:p>
    <w:p>
      <w:pPr>
        <w:spacing w:after="80"/>
      </w:pPr>
      <w:r>
        <w:rPr>
          <w:b w:val="0"/>
          <w:i w:val="0"/>
        </w:rPr>
        <w:t>Parker, Adam, 35</w:t>
      </w:r>
    </w:p>
    <w:p>
      <w:pPr>
        <w:spacing w:after="80"/>
      </w:pPr>
      <w:r>
        <w:rPr>
          <w:b w:val="0"/>
          <w:i w:val="0"/>
        </w:rPr>
        <w:t>Parson, Richard, 71</w:t>
      </w:r>
    </w:p>
    <w:p>
      <w:pPr>
        <w:spacing w:after="80"/>
      </w:pPr>
      <w:r>
        <w:rPr>
          <w:b w:val="0"/>
          <w:i w:val="0"/>
        </w:rPr>
        <w:t>Parsons, Donald F., 19, 22</w:t>
      </w:r>
    </w:p>
    <w:p>
      <w:pPr>
        <w:spacing w:after="80"/>
      </w:pPr>
      <w:r>
        <w:rPr>
          <w:b w:val="0"/>
          <w:i w:val="0"/>
        </w:rPr>
        <w:t>Paterson, Muir, 131, 138, 149, 153, 193–94, 266</w:t>
      </w:r>
    </w:p>
    <w:p>
      <w:pPr>
        <w:spacing w:after="80"/>
      </w:pPr>
      <w:r>
        <w:rPr>
          <w:b w:val="0"/>
          <w:i w:val="0"/>
        </w:rPr>
        <w:t xml:space="preserve">PCAOB. </w:t>
      </w:r>
      <w:r>
        <w:rPr>
          <w:b w:val="0"/>
          <w:i/>
        </w:rPr>
        <w:t>Xem</w:t>
      </w:r>
      <w:r>
        <w:rPr>
          <w:b w:val="0"/>
          <w:i w:val="0"/>
        </w:rPr>
        <w:t xml:space="preserve"> Public Company Accounting Oversight Board</w:t>
      </w:r>
    </w:p>
    <w:p>
      <w:pPr>
        <w:spacing w:after="80"/>
      </w:pPr>
      <w:r>
        <w:rPr>
          <w:b w:val="0"/>
          <w:i w:val="0"/>
        </w:rPr>
        <w:t>Peltz, Nelson, 124, 127</w:t>
      </w:r>
    </w:p>
    <w:p>
      <w:pPr>
        <w:spacing w:after="80"/>
      </w:pPr>
      <w:r>
        <w:rPr>
          <w:b w:val="0"/>
          <w:i w:val="0"/>
        </w:rPr>
        <w:t>Penn Central, 10</w:t>
      </w:r>
    </w:p>
    <w:p>
      <w:pPr>
        <w:spacing w:after="80"/>
      </w:pPr>
      <w:r>
        <w:rPr>
          <w:b w:val="0"/>
          <w:i w:val="0"/>
        </w:rPr>
        <w:t>quỹ hưu trí, 139</w:t>
      </w:r>
    </w:p>
    <w:p>
      <w:pPr>
        <w:spacing w:after="80"/>
      </w:pPr>
      <w:r>
        <w:rPr>
          <w:b w:val="0"/>
          <w:i w:val="0"/>
        </w:rPr>
        <w:t>Peregrine, Michael W., 49</w:t>
      </w:r>
    </w:p>
    <w:p>
      <w:pPr>
        <w:spacing w:after="80"/>
      </w:pPr>
      <w:r>
        <w:rPr>
          <w:b w:val="0"/>
          <w:i w:val="0"/>
        </w:rPr>
        <w:t>Perelman, Mark A., 157</w:t>
      </w:r>
    </w:p>
    <w:p>
      <w:pPr>
        <w:spacing w:after="80"/>
      </w:pPr>
      <w:r>
        <w:rPr>
          <w:b w:val="0"/>
          <w:i w:val="0"/>
        </w:rPr>
        <w:t>Perelman, Ronald, 98, 100–101</w:t>
      </w:r>
    </w:p>
    <w:p>
      <w:pPr>
        <w:spacing w:after="80"/>
      </w:pPr>
      <w:r>
        <w:rPr>
          <w:b w:val="0"/>
          <w:i w:val="0"/>
        </w:rPr>
        <w:t>thù lao dựa trên hiệu suất, 53</w:t>
      </w:r>
    </w:p>
    <w:p>
      <w:pPr>
        <w:spacing w:after="80"/>
      </w:pPr>
      <w:r>
        <w:rPr>
          <w:b w:val="0"/>
          <w:i w:val="0"/>
        </w:rPr>
        <w:t>đơn vị cổ phiếu theo hiệu suất (performance stock units - PSUs), 55–56</w:t>
      </w:r>
    </w:p>
    <w:p>
      <w:pPr>
        <w:spacing w:after="80"/>
      </w:pPr>
      <w:r>
        <w:rPr>
          <w:b w:val="0"/>
          <w:i w:val="0"/>
        </w:rPr>
        <w:t>Perot, Ross, 140</w:t>
      </w:r>
    </w:p>
    <w:p>
      <w:pPr>
        <w:spacing w:after="80"/>
      </w:pPr>
      <w:r>
        <w:rPr>
          <w:b w:val="0"/>
          <w:i w:val="0"/>
        </w:rPr>
        <w:t>Peterson, Pete, 110</w:t>
      </w:r>
    </w:p>
    <w:p>
      <w:pPr>
        <w:spacing w:after="80"/>
      </w:pPr>
      <w:r>
        <w:rPr>
          <w:b w:val="0"/>
          <w:i w:val="0"/>
        </w:rPr>
        <w:t>PGT Innovations, 105</w:t>
      </w:r>
    </w:p>
    <w:p>
      <w:pPr>
        <w:spacing w:after="80"/>
      </w:pPr>
      <w:r>
        <w:rPr>
          <w:b w:val="0"/>
          <w:i w:val="0"/>
        </w:rPr>
        <w:t>Pick, Ted, 73</w:t>
      </w:r>
    </w:p>
    <w:p>
      <w:pPr>
        <w:spacing w:after="80"/>
      </w:pPr>
      <w:r>
        <w:rPr>
          <w:b w:val="0"/>
          <w:i w:val="0"/>
        </w:rPr>
        <w:t>các kế hoạch tái tổ chức, 166, 168</w:t>
      </w:r>
    </w:p>
    <w:p>
      <w:pPr>
        <w:spacing w:after="80"/>
      </w:pPr>
      <w:r>
        <w:rPr>
          <w:b w:val="0"/>
          <w:i w:val="0"/>
        </w:rPr>
        <w:t>điều khoản thuốc độc (poison pills), 68, 99–100, 102</w:t>
      </w:r>
    </w:p>
    <w:p>
      <w:pPr>
        <w:spacing w:after="80"/>
      </w:pPr>
      <w:r>
        <w:rPr>
          <w:b w:val="0"/>
          <w:i w:val="0"/>
        </w:rPr>
        <w:t>Polle, Gregg, 112, 212, 267</w:t>
      </w:r>
    </w:p>
    <w:p>
      <w:pPr>
        <w:spacing w:after="80"/>
      </w:pPr>
      <w:r>
        <w:rPr>
          <w:b w:val="0"/>
          <w:i w:val="0"/>
        </w:rPr>
        <w:t>Popovich, Gregg, 83</w:t>
      </w:r>
    </w:p>
    <w:p>
      <w:pPr>
        <w:spacing w:after="80"/>
      </w:pPr>
      <w:r>
        <w:rPr>
          <w:b w:val="0"/>
          <w:i w:val="0"/>
        </w:rPr>
        <w:t>quản trị sau tái tổ chức, 178</w:t>
      </w:r>
    </w:p>
    <w:p>
      <w:pPr>
        <w:spacing w:after="80"/>
      </w:pPr>
      <w:r>
        <w:rPr>
          <w:b w:val="0"/>
          <w:i w:val="0"/>
        </w:rPr>
        <w:t>Potemkina, Ekaterina, 65</w:t>
      </w:r>
    </w:p>
    <w:p>
      <w:pPr>
        <w:spacing w:after="80"/>
      </w:pPr>
      <w:r>
        <w:rPr>
          <w:b w:val="0"/>
          <w:i w:val="0"/>
        </w:rPr>
        <w:t>Powell, Kim, 218</w:t>
      </w:r>
    </w:p>
    <w:p>
      <w:pPr>
        <w:spacing w:after="80"/>
      </w:pPr>
      <w:r>
        <w:rPr>
          <w:b w:val="0"/>
          <w:i w:val="0"/>
        </w:rPr>
        <w:t>hồ sơ phá sản đã đàm phán trước, 168</w:t>
      </w:r>
    </w:p>
    <w:p>
      <w:pPr>
        <w:spacing w:after="80"/>
      </w:pPr>
      <w:r>
        <w:rPr>
          <w:b w:val="0"/>
          <w:i w:val="0"/>
        </w:rPr>
        <w:t>Pritzker, Jay, 95</w:t>
      </w:r>
    </w:p>
    <w:p>
      <w:pPr>
        <w:spacing w:after="80"/>
      </w:pPr>
      <w:r>
        <w:rPr>
          <w:b w:val="0"/>
          <w:i w:val="0"/>
        </w:rPr>
        <w:t>tín dụng tư nhân, 161–62</w:t>
      </w:r>
    </w:p>
    <w:p>
      <w:pPr>
        <w:spacing w:after="80"/>
      </w:pPr>
      <w:r>
        <w:rPr>
          <w:b w:val="0"/>
          <w:i w:val="0"/>
        </w:rPr>
        <w:t>quỹ nợ tư nhân, 161</w:t>
      </w:r>
    </w:p>
    <w:p>
      <w:pPr>
        <w:spacing w:after="80"/>
      </w:pPr>
      <w:r>
        <w:rPr>
          <w:b w:val="0"/>
          <w:i w:val="0"/>
        </w:rPr>
        <w:t>các công ty cổ phần tư nhân (private equity firms), 12–13, 20, 57, 175</w:t>
      </w:r>
    </w:p>
    <w:p>
      <w:pPr>
        <w:spacing w:after="80"/>
      </w:pPr>
      <w:r>
        <w:rPr>
          <w:b w:val="0"/>
          <w:i w:val="0"/>
        </w:rPr>
        <w:t>“vấn đề số 12,” 137–38</w:t>
      </w:r>
    </w:p>
    <w:p>
      <w:pPr>
        <w:spacing w:after="80"/>
      </w:pPr>
      <w:r>
        <w:rPr>
          <w:b w:val="0"/>
          <w:i w:val="0"/>
        </w:rPr>
        <w:t>Đạo luật Bảo vệ Quyền Cổ đông (1980), 11</w:t>
      </w:r>
    </w:p>
    <w:p>
      <w:pPr>
        <w:spacing w:after="80"/>
      </w:pPr>
      <w:r>
        <w:rPr>
          <w:b w:val="0"/>
          <w:i w:val="0"/>
        </w:rPr>
        <w:t>cố vấn ủy quyền (proxy advisors), 146–51</w:t>
      </w:r>
    </w:p>
    <w:p>
      <w:pPr>
        <w:spacing w:after="80"/>
      </w:pPr>
      <w:r>
        <w:rPr>
          <w:b w:val="0"/>
          <w:i w:val="0"/>
        </w:rPr>
        <w:t>các cuộc chiến ủy quyền (proxy fights), 117, 147</w:t>
      </w:r>
    </w:p>
    <w:p>
      <w:pPr>
        <w:spacing w:after="80"/>
      </w:pPr>
      <w:r>
        <w:rPr>
          <w:b w:val="0"/>
          <w:i w:val="0"/>
        </w:rPr>
        <w:t xml:space="preserve">PSUs. </w:t>
      </w:r>
      <w:r>
        <w:rPr>
          <w:b w:val="0"/>
          <w:i/>
        </w:rPr>
        <w:t>Xem</w:t>
      </w:r>
      <w:r>
        <w:rPr>
          <w:b w:val="0"/>
          <w:i w:val="0"/>
        </w:rPr>
        <w:t xml:space="preserve"> đơn vị cổ phiếu theo hiệu suất</w:t>
      </w:r>
    </w:p>
    <w:p>
      <w:pPr>
        <w:spacing w:after="80"/>
      </w:pPr>
      <w:r>
        <w:rPr>
          <w:b w:val="0"/>
          <w:i w:val="0"/>
        </w:rPr>
        <w:t>Public Company Accounting Oversight Board (PCAOB), 47, 49</w:t>
      </w:r>
    </w:p>
    <w:p>
      <w:pPr>
        <w:spacing w:after="80"/>
      </w:pPr>
      <w:r>
        <w:rPr>
          <w:b w:val="0"/>
          <w:i w:val="0"/>
        </w:rPr>
        <w:t>quỹ hưu trí công, 120, 139–40</w:t>
      </w:r>
    </w:p>
    <w:p>
      <w:pPr>
        <w:spacing w:after="80"/>
      </w:pPr>
      <w:r>
        <w:rPr>
          <w:b w:val="0"/>
          <w:i w:val="0"/>
        </w:rPr>
        <w:t>Purdue Pharma, 164, 175–77</w:t>
      </w:r>
    </w:p>
    <w:p>
      <w:pPr>
        <w:spacing w:after="80"/>
      </w:pPr>
      <w:r>
        <w:rPr>
          <w:b w:val="0"/>
          <w:i/>
        </w:rPr>
        <w:t>Purpose and Profit</w:t>
      </w:r>
      <w:r>
        <w:rPr>
          <w:b w:val="0"/>
          <w:i w:val="0"/>
        </w:rPr>
        <w:t xml:space="preserve"> (Serafeim), 195</w:t>
      </w:r>
    </w:p>
    <w:p>
      <w:pPr>
        <w:spacing w:after="80"/>
      </w:pPr>
      <w:r>
        <w:rPr>
          <w:b w:val="0"/>
          <w:i w:val="0"/>
        </w:rPr>
        <w:t>PwC, 3, 45, 209–10, 248</w:t>
      </w:r>
    </w:p>
    <w:p>
      <w:pPr>
        <w:spacing w:after="80"/>
      </w:pPr>
      <w:r>
        <w:rPr>
          <w:b w:val="0"/>
          <w:i/>
        </w:rPr>
        <w:t>Quadrant v. Vertin</w:t>
      </w:r>
      <w:r>
        <w:rPr>
          <w:b w:val="0"/>
          <w:i w:val="0"/>
        </w:rPr>
        <w:t>, 171</w:t>
      </w:r>
    </w:p>
    <w:p>
      <w:pPr>
        <w:spacing w:after="80"/>
      </w:pPr>
      <w:r>
        <w:rPr>
          <w:b w:val="0"/>
          <w:i w:val="0"/>
        </w:rPr>
        <w:t>Quinn Emanuel, 29</w:t>
      </w:r>
    </w:p>
    <w:p>
      <w:pPr>
        <w:spacing w:after="80"/>
      </w:pPr>
      <w:r>
        <w:rPr>
          <w:b w:val="0"/>
          <w:i w:val="0"/>
        </w:rPr>
        <w:t>Radin, Stephen, 96</w:t>
      </w:r>
    </w:p>
    <w:p>
      <w:pPr>
        <w:spacing w:after="80"/>
      </w:pPr>
      <w:r>
        <w:rPr>
          <w:b w:val="0"/>
          <w:i w:val="0"/>
        </w:rPr>
        <w:t>tiếp nhận quản lý, vốn cổ phần, 156–57</w:t>
      </w:r>
    </w:p>
    <w:p>
      <w:pPr>
        <w:spacing w:after="80"/>
      </w:pPr>
      <w:r>
        <w:rPr>
          <w:b w:val="0"/>
          <w:i w:val="0"/>
        </w:rPr>
        <w:t>tuyển dụng, 65, 199–202</w:t>
      </w:r>
    </w:p>
    <w:p>
      <w:pPr>
        <w:spacing w:after="80"/>
      </w:pPr>
      <w:r>
        <w:rPr>
          <w:b w:val="0"/>
          <w:i w:val="0"/>
        </w:rPr>
        <w:t>đa dạng hội đồng quản trị và, 204–10</w:t>
      </w:r>
    </w:p>
    <w:p>
      <w:pPr>
        <w:spacing w:after="80"/>
      </w:pPr>
      <w:r>
        <w:rPr>
          <w:b w:val="0"/>
          <w:i w:val="0"/>
        </w:rPr>
        <w:t>của các CEO, 223–26</w:t>
      </w:r>
    </w:p>
    <w:p>
      <w:pPr>
        <w:spacing w:after="80"/>
      </w:pPr>
      <w:r>
        <w:rPr>
          <w:b w:val="0"/>
          <w:i w:val="0"/>
        </w:rPr>
        <w:t>xác định ứng viên, 203–4</w:t>
      </w:r>
    </w:p>
    <w:p>
      <w:pPr>
        <w:spacing w:after="80"/>
      </w:pPr>
      <w:r>
        <w:rPr>
          <w:b w:val="0"/>
          <w:i w:val="0"/>
        </w:rPr>
        <w:t>định hướng và hội nhập, 211–13</w:t>
      </w:r>
    </w:p>
    <w:p>
      <w:pPr>
        <w:spacing w:after="80"/>
      </w:pPr>
      <w:r>
        <w:rPr>
          <w:b w:val="0"/>
          <w:i w:val="0"/>
        </w:rPr>
        <w:t>Red Lobster, 127</w:t>
      </w:r>
    </w:p>
    <w:p>
      <w:pPr>
        <w:spacing w:after="80"/>
      </w:pPr>
      <w:r>
        <w:rPr>
          <w:b w:val="0"/>
          <w:i w:val="0"/>
        </w:rPr>
        <w:t>tái nhập công ty, 33–34</w:t>
      </w:r>
    </w:p>
    <w:p>
      <w:pPr>
        <w:spacing w:after="80"/>
      </w:pPr>
      <w:r>
        <w:rPr>
          <w:b w:val="0"/>
          <w:i w:val="0"/>
        </w:rPr>
        <w:t>Các công ty liên quan, 165</w:t>
      </w:r>
    </w:p>
    <w:p>
      <w:pPr>
        <w:spacing w:after="80"/>
      </w:pPr>
      <w:r>
        <w:rPr>
          <w:b w:val="0"/>
          <w:i w:val="0"/>
        </w:rPr>
        <w:t>cổ phiếu hạn chế, 55</w:t>
      </w:r>
    </w:p>
    <w:p>
      <w:pPr>
        <w:spacing w:after="80"/>
      </w:pPr>
      <w:r>
        <w:rPr>
          <w:b w:val="0"/>
          <w:i w:val="0"/>
        </w:rPr>
        <w:t>đơn vị cổ phiếu hạn chế (RSUs), 55–56</w:t>
      </w:r>
    </w:p>
    <w:p>
      <w:pPr>
        <w:spacing w:after="80"/>
      </w:pPr>
      <w:r>
        <w:rPr>
          <w:b w:val="0"/>
          <w:i w:val="0"/>
        </w:rPr>
        <w:t>tái cấu trúc, 155</w:t>
      </w:r>
    </w:p>
    <w:p>
      <w:pPr>
        <w:spacing w:after="80"/>
      </w:pPr>
      <w:r>
        <w:rPr>
          <w:b w:val="0"/>
          <w:i w:val="0"/>
        </w:rPr>
        <w:t>các loại, 163–69</w:t>
      </w:r>
    </w:p>
    <w:p>
      <w:pPr>
        <w:spacing w:after="80"/>
      </w:pPr>
      <w:r>
        <w:rPr>
          <w:b w:val="0"/>
          <w:i w:val="0"/>
        </w:rPr>
        <w:t>trách nhiệm của giám đốc trong đó, 169–71</w:t>
      </w:r>
    </w:p>
    <w:p>
      <w:pPr>
        <w:spacing w:after="80"/>
      </w:pPr>
      <w:r>
        <w:rPr>
          <w:b w:val="0"/>
          <w:i w:val="0"/>
        </w:rPr>
        <w:t>lịch sử, 156–63</w:t>
      </w:r>
    </w:p>
    <w:p>
      <w:pPr>
        <w:spacing w:after="80"/>
      </w:pPr>
      <w:r>
        <w:rPr>
          <w:b w:val="0"/>
          <w:i w:val="0"/>
        </w:rPr>
        <w:t>giám đốc độc lập và, 168, 171–78</w:t>
      </w:r>
    </w:p>
    <w:p>
      <w:pPr>
        <w:spacing w:after="80"/>
      </w:pPr>
      <w:r>
        <w:rPr>
          <w:b w:val="0"/>
          <w:i w:val="0"/>
        </w:rPr>
        <w:t>độ tuổi nghỉ hưu, 243, 246–48</w:t>
      </w:r>
    </w:p>
    <w:p>
      <w:pPr>
        <w:spacing w:after="80"/>
      </w:pPr>
      <w:r>
        <w:rPr>
          <w:b w:val="0"/>
          <w:i w:val="0"/>
        </w:rPr>
        <w:t xml:space="preserve">vụ án </w:t>
      </w:r>
      <w:r>
        <w:rPr>
          <w:b w:val="0"/>
          <w:i/>
        </w:rPr>
        <w:t>Revlon</w:t>
      </w:r>
      <w:r>
        <w:rPr>
          <w:b w:val="0"/>
          <w:i w:val="0"/>
        </w:rPr>
        <w:t>, 98–106</w:t>
      </w:r>
    </w:p>
    <w:p>
      <w:pPr>
        <w:spacing w:after="80"/>
      </w:pPr>
      <w:r>
        <w:rPr>
          <w:b w:val="0"/>
          <w:i w:val="0"/>
        </w:rPr>
        <w:t xml:space="preserve">tiêu chuẩn </w:t>
      </w:r>
      <w:r>
        <w:rPr>
          <w:b w:val="0"/>
          <w:i/>
        </w:rPr>
        <w:t>Revlon</w:t>
      </w:r>
      <w:r>
        <w:rPr>
          <w:b w:val="0"/>
          <w:i w:val="0"/>
        </w:rPr>
        <w:t>, 37</w:t>
      </w:r>
    </w:p>
    <w:p>
      <w:pPr>
        <w:spacing w:after="80"/>
      </w:pPr>
      <w:r>
        <w:rPr>
          <w:b w:val="0"/>
          <w:i/>
        </w:rPr>
        <w:t>Revlon v. MacAndrews &amp; Forbes</w:t>
      </w:r>
      <w:r>
        <w:rPr>
          <w:b w:val="0"/>
          <w:i w:val="0"/>
        </w:rPr>
        <w:t>, 21, 31</w:t>
      </w:r>
    </w:p>
    <w:p>
      <w:pPr>
        <w:spacing w:after="80"/>
      </w:pPr>
      <w:r>
        <w:rPr>
          <w:b w:val="0"/>
          <w:i w:val="0"/>
        </w:rPr>
        <w:t>Rich, Jonathan, 82, 267</w:t>
      </w:r>
    </w:p>
    <w:p>
      <w:pPr>
        <w:spacing w:after="80"/>
      </w:pPr>
      <w:r>
        <w:rPr>
          <w:b w:val="0"/>
          <w:i w:val="0"/>
        </w:rPr>
        <w:t>Ridings, Barry, 20, 162–63, 166, 177, 267</w:t>
      </w:r>
    </w:p>
    <w:p>
      <w:pPr>
        <w:spacing w:after="80"/>
      </w:pPr>
      <w:r>
        <w:rPr>
          <w:b w:val="0"/>
          <w:i w:val="0"/>
        </w:rPr>
        <w:t>quản lý rủi ro, 229–30</w:t>
      </w:r>
    </w:p>
    <w:p>
      <w:pPr>
        <w:spacing w:after="80"/>
      </w:pPr>
      <w:r>
        <w:rPr>
          <w:b w:val="0"/>
          <w:i w:val="0"/>
        </w:rPr>
        <w:t>rủi ro, 51, 230–37</w:t>
      </w:r>
    </w:p>
    <w:p>
      <w:pPr>
        <w:spacing w:after="80"/>
      </w:pPr>
      <w:r>
        <w:rPr>
          <w:b w:val="0"/>
          <w:i w:val="0"/>
        </w:rPr>
        <w:t>Robbins, Chuck, 220</w:t>
      </w:r>
    </w:p>
    <w:p>
      <w:pPr>
        <w:spacing w:after="80"/>
      </w:pPr>
      <w:r>
        <w:rPr>
          <w:b w:val="0"/>
          <w:i w:val="0"/>
        </w:rPr>
        <w:t>Roberts, George, 109–10</w:t>
      </w:r>
    </w:p>
    <w:p>
      <w:pPr>
        <w:spacing w:after="80"/>
      </w:pPr>
      <w:r>
        <w:rPr>
          <w:b w:val="0"/>
          <w:i w:val="0"/>
        </w:rPr>
        <w:t>Roberts, John, 176</w:t>
      </w:r>
    </w:p>
    <w:p>
      <w:pPr>
        <w:spacing w:after="80"/>
      </w:pPr>
      <w:r>
        <w:rPr>
          <w:b w:val="0"/>
          <w:i w:val="0"/>
        </w:rPr>
        <w:t>Rock-Tenn, 19–22</w:t>
      </w:r>
    </w:p>
    <w:p>
      <w:pPr>
        <w:spacing w:after="80"/>
      </w:pPr>
      <w:r>
        <w:rPr>
          <w:b w:val="0"/>
          <w:i w:val="0"/>
        </w:rPr>
        <w:t>Rohatyn, Felix, 92, 101</w:t>
      </w:r>
    </w:p>
    <w:p>
      <w:pPr>
        <w:spacing w:after="80"/>
      </w:pPr>
      <w:r>
        <w:rPr>
          <w:b w:val="0"/>
          <w:i w:val="0"/>
        </w:rPr>
        <w:t>Romans, Donald, 94–95</w:t>
      </w:r>
    </w:p>
    <w:p>
      <w:pPr>
        <w:spacing w:after="80"/>
      </w:pPr>
      <w:r>
        <w:rPr>
          <w:b w:val="0"/>
          <w:i w:val="0"/>
        </w:rPr>
        <w:t>Roosevelt, Franklin, 157</w:t>
      </w:r>
    </w:p>
    <w:p>
      <w:pPr>
        <w:spacing w:after="80"/>
      </w:pPr>
      <w:r>
        <w:rPr>
          <w:b w:val="0"/>
          <w:i w:val="0"/>
        </w:rPr>
        <w:t>Rosenblum, Steve, 20</w:t>
      </w:r>
    </w:p>
    <w:p>
      <w:pPr>
        <w:spacing w:after="80"/>
      </w:pPr>
      <w:r>
        <w:rPr>
          <w:b w:val="0"/>
          <w:i w:val="0"/>
        </w:rPr>
        <w:t>Rosenfeld, Jerry, 202, 267</w:t>
      </w:r>
    </w:p>
    <w:p>
      <w:pPr>
        <w:spacing w:after="80"/>
      </w:pPr>
      <w:r>
        <w:rPr>
          <w:b w:val="0"/>
          <w:i w:val="0"/>
        </w:rPr>
        <w:t>Ross, Stephen, 165</w:t>
      </w:r>
    </w:p>
    <w:p>
      <w:pPr>
        <w:spacing w:after="80"/>
      </w:pPr>
      <w:r>
        <w:rPr>
          <w:b w:val="0"/>
          <w:i w:val="0"/>
        </w:rPr>
        <w:t>Rossman, Andy, 29, 34–35, 250, 254, 267</w:t>
      </w:r>
    </w:p>
    <w:p>
      <w:pPr>
        <w:spacing w:after="80"/>
      </w:pPr>
      <w:r>
        <w:rPr>
          <w:b w:val="0"/>
          <w:i w:val="0"/>
        </w:rPr>
        <w:t>Rouen, Ethan, 189</w:t>
      </w:r>
    </w:p>
    <w:p>
      <w:pPr>
        <w:spacing w:after="80"/>
      </w:pPr>
      <w:r>
        <w:rPr>
          <w:b w:val="0"/>
          <w:i w:val="0"/>
        </w:rPr>
        <w:t>Rowan, Marc, 110</w:t>
      </w:r>
    </w:p>
    <w:p>
      <w:pPr>
        <w:spacing w:after="80"/>
      </w:pPr>
      <w:r>
        <w:rPr>
          <w:b w:val="0"/>
          <w:i w:val="0"/>
        </w:rPr>
        <w:t xml:space="preserve">RSUs. </w:t>
      </w:r>
      <w:r>
        <w:rPr>
          <w:b w:val="0"/>
          <w:i/>
        </w:rPr>
        <w:t>Xem</w:t>
      </w:r>
      <w:r>
        <w:rPr>
          <w:b w:val="0"/>
          <w:i w:val="0"/>
        </w:rPr>
        <w:t xml:space="preserve"> restricted stock units</w:t>
      </w:r>
    </w:p>
    <w:p>
      <w:pPr>
        <w:spacing w:after="80"/>
      </w:pPr>
      <w:r>
        <w:rPr>
          <w:b w:val="0"/>
          <w:i w:val="0"/>
        </w:rPr>
        <w:t>Rubright, Jim, 20–21, 267</w:t>
      </w:r>
    </w:p>
    <w:p>
      <w:pPr>
        <w:spacing w:after="80"/>
      </w:pPr>
      <w:r>
        <w:rPr>
          <w:b w:val="0"/>
          <w:i w:val="0"/>
        </w:rPr>
        <w:t>Sachdeva, Kunal, 189</w:t>
      </w:r>
    </w:p>
    <w:p>
      <w:pPr>
        <w:spacing w:after="80"/>
      </w:pPr>
      <w:r>
        <w:rPr>
          <w:b w:val="0"/>
          <w:i w:val="0"/>
        </w:rPr>
        <w:t>Gia đình Sackler, 176–77</w:t>
      </w:r>
    </w:p>
    <w:p>
      <w:pPr>
        <w:spacing w:after="80"/>
      </w:pPr>
      <w:r>
        <w:rPr>
          <w:b w:val="0"/>
          <w:i w:val="0"/>
        </w:rPr>
        <w:t>S&amp;P 500</w:t>
      </w:r>
    </w:p>
    <w:p>
      <w:pPr>
        <w:spacing w:after="80"/>
      </w:pPr>
      <w:r>
        <w:rPr>
          <w:b w:val="0"/>
          <w:i w:val="0"/>
        </w:rPr>
        <w:t>các mô hình lãnh đạo hội đồng quản trị trong đó, 70, 75</w:t>
      </w:r>
    </w:p>
    <w:p>
      <w:pPr>
        <w:spacing w:after="80"/>
      </w:pPr>
      <w:r>
        <w:rPr>
          <w:b w:val="0"/>
          <w:i w:val="0"/>
        </w:rPr>
        <w:t>sự đa dạng của các hội đồng quản trị trong đó, 66</w:t>
      </w:r>
    </w:p>
    <w:p>
      <w:pPr>
        <w:spacing w:after="80"/>
      </w:pPr>
      <w:r>
        <w:rPr>
          <w:b w:val="0"/>
          <w:i w:val="0"/>
        </w:rPr>
        <w:t>các quỹ chỉ số nắm giữ của nó, 143</w:t>
      </w:r>
    </w:p>
    <w:p>
      <w:pPr>
        <w:spacing w:after="80"/>
      </w:pPr>
      <w:r>
        <w:rPr>
          <w:b w:val="0"/>
          <w:i w:val="0"/>
        </w:rPr>
        <w:t>độ tuổi nghỉ hưu trong đó, 247</w:t>
      </w:r>
    </w:p>
    <w:p>
      <w:pPr>
        <w:spacing w:after="80"/>
      </w:pPr>
      <w:r>
        <w:rPr>
          <w:b w:val="0"/>
          <w:i w:val="0"/>
        </w:rPr>
        <w:t>công bố rủi ro của các thành viên, 236</w:t>
      </w:r>
    </w:p>
    <w:p>
      <w:pPr>
        <w:spacing w:after="80"/>
      </w:pPr>
      <w:r>
        <w:rPr>
          <w:b w:val="0"/>
          <w:i w:val="0"/>
        </w:rPr>
        <w:t>hội đồng quản trị theo nhiệm kỳ xen kẽ trong đó, 133</w:t>
      </w:r>
    </w:p>
    <w:p>
      <w:pPr>
        <w:spacing w:after="80"/>
      </w:pPr>
      <w:r>
        <w:rPr>
          <w:b w:val="0"/>
          <w:i w:val="0"/>
        </w:rPr>
        <w:t>báo cáo phát triển bền vững của các công ty trong đó, 190–91</w:t>
      </w:r>
    </w:p>
    <w:p>
      <w:pPr>
        <w:spacing w:after="80"/>
      </w:pPr>
      <w:r>
        <w:rPr>
          <w:b w:val="0"/>
          <w:i w:val="0"/>
        </w:rPr>
        <w:t>giới hạn nhiệm kỳ tại các công ty trong đó, 243</w:t>
      </w:r>
    </w:p>
    <w:p>
      <w:pPr>
        <w:spacing w:after="80"/>
      </w:pPr>
      <w:r>
        <w:rPr>
          <w:b w:val="0"/>
          <w:i w:val="0"/>
        </w:rPr>
        <w:t>Vanguard nắm giữ của nó, 139</w:t>
      </w:r>
    </w:p>
    <w:p>
      <w:pPr>
        <w:spacing w:after="80"/>
      </w:pPr>
      <w:r>
        <w:rPr>
          <w:b w:val="0"/>
          <w:i w:val="0"/>
        </w:rPr>
        <w:t>Đạo luật Sarbanes-Oxley, 45, 47–49</w:t>
      </w:r>
    </w:p>
    <w:p>
      <w:pPr>
        <w:spacing w:after="80"/>
      </w:pPr>
      <w:r>
        <w:rPr>
          <w:b w:val="0"/>
          <w:i w:val="0"/>
        </w:rPr>
        <w:t xml:space="preserve">SARs. </w:t>
      </w:r>
      <w:r>
        <w:rPr>
          <w:b w:val="0"/>
          <w:i/>
        </w:rPr>
        <w:t>Xem</w:t>
      </w:r>
      <w:r>
        <w:rPr>
          <w:b w:val="0"/>
          <w:i w:val="0"/>
        </w:rPr>
        <w:t xml:space="preserve"> quyền được hưởng phần tăng giá cổ phiếu</w:t>
      </w:r>
    </w:p>
    <w:p>
      <w:pPr>
        <w:spacing w:after="80"/>
      </w:pPr>
      <w:r>
        <w:rPr>
          <w:b w:val="0"/>
          <w:i w:val="0"/>
        </w:rPr>
        <w:t xml:space="preserve">SASB. </w:t>
      </w:r>
      <w:r>
        <w:rPr>
          <w:b w:val="0"/>
          <w:i/>
        </w:rPr>
        <w:t>Xem</w:t>
      </w:r>
      <w:r>
        <w:rPr>
          <w:b w:val="0"/>
          <w:i w:val="0"/>
        </w:rPr>
        <w:t xml:space="preserve"> Ủy ban Chuẩn mực Kế toán Phát triển Bền vững</w:t>
      </w:r>
    </w:p>
    <w:p>
      <w:pPr>
        <w:spacing w:after="80"/>
      </w:pPr>
      <w:r>
        <w:rPr>
          <w:b w:val="0"/>
          <w:i w:val="0"/>
        </w:rPr>
        <w:t>Savage, Terry, 20</w:t>
      </w:r>
    </w:p>
    <w:p>
      <w:pPr>
        <w:spacing w:after="80"/>
      </w:pPr>
      <w:r>
        <w:rPr>
          <w:b w:val="0"/>
          <w:i w:val="0"/>
        </w:rPr>
        <w:t>Say-on-Pay, 61–62, 68, 77, 147, 153</w:t>
      </w:r>
    </w:p>
    <w:p>
      <w:pPr>
        <w:spacing w:after="80"/>
      </w:pPr>
      <w:r>
        <w:rPr>
          <w:b w:val="0"/>
          <w:i w:val="0"/>
        </w:rPr>
        <w:t>Schacht, Kurt N., 140</w:t>
      </w:r>
    </w:p>
    <w:p>
      <w:pPr>
        <w:spacing w:after="80"/>
      </w:pPr>
      <w:r>
        <w:rPr>
          <w:b w:val="0"/>
          <w:i w:val="0"/>
        </w:rPr>
        <w:t>Schedule 13D, 124–25</w:t>
      </w:r>
    </w:p>
    <w:p>
      <w:pPr>
        <w:spacing w:after="80"/>
      </w:pPr>
      <w:r>
        <w:rPr>
          <w:b w:val="0"/>
          <w:i w:val="0"/>
        </w:rPr>
        <w:t>Schedule 13G, 124</w:t>
      </w:r>
    </w:p>
    <w:p>
      <w:pPr>
        <w:spacing w:after="80"/>
      </w:pPr>
      <w:r>
        <w:rPr>
          <w:b w:val="0"/>
          <w:i w:val="0"/>
        </w:rPr>
        <w:t>Schulman, Dan, 71</w:t>
      </w:r>
    </w:p>
    <w:p>
      <w:pPr>
        <w:spacing w:after="80"/>
      </w:pPr>
      <w:r>
        <w:rPr>
          <w:b w:val="0"/>
          <w:i w:val="0"/>
        </w:rPr>
        <w:t>Schultz, Howard, 73–74, 224</w:t>
      </w:r>
    </w:p>
    <w:p>
      <w:pPr>
        <w:spacing w:after="80"/>
      </w:pPr>
      <w:r>
        <w:rPr>
          <w:b w:val="0"/>
          <w:i w:val="0"/>
        </w:rPr>
        <w:t>Schulze, Richard, 84</w:t>
      </w:r>
    </w:p>
    <w:p>
      <w:pPr>
        <w:spacing w:after="80"/>
      </w:pPr>
      <w:r>
        <w:rPr>
          <w:b w:val="0"/>
          <w:i w:val="0"/>
        </w:rPr>
        <w:t>Schwarzman, Steve, 110</w:t>
      </w:r>
    </w:p>
    <w:p>
      <w:pPr>
        <w:spacing w:after="80"/>
      </w:pPr>
      <w:r>
        <w:rPr>
          <w:b w:val="0"/>
          <w:i w:val="0"/>
        </w:rPr>
        <w:t>Scott, Ray, 225</w:t>
      </w:r>
    </w:p>
    <w:p>
      <w:pPr>
        <w:spacing w:after="80"/>
      </w:pPr>
      <w:r>
        <w:rPr>
          <w:b w:val="0"/>
          <w:i w:val="0"/>
        </w:rPr>
        <w:t>Mục 220, 106</w:t>
      </w:r>
    </w:p>
    <w:p>
      <w:pPr>
        <w:spacing w:after="80"/>
      </w:pPr>
      <w:r>
        <w:rPr>
          <w:b w:val="0"/>
          <w:i w:val="0"/>
        </w:rPr>
        <w:t>Ủy ban Chứng khoán và Giao dịch (SEC), 7, 9–13, 64, 120, 139–41, 148, 158, 187, 189–90, 207, 211, 235</w:t>
      </w:r>
    </w:p>
    <w:p>
      <w:pPr>
        <w:spacing w:after="80"/>
      </w:pPr>
      <w:r>
        <w:rPr>
          <w:b w:val="0"/>
          <w:i w:val="0"/>
        </w:rPr>
        <w:t>hoạt động vận động và, 124–25</w:t>
      </w:r>
    </w:p>
    <w:p>
      <w:pPr>
        <w:spacing w:after="80"/>
      </w:pPr>
      <w:r>
        <w:rPr>
          <w:b w:val="0"/>
          <w:i w:val="0"/>
        </w:rPr>
        <w:t>các ủy ban kiểm toán và, 47</w:t>
      </w:r>
    </w:p>
    <w:p>
      <w:pPr>
        <w:spacing w:after="80"/>
      </w:pPr>
      <w:r>
        <w:rPr>
          <w:b w:val="0"/>
          <w:i w:val="0"/>
        </w:rPr>
        <w:t>yêu cầu công bố thông tin về lãnh đạo hội đồng quản trị, 80</w:t>
      </w:r>
    </w:p>
    <w:p>
      <w:pPr>
        <w:spacing w:after="80"/>
      </w:pPr>
      <w:r>
        <w:rPr>
          <w:b w:val="0"/>
          <w:i w:val="0"/>
        </w:rPr>
        <w:t>các khuyến nghị của ủy ban, 45</w:t>
      </w:r>
    </w:p>
    <w:p>
      <w:pPr>
        <w:spacing w:after="80"/>
      </w:pPr>
      <w:r>
        <w:rPr>
          <w:b w:val="0"/>
          <w:i w:val="0"/>
        </w:rPr>
        <w:t>thù lao và, 52, 58–59</w:t>
      </w:r>
    </w:p>
    <w:p>
      <w:pPr>
        <w:spacing w:after="80"/>
      </w:pPr>
      <w:r>
        <w:rPr>
          <w:b w:val="0"/>
          <w:i w:val="0"/>
        </w:rPr>
        <w:t>Enron và, 25</w:t>
      </w:r>
    </w:p>
    <w:p>
      <w:pPr>
        <w:spacing w:after="80"/>
      </w:pPr>
      <w:r>
        <w:rPr>
          <w:b w:val="0"/>
          <w:i w:val="0"/>
        </w:rPr>
        <w:t>các yêu cầu công bố thông tin môi trường, 184–85</w:t>
      </w:r>
    </w:p>
    <w:p>
      <w:pPr>
        <w:spacing w:after="80"/>
      </w:pPr>
      <w:r>
        <w:rPr>
          <w:b w:val="0"/>
          <w:i w:val="0"/>
        </w:rPr>
        <w:t>hồ sơ nộp với, 49–50</w:t>
      </w:r>
    </w:p>
    <w:p>
      <w:pPr>
        <w:spacing w:after="80"/>
      </w:pPr>
      <w:r>
        <w:rPr>
          <w:b w:val="0"/>
          <w:i w:val="0"/>
        </w:rPr>
        <w:t>McKesson &amp; Robbins bị điều tra bởi, 45</w:t>
      </w:r>
    </w:p>
    <w:p>
      <w:pPr>
        <w:spacing w:after="80"/>
      </w:pPr>
      <w:r>
        <w:rPr>
          <w:b w:val="0"/>
          <w:i w:val="0"/>
        </w:rPr>
        <w:t>Ủy ban Chứng khoán và Giao dịch (</w:t>
      </w:r>
      <w:r>
        <w:rPr>
          <w:b w:val="0"/>
          <w:i/>
        </w:rPr>
        <w:t>tiếp theo</w:t>
      </w:r>
      <w:r>
        <w:rPr>
          <w:b w:val="0"/>
          <w:i w:val="0"/>
        </w:rPr>
        <w:t>)</w:t>
      </w:r>
    </w:p>
    <w:p>
      <w:pPr>
        <w:spacing w:after="80"/>
      </w:pPr>
      <w:r>
        <w:rPr>
          <w:b w:val="0"/>
          <w:i w:val="0"/>
        </w:rPr>
        <w:t>các công ty tư vấn ủy quyền và, 149</w:t>
      </w:r>
    </w:p>
    <w:p>
      <w:pPr>
        <w:spacing w:after="80"/>
      </w:pPr>
      <w:r>
        <w:rPr>
          <w:b w:val="0"/>
          <w:i w:val="0"/>
        </w:rPr>
        <w:t>các tuyến đường sắt và, 159</w:t>
      </w:r>
    </w:p>
    <w:p>
      <w:pPr>
        <w:spacing w:after="80"/>
      </w:pPr>
      <w:r>
        <w:rPr>
          <w:b w:val="0"/>
          <w:i w:val="0"/>
        </w:rPr>
        <w:t>các yêu cầu công bố thông tin rủi ro, 236–37</w:t>
      </w:r>
    </w:p>
    <w:p>
      <w:pPr>
        <w:spacing w:after="80"/>
      </w:pPr>
      <w:r>
        <w:rPr>
          <w:b w:val="0"/>
          <w:i w:val="0"/>
        </w:rPr>
        <w:t>các đề xuất của cổ đông và, 120</w:t>
      </w:r>
    </w:p>
    <w:p>
      <w:pPr>
        <w:spacing w:after="80"/>
      </w:pPr>
      <w:r>
        <w:rPr>
          <w:b w:val="0"/>
          <w:i w:val="0"/>
        </w:rPr>
        <w:t>Các đạo luật Giao dịch Chứng khoán (1933 và 1934), 9, 124</w:t>
      </w:r>
    </w:p>
    <w:p>
      <w:pPr>
        <w:spacing w:after="80"/>
      </w:pPr>
      <w:r>
        <w:rPr>
          <w:b w:val="0"/>
          <w:i w:val="0"/>
        </w:rPr>
        <w:t>Semadeni, Matthew, 81</w:t>
      </w:r>
    </w:p>
    <w:p>
      <w:pPr>
        <w:spacing w:after="80"/>
      </w:pPr>
      <w:r>
        <w:rPr>
          <w:b w:val="0"/>
          <w:i w:val="0"/>
        </w:rPr>
        <w:t>Seminara, Robert, 267</w:t>
      </w:r>
    </w:p>
    <w:p>
      <w:pPr>
        <w:spacing w:after="80"/>
      </w:pPr>
      <w:r>
        <w:rPr>
          <w:b w:val="0"/>
          <w:i w:val="0"/>
        </w:rPr>
        <w:t>việc tách vai trò CEO và chủ tịch, 77–82</w:t>
      </w:r>
    </w:p>
    <w:p>
      <w:pPr>
        <w:spacing w:after="80"/>
      </w:pPr>
      <w:r>
        <w:rPr>
          <w:b w:val="0"/>
          <w:i w:val="0"/>
        </w:rPr>
        <w:t>Serafeim, George, 195, 232</w:t>
      </w:r>
    </w:p>
    <w:p>
      <w:pPr>
        <w:spacing w:after="80"/>
      </w:pPr>
      <w:r>
        <w:rPr>
          <w:b w:val="0"/>
          <w:i/>
        </w:rPr>
        <w:t>Shapiro v. Wilgus</w:t>
      </w:r>
      <w:r>
        <w:rPr>
          <w:b w:val="0"/>
          <w:i w:val="0"/>
        </w:rPr>
        <w:t>, 157</w:t>
      </w:r>
    </w:p>
    <w:p>
      <w:pPr>
        <w:spacing w:after="80"/>
      </w:pPr>
      <w:r>
        <w:rPr>
          <w:b w:val="0"/>
          <w:i w:val="0"/>
        </w:rPr>
        <w:t xml:space="preserve">hoạt động của cổ đông. </w:t>
      </w:r>
      <w:r>
        <w:rPr>
          <w:b w:val="0"/>
          <w:i/>
        </w:rPr>
        <w:t>Xem</w:t>
      </w:r>
      <w:r>
        <w:rPr>
          <w:b w:val="0"/>
          <w:i w:val="0"/>
        </w:rPr>
        <w:t xml:space="preserve"> hoạt động</w:t>
      </w:r>
    </w:p>
    <w:p>
      <w:pPr>
        <w:spacing w:after="80"/>
      </w:pPr>
      <w:r>
        <w:rPr>
          <w:b w:val="0"/>
          <w:i w:val="0"/>
        </w:rPr>
        <w:t>chủ nghĩa tư bản cổ đông, 11</w:t>
      </w:r>
    </w:p>
    <w:p>
      <w:pPr>
        <w:spacing w:after="80"/>
      </w:pPr>
      <w:r>
        <w:rPr>
          <w:b w:val="0"/>
          <w:i w:val="0"/>
        </w:rPr>
        <w:t>đề xuất của cổ đông, 120</w:t>
      </w:r>
    </w:p>
    <w:p>
      <w:pPr>
        <w:spacing w:after="80"/>
      </w:pPr>
      <w:r>
        <w:rPr>
          <w:b w:val="0"/>
          <w:i w:val="0"/>
        </w:rPr>
        <w:t>kế hoạch quyền cổ đông, 68</w:t>
      </w:r>
    </w:p>
    <w:p>
      <w:pPr>
        <w:spacing w:after="80"/>
      </w:pPr>
      <w:r>
        <w:rPr>
          <w:b w:val="0"/>
          <w:i w:val="0"/>
        </w:rPr>
        <w:t>các cổ đông, 7, 11, 13–14, 61–62, 194–96</w:t>
      </w:r>
    </w:p>
    <w:p>
      <w:pPr>
        <w:spacing w:after="80"/>
      </w:pPr>
      <w:r>
        <w:rPr>
          <w:b w:val="0"/>
          <w:i w:val="0"/>
        </w:rPr>
        <w:t>giá trị cổ đông, 7, 196, 224–25, 253</w:t>
      </w:r>
    </w:p>
    <w:p>
      <w:pPr>
        <w:spacing w:after="80"/>
      </w:pPr>
      <w:r>
        <w:rPr>
          <w:b w:val="0"/>
          <w:i w:val="0"/>
        </w:rPr>
        <w:t>hoạt động vận động và, 12, 118, 121, 126, 132–35, 192</w:t>
      </w:r>
    </w:p>
    <w:p>
      <w:pPr>
        <w:spacing w:after="80"/>
      </w:pPr>
      <w:r>
        <w:rPr>
          <w:b w:val="0"/>
          <w:i w:val="0"/>
        </w:rPr>
        <w:t>nghĩa vụ của hội đồng quản trị trong việc tối đa hóa, 20, 98</w:t>
      </w:r>
    </w:p>
    <w:p>
      <w:pPr>
        <w:spacing w:after="80"/>
      </w:pPr>
      <w:r>
        <w:rPr>
          <w:b w:val="0"/>
          <w:i w:val="0"/>
        </w:rPr>
        <w:t>tiền thưởng và, 54–56, 59</w:t>
      </w:r>
    </w:p>
    <w:p>
      <w:pPr>
        <w:spacing w:after="80"/>
      </w:pPr>
      <w:r>
        <w:rPr>
          <w:b w:val="0"/>
          <w:i w:val="0"/>
        </w:rPr>
        <w:t>ESG và, 192–94</w:t>
      </w:r>
    </w:p>
    <w:p>
      <w:pPr>
        <w:spacing w:after="80"/>
      </w:pPr>
      <w:r>
        <w:rPr>
          <w:b w:val="0"/>
          <w:i w:val="0"/>
        </w:rPr>
        <w:t>LBO và, 112</w:t>
      </w:r>
    </w:p>
    <w:p>
      <w:pPr>
        <w:spacing w:after="80"/>
      </w:pPr>
      <w:r>
        <w:rPr>
          <w:b w:val="0"/>
          <w:i w:val="0"/>
        </w:rPr>
        <w:t>quy trình M&amp;A và, 113–15</w:t>
      </w:r>
    </w:p>
    <w:p>
      <w:pPr>
        <w:spacing w:after="80"/>
      </w:pPr>
      <w:r>
        <w:rPr>
          <w:b w:val="0"/>
          <w:i w:val="0"/>
        </w:rPr>
        <w:t>Nevada và, 34</w:t>
      </w:r>
    </w:p>
    <w:p>
      <w:pPr>
        <w:spacing w:after="80"/>
      </w:pPr>
      <w:r>
        <w:rPr>
          <w:b w:val="0"/>
          <w:i w:val="0"/>
        </w:rPr>
        <w:t>Sharfman, Bernard, 97</w:t>
      </w:r>
    </w:p>
    <w:p>
      <w:pPr>
        <w:spacing w:after="80"/>
      </w:pPr>
      <w:r>
        <w:rPr>
          <w:b w:val="0"/>
          <w:i w:val="0"/>
        </w:rPr>
        <w:t>Shekshnia, Stanislav, 70</w:t>
      </w:r>
    </w:p>
    <w:p>
      <w:pPr>
        <w:spacing w:after="80"/>
      </w:pPr>
      <w:r>
        <w:rPr>
          <w:b w:val="0"/>
          <w:i w:val="0"/>
        </w:rPr>
        <w:t>Signal, 106–7</w:t>
      </w:r>
    </w:p>
    <w:p>
      <w:pPr>
        <w:spacing w:after="80"/>
      </w:pPr>
      <w:r>
        <w:rPr>
          <w:b w:val="0"/>
          <w:i w:val="0"/>
        </w:rPr>
        <w:t>Simoncini, Matt, 225</w:t>
      </w:r>
    </w:p>
    <w:p>
      <w:pPr>
        <w:spacing w:after="80"/>
      </w:pPr>
      <w:r>
        <w:rPr>
          <w:b w:val="0"/>
          <w:i w:val="0"/>
        </w:rPr>
        <w:t>Singer, Paul, 124</w:t>
      </w:r>
    </w:p>
    <w:p>
      <w:pPr>
        <w:spacing w:after="80"/>
      </w:pPr>
      <w:r>
        <w:rPr>
          <w:b w:val="0"/>
          <w:i w:val="0"/>
        </w:rPr>
        <w:t>Skeel, David A., 156</w:t>
      </w:r>
    </w:p>
    <w:p>
      <w:pPr>
        <w:spacing w:after="80"/>
      </w:pPr>
      <w:r>
        <w:rPr>
          <w:b w:val="0"/>
          <w:i w:val="0"/>
        </w:rPr>
        <w:t>ma trận kỹ năng, 199–201</w:t>
      </w:r>
    </w:p>
    <w:p>
      <w:pPr>
        <w:spacing w:after="80"/>
      </w:pPr>
      <w:r>
        <w:rPr>
          <w:b w:val="0"/>
          <w:i w:val="0"/>
        </w:rPr>
        <w:t>Skrmetti, Jonathan, 191</w:t>
      </w:r>
    </w:p>
    <w:p>
      <w:pPr>
        <w:spacing w:after="80"/>
      </w:pPr>
      <w:r>
        <w:rPr>
          <w:b w:val="0"/>
          <w:i w:val="0"/>
        </w:rPr>
        <w:t>Slifkin, Daniel, 8, 28, 32, 35, 38, 40, 194, 226, 267</w:t>
      </w:r>
    </w:p>
    <w:p>
      <w:pPr>
        <w:spacing w:after="80"/>
      </w:pPr>
      <w:r>
        <w:rPr>
          <w:b w:val="0"/>
          <w:i w:val="0"/>
        </w:rPr>
        <w:t>Smith, Jeff, 123–24, 127</w:t>
      </w:r>
    </w:p>
    <w:p>
      <w:pPr>
        <w:spacing w:after="80"/>
      </w:pPr>
      <w:r>
        <w:rPr>
          <w:b w:val="0"/>
          <w:i w:val="0"/>
        </w:rPr>
        <w:t>Smith, Roger, 141</w:t>
      </w:r>
    </w:p>
    <w:p>
      <w:pPr>
        <w:spacing w:after="80"/>
      </w:pPr>
      <w:r>
        <w:rPr>
          <w:b w:val="0"/>
          <w:i w:val="0"/>
        </w:rPr>
        <w:t>Smith, Stephen, 148</w:t>
      </w:r>
    </w:p>
    <w:p>
      <w:pPr>
        <w:spacing w:after="80"/>
      </w:pPr>
      <w:r>
        <w:rPr>
          <w:b w:val="0"/>
          <w:i/>
        </w:rPr>
        <w:t>Smith v. Van Gorkom</w:t>
      </w:r>
      <w:r>
        <w:rPr>
          <w:b w:val="0"/>
          <w:i w:val="0"/>
        </w:rPr>
        <w:t>, 26, 94–97</w:t>
      </w:r>
    </w:p>
    <w:p>
      <w:pPr>
        <w:spacing w:after="80"/>
      </w:pPr>
      <w:r>
        <w:rPr>
          <w:b w:val="0"/>
          <w:i w:val="0"/>
        </w:rPr>
        <w:t>Smurfit-Stone, 19–21</w:t>
      </w:r>
    </w:p>
    <w:p>
      <w:pPr>
        <w:spacing w:after="80"/>
      </w:pPr>
      <w:r>
        <w:rPr>
          <w:b w:val="0"/>
          <w:i/>
        </w:rPr>
        <w:t>Smurfit-Stone</w:t>
      </w:r>
      <w:r>
        <w:rPr>
          <w:b w:val="0"/>
          <w:i w:val="0"/>
        </w:rPr>
        <w:t xml:space="preserve">. Xem </w:t>
      </w:r>
      <w:r>
        <w:rPr>
          <w:b w:val="0"/>
          <w:i/>
        </w:rPr>
        <w:t>In re Smurfit-Stone Shareholder Litigation</w:t>
      </w:r>
    </w:p>
    <w:p>
      <w:pPr>
        <w:spacing w:after="80"/>
      </w:pPr>
      <w:r>
        <w:rPr>
          <w:b w:val="0"/>
          <w:i w:val="0"/>
        </w:rPr>
        <w:t>Sneed, Paula, 24, 103, 143, 186, 208, 255, 267</w:t>
      </w:r>
    </w:p>
    <w:p>
      <w:pPr>
        <w:spacing w:after="80"/>
      </w:pPr>
      <w:r>
        <w:rPr>
          <w:b w:val="0"/>
          <w:i w:val="0"/>
        </w:rPr>
        <w:t>các chỉ số đầu tư có trách nhiệm với xã hội, 180</w:t>
      </w:r>
    </w:p>
    <w:p>
      <w:pPr>
        <w:spacing w:after="80"/>
      </w:pPr>
      <w:r>
        <w:rPr>
          <w:b w:val="0"/>
          <w:i w:val="0"/>
        </w:rPr>
        <w:t>truyền thông xã hội, 235</w:t>
      </w:r>
    </w:p>
    <w:p>
      <w:pPr>
        <w:spacing w:after="80"/>
      </w:pPr>
      <w:r>
        <w:rPr>
          <w:b w:val="0"/>
          <w:i w:val="0"/>
        </w:rPr>
        <w:t>các chỉ số xã hội, 185–86</w:t>
      </w:r>
    </w:p>
    <w:p>
      <w:pPr>
        <w:spacing w:after="80"/>
      </w:pPr>
      <w:r>
        <w:rPr>
          <w:b w:val="0"/>
          <w:i w:val="0"/>
        </w:rPr>
        <w:t>“Social Responsibility of Business Is to Increase Its Profits, The” (Friedman), 11</w:t>
      </w:r>
    </w:p>
    <w:p>
      <w:pPr>
        <w:spacing w:after="80"/>
      </w:pPr>
      <w:r>
        <w:rPr>
          <w:b w:val="0"/>
          <w:i w:val="0"/>
        </w:rPr>
        <w:t>Solomon, Steven Davidoff, 61</w:t>
      </w:r>
    </w:p>
    <w:p>
      <w:pPr>
        <w:spacing w:after="80"/>
      </w:pPr>
      <w:r>
        <w:rPr>
          <w:b w:val="0"/>
          <w:i w:val="0"/>
        </w:rPr>
        <w:t xml:space="preserve">SPAC. </w:t>
      </w:r>
      <w:r>
        <w:rPr>
          <w:b w:val="0"/>
          <w:i/>
        </w:rPr>
        <w:t>Xem</w:t>
      </w:r>
      <w:r>
        <w:rPr>
          <w:b w:val="0"/>
          <w:i w:val="0"/>
        </w:rPr>
        <w:t xml:space="preserve"> công ty mua lại vì mục đích đặc biệt</w:t>
      </w:r>
    </w:p>
    <w:p>
      <w:pPr>
        <w:spacing w:after="80"/>
      </w:pPr>
      <w:r>
        <w:rPr>
          <w:b w:val="0"/>
          <w:i w:val="0"/>
        </w:rPr>
        <w:t>SpaceX, 34</w:t>
      </w:r>
    </w:p>
    <w:p>
      <w:pPr>
        <w:spacing w:after="80"/>
      </w:pPr>
      <w:r>
        <w:rPr>
          <w:b w:val="0"/>
          <w:i w:val="0"/>
        </w:rPr>
        <w:t>ủy ban đặc biệt, 46–47, 112, 175, 223</w:t>
      </w:r>
    </w:p>
    <w:p>
      <w:pPr>
        <w:spacing w:after="80"/>
      </w:pPr>
      <w:r>
        <w:rPr>
          <w:b w:val="0"/>
          <w:i w:val="0"/>
        </w:rPr>
        <w:t>tính công bằng toàn diện và, 38, 108</w:t>
      </w:r>
    </w:p>
    <w:p>
      <w:pPr>
        <w:spacing w:after="80"/>
      </w:pPr>
      <w:r>
        <w:rPr>
          <w:b w:val="0"/>
          <w:i w:val="0"/>
        </w:rPr>
        <w:t>thương vụ mua lại NetSuite, 39</w:t>
      </w:r>
    </w:p>
    <w:p>
      <w:pPr>
        <w:spacing w:after="80"/>
      </w:pPr>
      <w:r>
        <w:rPr>
          <w:b w:val="0"/>
          <w:i w:val="0"/>
        </w:rPr>
        <w:t>thương vụ bán Smurfit-Stone, 20, 22</w:t>
      </w:r>
    </w:p>
    <w:p>
      <w:pPr>
        <w:spacing w:after="80"/>
      </w:pPr>
      <w:r>
        <w:rPr>
          <w:b w:val="0"/>
          <w:i w:val="0"/>
        </w:rPr>
        <w:t>công ty mua lại vì mục đích đặc biệt (SPAC), 239</w:t>
      </w:r>
    </w:p>
    <w:p>
      <w:pPr>
        <w:spacing w:after="80"/>
      </w:pPr>
      <w:r>
        <w:rPr>
          <w:b w:val="0"/>
          <w:i w:val="0"/>
        </w:rPr>
        <w:t>các cuộc họp cổ đông đặc biệt, 134</w:t>
      </w:r>
    </w:p>
    <w:p>
      <w:pPr>
        <w:spacing w:after="80"/>
      </w:pPr>
      <w:r>
        <w:rPr>
          <w:b w:val="0"/>
          <w:i w:val="0"/>
        </w:rPr>
        <w:t>Spencer Stuart, 48, 52, 70, 72, 218, 220, 222, 224</w:t>
      </w:r>
    </w:p>
    <w:p>
      <w:pPr>
        <w:spacing w:after="80"/>
      </w:pPr>
      <w:r>
        <w:rPr>
          <w:b w:val="0"/>
          <w:i w:val="0"/>
        </w:rPr>
        <w:t>Sprayregen, Jamie, 158, 160–61, 267</w:t>
      </w:r>
    </w:p>
    <w:p>
      <w:pPr>
        <w:spacing w:after="80"/>
      </w:pPr>
      <w:r>
        <w:rPr>
          <w:b w:val="0"/>
          <w:i w:val="0"/>
        </w:rPr>
        <w:t>hội đồng quản trị theo nhiệm kỳ so le, 104, 133–34</w:t>
      </w:r>
    </w:p>
    <w:p>
      <w:pPr>
        <w:spacing w:after="80"/>
      </w:pPr>
      <w:r>
        <w:rPr>
          <w:b w:val="0"/>
          <w:i w:val="0"/>
        </w:rPr>
        <w:t>Starboard Value, 123, 127–28</w:t>
      </w:r>
    </w:p>
    <w:p>
      <w:pPr>
        <w:spacing w:after="80"/>
      </w:pPr>
      <w:r>
        <w:rPr>
          <w:b w:val="0"/>
          <w:i w:val="0"/>
        </w:rPr>
        <w:t>Starbucks, 73–74, 210, 224</w:t>
      </w:r>
    </w:p>
    <w:p>
      <w:pPr>
        <w:spacing w:after="80"/>
      </w:pPr>
      <w:r>
        <w:rPr>
          <w:b w:val="0"/>
          <w:i w:val="0"/>
        </w:rPr>
        <w:t>Starks, Laura T., 139</w:t>
      </w:r>
    </w:p>
    <w:p>
      <w:pPr>
        <w:spacing w:after="80"/>
      </w:pPr>
      <w:r>
        <w:rPr>
          <w:b w:val="0"/>
          <w:i w:val="0"/>
        </w:rPr>
        <w:t>Tuyên bố về Mục đích của một Công ty (Business Roundtable), 182</w:t>
      </w:r>
    </w:p>
    <w:p>
      <w:pPr>
        <w:spacing w:after="80"/>
      </w:pPr>
      <w:r>
        <w:rPr>
          <w:b w:val="0"/>
          <w:i w:val="0"/>
        </w:rPr>
        <w:t>State Street, 66, 139, 143–46, 193</w:t>
      </w:r>
    </w:p>
    <w:p>
      <w:pPr>
        <w:spacing w:after="80"/>
      </w:pPr>
      <w:r>
        <w:rPr>
          <w:b w:val="0"/>
          <w:i w:val="0"/>
        </w:rPr>
        <w:t>Stavros, Pete, 56–57, 111, 255, 267</w:t>
      </w:r>
    </w:p>
    <w:p>
      <w:pPr>
        <w:spacing w:after="80"/>
      </w:pPr>
      <w:r>
        <w:rPr>
          <w:b w:val="0"/>
          <w:i w:val="0"/>
        </w:rPr>
        <w:t>Sterrett, Steve, 73, 76, 78, 226, 267</w:t>
      </w:r>
    </w:p>
    <w:p>
      <w:pPr>
        <w:spacing w:after="80"/>
      </w:pPr>
      <w:r>
        <w:rPr>
          <w:b w:val="0"/>
          <w:i w:val="0"/>
        </w:rPr>
        <w:t>Stevenson, Jane, 243</w:t>
      </w:r>
    </w:p>
    <w:p>
      <w:pPr>
        <w:spacing w:after="80"/>
      </w:pPr>
      <w:r>
        <w:rPr>
          <w:b w:val="0"/>
          <w:i w:val="0"/>
        </w:rPr>
        <w:t>Stigler, George, 90</w:t>
      </w:r>
    </w:p>
    <w:p>
      <w:pPr>
        <w:spacing w:after="80"/>
      </w:pPr>
      <w:r>
        <w:rPr>
          <w:b w:val="0"/>
          <w:i w:val="0"/>
        </w:rPr>
        <w:t>cổ phiếu, thù lao bằng, 55</w:t>
      </w:r>
    </w:p>
    <w:p>
      <w:pPr>
        <w:spacing w:after="80"/>
      </w:pPr>
      <w:r>
        <w:rPr>
          <w:b w:val="0"/>
          <w:i w:val="0"/>
        </w:rPr>
        <w:t>quyền thụ hưởng chênh lệch giá cổ phiếu (stock appreciation rights - SARs), 55</w:t>
      </w:r>
    </w:p>
    <w:p>
      <w:pPr>
        <w:spacing w:after="80"/>
      </w:pPr>
      <w:r>
        <w:rPr>
          <w:b w:val="0"/>
          <w:i w:val="0"/>
        </w:rPr>
        <w:t>quyền chọn cổ phiếu (stock options), 55</w:t>
      </w:r>
    </w:p>
    <w:p>
      <w:pPr>
        <w:spacing w:after="80"/>
      </w:pPr>
      <w:r>
        <w:rPr>
          <w:b w:val="0"/>
          <w:i w:val="0"/>
        </w:rPr>
        <w:t>các chỉ số giá cổ phiếu, 55</w:t>
      </w:r>
    </w:p>
    <w:p>
      <w:pPr>
        <w:spacing w:after="80"/>
      </w:pPr>
      <w:r>
        <w:rPr>
          <w:b w:val="0"/>
          <w:i w:val="0"/>
        </w:rPr>
        <w:t>hoạt động vận động chiến lược (strategic activism), 126–27</w:t>
      </w:r>
    </w:p>
    <w:p>
      <w:pPr>
        <w:spacing w:after="80"/>
      </w:pPr>
      <w:r>
        <w:rPr>
          <w:b w:val="0"/>
          <w:i w:val="0"/>
        </w:rPr>
        <w:t>các thương vụ M&amp;A chiến lược (strategic M&amp;A deals), 90–91</w:t>
      </w:r>
    </w:p>
    <w:p>
      <w:pPr>
        <w:spacing w:after="80"/>
      </w:pPr>
      <w:r>
        <w:rPr>
          <w:b w:val="0"/>
          <w:i w:val="0"/>
        </w:rPr>
        <w:t>các cuộc họp hoạch định chiến lược, 41–42</w:t>
      </w:r>
    </w:p>
    <w:p>
      <w:pPr>
        <w:spacing w:after="80"/>
      </w:pPr>
      <w:r>
        <w:rPr>
          <w:b w:val="0"/>
          <w:i w:val="0"/>
        </w:rPr>
        <w:t>Strine, Leo E., Jr., 29–30, 33–34, 252, 254, 267</w:t>
      </w:r>
    </w:p>
    <w:p>
      <w:pPr>
        <w:spacing w:after="80"/>
      </w:pPr>
      <w:r>
        <w:rPr>
          <w:b w:val="0"/>
          <w:i w:val="0"/>
        </w:rPr>
        <w:t>về hoạt động vận động (activism), 129</w:t>
      </w:r>
    </w:p>
    <w:p>
      <w:pPr>
        <w:spacing w:after="80"/>
      </w:pPr>
      <w:r>
        <w:rPr>
          <w:b w:val="0"/>
          <w:i w:val="0"/>
        </w:rPr>
        <w:t>về các CEO, 226</w:t>
      </w:r>
    </w:p>
    <w:p>
      <w:pPr>
        <w:spacing w:after="80"/>
      </w:pPr>
      <w:r>
        <w:rPr>
          <w:b w:val="0"/>
          <w:i w:val="0"/>
        </w:rPr>
        <w:t>về thời gian của thành viên hội đồng quản trị, 42</w:t>
      </w:r>
    </w:p>
    <w:p>
      <w:pPr>
        <w:spacing w:after="80"/>
      </w:pPr>
      <w:r>
        <w:rPr>
          <w:b w:val="0"/>
          <w:i w:val="0"/>
        </w:rPr>
        <w:t>về việc tách vai trò chủ tịch hội đồng quản trị và CEO, 82</w:t>
      </w:r>
    </w:p>
    <w:p>
      <w:pPr>
        <w:spacing w:after="80"/>
      </w:pPr>
      <w:r>
        <w:rPr>
          <w:b w:val="0"/>
          <w:i w:val="0"/>
        </w:rPr>
        <w:t>về giới hạn nhiệm kỳ, 246</w:t>
      </w:r>
    </w:p>
    <w:p>
      <w:pPr>
        <w:spacing w:after="80"/>
      </w:pPr>
      <w:r>
        <w:rPr>
          <w:b w:val="0"/>
          <w:i w:val="0"/>
        </w:rPr>
        <w:t>lập kế hoạch kế nhiệm, 80, 219–23</w:t>
      </w:r>
    </w:p>
    <w:p>
      <w:pPr>
        <w:spacing w:after="80"/>
      </w:pPr>
      <w:r>
        <w:rPr>
          <w:b w:val="0"/>
          <w:i w:val="0"/>
        </w:rPr>
        <w:t>Supino, David, 160</w:t>
      </w:r>
    </w:p>
    <w:p>
      <w:pPr>
        <w:spacing w:after="80"/>
      </w:pPr>
      <w:r>
        <w:rPr>
          <w:b w:val="0"/>
          <w:i w:val="0"/>
        </w:rPr>
        <w:t>Sussberg, Josh, 164, 169, 175, 178, 268</w:t>
      </w:r>
    </w:p>
    <w:p>
      <w:pPr>
        <w:spacing w:after="80"/>
      </w:pPr>
      <w:r>
        <w:rPr>
          <w:b w:val="0"/>
          <w:i w:val="0"/>
        </w:rPr>
        <w:t>Sustainability Accounting Standards Board (SASB), 184–85, 190</w:t>
      </w:r>
    </w:p>
    <w:p>
      <w:pPr>
        <w:spacing w:after="80"/>
      </w:pPr>
      <w:r>
        <w:rPr>
          <w:b w:val="0"/>
          <w:i w:val="0"/>
        </w:rPr>
        <w:t>các chỉ số và báo cáo về tính bền vững, 189–91</w:t>
      </w:r>
    </w:p>
    <w:p>
      <w:pPr>
        <w:spacing w:after="80"/>
      </w:pPr>
      <w:r>
        <w:rPr>
          <w:b w:val="0"/>
          <w:i w:val="0"/>
        </w:rPr>
        <w:t>Sutton, Michael H., 25</w:t>
      </w:r>
    </w:p>
    <w:p>
      <w:pPr>
        <w:spacing w:after="80"/>
      </w:pPr>
      <w:r>
        <w:rPr>
          <w:b w:val="0"/>
          <w:i w:val="0"/>
        </w:rPr>
        <w:t>Target, 122–23</w:t>
      </w:r>
    </w:p>
    <w:p>
      <w:pPr>
        <w:spacing w:after="80"/>
      </w:pPr>
      <w:r>
        <w:rPr>
          <w:b w:val="0"/>
          <w:i w:val="0"/>
        </w:rPr>
        <w:t>Tayan, Brian, 81, 84, 149, 189</w:t>
      </w:r>
    </w:p>
    <w:p>
      <w:pPr>
        <w:spacing w:after="80"/>
      </w:pPr>
      <w:r>
        <w:rPr>
          <w:b w:val="0"/>
          <w:i w:val="0"/>
        </w:rPr>
        <w:t>giới hạn nhiệm kỳ, 243–46</w:t>
      </w:r>
    </w:p>
    <w:p>
      <w:pPr>
        <w:spacing w:after="80"/>
      </w:pPr>
      <w:r>
        <w:rPr>
          <w:b w:val="0"/>
          <w:i w:val="0"/>
        </w:rPr>
        <w:t>Tesla, 32, 34, 60–61, 90, 190</w:t>
      </w:r>
    </w:p>
    <w:p>
      <w:pPr>
        <w:spacing w:after="80"/>
      </w:pPr>
      <w:r>
        <w:rPr>
          <w:b w:val="0"/>
          <w:i w:val="0"/>
        </w:rPr>
        <w:t>Thermo Fisher Scientific, 93</w:t>
      </w:r>
    </w:p>
    <w:p>
      <w:pPr>
        <w:spacing w:after="80"/>
      </w:pPr>
      <w:r>
        <w:rPr>
          <w:b w:val="0"/>
          <w:i w:val="0"/>
        </w:rPr>
        <w:t>Thompson, Mark, 224</w:t>
      </w:r>
    </w:p>
    <w:p>
      <w:pPr>
        <w:spacing w:after="80"/>
      </w:pPr>
      <w:r>
        <w:rPr>
          <w:b w:val="0"/>
          <w:i w:val="0"/>
        </w:rPr>
        <w:t>Time Warner, 92</w:t>
      </w:r>
    </w:p>
    <w:p>
      <w:pPr>
        <w:spacing w:after="80"/>
      </w:pPr>
      <w:r>
        <w:rPr>
          <w:b w:val="0"/>
          <w:i w:val="0"/>
        </w:rPr>
        <w:t>Tonello, Matteo, 82</w:t>
      </w:r>
    </w:p>
    <w:p>
      <w:pPr>
        <w:spacing w:after="80"/>
      </w:pPr>
      <w:r>
        <w:rPr>
          <w:b w:val="0"/>
          <w:i w:val="0"/>
        </w:rPr>
        <w:t>Torrisi, Rich, 23</w:t>
      </w:r>
    </w:p>
    <w:p>
      <w:pPr>
        <w:spacing w:after="80"/>
      </w:pPr>
      <w:r>
        <w:rPr>
          <w:b w:val="0"/>
          <w:i w:val="0"/>
        </w:rPr>
        <w:t>tổng lợi nhuận cổ đông (total shareholder return - TSR), 54–56</w:t>
      </w:r>
    </w:p>
    <w:p>
      <w:pPr>
        <w:spacing w:after="80"/>
      </w:pPr>
      <w:r>
        <w:rPr>
          <w:b w:val="0"/>
          <w:i w:val="0"/>
        </w:rPr>
        <w:t>ToysRUs.com, 50, 155, 168</w:t>
      </w:r>
    </w:p>
    <w:p>
      <w:pPr>
        <w:spacing w:after="80"/>
      </w:pPr>
      <w:r>
        <w:rPr>
          <w:b w:val="0"/>
          <w:i w:val="0"/>
        </w:rPr>
        <w:t>ủy ban giao dịch, 21, 47</w:t>
      </w:r>
    </w:p>
    <w:p>
      <w:pPr>
        <w:spacing w:after="80"/>
      </w:pPr>
      <w:r>
        <w:rPr>
          <w:b w:val="0"/>
          <w:i w:val="0"/>
        </w:rPr>
        <w:t>TransUnion Corporation, 26, 94–95</w:t>
      </w:r>
    </w:p>
    <w:p>
      <w:pPr>
        <w:spacing w:after="80"/>
      </w:pPr>
      <w:r>
        <w:rPr>
          <w:b w:val="0"/>
          <w:i w:val="0"/>
        </w:rPr>
        <w:t>Trans World Airlines (TWA), 10, 123</w:t>
      </w:r>
    </w:p>
    <w:p>
      <w:pPr>
        <w:spacing w:after="80"/>
      </w:pPr>
      <w:r>
        <w:rPr>
          <w:b w:val="0"/>
          <w:i w:val="0"/>
        </w:rPr>
        <w:t>TripAdvisor, 32–33</w:t>
      </w:r>
    </w:p>
    <w:p>
      <w:pPr>
        <w:spacing w:after="80"/>
      </w:pPr>
      <w:r>
        <w:rPr>
          <w:b w:val="0"/>
          <w:i w:val="0"/>
        </w:rPr>
        <w:t>Triple Bottom Line, 180</w:t>
      </w:r>
    </w:p>
    <w:p>
      <w:pPr>
        <w:spacing w:after="80"/>
      </w:pPr>
      <w:r>
        <w:rPr>
          <w:b w:val="0"/>
          <w:i w:val="0"/>
        </w:rPr>
        <w:t>Trump, Donald, 66, 160, 193, 233</w:t>
      </w:r>
    </w:p>
    <w:p>
      <w:pPr>
        <w:spacing w:after="80"/>
      </w:pPr>
      <w:r>
        <w:rPr>
          <w:b w:val="0"/>
          <w:i w:val="0"/>
        </w:rPr>
        <w:t xml:space="preserve">TSR. </w:t>
      </w:r>
      <w:r>
        <w:rPr>
          <w:b w:val="0"/>
          <w:i/>
        </w:rPr>
        <w:t>Xem</w:t>
      </w:r>
      <w:r>
        <w:rPr>
          <w:b w:val="0"/>
          <w:i w:val="0"/>
        </w:rPr>
        <w:t xml:space="preserve"> tổng lợi nhuận cổ đông</w:t>
      </w:r>
    </w:p>
    <w:p>
      <w:pPr>
        <w:spacing w:after="80"/>
      </w:pPr>
      <w:r>
        <w:rPr>
          <w:b w:val="0"/>
          <w:i w:val="0"/>
        </w:rPr>
        <w:t>Turner, Matt, 58–59, 62, 268</w:t>
      </w:r>
    </w:p>
    <w:p>
      <w:pPr>
        <w:spacing w:after="80"/>
      </w:pPr>
      <w:r>
        <w:rPr>
          <w:b w:val="0"/>
          <w:i w:val="0"/>
        </w:rPr>
        <w:t xml:space="preserve">TWA. </w:t>
      </w:r>
      <w:r>
        <w:rPr>
          <w:b w:val="0"/>
          <w:i/>
        </w:rPr>
        <w:t>Xem</w:t>
      </w:r>
      <w:r>
        <w:rPr>
          <w:b w:val="0"/>
          <w:i w:val="0"/>
        </w:rPr>
        <w:t xml:space="preserve"> Trans World Airlines</w:t>
      </w:r>
    </w:p>
    <w:p>
      <w:pPr>
        <w:spacing w:after="80"/>
      </w:pPr>
      <w:r>
        <w:rPr>
          <w:b w:val="0"/>
          <w:i w:val="0"/>
        </w:rPr>
        <w:t>Ullem, Beth Daley, 25, 268</w:t>
      </w:r>
    </w:p>
    <w:p>
      <w:pPr>
        <w:spacing w:after="80"/>
      </w:pPr>
      <w:r>
        <w:rPr>
          <w:b w:val="0"/>
          <w:i w:val="0"/>
        </w:rPr>
        <w:t>Ullman, Mike, 128</w:t>
      </w:r>
    </w:p>
    <w:p>
      <w:pPr>
        <w:spacing w:after="80"/>
      </w:pPr>
      <w:r>
        <w:rPr>
          <w:b w:val="0"/>
          <w:i w:val="0"/>
        </w:rPr>
        <w:t>Ultan, Bill, 140–41, 143, 149, 268</w:t>
      </w:r>
    </w:p>
    <w:p>
      <w:pPr>
        <w:spacing w:after="80"/>
      </w:pPr>
      <w:r>
        <w:rPr>
          <w:b w:val="0"/>
          <w:i w:val="0"/>
        </w:rPr>
        <w:t>Ungerleider, Howard, 56, 203, 215, 226, 229–30, 247, 268</w:t>
      </w:r>
    </w:p>
    <w:p>
      <w:pPr>
        <w:spacing w:after="80"/>
      </w:pPr>
      <w:r>
        <w:rPr>
          <w:b w:val="0"/>
          <w:i w:val="0"/>
        </w:rPr>
        <w:t>United Airlines, 5, 56–57</w:t>
      </w:r>
    </w:p>
    <w:p>
      <w:pPr>
        <w:spacing w:after="80"/>
      </w:pPr>
      <w:r>
        <w:rPr>
          <w:b w:val="0"/>
          <w:i w:val="0"/>
        </w:rPr>
        <w:t>United Nations (UN), 180–81, 188, 233</w:t>
      </w:r>
    </w:p>
    <w:p>
      <w:pPr>
        <w:spacing w:after="80"/>
      </w:pPr>
      <w:r>
        <w:rPr>
          <w:b w:val="0"/>
          <w:i w:val="0"/>
        </w:rPr>
        <w:t>đại diện chung (universal proxy), 125</w:t>
      </w:r>
    </w:p>
    <w:p>
      <w:pPr>
        <w:spacing w:after="80"/>
      </w:pPr>
      <w:r>
        <w:rPr>
          <w:b w:val="0"/>
          <w:i w:val="0"/>
        </w:rPr>
        <w:t xml:space="preserve">tiêu chuẩn </w:t>
      </w:r>
      <w:r>
        <w:rPr>
          <w:b w:val="0"/>
          <w:i/>
        </w:rPr>
        <w:t>Unocal</w:t>
      </w:r>
      <w:r>
        <w:rPr>
          <w:b w:val="0"/>
          <w:i w:val="0"/>
        </w:rPr>
        <w:t>, 101</w:t>
      </w:r>
    </w:p>
    <w:p>
      <w:pPr>
        <w:spacing w:after="80"/>
      </w:pPr>
      <w:r>
        <w:rPr>
          <w:b w:val="0"/>
          <w:i/>
        </w:rPr>
        <w:t>Unocal v. Mesa Petroleum</w:t>
      </w:r>
      <w:r>
        <w:rPr>
          <w:b w:val="0"/>
          <w:i w:val="0"/>
        </w:rPr>
        <w:t>, 31, 101</w:t>
      </w:r>
    </w:p>
    <w:p>
      <w:pPr>
        <w:spacing w:after="80"/>
      </w:pPr>
      <w:r>
        <w:rPr>
          <w:b w:val="0"/>
          <w:i w:val="0"/>
        </w:rPr>
        <w:t>UOP, 106–7</w:t>
      </w:r>
    </w:p>
    <w:p>
      <w:pPr>
        <w:spacing w:after="80"/>
      </w:pPr>
      <w:r>
        <w:rPr>
          <w:b w:val="0"/>
          <w:i w:val="0"/>
        </w:rPr>
        <w:t>Useem, Michael, 83</w:t>
      </w:r>
    </w:p>
    <w:p>
      <w:pPr>
        <w:spacing w:after="80"/>
      </w:pPr>
      <w:r>
        <w:rPr>
          <w:b w:val="0"/>
          <w:i w:val="0"/>
        </w:rPr>
        <w:t>Tòa án Tối cao Hoa Kỳ, 157, 176</w:t>
      </w:r>
    </w:p>
    <w:p>
      <w:pPr>
        <w:spacing w:after="80"/>
      </w:pPr>
      <w:r>
        <w:rPr>
          <w:b w:val="0"/>
          <w:i w:val="0"/>
        </w:rPr>
        <w:t>ValueAct, 122, 127</w:t>
      </w:r>
    </w:p>
    <w:p>
      <w:pPr>
        <w:spacing w:after="80"/>
      </w:pPr>
      <w:r>
        <w:rPr>
          <w:b w:val="0"/>
          <w:i w:val="0"/>
        </w:rPr>
        <w:t>van Baal, Mark, 192</w:t>
      </w:r>
    </w:p>
    <w:p>
      <w:pPr>
        <w:spacing w:after="80"/>
      </w:pPr>
      <w:r>
        <w:rPr>
          <w:b w:val="0"/>
          <w:i w:val="0"/>
        </w:rPr>
        <w:t>Van Gorkom, Jerome, 94–95, 97</w:t>
      </w:r>
    </w:p>
    <w:p>
      <w:pPr>
        <w:spacing w:after="80"/>
      </w:pPr>
      <w:r>
        <w:rPr>
          <w:b w:val="0"/>
          <w:i w:val="0"/>
        </w:rPr>
        <w:t xml:space="preserve">vụ án </w:t>
      </w:r>
      <w:r>
        <w:rPr>
          <w:b w:val="0"/>
          <w:i/>
        </w:rPr>
        <w:t>Van Gorkom</w:t>
      </w:r>
      <w:r>
        <w:rPr>
          <w:b w:val="0"/>
          <w:i w:val="0"/>
        </w:rPr>
        <w:t>, 26, 94–97</w:t>
      </w:r>
    </w:p>
    <w:p>
      <w:pPr>
        <w:spacing w:after="80"/>
      </w:pPr>
      <w:r>
        <w:rPr>
          <w:b w:val="0"/>
          <w:i w:val="0"/>
        </w:rPr>
        <w:t>Vanguard, 61, 139, 142–46</w:t>
      </w:r>
    </w:p>
    <w:p>
      <w:pPr>
        <w:spacing w:after="80"/>
      </w:pPr>
      <w:r>
        <w:rPr>
          <w:b w:val="0"/>
          <w:i w:val="0"/>
        </w:rPr>
        <w:t>VectoIQ Acquisition Corporation, 239</w:t>
      </w:r>
    </w:p>
    <w:p>
      <w:pPr>
        <w:spacing w:after="80"/>
      </w:pPr>
      <w:r>
        <w:rPr>
          <w:b w:val="0"/>
          <w:i w:val="0"/>
        </w:rPr>
        <w:t>Velasco, Julian, 26</w:t>
      </w:r>
    </w:p>
    <w:p>
      <w:pPr>
        <w:spacing w:after="80"/>
      </w:pPr>
      <w:r>
        <w:rPr>
          <w:b w:val="0"/>
          <w:i/>
        </w:rPr>
        <w:t>Versata v. Selectica</w:t>
      </w:r>
      <w:r>
        <w:rPr>
          <w:b w:val="0"/>
          <w:i w:val="0"/>
        </w:rPr>
        <w:t>, 101</w:t>
      </w:r>
    </w:p>
    <w:p>
      <w:pPr>
        <w:spacing w:after="80"/>
      </w:pPr>
      <w:r>
        <w:rPr>
          <w:b w:val="0"/>
          <w:i w:val="0"/>
        </w:rPr>
        <w:t>Wachtell Lipton, 12, 20–21, 29, 98, 104, 128–29</w:t>
      </w:r>
    </w:p>
    <w:p>
      <w:pPr>
        <w:spacing w:after="80"/>
      </w:pPr>
      <w:r>
        <w:rPr>
          <w:b w:val="0"/>
          <w:i w:val="0"/>
        </w:rPr>
        <w:t>Walt Disney Company, 59–60, 127, 224</w:t>
      </w:r>
    </w:p>
    <w:p>
      <w:pPr>
        <w:spacing w:after="80"/>
      </w:pPr>
      <w:r>
        <w:rPr>
          <w:b w:val="0"/>
          <w:i/>
        </w:rPr>
        <w:t>Weinberger v. UOP</w:t>
      </w:r>
      <w:r>
        <w:rPr>
          <w:b w:val="0"/>
          <w:i w:val="0"/>
        </w:rPr>
        <w:t>, 38, 106–8</w:t>
      </w:r>
    </w:p>
    <w:p>
      <w:pPr>
        <w:spacing w:after="80"/>
      </w:pPr>
      <w:r>
        <w:rPr>
          <w:b w:val="0"/>
          <w:i w:val="0"/>
        </w:rPr>
        <w:t>Weinstein, Boaz, 192</w:t>
      </w:r>
    </w:p>
    <w:p>
      <w:pPr>
        <w:spacing w:after="80"/>
      </w:pPr>
      <w:r>
        <w:rPr>
          <w:b w:val="0"/>
          <w:i w:val="0"/>
        </w:rPr>
        <w:t>Wellington, 139, 142</w:t>
      </w:r>
    </w:p>
    <w:p>
      <w:pPr>
        <w:spacing w:after="80"/>
      </w:pPr>
      <w:r>
        <w:rPr>
          <w:b w:val="0"/>
          <w:i/>
        </w:rPr>
        <w:t>West Palm Beach Firefighters’ Pension Fund v. Moelis &amp; Co.</w:t>
      </w:r>
      <w:r>
        <w:rPr>
          <w:b w:val="0"/>
          <w:i w:val="0"/>
        </w:rPr>
        <w:t>, 33</w:t>
      </w:r>
    </w:p>
    <w:p>
      <w:pPr>
        <w:spacing w:after="80"/>
      </w:pPr>
      <w:r>
        <w:rPr>
          <w:b w:val="0"/>
          <w:i w:val="0"/>
        </w:rPr>
        <w:t>Wheels Up, 165</w:t>
      </w:r>
    </w:p>
    <w:p>
      <w:pPr>
        <w:spacing w:after="80"/>
      </w:pPr>
      <w:r>
        <w:rPr>
          <w:b w:val="0"/>
          <w:i w:val="0"/>
        </w:rPr>
        <w:t>Whoriskey, Neil, 151, 268</w:t>
      </w:r>
    </w:p>
    <w:p>
      <w:pPr>
        <w:spacing w:after="80"/>
      </w:pPr>
      <w:r>
        <w:rPr>
          <w:b w:val="0"/>
          <w:i/>
        </w:rPr>
        <w:t>Why Corporations Choose Delaware</w:t>
      </w:r>
      <w:r>
        <w:rPr>
          <w:b w:val="0"/>
          <w:i w:val="0"/>
        </w:rPr>
        <w:t xml:space="preserve"> (Black), 30</w:t>
      </w:r>
    </w:p>
    <w:p>
      <w:pPr>
        <w:spacing w:after="80"/>
      </w:pPr>
      <w:r>
        <w:rPr>
          <w:b w:val="0"/>
          <w:i w:val="0"/>
        </w:rPr>
        <w:t>Williams, Harold, 11</w:t>
      </w:r>
    </w:p>
    <w:p>
      <w:pPr>
        <w:spacing w:after="80"/>
      </w:pPr>
      <w:r>
        <w:rPr>
          <w:b w:val="0"/>
          <w:i w:val="0"/>
        </w:rPr>
        <w:t>Wise, David, 58–59, 62, 64–65, 268</w:t>
      </w:r>
    </w:p>
    <w:p>
      <w:pPr>
        <w:spacing w:after="80"/>
      </w:pPr>
      <w:r>
        <w:rPr>
          <w:b w:val="0"/>
          <w:i w:val="0"/>
        </w:rPr>
        <w:t>Wolosky, Steve, 121, 124, 148, 268</w:t>
      </w:r>
    </w:p>
    <w:p>
      <w:pPr>
        <w:spacing w:after="80"/>
      </w:pPr>
      <w:r>
        <w:rPr>
          <w:b w:val="0"/>
          <w:i w:val="0"/>
        </w:rPr>
        <w:t>Woodrum, Jim, 147</w:t>
      </w:r>
    </w:p>
    <w:p>
      <w:pPr>
        <w:spacing w:after="80"/>
      </w:pPr>
      <w:r>
        <w:rPr>
          <w:b w:val="0"/>
          <w:i w:val="0"/>
        </w:rPr>
        <w:t>WorldCom, 13, 45, 47</w:t>
      </w:r>
    </w:p>
    <w:p>
      <w:pPr>
        <w:spacing w:after="80"/>
      </w:pPr>
      <w:r>
        <w:rPr>
          <w:b w:val="0"/>
          <w:i w:val="0"/>
        </w:rPr>
        <w:t>World Economic Forum, 188, 232</w:t>
      </w:r>
    </w:p>
    <w:p>
      <w:pPr>
        <w:spacing w:after="80"/>
      </w:pPr>
      <w:r>
        <w:rPr>
          <w:b w:val="0"/>
          <w:i w:val="0"/>
        </w:rPr>
        <w:t>Ying, David, 160</w:t>
      </w:r>
    </w:p>
    <w:p>
      <w:pPr>
        <w:spacing w:after="80"/>
      </w:pPr>
      <w:r>
        <w:rPr>
          <w:b w:val="0"/>
          <w:i w:val="0"/>
        </w:rPr>
        <w:t>Yonker, Scott E., 65</w:t>
      </w:r>
    </w:p>
    <w:p>
      <w:pPr>
        <w:spacing w:after="80"/>
      </w:pPr>
      <w:r>
        <w:rPr>
          <w:b w:val="0"/>
          <w:i w:val="0"/>
        </w:rPr>
        <w:t>Yoon, Aaron, 189</w:t>
      </w:r>
    </w:p>
    <w:p>
      <w:pPr>
        <w:spacing w:after="80"/>
      </w:pPr>
      <w:r>
        <w:rPr>
          <w:b w:val="0"/>
          <w:i w:val="0"/>
        </w:rPr>
        <w:t>York, Jed, 23, 216, 268</w:t>
      </w:r>
    </w:p>
    <w:p>
      <w:pPr>
        <w:spacing w:after="80"/>
      </w:pPr>
      <w:r>
        <w:rPr>
          <w:b w:val="0"/>
          <w:i w:val="0"/>
        </w:rPr>
        <w:t>YouTube, 235</w:t>
      </w:r>
    </w:p>
    <w:p>
      <w:pPr>
        <w:spacing w:after="80"/>
      </w:pPr>
      <w:r>
        <w:rPr>
          <w:b w:val="0"/>
          <w:i w:val="0"/>
        </w:rPr>
        <w:t>Zalaznick, Jeff, 23</w:t>
      </w:r>
    </w:p>
    <w:p>
      <w:pPr>
        <w:spacing w:after="80"/>
      </w:pPr>
      <w:r>
        <w:rPr>
          <w:b w:val="0"/>
          <w:i w:val="0"/>
        </w:rPr>
        <w:t>Zehnder, Egon, 219</w:t>
      </w:r>
    </w:p>
    <w:p>
      <w:pPr>
        <w:spacing w:after="80"/>
      </w:pPr>
      <w:r>
        <w:rPr>
          <w:b w:val="0"/>
          <w:i w:val="0"/>
        </w:rPr>
        <w:t>Zelin, Steve, 163, 268</w:t>
      </w:r>
    </w:p>
    <w:p>
      <w:pPr>
        <w:spacing w:after="80"/>
      </w:pPr>
      <w:r>
        <w:rPr>
          <w:b w:val="0"/>
          <w:i w:val="0"/>
        </w:rPr>
        <w:t>Zolfo, Frank, 159</w:t>
      </w:r>
    </w:p>
    <w:p>
      <w:pPr>
        <w:spacing w:after="80"/>
      </w:pPr>
      <w:r>
        <w:rPr>
          <w:b w:val="0"/>
          <w:i w:val="0"/>
        </w:rPr>
        <w:t>Zuckerberg, Mark, 77–78</w:t>
      </w:r>
    </w:p>
    <w:p>
      <w:pPr>
        <w:spacing w:after="80"/>
      </w:pPr>
      <w:r>
        <w:rPr>
          <w:b w:val="0"/>
          <w:i w:val="0"/>
        </w:rPr>
        <w:t>Zurn, Morgan T., 22–23</w:t>
      </w:r>
    </w:p>
    <w:p>
      <w:pPr>
        <w:spacing w:after="80"/>
      </w:pPr>
      <w:r>
        <w:rPr>
          <w:b w:val="0"/>
          <w:i w:val="0"/>
        </w:rPr>
        <w:t>Zywicki, Todd J., 157</w:t>
      </w:r>
    </w:p>
    <w:p>
      <w:pPr>
        <w:pStyle w:val="Heading1"/>
      </w:pPr>
      <w:r>
        <w:rPr>
          <w:rFonts w:ascii="Calibri" w:hAnsi="Calibri"/>
          <w:b/>
          <w:i w:val="0"/>
          <w:sz w:val="40"/>
        </w:rPr>
        <w:t>Giới thiệu về tác giả</w:t>
      </w:r>
    </w:p>
    <w:p>
      <w:pPr>
        <w:spacing w:after="80"/>
      </w:pPr>
      <w:r>
        <w:rPr>
          <w:b w:val="0"/>
          <w:i w:val="0"/>
        </w:rPr>
        <w:t>Jonathan F. Foster là nhà sáng lập kiêm giám đốc điều hành của Current Capital Partners, một công ty tư vấn mua bán và sáp nhập (mergers and acquisitions), dịch vụ quản lý doanh nghiệp và đầu tư vốn cổ phần tư nhân (private equity). Ông đã có một thập kỷ làm việc tại Lazard, chủ yếu tập trung vào công việc tư vấn M&amp;A, cuối cùng là giám đốc điều hành. Jon đã tham gia hơn 50 hội đồng quản trị, bao gồm các công ty trong Fortune 500, công ty tư nhân và các công ty liên quan đến tái cấu trúc. Ông từng giữ vai trò chủ tịch, giám đốc chính và thành viên của ba ủy ban hội đồng quản trị chính cũng như các ủy ban đặc biệt, giao dịch, kế nhiệm CEO và các ủy ban khác. Ông đã từng là chủ tịch của hai ủy ban kiểm toán thuộc Fortune 500. Jon cũng đã là nhân chứng chuyên môn trong các vụ kiện tụng doanh nghiệp ở khoảng 60 vụ án về các vấn đề quản trị, M&amp;A và tái cấu trúc khác nhau, đã nộp báo cáo, bị lấy lời khai và làm chứng trong các phiên trọng tài và tại tòa.</w:t>
      </w:r>
    </w:p>
    <w:p>
      <w:pPr>
        <w:spacing w:after="80"/>
      </w:pPr>
      <w:r>
        <w:rPr>
          <w:b w:val="0"/>
          <w:i w:val="0"/>
        </w:rPr>
        <w:t>Với nhiều thập kỷ kinh nghiệm, Jon đã viết, phát biểu và thường xuyên được trích dẫn, đồng thời đã giảng dạy với tư cách khách mời tại nhiều trường đại học khác nhau. Ông sống ở thành phố New York cùng vợ và chú chó goldendoodle. Ông có hai người con đã trưởng thành.</w:t>
      </w:r>
    </w:p>
    <w:p>
      <w:pPr>
        <w:pStyle w:val="Heading1"/>
      </w:pPr>
      <w:r>
        <w:rPr>
          <w:rFonts w:ascii="Calibri" w:hAnsi="Calibri"/>
          <w:b/>
          <w:i w:val="0"/>
          <w:sz w:val="40"/>
        </w:rPr>
        <w:t>Tiếp theo là gì?</w:t>
      </w:r>
    </w:p>
    <w:p>
      <w:pPr>
        <w:spacing w:after="160"/>
        <w:jc w:val="center"/>
      </w:pPr>
      <w:r>
        <w:rPr>
          <w:rFonts w:ascii="Calibri" w:hAnsi="Calibri"/>
          <w:b w:val="0"/>
          <w:i/>
          <w:sz w:val="19"/>
        </w:rPr>
        <w:t>Làm việc với Jonathan F. Foster</w:t>
      </w:r>
    </w:p>
    <w:p>
      <w:pPr>
        <w:spacing w:after="80"/>
      </w:pPr>
      <w:r>
        <w:rPr>
          <w:b w:val="0"/>
          <w:i w:val="0"/>
        </w:rPr>
        <w:t xml:space="preserve">Jon đã viết </w:t>
      </w:r>
      <w:r>
        <w:rPr>
          <w:b w:val="0"/>
          <w:i/>
        </w:rPr>
        <w:t>On Board: The Modern Playbook for Corporate Governance</w:t>
      </w:r>
      <w:r>
        <w:rPr>
          <w:b w:val="0"/>
          <w:i w:val="0"/>
        </w:rPr>
        <w:t xml:space="preserve"> để mang đến một hướng dẫn rõ ràng, thiết thực cho các thành viên hội đồng quản trị, lãnh đạo điều hành và những người đứng đầu doanh nghiệp muốn giám sát bằng kiến thức, sự tự tin và tính chính trực. Nhưng ngoài những trang sách này, công việc của ông vẫn tiếp diễn. Ông tận tâm giúp các hội đồng quản trị và đội ngũ quản lý đưa ra quyết định thông minh hơn, xây dựng những công ty vững mạnh hơn, và thúc đẩy thành công cùng giá trị lâu dài.</w:t>
      </w:r>
    </w:p>
    <w:p>
      <w:pPr>
        <w:spacing w:after="80"/>
      </w:pPr>
      <w:r>
        <w:rPr>
          <w:b w:val="0"/>
          <w:i w:val="0"/>
        </w:rPr>
        <w:t>Jon sẵn sàng cho các buổi thuyết trình trước hội đồng quản trị, các buổi báo cáo dành cho lãnh đạo điều hành, các bài phát biểu và những sự kiện khác. Ông chia sẻ những hiểu biết sâu sắc, trực tiếp và đáng tin cậy về quản trị doanh nghiệp, hiệu quả lãnh đạo, chiến lược và thực thi M&amp;A, cùng nhiều chủ đề khác. Vui lòng liên hệ qua jff@jonathanffoster.com và truy cập www.jonathanffoster.com.</w:t>
      </w:r>
    </w:p>
    <w:p>
      <w:pPr>
        <w:jc w:val="center"/>
      </w:pPr>
      <w:r>
        <w:drawing>
          <wp:inline xmlns:a="http://schemas.openxmlformats.org/drawingml/2006/main" xmlns:pic="http://schemas.openxmlformats.org/drawingml/2006/picture">
            <wp:extent cx="5272087" cy="8229599"/>
            <wp:docPr id="4" name="Picture 4"/>
            <wp:cNvGraphicFramePr>
              <a:graphicFrameLocks noChangeAspect="1"/>
            </wp:cNvGraphicFramePr>
            <a:graphic>
              <a:graphicData uri="http://schemas.openxmlformats.org/drawingml/2006/picture">
                <pic:pic>
                  <pic:nvPicPr>
                    <pic:cNvPr id="0" name="image_rsrc7P5.jpg"/>
                    <pic:cNvPicPr/>
                  </pic:nvPicPr>
                  <pic:blipFill>
                    <a:blip r:embed="rId12"/>
                    <a:stretch>
                      <a:fillRect/>
                    </a:stretch>
                  </pic:blipFill>
                  <pic:spPr>
                    <a:xfrm>
                      <a:off x="0" y="0"/>
                      <a:ext cx="5272087" cy="8229599"/>
                    </a:xfrm>
                    <a:prstGeom prst="rect"/>
                  </pic:spPr>
                </pic:pic>
              </a:graphicData>
            </a:graphic>
          </wp:inline>
        </w:drawing>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000000"/>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00000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jpg"/><Relationship Id="rId10" Type="http://schemas.openxmlformats.org/officeDocument/2006/relationships/image" Target="media/image2.jpg"/><Relationship Id="rId11" Type="http://schemas.openxmlformats.org/officeDocument/2006/relationships/image" Target="media/image3.jpg"/><Relationship Id="rId12" Type="http://schemas.openxmlformats.org/officeDocument/2006/relationships/image" Target="media/image4.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